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charts/chart29.xml" ContentType="application/vnd.openxmlformats-officedocument.drawingml.chart+xml"/>
  <Override PartName="/word/theme/themeOverride29.xml" ContentType="application/vnd.openxmlformats-officedocument.themeOverride+xml"/>
  <Override PartName="/word/charts/chart30.xml" ContentType="application/vnd.openxmlformats-officedocument.drawingml.chart+xml"/>
  <Override PartName="/word/theme/themeOverride30.xml" ContentType="application/vnd.openxmlformats-officedocument.themeOverride+xml"/>
  <Override PartName="/word/charts/chart31.xml" ContentType="application/vnd.openxmlformats-officedocument.drawingml.chart+xml"/>
  <Override PartName="/word/theme/themeOverride31.xml" ContentType="application/vnd.openxmlformats-officedocument.themeOverride+xml"/>
  <Override PartName="/word/charts/chart32.xml" ContentType="application/vnd.openxmlformats-officedocument.drawingml.chart+xml"/>
  <Override PartName="/word/theme/themeOverride32.xml" ContentType="application/vnd.openxmlformats-officedocument.themeOverride+xml"/>
  <Override PartName="/word/charts/chart33.xml" ContentType="application/vnd.openxmlformats-officedocument.drawingml.chart+xml"/>
  <Override PartName="/word/theme/themeOverride33.xml" ContentType="application/vnd.openxmlformats-officedocument.themeOverride+xml"/>
  <Override PartName="/word/charts/chart34.xml" ContentType="application/vnd.openxmlformats-officedocument.drawingml.chart+xml"/>
  <Override PartName="/word/theme/themeOverride3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5FDACF" w14:textId="3DA4ECD8" w:rsidR="00104344" w:rsidRPr="001C6CCA" w:rsidRDefault="00104344" w:rsidP="00F65CFF">
      <w:pPr>
        <w:spacing w:after="0"/>
        <w:rPr>
          <w:sz w:val="20"/>
          <w:szCs w:val="20"/>
          <w:lang w:val="en-GB"/>
        </w:r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5"/>
      </w:tblGrid>
      <w:tr w:rsidR="003B307C" w:rsidRPr="001C6CCA" w14:paraId="3561D606" w14:textId="77777777" w:rsidTr="00724A1B">
        <w:tc>
          <w:tcPr>
            <w:tcW w:w="9291" w:type="dxa"/>
          </w:tcPr>
          <w:p w14:paraId="52E4FA44" w14:textId="1BC6C8C6" w:rsidR="003B307C" w:rsidRPr="001C6CCA" w:rsidRDefault="003B307C" w:rsidP="00F65CFF">
            <w:pPr>
              <w:tabs>
                <w:tab w:val="left" w:pos="3267"/>
              </w:tabs>
              <w:spacing w:after="0"/>
              <w:jc w:val="center"/>
              <w:rPr>
                <w:rFonts w:cstheme="minorHAnsi"/>
                <w:b/>
                <w:bCs/>
                <w:color w:val="244061" w:themeColor="accent1" w:themeShade="80"/>
                <w:sz w:val="20"/>
                <w:szCs w:val="20"/>
              </w:rPr>
            </w:pPr>
            <w:r w:rsidRPr="001C6CCA">
              <w:rPr>
                <w:noProof/>
                <w:sz w:val="20"/>
                <w:szCs w:val="20"/>
                <w:lang w:eastAsia="en-US"/>
              </w:rPr>
              <w:drawing>
                <wp:inline distT="0" distB="0" distL="0" distR="0" wp14:anchorId="34110B3A" wp14:editId="086740E4">
                  <wp:extent cx="1630680" cy="412504"/>
                  <wp:effectExtent l="0" t="0" r="762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3784" cy="418349"/>
                          </a:xfrm>
                          <a:prstGeom prst="rect">
                            <a:avLst/>
                          </a:prstGeom>
                          <a:noFill/>
                          <a:ln>
                            <a:noFill/>
                          </a:ln>
                        </pic:spPr>
                      </pic:pic>
                    </a:graphicData>
                  </a:graphic>
                </wp:inline>
              </w:drawing>
            </w:r>
          </w:p>
        </w:tc>
      </w:tr>
      <w:tr w:rsidR="003B307C" w:rsidRPr="001C6CCA" w14:paraId="48445886" w14:textId="77777777" w:rsidTr="00724A1B">
        <w:tc>
          <w:tcPr>
            <w:tcW w:w="9291" w:type="dxa"/>
          </w:tcPr>
          <w:p w14:paraId="0104E0AE" w14:textId="0763815E" w:rsidR="003B307C" w:rsidRPr="001C6CCA" w:rsidRDefault="003B307C" w:rsidP="00F65CFF">
            <w:pPr>
              <w:pStyle w:val="Titleproject"/>
              <w:spacing w:after="0"/>
              <w:rPr>
                <w:rFonts w:ascii="Calibri" w:hAnsi="Calibri"/>
                <w:color w:val="17365D" w:themeColor="text2" w:themeShade="BF"/>
                <w:sz w:val="20"/>
                <w:szCs w:val="20"/>
              </w:rPr>
            </w:pPr>
            <w:r w:rsidRPr="001C6CCA">
              <w:rPr>
                <w:rFonts w:ascii="Calibri" w:hAnsi="Calibri"/>
                <w:color w:val="365F91" w:themeColor="accent1" w:themeShade="BF"/>
                <w:sz w:val="20"/>
                <w:szCs w:val="20"/>
              </w:rPr>
              <w:t xml:space="preserve"> </w:t>
            </w:r>
            <w:r w:rsidRPr="001C6CCA">
              <w:rPr>
                <w:rFonts w:ascii="Calibri" w:hAnsi="Calibri"/>
                <w:color w:val="17365D" w:themeColor="text2" w:themeShade="BF"/>
                <w:sz w:val="20"/>
                <w:szCs w:val="20"/>
              </w:rPr>
              <w:t xml:space="preserve">SUPPORT TO IMPLEMENTATION AND MONITORING OF </w:t>
            </w:r>
            <w:r w:rsidRPr="001C6CCA">
              <w:rPr>
                <w:rFonts w:ascii="Calibri" w:hAnsi="Calibri"/>
                <w:color w:val="17365D" w:themeColor="text2" w:themeShade="BF"/>
                <w:sz w:val="20"/>
                <w:szCs w:val="20"/>
              </w:rPr>
              <w:br/>
              <w:t>WATER MANAGEMENT</w:t>
            </w:r>
            <w:r w:rsidR="00147458" w:rsidRPr="001C6CCA">
              <w:rPr>
                <w:rFonts w:ascii="Calibri" w:hAnsi="Calibri"/>
                <w:color w:val="17365D" w:themeColor="text2" w:themeShade="BF"/>
                <w:sz w:val="20"/>
                <w:szCs w:val="20"/>
              </w:rPr>
              <w:t xml:space="preserve"> IN </w:t>
            </w:r>
            <w:r w:rsidRPr="001C6CCA">
              <w:rPr>
                <w:rFonts w:ascii="Calibri" w:hAnsi="Calibri"/>
                <w:color w:val="17365D" w:themeColor="text2" w:themeShade="BF"/>
                <w:sz w:val="20"/>
                <w:szCs w:val="20"/>
              </w:rPr>
              <w:t>MONTENEGRO</w:t>
            </w:r>
          </w:p>
          <w:p w14:paraId="055C7D6C" w14:textId="0F66BA1C" w:rsidR="003B307C" w:rsidRPr="001C6CCA" w:rsidRDefault="00F67A80" w:rsidP="00F65CFF">
            <w:pPr>
              <w:pStyle w:val="Titleproject"/>
              <w:spacing w:after="0"/>
              <w:rPr>
                <w:rFonts w:ascii="Calibri" w:hAnsi="Calibri"/>
                <w:b w:val="0"/>
                <w:bCs w:val="0"/>
                <w:sz w:val="20"/>
                <w:szCs w:val="20"/>
              </w:rPr>
            </w:pPr>
            <w:r w:rsidRPr="001C6CCA">
              <w:rPr>
                <w:rFonts w:ascii="Calibri" w:hAnsi="Calibri"/>
                <w:noProof/>
                <w:color w:val="365F91" w:themeColor="accent1" w:themeShade="BF"/>
                <w:sz w:val="20"/>
                <w:szCs w:val="20"/>
                <w:lang w:val="en-US" w:eastAsia="en-US"/>
              </w:rPr>
              <mc:AlternateContent>
                <mc:Choice Requires="wps">
                  <w:drawing>
                    <wp:anchor distT="0" distB="0" distL="114300" distR="114300" simplePos="0" relativeHeight="251657728" behindDoc="0" locked="0" layoutInCell="1" allowOverlap="1" wp14:anchorId="3DA478D4" wp14:editId="69D4A9DD">
                      <wp:simplePos x="0" y="0"/>
                      <wp:positionH relativeFrom="column">
                        <wp:posOffset>1376045</wp:posOffset>
                      </wp:positionH>
                      <wp:positionV relativeFrom="paragraph">
                        <wp:posOffset>8255</wp:posOffset>
                      </wp:positionV>
                      <wp:extent cx="3005455"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3005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BBF09CA" id="Straight Connector 40"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8.35pt,.65pt" to="3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" strokecolor="#4579b8 [3044]"/>
                  </w:pict>
                </mc:Fallback>
              </mc:AlternateContent>
            </w:r>
            <w:r w:rsidR="003B307C" w:rsidRPr="001C6CCA">
              <w:rPr>
                <w:rFonts w:ascii="Calibri" w:hAnsi="Calibri"/>
                <w:b w:val="0"/>
                <w:bCs w:val="0"/>
                <w:color w:val="17365D" w:themeColor="text2" w:themeShade="BF"/>
                <w:sz w:val="20"/>
                <w:szCs w:val="20"/>
              </w:rPr>
              <w:t>Reference: EuropeAid/139429/IH/SER/ME</w:t>
            </w:r>
            <w:r w:rsidR="003B307C" w:rsidRPr="001C6CCA">
              <w:rPr>
                <w:rFonts w:ascii="Calibri" w:hAnsi="Calibri"/>
                <w:b w:val="0"/>
                <w:bCs w:val="0"/>
                <w:color w:val="17365D" w:themeColor="text2" w:themeShade="BF"/>
                <w:sz w:val="20"/>
                <w:szCs w:val="20"/>
              </w:rPr>
              <w:br/>
              <w:t xml:space="preserve">Contract no: </w:t>
            </w:r>
            <w:r w:rsidR="003B307C" w:rsidRPr="001C6CCA">
              <w:rPr>
                <w:rFonts w:ascii="Calibri" w:hAnsi="Calibri" w:cs="Arial"/>
                <w:b w:val="0"/>
                <w:bCs w:val="0"/>
                <w:color w:val="17365D" w:themeColor="text2" w:themeShade="BF"/>
                <w:sz w:val="20"/>
                <w:szCs w:val="20"/>
              </w:rPr>
              <w:t>PWA/MNE/IPAII/CAP16/SER/01-7497-1</w:t>
            </w:r>
          </w:p>
        </w:tc>
      </w:tr>
    </w:tbl>
    <w:p w14:paraId="7E91FD49" w14:textId="77777777" w:rsidR="003B307C" w:rsidRPr="001C6CCA" w:rsidRDefault="003B307C" w:rsidP="00F65CFF">
      <w:pPr>
        <w:tabs>
          <w:tab w:val="left" w:pos="3267"/>
        </w:tabs>
        <w:spacing w:after="0"/>
        <w:jc w:val="center"/>
        <w:rPr>
          <w:rFonts w:cstheme="minorHAnsi"/>
          <w:b/>
          <w:bCs/>
          <w:color w:val="244061" w:themeColor="accent1" w:themeShade="80"/>
          <w:sz w:val="20"/>
          <w:szCs w:val="20"/>
          <w:lang w:val="en-GB"/>
        </w:rPr>
      </w:pPr>
    </w:p>
    <w:p w14:paraId="6B7EC467" w14:textId="77777777" w:rsidR="003B307C" w:rsidRPr="001C6CCA" w:rsidRDefault="003B307C" w:rsidP="00F65CFF">
      <w:pPr>
        <w:tabs>
          <w:tab w:val="left" w:pos="3267"/>
        </w:tabs>
        <w:spacing w:after="0"/>
        <w:jc w:val="center"/>
        <w:rPr>
          <w:rFonts w:cstheme="minorHAnsi"/>
          <w:b/>
          <w:bCs/>
          <w:color w:val="244061" w:themeColor="accent1" w:themeShade="80"/>
          <w:sz w:val="20"/>
          <w:szCs w:val="20"/>
          <w:lang w:val="en-GB"/>
        </w:rPr>
      </w:pPr>
    </w:p>
    <w:p w14:paraId="25886272" w14:textId="77777777" w:rsidR="00724A1B" w:rsidRPr="001C6CCA" w:rsidRDefault="00724A1B" w:rsidP="00F65CFF">
      <w:pPr>
        <w:pStyle w:val="Titledocument"/>
        <w:spacing w:after="0"/>
        <w:rPr>
          <w:rFonts w:ascii="Calibri" w:hAnsi="Calibri"/>
          <w:sz w:val="20"/>
          <w:szCs w:val="20"/>
          <w:highlight w:val="yellow"/>
          <w:lang w:val="en-GB"/>
        </w:rPr>
      </w:pPr>
    </w:p>
    <w:p w14:paraId="729822CA" w14:textId="29A4EE01" w:rsidR="003B307C" w:rsidRPr="001C6CCA" w:rsidRDefault="003B307C" w:rsidP="00F65CFF">
      <w:pPr>
        <w:pStyle w:val="Titledocument"/>
        <w:spacing w:after="0"/>
        <w:rPr>
          <w:rFonts w:ascii="Calibri" w:hAnsi="Calibri"/>
          <w:sz w:val="20"/>
          <w:szCs w:val="20"/>
          <w:lang w:val="en-GB"/>
        </w:rPr>
      </w:pPr>
    </w:p>
    <w:p w14:paraId="12ED3CC2" w14:textId="0E74CE18" w:rsidR="00BF1DE0" w:rsidRPr="00BF1DE0" w:rsidRDefault="00BF1DE0" w:rsidP="00BF1DE0">
      <w:pPr>
        <w:spacing w:before="0" w:after="0"/>
        <w:jc w:val="center"/>
        <w:rPr>
          <w:rFonts w:cs="Calibri"/>
          <w:b/>
          <w:color w:val="244061"/>
          <w:sz w:val="44"/>
          <w:szCs w:val="44"/>
          <w:lang w:val="en-GB"/>
        </w:rPr>
      </w:pPr>
      <w:r w:rsidRPr="00BF1DE0">
        <w:rPr>
          <w:rFonts w:cs="Calibri"/>
          <w:b/>
          <w:color w:val="244061"/>
          <w:sz w:val="44"/>
          <w:szCs w:val="44"/>
          <w:lang w:val="en-GB"/>
        </w:rPr>
        <w:t>KARAKTERISTIKE DOBROG STANJA MORSKE SREDINE I CILJEV</w:t>
      </w:r>
      <w:r w:rsidR="000411CE">
        <w:rPr>
          <w:rFonts w:cs="Calibri"/>
          <w:b/>
          <w:color w:val="244061"/>
          <w:sz w:val="44"/>
          <w:szCs w:val="44"/>
          <w:lang w:val="en-GB"/>
        </w:rPr>
        <w:t>I</w:t>
      </w:r>
      <w:r w:rsidRPr="00BF1DE0">
        <w:rPr>
          <w:rFonts w:cs="Calibri"/>
          <w:b/>
          <w:color w:val="244061"/>
          <w:sz w:val="44"/>
          <w:szCs w:val="44"/>
          <w:lang w:val="en-GB"/>
        </w:rPr>
        <w:t xml:space="preserve"> ZAŠTIT</w:t>
      </w:r>
      <w:r w:rsidR="000411CE">
        <w:rPr>
          <w:rFonts w:cs="Calibri"/>
          <w:b/>
          <w:color w:val="244061"/>
          <w:sz w:val="44"/>
          <w:szCs w:val="44"/>
          <w:lang w:val="en-GB"/>
        </w:rPr>
        <w:t>E</w:t>
      </w:r>
      <w:r w:rsidRPr="00BF1DE0">
        <w:rPr>
          <w:rFonts w:cs="Calibri"/>
          <w:b/>
          <w:color w:val="244061"/>
          <w:sz w:val="44"/>
          <w:szCs w:val="44"/>
          <w:lang w:val="en-GB"/>
        </w:rPr>
        <w:t xml:space="preserve"> MORSKE SREDINE</w:t>
      </w:r>
      <w:r w:rsidR="000411CE">
        <w:rPr>
          <w:rFonts w:cs="Calibri"/>
          <w:b/>
          <w:color w:val="244061"/>
          <w:sz w:val="44"/>
          <w:szCs w:val="44"/>
          <w:lang w:val="en-GB"/>
        </w:rPr>
        <w:t xml:space="preserve"> CRNE GORE</w:t>
      </w:r>
      <w:r w:rsidRPr="00BF1DE0">
        <w:rPr>
          <w:rFonts w:cs="Calibri"/>
          <w:b/>
          <w:color w:val="244061"/>
          <w:sz w:val="44"/>
          <w:szCs w:val="44"/>
          <w:lang w:val="en-GB"/>
        </w:rPr>
        <w:t xml:space="preserve"> </w:t>
      </w:r>
    </w:p>
    <w:p w14:paraId="3240A7FB" w14:textId="77777777" w:rsidR="00BF1DE0" w:rsidRPr="00BF1DE0" w:rsidRDefault="00BF1DE0" w:rsidP="00BF1DE0">
      <w:pPr>
        <w:autoSpaceDE w:val="0"/>
        <w:autoSpaceDN w:val="0"/>
        <w:adjustRightInd w:val="0"/>
        <w:spacing w:before="0" w:after="0" w:line="240" w:lineRule="auto"/>
        <w:jc w:val="left"/>
        <w:rPr>
          <w:rFonts w:ascii="Arial" w:eastAsia="Calibri" w:hAnsi="Arial" w:cs="Arial"/>
          <w:color w:val="000000"/>
          <w:sz w:val="24"/>
          <w:lang w:val="hr-HR" w:eastAsia="en-US"/>
        </w:rPr>
      </w:pPr>
    </w:p>
    <w:p w14:paraId="517B8941" w14:textId="77777777" w:rsidR="003B307C" w:rsidRPr="001C6CCA" w:rsidRDefault="003B307C" w:rsidP="00F65CFF">
      <w:pPr>
        <w:keepNext/>
        <w:keepLines/>
        <w:pBdr>
          <w:top w:val="nil"/>
          <w:left w:val="nil"/>
          <w:bottom w:val="nil"/>
          <w:right w:val="nil"/>
          <w:between w:val="nil"/>
        </w:pBdr>
        <w:spacing w:after="0"/>
        <w:rPr>
          <w:rFonts w:cstheme="minorHAnsi"/>
          <w:b/>
          <w:color w:val="000000"/>
          <w:sz w:val="20"/>
          <w:szCs w:val="20"/>
          <w:lang w:val="en-GB"/>
        </w:rPr>
      </w:pPr>
    </w:p>
    <w:p w14:paraId="0B4D75C8" w14:textId="77777777" w:rsidR="003B307C" w:rsidRPr="001C6CCA" w:rsidRDefault="003B307C" w:rsidP="00F65CFF">
      <w:pPr>
        <w:keepNext/>
        <w:keepLines/>
        <w:pBdr>
          <w:top w:val="nil"/>
          <w:left w:val="nil"/>
          <w:bottom w:val="nil"/>
          <w:right w:val="nil"/>
          <w:between w:val="nil"/>
        </w:pBdr>
        <w:spacing w:after="0"/>
        <w:rPr>
          <w:rFonts w:cstheme="minorHAnsi"/>
          <w:b/>
          <w:color w:val="000000"/>
          <w:sz w:val="20"/>
          <w:szCs w:val="20"/>
          <w:lang w:val="en-GB"/>
        </w:rPr>
      </w:pPr>
    </w:p>
    <w:p w14:paraId="07323540" w14:textId="77777777" w:rsidR="00724A1B" w:rsidRPr="001C6CCA" w:rsidRDefault="00724A1B" w:rsidP="00F65CFF">
      <w:pPr>
        <w:spacing w:before="0" w:after="0"/>
        <w:jc w:val="left"/>
        <w:rPr>
          <w:rFonts w:cstheme="minorHAnsi"/>
          <w:b/>
          <w:color w:val="244061" w:themeColor="accent1" w:themeShade="80"/>
          <w:sz w:val="20"/>
          <w:szCs w:val="20"/>
          <w:lang w:val="en-GB"/>
        </w:rPr>
      </w:pPr>
    </w:p>
    <w:p w14:paraId="0354558C" w14:textId="77777777" w:rsidR="00724A1B" w:rsidRPr="001C6CCA" w:rsidRDefault="00724A1B" w:rsidP="00F65CFF">
      <w:pPr>
        <w:spacing w:before="0" w:after="0"/>
        <w:jc w:val="left"/>
        <w:rPr>
          <w:rFonts w:cstheme="minorHAnsi"/>
          <w:b/>
          <w:color w:val="244061" w:themeColor="accent1" w:themeShade="80"/>
          <w:sz w:val="20"/>
          <w:szCs w:val="20"/>
          <w:lang w:val="en-GB"/>
        </w:rPr>
      </w:pPr>
    </w:p>
    <w:p w14:paraId="43636DEC" w14:textId="77777777" w:rsidR="00724A1B" w:rsidRPr="001C6CCA" w:rsidRDefault="00724A1B" w:rsidP="00F65CFF">
      <w:pPr>
        <w:spacing w:before="0" w:after="0"/>
        <w:jc w:val="left"/>
        <w:rPr>
          <w:rFonts w:cstheme="minorHAnsi"/>
          <w:b/>
          <w:color w:val="244061" w:themeColor="accent1" w:themeShade="80"/>
          <w:sz w:val="20"/>
          <w:szCs w:val="20"/>
          <w:lang w:val="en-GB"/>
        </w:rPr>
      </w:pPr>
    </w:p>
    <w:p w14:paraId="78327B47" w14:textId="77777777" w:rsidR="00724A1B" w:rsidRPr="001C6CCA" w:rsidRDefault="00724A1B" w:rsidP="0078498F">
      <w:pPr>
        <w:spacing w:before="0" w:after="0"/>
        <w:jc w:val="center"/>
        <w:rPr>
          <w:rFonts w:cstheme="minorHAnsi"/>
          <w:b/>
          <w:color w:val="244061" w:themeColor="accent1" w:themeShade="80"/>
          <w:sz w:val="36"/>
          <w:szCs w:val="36"/>
          <w:lang w:val="en-GB"/>
        </w:rPr>
      </w:pPr>
    </w:p>
    <w:p w14:paraId="5EEB4CB1" w14:textId="49B44AEF" w:rsidR="00724A1B" w:rsidRPr="001C6CCA" w:rsidRDefault="003610C6" w:rsidP="0078498F">
      <w:pPr>
        <w:spacing w:before="0" w:after="0"/>
        <w:jc w:val="center"/>
        <w:rPr>
          <w:rFonts w:cstheme="minorHAnsi"/>
          <w:b/>
          <w:color w:val="244061" w:themeColor="accent1" w:themeShade="80"/>
          <w:sz w:val="40"/>
          <w:szCs w:val="40"/>
          <w:lang w:val="en-GB"/>
        </w:rPr>
      </w:pPr>
      <w:r>
        <w:rPr>
          <w:rFonts w:cstheme="minorHAnsi"/>
          <w:b/>
          <w:color w:val="244061" w:themeColor="accent1" w:themeShade="80"/>
          <w:sz w:val="40"/>
          <w:szCs w:val="40"/>
          <w:lang w:val="en-GB"/>
        </w:rPr>
        <w:t>Finalni nacrt</w:t>
      </w:r>
    </w:p>
    <w:p w14:paraId="5FFB11D0" w14:textId="3DE7383F" w:rsidR="0078498F" w:rsidRPr="001C6CCA" w:rsidRDefault="0078498F" w:rsidP="00F65CFF">
      <w:pPr>
        <w:spacing w:before="0" w:after="0"/>
        <w:jc w:val="left"/>
        <w:rPr>
          <w:rFonts w:cstheme="minorHAnsi"/>
          <w:b/>
          <w:color w:val="244061" w:themeColor="accent1" w:themeShade="80"/>
          <w:sz w:val="20"/>
          <w:szCs w:val="20"/>
          <w:lang w:val="en-GB"/>
        </w:rPr>
      </w:pPr>
    </w:p>
    <w:p w14:paraId="6A65A100" w14:textId="57DE6E37" w:rsidR="0078498F" w:rsidRPr="001C6CCA" w:rsidRDefault="0078498F" w:rsidP="00F65CFF">
      <w:pPr>
        <w:spacing w:before="0" w:after="0"/>
        <w:jc w:val="left"/>
        <w:rPr>
          <w:rFonts w:cstheme="minorHAnsi"/>
          <w:b/>
          <w:color w:val="244061" w:themeColor="accent1" w:themeShade="80"/>
          <w:sz w:val="20"/>
          <w:szCs w:val="20"/>
          <w:lang w:val="en-GB"/>
        </w:rPr>
      </w:pPr>
    </w:p>
    <w:p w14:paraId="0B371F6E" w14:textId="5CBD8491" w:rsidR="0078498F" w:rsidRPr="001C6CCA" w:rsidRDefault="0078498F" w:rsidP="00F65CFF">
      <w:pPr>
        <w:spacing w:before="0" w:after="0"/>
        <w:jc w:val="left"/>
        <w:rPr>
          <w:rFonts w:cstheme="minorHAnsi"/>
          <w:b/>
          <w:color w:val="244061" w:themeColor="accent1" w:themeShade="80"/>
          <w:sz w:val="20"/>
          <w:szCs w:val="20"/>
          <w:lang w:val="en-GB"/>
        </w:rPr>
      </w:pPr>
    </w:p>
    <w:p w14:paraId="6D93A50F" w14:textId="5430305A" w:rsidR="0078498F" w:rsidRPr="001C6CCA" w:rsidRDefault="0078498F" w:rsidP="00F65CFF">
      <w:pPr>
        <w:spacing w:before="0" w:after="0"/>
        <w:jc w:val="left"/>
        <w:rPr>
          <w:rFonts w:cstheme="minorHAnsi"/>
          <w:b/>
          <w:color w:val="244061" w:themeColor="accent1" w:themeShade="80"/>
          <w:sz w:val="20"/>
          <w:szCs w:val="20"/>
          <w:lang w:val="en-GB"/>
        </w:rPr>
      </w:pPr>
    </w:p>
    <w:p w14:paraId="57BBC8EE" w14:textId="5A18434D" w:rsidR="0078498F" w:rsidRPr="001C6CCA" w:rsidRDefault="0078498F" w:rsidP="00F65CFF">
      <w:pPr>
        <w:spacing w:before="0" w:after="0"/>
        <w:jc w:val="left"/>
        <w:rPr>
          <w:rFonts w:cstheme="minorHAnsi"/>
          <w:b/>
          <w:color w:val="244061" w:themeColor="accent1" w:themeShade="80"/>
          <w:sz w:val="20"/>
          <w:szCs w:val="20"/>
          <w:lang w:val="en-GB"/>
        </w:rPr>
      </w:pPr>
    </w:p>
    <w:p w14:paraId="6FDACFF0" w14:textId="38682AC4" w:rsidR="0078498F" w:rsidRPr="001C6CCA" w:rsidRDefault="0078498F" w:rsidP="00F65CFF">
      <w:pPr>
        <w:spacing w:before="0" w:after="0"/>
        <w:jc w:val="left"/>
        <w:rPr>
          <w:rFonts w:cstheme="minorHAnsi"/>
          <w:b/>
          <w:color w:val="244061" w:themeColor="accent1" w:themeShade="80"/>
          <w:sz w:val="20"/>
          <w:szCs w:val="20"/>
          <w:lang w:val="en-GB"/>
        </w:rPr>
      </w:pPr>
    </w:p>
    <w:p w14:paraId="0F3D6F5B" w14:textId="42E5BAD8" w:rsidR="0078498F" w:rsidRPr="001C6CCA" w:rsidRDefault="0078498F" w:rsidP="00F65CFF">
      <w:pPr>
        <w:spacing w:before="0" w:after="0"/>
        <w:jc w:val="left"/>
        <w:rPr>
          <w:rFonts w:cstheme="minorHAnsi"/>
          <w:b/>
          <w:color w:val="244061" w:themeColor="accent1" w:themeShade="80"/>
          <w:sz w:val="20"/>
          <w:szCs w:val="20"/>
          <w:lang w:val="en-GB"/>
        </w:rPr>
      </w:pPr>
    </w:p>
    <w:p w14:paraId="023DC092" w14:textId="77777777" w:rsidR="0078498F" w:rsidRPr="001C6CCA" w:rsidRDefault="0078498F" w:rsidP="00F65CFF">
      <w:pPr>
        <w:spacing w:before="0" w:after="0"/>
        <w:jc w:val="left"/>
        <w:rPr>
          <w:rFonts w:cstheme="minorHAnsi"/>
          <w:b/>
          <w:color w:val="244061" w:themeColor="accent1" w:themeShade="80"/>
          <w:sz w:val="20"/>
          <w:szCs w:val="20"/>
          <w:lang w:val="en-GB"/>
        </w:rPr>
      </w:pPr>
    </w:p>
    <w:p w14:paraId="45074565" w14:textId="77777777" w:rsidR="00724A1B" w:rsidRPr="001C6CCA" w:rsidRDefault="00724A1B" w:rsidP="00F65CFF">
      <w:pPr>
        <w:spacing w:before="0" w:after="0"/>
        <w:jc w:val="left"/>
        <w:rPr>
          <w:rFonts w:cstheme="minorHAnsi"/>
          <w:b/>
          <w:color w:val="244061" w:themeColor="accent1" w:themeShade="80"/>
          <w:sz w:val="20"/>
          <w:szCs w:val="20"/>
          <w:lang w:val="en-GB"/>
        </w:rPr>
      </w:pPr>
    </w:p>
    <w:p w14:paraId="25126655" w14:textId="77777777" w:rsidR="00724A1B" w:rsidRPr="001C6CCA" w:rsidRDefault="00724A1B" w:rsidP="00F65CFF">
      <w:pPr>
        <w:spacing w:before="0" w:after="0"/>
        <w:jc w:val="left"/>
        <w:rPr>
          <w:rFonts w:cstheme="minorHAnsi"/>
          <w:b/>
          <w:color w:val="244061" w:themeColor="accent1" w:themeShade="80"/>
          <w:sz w:val="20"/>
          <w:szCs w:val="20"/>
          <w:lang w:val="en-GB"/>
        </w:rPr>
      </w:pPr>
    </w:p>
    <w:p w14:paraId="6C3807E9" w14:textId="77777777" w:rsidR="00724A1B" w:rsidRPr="001C6CCA" w:rsidRDefault="00724A1B" w:rsidP="00F65CFF">
      <w:pPr>
        <w:spacing w:before="0" w:after="0"/>
        <w:jc w:val="left"/>
        <w:rPr>
          <w:rFonts w:cstheme="minorHAnsi"/>
          <w:b/>
          <w:color w:val="244061" w:themeColor="accent1" w:themeShade="80"/>
          <w:sz w:val="20"/>
          <w:szCs w:val="20"/>
          <w:lang w:val="en-GB"/>
        </w:rPr>
      </w:pPr>
    </w:p>
    <w:p w14:paraId="03FD54A5" w14:textId="56B96E93" w:rsidR="0067722A" w:rsidRPr="001C6CCA" w:rsidRDefault="00E20486" w:rsidP="00E20486">
      <w:pPr>
        <w:pStyle w:val="Titleproject"/>
        <w:spacing w:after="0"/>
        <w:rPr>
          <w:rFonts w:ascii="Calibri" w:hAnsi="Calibri"/>
          <w:lang w:eastAsia="ja-JP"/>
        </w:rPr>
      </w:pPr>
      <w:r w:rsidRPr="001C6CCA">
        <w:rPr>
          <w:rFonts w:ascii="Calibri" w:hAnsi="Calibri"/>
          <w:lang w:eastAsia="ja-JP"/>
        </w:rPr>
        <w:t>A</w:t>
      </w:r>
      <w:r w:rsidR="00323A75">
        <w:rPr>
          <w:rFonts w:ascii="Calibri" w:hAnsi="Calibri"/>
          <w:lang w:eastAsia="ja-JP"/>
        </w:rPr>
        <w:t>pril</w:t>
      </w:r>
      <w:r w:rsidRPr="001C6CCA">
        <w:rPr>
          <w:rFonts w:ascii="Calibri" w:hAnsi="Calibri"/>
          <w:lang w:eastAsia="ja-JP"/>
        </w:rPr>
        <w:t>, 2021</w:t>
      </w:r>
    </w:p>
    <w:p w14:paraId="6FE51D25" w14:textId="28A4F5B1" w:rsidR="00E20486" w:rsidRPr="001C6CCA" w:rsidRDefault="00E20486" w:rsidP="00E20486">
      <w:pPr>
        <w:pStyle w:val="Titleproject"/>
        <w:spacing w:after="0"/>
        <w:jc w:val="both"/>
        <w:rPr>
          <w:rFonts w:ascii="Calibri" w:hAnsi="Calibri"/>
          <w:sz w:val="28"/>
          <w:szCs w:val="28"/>
          <w:lang w:eastAsia="ja-JP"/>
        </w:rPr>
        <w:sectPr w:rsidR="00E20486" w:rsidRPr="001C6CCA" w:rsidSect="0067722A">
          <w:headerReference w:type="even" r:id="rId9"/>
          <w:headerReference w:type="default" r:id="rId10"/>
          <w:footerReference w:type="even" r:id="rId11"/>
          <w:footerReference w:type="default" r:id="rId12"/>
          <w:pgSz w:w="11911" w:h="16832"/>
          <w:pgMar w:top="1418" w:right="1418" w:bottom="1418" w:left="1418" w:header="425" w:footer="720" w:gutter="0"/>
          <w:pgBorders>
            <w:top w:val="none" w:sz="0" w:space="0" w:color="000000"/>
            <w:left w:val="none" w:sz="0" w:space="0" w:color="000000"/>
            <w:bottom w:val="none" w:sz="0" w:space="0" w:color="000000"/>
            <w:right w:val="none" w:sz="0" w:space="0" w:color="000000"/>
          </w:pgBorders>
          <w:pgNumType w:start="1"/>
          <w:cols w:space="720"/>
          <w:docGrid w:linePitch="299"/>
        </w:sectPr>
      </w:pPr>
    </w:p>
    <w:p w14:paraId="5F8D946C" w14:textId="0FC0BB7B" w:rsidR="0011263C" w:rsidRPr="001C6CCA" w:rsidRDefault="0011263C" w:rsidP="00F65CFF">
      <w:pPr>
        <w:spacing w:after="0"/>
        <w:rPr>
          <w:sz w:val="20"/>
          <w:szCs w:val="20"/>
          <w:lang w:val="en-GB"/>
        </w:rPr>
      </w:pPr>
    </w:p>
    <w:p w14:paraId="31A126CB" w14:textId="78ED09C8" w:rsidR="000B5F2F" w:rsidRPr="001C6CCA" w:rsidRDefault="00CF7E4B" w:rsidP="00F65CFF">
      <w:pPr>
        <w:pStyle w:val="Documentgeneraltitle"/>
        <w:spacing w:after="0"/>
        <w:rPr>
          <w:rStyle w:val="Strong"/>
          <w:b/>
          <w:bCs/>
          <w:sz w:val="20"/>
          <w:szCs w:val="20"/>
        </w:rPr>
      </w:pPr>
      <w:bookmarkStart w:id="1" w:name="_Toc83630885"/>
      <w:r w:rsidRPr="00CF7E4B">
        <w:rPr>
          <w:rStyle w:val="Strong"/>
          <w:b/>
          <w:bCs/>
          <w:sz w:val="20"/>
          <w:szCs w:val="20"/>
        </w:rPr>
        <w:t>KONTROLNI LIST DOKUMENTA</w:t>
      </w:r>
      <w:bookmarkEnd w:id="1"/>
    </w:p>
    <w:p w14:paraId="0E5A0055" w14:textId="77777777" w:rsidR="000B5F2F" w:rsidRPr="001C6CCA" w:rsidRDefault="000B5F2F" w:rsidP="00F65CFF">
      <w:pPr>
        <w:spacing w:after="0"/>
        <w:rPr>
          <w:sz w:val="20"/>
          <w:szCs w:val="20"/>
          <w:lang w:val="en-GB"/>
        </w:rPr>
      </w:pPr>
    </w:p>
    <w:p w14:paraId="004A5B1C" w14:textId="794C3FB1" w:rsidR="00F05468" w:rsidRPr="00CF7E4B" w:rsidRDefault="00CF7E4B" w:rsidP="00F65CFF">
      <w:pPr>
        <w:tabs>
          <w:tab w:val="left" w:pos="2127"/>
        </w:tabs>
        <w:spacing w:after="0"/>
        <w:ind w:left="2127" w:hanging="2127"/>
        <w:rPr>
          <w:rFonts w:cs="Arial"/>
          <w:b/>
          <w:sz w:val="20"/>
          <w:szCs w:val="20"/>
          <w:lang w:val="en-GB"/>
        </w:rPr>
      </w:pPr>
      <w:r w:rsidRPr="00CF7E4B">
        <w:rPr>
          <w:rFonts w:cs="Arial"/>
          <w:sz w:val="20"/>
          <w:szCs w:val="20"/>
          <w:lang w:val="en-GB"/>
        </w:rPr>
        <w:t>Naziv dokumenta</w:t>
      </w:r>
      <w:r w:rsidR="00F05468" w:rsidRPr="00CF7E4B">
        <w:rPr>
          <w:rFonts w:cs="Arial"/>
          <w:sz w:val="20"/>
          <w:szCs w:val="20"/>
          <w:lang w:val="en-GB"/>
        </w:rPr>
        <w:t>:</w:t>
      </w:r>
      <w:r w:rsidR="00F05468" w:rsidRPr="00CF7E4B">
        <w:rPr>
          <w:rFonts w:cs="Arial"/>
          <w:sz w:val="20"/>
          <w:szCs w:val="20"/>
          <w:lang w:val="en-GB"/>
        </w:rPr>
        <w:tab/>
      </w:r>
      <w:r w:rsidR="000411CE" w:rsidRPr="000411CE">
        <w:rPr>
          <w:rFonts w:cs="Arial"/>
          <w:sz w:val="20"/>
          <w:szCs w:val="20"/>
          <w:lang w:val="en-GB"/>
        </w:rPr>
        <w:t>KARAKTERISTIKE DOBROG STANJA MORSKE SREDINE I CILJEVI ZAŠTITE MORSKE SREDINE CRNE GORE</w:t>
      </w:r>
    </w:p>
    <w:p w14:paraId="73EF1604" w14:textId="77777777" w:rsidR="00CF7E4B" w:rsidRPr="00CF7E4B" w:rsidRDefault="00CF7E4B" w:rsidP="00CF7E4B">
      <w:pPr>
        <w:tabs>
          <w:tab w:val="left" w:pos="2127"/>
        </w:tabs>
        <w:ind w:left="2127" w:hanging="2127"/>
        <w:rPr>
          <w:rFonts w:cs="Arial"/>
          <w:sz w:val="20"/>
          <w:szCs w:val="20"/>
          <w:lang w:val="sq-AL"/>
        </w:rPr>
      </w:pPr>
      <w:r w:rsidRPr="00CF7E4B">
        <w:rPr>
          <w:rFonts w:cs="Arial"/>
          <w:sz w:val="20"/>
          <w:szCs w:val="20"/>
          <w:lang w:val="sq-AL"/>
        </w:rPr>
        <w:t xml:space="preserve">Projekat: </w:t>
      </w:r>
      <w:r w:rsidRPr="00CF7E4B">
        <w:rPr>
          <w:rFonts w:cs="Arial"/>
          <w:sz w:val="20"/>
          <w:szCs w:val="20"/>
          <w:lang w:val="sq-AL"/>
        </w:rPr>
        <w:tab/>
      </w:r>
      <w:r w:rsidRPr="00CF7E4B">
        <w:rPr>
          <w:rFonts w:cs="Arial"/>
          <w:b/>
          <w:sz w:val="20"/>
          <w:szCs w:val="20"/>
          <w:lang w:val="sq-AL"/>
        </w:rPr>
        <w:t>PODRŠKA IMPLEMENTACIJI I MONITORINGU UPRAVLJANJA VODAMA U CRNOJ GORI</w:t>
      </w:r>
    </w:p>
    <w:p w14:paraId="362C8AD8" w14:textId="77777777" w:rsidR="00CF7E4B" w:rsidRPr="00CF7E4B" w:rsidRDefault="00CF7E4B" w:rsidP="00CF7E4B">
      <w:pPr>
        <w:tabs>
          <w:tab w:val="left" w:pos="2127"/>
        </w:tabs>
        <w:ind w:left="2127" w:hanging="2127"/>
        <w:jc w:val="left"/>
        <w:rPr>
          <w:rFonts w:cs="Arial"/>
          <w:sz w:val="20"/>
          <w:szCs w:val="20"/>
          <w:lang w:val="sq-AL"/>
        </w:rPr>
      </w:pPr>
      <w:r w:rsidRPr="00CF7E4B">
        <w:rPr>
          <w:rFonts w:cs="Arial"/>
          <w:sz w:val="20"/>
          <w:szCs w:val="20"/>
          <w:lang w:val="sq-AL"/>
        </w:rPr>
        <w:t>Ugovor:</w:t>
      </w:r>
      <w:r w:rsidRPr="00CF7E4B">
        <w:rPr>
          <w:rFonts w:cs="Arial"/>
          <w:sz w:val="20"/>
          <w:szCs w:val="20"/>
          <w:lang w:val="sq-AL"/>
        </w:rPr>
        <w:tab/>
        <w:t>EuropeAid/139429/IH/SER/ME</w:t>
      </w:r>
      <w:r w:rsidRPr="00CF7E4B">
        <w:rPr>
          <w:rFonts w:cs="Arial"/>
          <w:sz w:val="20"/>
          <w:szCs w:val="20"/>
          <w:lang w:val="sq-AL"/>
        </w:rPr>
        <w:br/>
        <w:t>Ugovor br. PWA/MNE/IPAII/CAP16/SER/01-7497-1</w:t>
      </w:r>
    </w:p>
    <w:p w14:paraId="6705DF35" w14:textId="77777777" w:rsidR="00CF7E4B" w:rsidRPr="00CF7E4B" w:rsidRDefault="00CF7E4B" w:rsidP="00CF7E4B">
      <w:pPr>
        <w:tabs>
          <w:tab w:val="left" w:pos="2127"/>
        </w:tabs>
        <w:ind w:left="2127" w:hanging="2127"/>
        <w:rPr>
          <w:rFonts w:cs="Arial"/>
          <w:sz w:val="20"/>
          <w:szCs w:val="20"/>
          <w:lang w:val="sq-AL"/>
        </w:rPr>
      </w:pPr>
      <w:r w:rsidRPr="00CF7E4B">
        <w:rPr>
          <w:rFonts w:cs="Arial"/>
          <w:sz w:val="20"/>
          <w:szCs w:val="20"/>
          <w:lang w:val="sq-AL"/>
        </w:rPr>
        <w:t xml:space="preserve">Klijent: </w:t>
      </w:r>
      <w:r w:rsidRPr="00CF7E4B">
        <w:rPr>
          <w:rFonts w:cs="Arial"/>
          <w:sz w:val="20"/>
          <w:szCs w:val="20"/>
          <w:lang w:val="sq-AL"/>
        </w:rPr>
        <w:tab/>
        <w:t>Uprava javnih radova Crne Gore</w:t>
      </w:r>
    </w:p>
    <w:p w14:paraId="23E50A89" w14:textId="77777777" w:rsidR="00CF7E4B" w:rsidRPr="00CF7E4B" w:rsidRDefault="00CF7E4B" w:rsidP="00CF7E4B">
      <w:pPr>
        <w:tabs>
          <w:tab w:val="left" w:pos="2127"/>
        </w:tabs>
        <w:spacing w:after="0" w:line="360" w:lineRule="auto"/>
        <w:ind w:left="2127" w:hanging="2127"/>
        <w:rPr>
          <w:rStyle w:val="Hyperlink"/>
          <w:sz w:val="20"/>
          <w:szCs w:val="20"/>
          <w:lang w:val="sq-AL"/>
        </w:rPr>
      </w:pPr>
      <w:r w:rsidRPr="00CF7E4B">
        <w:rPr>
          <w:rFonts w:cs="Arial"/>
          <w:sz w:val="20"/>
          <w:szCs w:val="20"/>
          <w:lang w:val="sq-AL"/>
        </w:rPr>
        <w:t>Ugovarač:</w:t>
      </w:r>
      <w:r w:rsidRPr="00CF7E4B">
        <w:rPr>
          <w:rFonts w:cs="Arial"/>
          <w:sz w:val="20"/>
          <w:szCs w:val="20"/>
          <w:lang w:val="sq-AL"/>
        </w:rPr>
        <w:tab/>
        <w:t>Konzorcijum koji vodi EPTISA Southeast Europe d.o.o.</w:t>
      </w:r>
    </w:p>
    <w:p w14:paraId="64385179" w14:textId="7CA0BE95" w:rsidR="00F05468" w:rsidRPr="001C6CCA" w:rsidRDefault="00F05468" w:rsidP="00F65CFF">
      <w:pPr>
        <w:tabs>
          <w:tab w:val="left" w:pos="2127"/>
        </w:tabs>
        <w:spacing w:after="0" w:line="360" w:lineRule="auto"/>
        <w:ind w:left="2127" w:hanging="2127"/>
        <w:rPr>
          <w:rStyle w:val="Hyperlink"/>
          <w:sz w:val="20"/>
          <w:szCs w:val="20"/>
          <w:lang w:val="en-GB"/>
        </w:rPr>
      </w:pPr>
    </w:p>
    <w:p w14:paraId="0F3D9961" w14:textId="77777777" w:rsidR="00E20486" w:rsidRPr="001C6CCA" w:rsidRDefault="00E20486" w:rsidP="003610C6">
      <w:pPr>
        <w:tabs>
          <w:tab w:val="left" w:pos="2127"/>
        </w:tabs>
        <w:spacing w:after="0" w:line="360" w:lineRule="auto"/>
        <w:rPr>
          <w:rStyle w:val="Hyperlink"/>
          <w:sz w:val="20"/>
          <w:szCs w:val="20"/>
          <w:lang w:val="en-GB"/>
        </w:rPr>
      </w:pPr>
    </w:p>
    <w:p w14:paraId="561F0280" w14:textId="77777777" w:rsidR="005809B5" w:rsidRPr="001C6CCA" w:rsidRDefault="005809B5" w:rsidP="00F65CFF">
      <w:pPr>
        <w:spacing w:after="0"/>
        <w:rPr>
          <w:sz w:val="20"/>
          <w:szCs w:val="20"/>
          <w:lang w:val="en-GB"/>
        </w:rPr>
      </w:pPr>
    </w:p>
    <w:tbl>
      <w:tblPr>
        <w:tblW w:w="4999" w:type="pct"/>
        <w:jc w:val="center"/>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0A0" w:firstRow="1" w:lastRow="0" w:firstColumn="1" w:lastColumn="0" w:noHBand="0" w:noVBand="0"/>
      </w:tblPr>
      <w:tblGrid>
        <w:gridCol w:w="2731"/>
        <w:gridCol w:w="3222"/>
        <w:gridCol w:w="3056"/>
      </w:tblGrid>
      <w:tr w:rsidR="00CF7E4B" w:rsidRPr="001C6CCA" w14:paraId="1092AE70" w14:textId="77777777" w:rsidTr="00CF7E4B">
        <w:trPr>
          <w:trHeight w:val="435"/>
          <w:jc w:val="center"/>
        </w:trPr>
        <w:tc>
          <w:tcPr>
            <w:tcW w:w="1516" w:type="pct"/>
            <w:tcBorders>
              <w:top w:val="single" w:sz="12" w:space="0" w:color="FFFFFF"/>
              <w:left w:val="single" w:sz="12" w:space="0" w:color="FFFFFF"/>
              <w:bottom w:val="single" w:sz="4" w:space="0" w:color="auto"/>
              <w:right w:val="single" w:sz="4" w:space="0" w:color="auto"/>
            </w:tcBorders>
            <w:vAlign w:val="center"/>
          </w:tcPr>
          <w:p w14:paraId="7FBBCB15" w14:textId="77777777" w:rsidR="00CF7E4B" w:rsidRPr="001C6CCA" w:rsidRDefault="00CF7E4B" w:rsidP="00CF7E4B">
            <w:pPr>
              <w:spacing w:after="0" w:line="256" w:lineRule="auto"/>
              <w:ind w:left="1134"/>
              <w:rPr>
                <w:rFonts w:cs="Arial"/>
                <w:sz w:val="20"/>
                <w:szCs w:val="20"/>
                <w:lang w:val="en-GB" w:eastAsia="en-US"/>
              </w:rPr>
            </w:pPr>
          </w:p>
        </w:tc>
        <w:tc>
          <w:tcPr>
            <w:tcW w:w="178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26AF1A4" w14:textId="53EE1658" w:rsidR="00CF7E4B" w:rsidRPr="001C6CCA" w:rsidRDefault="00CF7E4B" w:rsidP="00CF7E4B">
            <w:pPr>
              <w:spacing w:after="0" w:line="256" w:lineRule="auto"/>
              <w:jc w:val="center"/>
              <w:rPr>
                <w:rFonts w:cs="Arial"/>
                <w:b/>
                <w:sz w:val="20"/>
                <w:szCs w:val="20"/>
                <w:lang w:val="en-GB" w:eastAsia="en-US"/>
              </w:rPr>
            </w:pPr>
            <w:r w:rsidRPr="00321870">
              <w:rPr>
                <w:rFonts w:cs="Arial"/>
                <w:b/>
                <w:lang w:val="sq-AL"/>
              </w:rPr>
              <w:t>Pripremljen od strane:</w:t>
            </w:r>
          </w:p>
        </w:tc>
        <w:tc>
          <w:tcPr>
            <w:tcW w:w="169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BC51AF0" w14:textId="67D699DA" w:rsidR="00CF7E4B" w:rsidRPr="001C6CCA" w:rsidRDefault="00CF7E4B" w:rsidP="00CF7E4B">
            <w:pPr>
              <w:spacing w:after="0" w:line="256" w:lineRule="auto"/>
              <w:jc w:val="center"/>
              <w:rPr>
                <w:rFonts w:cs="Arial"/>
                <w:b/>
                <w:sz w:val="20"/>
                <w:szCs w:val="20"/>
                <w:lang w:val="en-GB" w:eastAsia="en-US"/>
              </w:rPr>
            </w:pPr>
            <w:r w:rsidRPr="00321870">
              <w:rPr>
                <w:rFonts w:cs="Arial"/>
                <w:b/>
                <w:lang w:val="sq-AL"/>
              </w:rPr>
              <w:t>Pregledan od strane:</w:t>
            </w:r>
          </w:p>
        </w:tc>
      </w:tr>
      <w:tr w:rsidR="00CF7E4B" w:rsidRPr="001C6CCA" w14:paraId="3CEF2A7A" w14:textId="77777777" w:rsidTr="00CF7E4B">
        <w:trPr>
          <w:trHeight w:val="734"/>
          <w:jc w:val="center"/>
        </w:trPr>
        <w:tc>
          <w:tcPr>
            <w:tcW w:w="151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9E9FDD9" w14:textId="71D30EF3" w:rsidR="00CF7E4B" w:rsidRPr="001C6CCA" w:rsidRDefault="00CF7E4B" w:rsidP="00CF7E4B">
            <w:pPr>
              <w:spacing w:after="0" w:line="256" w:lineRule="auto"/>
              <w:rPr>
                <w:rFonts w:cs="Arial"/>
                <w:b/>
                <w:sz w:val="20"/>
                <w:szCs w:val="20"/>
                <w:lang w:val="en-GB" w:eastAsia="en-US"/>
              </w:rPr>
            </w:pPr>
            <w:r w:rsidRPr="00321870">
              <w:rPr>
                <w:rFonts w:cs="Arial"/>
                <w:b/>
                <w:lang w:val="sq-AL"/>
              </w:rPr>
              <w:t>Potpis</w:t>
            </w:r>
          </w:p>
        </w:tc>
        <w:tc>
          <w:tcPr>
            <w:tcW w:w="1788" w:type="pct"/>
            <w:tcBorders>
              <w:top w:val="single" w:sz="4" w:space="0" w:color="auto"/>
              <w:left w:val="single" w:sz="4" w:space="0" w:color="auto"/>
              <w:bottom w:val="single" w:sz="4" w:space="0" w:color="auto"/>
              <w:right w:val="single" w:sz="4" w:space="0" w:color="auto"/>
            </w:tcBorders>
            <w:vAlign w:val="center"/>
          </w:tcPr>
          <w:p w14:paraId="70BC3323" w14:textId="4F2EC37E" w:rsidR="00CF7E4B" w:rsidRPr="001C6CCA" w:rsidRDefault="00CF7E4B" w:rsidP="003610C6">
            <w:pPr>
              <w:spacing w:after="0" w:line="256" w:lineRule="auto"/>
              <w:jc w:val="center"/>
              <w:rPr>
                <w:rFonts w:cs="Arial"/>
                <w:sz w:val="20"/>
                <w:szCs w:val="20"/>
                <w:lang w:val="en-GB" w:eastAsia="en-US"/>
              </w:rPr>
            </w:pPr>
            <w:r>
              <w:rPr>
                <w:rFonts w:cs="Arial"/>
                <w:sz w:val="20"/>
                <w:szCs w:val="20"/>
                <w:lang w:val="en-GB" w:eastAsia="en-US"/>
              </w:rPr>
              <w:t>Nada Krstulovic</w:t>
            </w:r>
          </w:p>
        </w:tc>
        <w:tc>
          <w:tcPr>
            <w:tcW w:w="1696" w:type="pct"/>
            <w:tcBorders>
              <w:top w:val="single" w:sz="4" w:space="0" w:color="auto"/>
              <w:left w:val="single" w:sz="4" w:space="0" w:color="auto"/>
              <w:bottom w:val="single" w:sz="4" w:space="0" w:color="auto"/>
              <w:right w:val="single" w:sz="4" w:space="0" w:color="auto"/>
            </w:tcBorders>
            <w:vAlign w:val="center"/>
          </w:tcPr>
          <w:p w14:paraId="7F02C697" w14:textId="4BF506F8" w:rsidR="00CF7E4B" w:rsidRPr="001C6CCA" w:rsidRDefault="00CF7E4B" w:rsidP="003610C6">
            <w:pPr>
              <w:spacing w:after="0" w:line="256" w:lineRule="auto"/>
              <w:jc w:val="center"/>
              <w:rPr>
                <w:rFonts w:cs="Arial"/>
                <w:sz w:val="20"/>
                <w:szCs w:val="20"/>
                <w:lang w:val="en-GB" w:eastAsia="en-US"/>
              </w:rPr>
            </w:pPr>
            <w:r>
              <w:rPr>
                <w:rFonts w:cs="Arial"/>
                <w:sz w:val="20"/>
                <w:szCs w:val="20"/>
                <w:lang w:val="en-GB" w:eastAsia="en-US"/>
              </w:rPr>
              <w:t>Patrick Reynolds</w:t>
            </w:r>
          </w:p>
        </w:tc>
      </w:tr>
      <w:tr w:rsidR="00CF7E4B" w:rsidRPr="001C6CCA" w14:paraId="24B145E6" w14:textId="77777777" w:rsidTr="00CF7E4B">
        <w:trPr>
          <w:trHeight w:val="700"/>
          <w:jc w:val="center"/>
        </w:trPr>
        <w:tc>
          <w:tcPr>
            <w:tcW w:w="151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E3D62E3" w14:textId="73004A42" w:rsidR="00CF7E4B" w:rsidRPr="001C6CCA" w:rsidRDefault="00CF7E4B" w:rsidP="00CF7E4B">
            <w:pPr>
              <w:spacing w:after="0" w:line="256" w:lineRule="auto"/>
              <w:rPr>
                <w:rFonts w:cs="Arial"/>
                <w:b/>
                <w:sz w:val="20"/>
                <w:szCs w:val="20"/>
                <w:lang w:val="en-GB" w:eastAsia="en-US"/>
              </w:rPr>
            </w:pPr>
            <w:r w:rsidRPr="00321870">
              <w:rPr>
                <w:rFonts w:cs="Arial"/>
                <w:b/>
                <w:lang w:val="sq-AL"/>
              </w:rPr>
              <w:t>Datum</w:t>
            </w:r>
          </w:p>
        </w:tc>
        <w:tc>
          <w:tcPr>
            <w:tcW w:w="1788" w:type="pct"/>
            <w:tcBorders>
              <w:top w:val="single" w:sz="4" w:space="0" w:color="auto"/>
              <w:left w:val="single" w:sz="4" w:space="0" w:color="auto"/>
              <w:bottom w:val="single" w:sz="4" w:space="0" w:color="auto"/>
              <w:right w:val="single" w:sz="4" w:space="0" w:color="auto"/>
            </w:tcBorders>
            <w:vAlign w:val="center"/>
            <w:hideMark/>
          </w:tcPr>
          <w:p w14:paraId="54076CC4" w14:textId="7F97AB56" w:rsidR="00CF7E4B" w:rsidRPr="003610C6" w:rsidRDefault="003610C6" w:rsidP="003610C6">
            <w:pPr>
              <w:spacing w:after="0" w:line="256" w:lineRule="auto"/>
              <w:jc w:val="center"/>
              <w:rPr>
                <w:rFonts w:cs="Arial"/>
                <w:sz w:val="20"/>
                <w:szCs w:val="20"/>
                <w:lang w:val="en-GB" w:eastAsia="en-US"/>
              </w:rPr>
            </w:pPr>
            <w:r w:rsidRPr="003610C6">
              <w:rPr>
                <w:rFonts w:cs="Arial"/>
                <w:sz w:val="20"/>
                <w:szCs w:val="20"/>
                <w:lang w:val="en-GB" w:eastAsia="en-US"/>
              </w:rPr>
              <w:t>April 2021</w:t>
            </w:r>
          </w:p>
        </w:tc>
        <w:tc>
          <w:tcPr>
            <w:tcW w:w="1696" w:type="pct"/>
            <w:tcBorders>
              <w:top w:val="single" w:sz="4" w:space="0" w:color="auto"/>
              <w:left w:val="single" w:sz="4" w:space="0" w:color="auto"/>
              <w:bottom w:val="single" w:sz="4" w:space="0" w:color="auto"/>
              <w:right w:val="single" w:sz="4" w:space="0" w:color="auto"/>
            </w:tcBorders>
            <w:vAlign w:val="center"/>
            <w:hideMark/>
          </w:tcPr>
          <w:p w14:paraId="3BE46DED" w14:textId="503A4163" w:rsidR="00CF7E4B" w:rsidRPr="003610C6" w:rsidRDefault="003610C6" w:rsidP="003610C6">
            <w:pPr>
              <w:spacing w:after="0" w:line="256" w:lineRule="auto"/>
              <w:jc w:val="center"/>
              <w:rPr>
                <w:rFonts w:cs="Arial"/>
                <w:sz w:val="20"/>
                <w:szCs w:val="20"/>
                <w:lang w:val="en-GB" w:eastAsia="en-US"/>
              </w:rPr>
            </w:pPr>
            <w:r w:rsidRPr="003610C6">
              <w:rPr>
                <w:rFonts w:cs="Arial"/>
                <w:sz w:val="20"/>
                <w:szCs w:val="20"/>
                <w:lang w:val="en-GB" w:eastAsia="en-US"/>
              </w:rPr>
              <w:t>April 2021</w:t>
            </w:r>
          </w:p>
        </w:tc>
      </w:tr>
    </w:tbl>
    <w:p w14:paraId="0496E47E" w14:textId="77777777" w:rsidR="00F05468" w:rsidRPr="001C6CCA" w:rsidRDefault="00F05468" w:rsidP="00F65CFF">
      <w:pPr>
        <w:spacing w:after="0"/>
        <w:rPr>
          <w:sz w:val="20"/>
          <w:szCs w:val="20"/>
          <w:lang w:val="en-GB"/>
        </w:rPr>
      </w:pPr>
    </w:p>
    <w:p w14:paraId="7F8D93EE" w14:textId="77777777" w:rsidR="003610C6" w:rsidRPr="007D0CCD" w:rsidRDefault="003610C6" w:rsidP="003610C6"/>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2009"/>
        <w:gridCol w:w="5812"/>
      </w:tblGrid>
      <w:tr w:rsidR="003610C6" w:rsidRPr="00F83A8E" w14:paraId="439BAD7D" w14:textId="77777777" w:rsidTr="003610C6">
        <w:tc>
          <w:tcPr>
            <w:tcW w:w="1501" w:type="dxa"/>
            <w:tcBorders>
              <w:bottom w:val="single" w:sz="4" w:space="0" w:color="auto"/>
            </w:tcBorders>
            <w:shd w:val="clear" w:color="auto" w:fill="C6D9F1"/>
            <w:vAlign w:val="bottom"/>
          </w:tcPr>
          <w:p w14:paraId="75711FAC" w14:textId="77777777" w:rsidR="003610C6" w:rsidRPr="00F96B73" w:rsidRDefault="003610C6" w:rsidP="006E7A44">
            <w:pPr>
              <w:jc w:val="center"/>
              <w:rPr>
                <w:rFonts w:eastAsia="Calibri"/>
                <w:b/>
                <w:szCs w:val="22"/>
                <w:lang w:val="en-GB"/>
              </w:rPr>
            </w:pPr>
            <w:r>
              <w:rPr>
                <w:rFonts w:eastAsia="Calibri"/>
                <w:b/>
                <w:szCs w:val="22"/>
                <w:lang w:val="en-GB"/>
              </w:rPr>
              <w:t>Istorija dokumenta</w:t>
            </w:r>
          </w:p>
        </w:tc>
        <w:tc>
          <w:tcPr>
            <w:tcW w:w="2009" w:type="dxa"/>
            <w:tcBorders>
              <w:bottom w:val="single" w:sz="4" w:space="0" w:color="auto"/>
            </w:tcBorders>
            <w:shd w:val="clear" w:color="auto" w:fill="C6D9F1"/>
            <w:vAlign w:val="bottom"/>
          </w:tcPr>
          <w:p w14:paraId="0FD90066" w14:textId="77777777" w:rsidR="003610C6" w:rsidRPr="00F96B73" w:rsidRDefault="003610C6" w:rsidP="006E7A44">
            <w:pPr>
              <w:jc w:val="center"/>
              <w:rPr>
                <w:rFonts w:eastAsia="Calibri"/>
                <w:b/>
                <w:szCs w:val="22"/>
                <w:lang w:val="en-GB"/>
              </w:rPr>
            </w:pPr>
            <w:r w:rsidRPr="00F96B73">
              <w:rPr>
                <w:rFonts w:eastAsia="Calibri"/>
                <w:b/>
                <w:szCs w:val="22"/>
                <w:lang w:val="en-GB"/>
              </w:rPr>
              <w:t>Dat</w:t>
            </w:r>
            <w:r>
              <w:rPr>
                <w:rFonts w:eastAsia="Calibri"/>
                <w:b/>
                <w:szCs w:val="22"/>
                <w:lang w:val="en-GB"/>
              </w:rPr>
              <w:t>um</w:t>
            </w:r>
          </w:p>
        </w:tc>
        <w:tc>
          <w:tcPr>
            <w:tcW w:w="5812" w:type="dxa"/>
            <w:tcBorders>
              <w:bottom w:val="single" w:sz="4" w:space="0" w:color="auto"/>
            </w:tcBorders>
            <w:shd w:val="clear" w:color="auto" w:fill="C6D9F1"/>
            <w:vAlign w:val="bottom"/>
          </w:tcPr>
          <w:p w14:paraId="12F106B9" w14:textId="77777777" w:rsidR="003610C6" w:rsidRPr="00F96B73" w:rsidRDefault="003610C6" w:rsidP="006E7A44">
            <w:pPr>
              <w:jc w:val="center"/>
              <w:rPr>
                <w:rFonts w:eastAsia="Calibri"/>
                <w:b/>
                <w:szCs w:val="22"/>
                <w:lang w:val="en-GB"/>
              </w:rPr>
            </w:pPr>
            <w:r>
              <w:rPr>
                <w:rFonts w:eastAsia="Calibri"/>
                <w:b/>
                <w:szCs w:val="22"/>
                <w:lang w:val="en-GB"/>
              </w:rPr>
              <w:t>Komentar</w:t>
            </w:r>
          </w:p>
        </w:tc>
      </w:tr>
      <w:tr w:rsidR="003610C6" w:rsidRPr="00F83A8E" w14:paraId="02AD2A31" w14:textId="77777777" w:rsidTr="006E7A44">
        <w:trPr>
          <w:trHeight w:val="390"/>
        </w:trPr>
        <w:tc>
          <w:tcPr>
            <w:tcW w:w="1501" w:type="dxa"/>
            <w:shd w:val="clear" w:color="auto" w:fill="auto"/>
          </w:tcPr>
          <w:p w14:paraId="465B7CC9" w14:textId="50D700D8" w:rsidR="003610C6" w:rsidRPr="00F96B73" w:rsidRDefault="003610C6" w:rsidP="006E7A44">
            <w:pPr>
              <w:jc w:val="center"/>
              <w:rPr>
                <w:rFonts w:eastAsia="Calibri"/>
                <w:szCs w:val="22"/>
                <w:lang w:val="en-GB"/>
              </w:rPr>
            </w:pPr>
            <w:r>
              <w:rPr>
                <w:rFonts w:eastAsia="Calibri"/>
                <w:szCs w:val="22"/>
                <w:lang w:val="en-GB"/>
              </w:rPr>
              <w:t>Nacrt  1</w:t>
            </w:r>
          </w:p>
        </w:tc>
        <w:tc>
          <w:tcPr>
            <w:tcW w:w="2009" w:type="dxa"/>
            <w:shd w:val="clear" w:color="auto" w:fill="auto"/>
          </w:tcPr>
          <w:p w14:paraId="3ECF05D5" w14:textId="5C13B9F3" w:rsidR="003610C6" w:rsidRPr="00F96B73" w:rsidRDefault="003610C6" w:rsidP="006E7A44">
            <w:pPr>
              <w:jc w:val="center"/>
              <w:rPr>
                <w:rFonts w:eastAsia="Calibri"/>
                <w:szCs w:val="22"/>
                <w:lang w:val="en-GB"/>
              </w:rPr>
            </w:pPr>
            <w:r>
              <w:rPr>
                <w:rFonts w:eastAsia="Calibri"/>
                <w:szCs w:val="22"/>
                <w:lang w:val="en-GB"/>
              </w:rPr>
              <w:t>April 2021</w:t>
            </w:r>
          </w:p>
        </w:tc>
        <w:tc>
          <w:tcPr>
            <w:tcW w:w="5812" w:type="dxa"/>
          </w:tcPr>
          <w:p w14:paraId="271F9BEA" w14:textId="77777777" w:rsidR="003610C6" w:rsidRPr="00F96B73" w:rsidRDefault="003610C6" w:rsidP="006E7A44">
            <w:pPr>
              <w:jc w:val="left"/>
              <w:rPr>
                <w:rFonts w:eastAsia="Calibri"/>
                <w:szCs w:val="22"/>
                <w:lang w:val="en-GB"/>
              </w:rPr>
            </w:pPr>
            <w:r w:rsidRPr="00C95CC6">
              <w:rPr>
                <w:rFonts w:eastAsia="Calibri"/>
                <w:szCs w:val="22"/>
                <w:lang w:val="en-GB"/>
              </w:rPr>
              <w:t>Revizija dokumenta na osnovu komentara i zaht</w:t>
            </w:r>
            <w:r>
              <w:rPr>
                <w:rFonts w:eastAsia="Calibri"/>
                <w:szCs w:val="22"/>
                <w:lang w:val="en-GB"/>
              </w:rPr>
              <w:t>j</w:t>
            </w:r>
            <w:r w:rsidRPr="00C95CC6">
              <w:rPr>
                <w:rFonts w:eastAsia="Calibri"/>
                <w:szCs w:val="22"/>
                <w:lang w:val="en-GB"/>
              </w:rPr>
              <w:t xml:space="preserve">eva </w:t>
            </w:r>
            <w:r>
              <w:rPr>
                <w:rFonts w:eastAsia="Calibri"/>
                <w:szCs w:val="22"/>
                <w:lang w:val="en-GB"/>
              </w:rPr>
              <w:t>Radne</w:t>
            </w:r>
            <w:r w:rsidRPr="00C95CC6">
              <w:rPr>
                <w:rFonts w:eastAsia="Calibri"/>
                <w:szCs w:val="22"/>
                <w:lang w:val="en-GB"/>
              </w:rPr>
              <w:t xml:space="preserve"> grup</w:t>
            </w:r>
            <w:r>
              <w:rPr>
                <w:rFonts w:eastAsia="Calibri"/>
                <w:szCs w:val="22"/>
                <w:lang w:val="en-GB"/>
              </w:rPr>
              <w:t>e</w:t>
            </w:r>
          </w:p>
        </w:tc>
      </w:tr>
      <w:tr w:rsidR="003610C6" w:rsidRPr="00F83A8E" w14:paraId="1BC97C0A" w14:textId="77777777" w:rsidTr="006E7A44">
        <w:trPr>
          <w:trHeight w:val="390"/>
        </w:trPr>
        <w:tc>
          <w:tcPr>
            <w:tcW w:w="1501" w:type="dxa"/>
            <w:shd w:val="clear" w:color="auto" w:fill="auto"/>
          </w:tcPr>
          <w:p w14:paraId="48384688" w14:textId="120F57EC" w:rsidR="003610C6" w:rsidRPr="00F96B73" w:rsidRDefault="003610C6" w:rsidP="003610C6">
            <w:pPr>
              <w:jc w:val="center"/>
              <w:rPr>
                <w:rFonts w:eastAsia="Calibri"/>
                <w:szCs w:val="22"/>
                <w:lang w:val="en-GB"/>
              </w:rPr>
            </w:pPr>
            <w:r>
              <w:rPr>
                <w:rFonts w:eastAsia="Calibri"/>
                <w:szCs w:val="22"/>
                <w:lang w:val="en-GB"/>
              </w:rPr>
              <w:t>Finalni nacrt</w:t>
            </w:r>
          </w:p>
        </w:tc>
        <w:tc>
          <w:tcPr>
            <w:tcW w:w="2009" w:type="dxa"/>
            <w:shd w:val="clear" w:color="auto" w:fill="auto"/>
          </w:tcPr>
          <w:p w14:paraId="31F6BA1C" w14:textId="34EB4366" w:rsidR="003610C6" w:rsidRDefault="003610C6" w:rsidP="003610C6">
            <w:pPr>
              <w:jc w:val="center"/>
              <w:rPr>
                <w:rFonts w:eastAsia="Calibri"/>
                <w:szCs w:val="22"/>
                <w:lang w:val="en-GB"/>
              </w:rPr>
            </w:pPr>
            <w:r>
              <w:rPr>
                <w:rFonts w:eastAsia="Calibri"/>
                <w:szCs w:val="22"/>
                <w:lang w:val="en-GB"/>
              </w:rPr>
              <w:t>Avgust 2021</w:t>
            </w:r>
          </w:p>
        </w:tc>
        <w:tc>
          <w:tcPr>
            <w:tcW w:w="5812" w:type="dxa"/>
          </w:tcPr>
          <w:p w14:paraId="614E8176" w14:textId="323559C6" w:rsidR="003610C6" w:rsidRDefault="003610C6" w:rsidP="006E7A44">
            <w:pPr>
              <w:jc w:val="left"/>
              <w:rPr>
                <w:rFonts w:eastAsia="Calibri"/>
                <w:szCs w:val="22"/>
                <w:lang w:val="en-GB"/>
              </w:rPr>
            </w:pPr>
          </w:p>
        </w:tc>
      </w:tr>
    </w:tbl>
    <w:p w14:paraId="5A8FEBB0" w14:textId="77777777" w:rsidR="003610C6" w:rsidRDefault="003610C6" w:rsidP="003610C6"/>
    <w:p w14:paraId="033B9D29" w14:textId="77777777" w:rsidR="005809B5" w:rsidRPr="001C6CCA" w:rsidRDefault="005809B5" w:rsidP="00F65CFF">
      <w:pPr>
        <w:spacing w:after="0"/>
        <w:rPr>
          <w:sz w:val="20"/>
          <w:szCs w:val="20"/>
          <w:lang w:val="en-GB"/>
        </w:rPr>
      </w:pPr>
    </w:p>
    <w:p w14:paraId="3D8289AB" w14:textId="77777777" w:rsidR="00B152A6" w:rsidRPr="001C6CCA" w:rsidRDefault="00B152A6" w:rsidP="00F65CFF">
      <w:pPr>
        <w:spacing w:after="0"/>
        <w:rPr>
          <w:sz w:val="20"/>
          <w:szCs w:val="20"/>
          <w:lang w:val="en-GB"/>
        </w:rPr>
      </w:pPr>
    </w:p>
    <w:p w14:paraId="0E45E63E" w14:textId="77777777" w:rsidR="00B152A6" w:rsidRPr="001C6CCA" w:rsidRDefault="00B152A6" w:rsidP="00F65CFF">
      <w:pPr>
        <w:spacing w:after="0"/>
        <w:jc w:val="center"/>
        <w:rPr>
          <w:sz w:val="20"/>
          <w:szCs w:val="20"/>
          <w:lang w:val="en-GB"/>
        </w:rPr>
      </w:pPr>
    </w:p>
    <w:p w14:paraId="2A9E9691" w14:textId="77777777" w:rsidR="00B152A6" w:rsidRPr="001C6CCA" w:rsidRDefault="00B152A6" w:rsidP="00F65CFF">
      <w:pPr>
        <w:spacing w:after="0"/>
        <w:jc w:val="center"/>
        <w:rPr>
          <w:sz w:val="20"/>
          <w:szCs w:val="20"/>
          <w:lang w:val="en-GB"/>
        </w:rPr>
      </w:pPr>
    </w:p>
    <w:tbl>
      <w:tblPr>
        <w:tblStyle w:val="TableGrid"/>
        <w:tblW w:w="0" w:type="auto"/>
        <w:jc w:val="center"/>
        <w:tblLook w:val="04A0" w:firstRow="1" w:lastRow="0" w:firstColumn="1" w:lastColumn="0" w:noHBand="0" w:noVBand="1"/>
      </w:tblPr>
      <w:tblGrid>
        <w:gridCol w:w="9021"/>
      </w:tblGrid>
      <w:tr w:rsidR="000B5F2F" w:rsidRPr="001C6CCA" w14:paraId="7D21F301" w14:textId="77777777" w:rsidTr="005809B5">
        <w:trPr>
          <w:jc w:val="center"/>
        </w:trPr>
        <w:tc>
          <w:tcPr>
            <w:tcW w:w="9293" w:type="dxa"/>
          </w:tcPr>
          <w:p w14:paraId="32B8E902" w14:textId="77777777" w:rsidR="00CF7E4B" w:rsidRPr="00CF7E4B" w:rsidRDefault="00CF7E4B" w:rsidP="00CF7E4B">
            <w:pPr>
              <w:spacing w:before="0" w:after="0"/>
              <w:rPr>
                <w:b/>
                <w:sz w:val="20"/>
                <w:szCs w:val="20"/>
                <w:lang w:val="sq-AL"/>
              </w:rPr>
            </w:pPr>
            <w:r w:rsidRPr="00CF7E4B">
              <w:rPr>
                <w:b/>
                <w:sz w:val="20"/>
                <w:szCs w:val="20"/>
                <w:lang w:val="sq-AL"/>
              </w:rPr>
              <w:t>Izjava o odricanju odgovornosti:</w:t>
            </w:r>
          </w:p>
          <w:p w14:paraId="6B217211" w14:textId="42C14011" w:rsidR="000B5F2F" w:rsidRPr="001C6CCA" w:rsidRDefault="00CF7E4B" w:rsidP="00CF7E4B">
            <w:pPr>
              <w:spacing w:after="0"/>
              <w:rPr>
                <w:i/>
                <w:sz w:val="20"/>
                <w:szCs w:val="20"/>
              </w:rPr>
            </w:pPr>
            <w:r w:rsidRPr="00CF7E4B">
              <w:rPr>
                <w:sz w:val="20"/>
                <w:szCs w:val="20"/>
                <w:lang w:val="sq-AL"/>
              </w:rPr>
              <w:t xml:space="preserve">Ovaj </w:t>
            </w:r>
            <w:r>
              <w:rPr>
                <w:sz w:val="20"/>
                <w:szCs w:val="20"/>
                <w:lang w:val="sq-AL"/>
              </w:rPr>
              <w:t>dokument</w:t>
            </w:r>
            <w:r w:rsidRPr="00CF7E4B">
              <w:rPr>
                <w:sz w:val="20"/>
                <w:szCs w:val="20"/>
                <w:lang w:val="sq-AL"/>
              </w:rPr>
              <w:t xml:space="preserve"> sačinjen je u okviru projekta koji je finansirala Evropska unija. Mišljenja izražena u ovom</w:t>
            </w:r>
            <w:r>
              <w:rPr>
                <w:sz w:val="20"/>
                <w:szCs w:val="20"/>
                <w:lang w:val="sq-AL"/>
              </w:rPr>
              <w:t xml:space="preserve"> dokumentu</w:t>
            </w:r>
            <w:r w:rsidRPr="00CF7E4B">
              <w:rPr>
                <w:sz w:val="20"/>
                <w:szCs w:val="20"/>
                <w:lang w:val="sq-AL"/>
              </w:rPr>
              <w:t xml:space="preserve"> su mišljenja autora i ne odražavaju nužno mišljenje Evropske unije ili bilo koje druge organizacije.</w:t>
            </w:r>
          </w:p>
        </w:tc>
      </w:tr>
    </w:tbl>
    <w:p w14:paraId="2D1A54F3" w14:textId="0F1FAC2F" w:rsidR="00711215" w:rsidRPr="001C6CCA" w:rsidRDefault="00E40159" w:rsidP="00F65CFF">
      <w:pPr>
        <w:pStyle w:val="Documentgeneraltitle"/>
        <w:spacing w:after="0"/>
        <w:rPr>
          <w:sz w:val="20"/>
          <w:szCs w:val="20"/>
        </w:rPr>
      </w:pPr>
      <w:r w:rsidRPr="001C6CCA">
        <w:rPr>
          <w:sz w:val="20"/>
          <w:szCs w:val="20"/>
        </w:rPr>
        <w:br w:type="page"/>
      </w:r>
      <w:bookmarkStart w:id="2" w:name="_Toc302478616"/>
      <w:bookmarkStart w:id="3" w:name="_Toc322587019"/>
      <w:bookmarkStart w:id="4" w:name="_Toc322615622"/>
      <w:bookmarkStart w:id="5" w:name="_Toc322615785"/>
      <w:bookmarkStart w:id="6" w:name="_Toc214513235"/>
      <w:bookmarkStart w:id="7" w:name="_Toc30029012"/>
      <w:bookmarkStart w:id="8" w:name="_Toc30044588"/>
    </w:p>
    <w:p w14:paraId="23D7FC29" w14:textId="5ED191C6" w:rsidR="004C3A51" w:rsidRPr="001C6CCA" w:rsidRDefault="000735D6" w:rsidP="004C3A51">
      <w:pPr>
        <w:keepNext/>
        <w:spacing w:before="480" w:after="480"/>
        <w:outlineLvl w:val="0"/>
        <w:rPr>
          <w:b/>
          <w:bCs/>
          <w:caps/>
          <w:color w:val="17365D" w:themeColor="text2" w:themeShade="BF"/>
          <w:kern w:val="32"/>
          <w:sz w:val="32"/>
          <w:szCs w:val="32"/>
          <w:lang w:val="en-GB"/>
        </w:rPr>
      </w:pPr>
      <w:bookmarkStart w:id="9" w:name="_Toc83630886"/>
      <w:r w:rsidRPr="000735D6">
        <w:rPr>
          <w:b/>
          <w:bCs/>
          <w:caps/>
          <w:color w:val="17365D" w:themeColor="text2" w:themeShade="BF"/>
          <w:kern w:val="32"/>
          <w:sz w:val="32"/>
          <w:szCs w:val="32"/>
          <w:lang w:val="en-GB"/>
        </w:rPr>
        <w:lastRenderedPageBreak/>
        <w:t xml:space="preserve">SPISAK PROJEKTNIH </w:t>
      </w:r>
      <w:r>
        <w:rPr>
          <w:b/>
          <w:bCs/>
          <w:caps/>
          <w:color w:val="17365D" w:themeColor="text2" w:themeShade="BF"/>
          <w:kern w:val="32"/>
          <w:sz w:val="32"/>
          <w:szCs w:val="32"/>
          <w:lang w:val="en-GB"/>
        </w:rPr>
        <w:t>EKSPERATA</w:t>
      </w:r>
      <w:r w:rsidRPr="000735D6">
        <w:rPr>
          <w:b/>
          <w:bCs/>
          <w:caps/>
          <w:color w:val="17365D" w:themeColor="text2" w:themeShade="BF"/>
          <w:kern w:val="32"/>
          <w:sz w:val="32"/>
          <w:szCs w:val="32"/>
          <w:lang w:val="en-GB"/>
        </w:rPr>
        <w:t xml:space="preserve"> KOJI SU UČESTVOVALI U PRIPREMI DOKUMENTA</w:t>
      </w:r>
      <w:bookmarkEnd w:id="9"/>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45"/>
      </w:tblGrid>
      <w:tr w:rsidR="004C3A51" w:rsidRPr="001C6CCA" w14:paraId="4F7D4E18" w14:textId="77777777" w:rsidTr="00ED265A">
        <w:trPr>
          <w:trHeight w:val="454"/>
        </w:trPr>
        <w:tc>
          <w:tcPr>
            <w:tcW w:w="9067" w:type="dxa"/>
            <w:gridSpan w:val="2"/>
            <w:tcBorders>
              <w:bottom w:val="single" w:sz="4" w:space="0" w:color="auto"/>
            </w:tcBorders>
            <w:shd w:val="clear" w:color="auto" w:fill="B4C6E7"/>
            <w:vAlign w:val="center"/>
          </w:tcPr>
          <w:p w14:paraId="7F7F3E13" w14:textId="691C4B07" w:rsidR="004C3A51" w:rsidRPr="001C6CCA" w:rsidRDefault="000A2FFC" w:rsidP="000A2FFC">
            <w:pPr>
              <w:spacing w:before="0" w:after="0" w:line="240" w:lineRule="auto"/>
              <w:jc w:val="left"/>
              <w:rPr>
                <w:rFonts w:cs="Calibri"/>
                <w:b/>
                <w:bCs/>
                <w:color w:val="000000"/>
                <w:szCs w:val="22"/>
                <w:lang w:val="en-GB" w:eastAsia="en-GB"/>
              </w:rPr>
            </w:pPr>
            <w:r>
              <w:rPr>
                <w:rFonts w:cs="Calibri"/>
                <w:b/>
                <w:bCs/>
                <w:color w:val="000000"/>
                <w:szCs w:val="22"/>
                <w:lang w:val="en-GB" w:eastAsia="en-GB"/>
              </w:rPr>
              <w:t>Ključni eksperti</w:t>
            </w:r>
          </w:p>
        </w:tc>
      </w:tr>
      <w:tr w:rsidR="004C3A51" w:rsidRPr="001C6CCA" w14:paraId="1083111A" w14:textId="77777777" w:rsidTr="00ED265A">
        <w:trPr>
          <w:trHeight w:val="454"/>
        </w:trPr>
        <w:tc>
          <w:tcPr>
            <w:tcW w:w="2122" w:type="dxa"/>
            <w:tcBorders>
              <w:bottom w:val="nil"/>
              <w:right w:val="nil"/>
            </w:tcBorders>
            <w:shd w:val="clear" w:color="auto" w:fill="auto"/>
            <w:vAlign w:val="center"/>
          </w:tcPr>
          <w:p w14:paraId="1529DDD7"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Nada Krstulovic</w:t>
            </w:r>
          </w:p>
        </w:tc>
        <w:tc>
          <w:tcPr>
            <w:tcW w:w="6945" w:type="dxa"/>
            <w:tcBorders>
              <w:left w:val="nil"/>
              <w:bottom w:val="nil"/>
            </w:tcBorders>
            <w:shd w:val="clear" w:color="auto" w:fill="auto"/>
            <w:vAlign w:val="center"/>
          </w:tcPr>
          <w:p w14:paraId="023042E6" w14:textId="2E64A332" w:rsidR="004C3A51" w:rsidRPr="001C6CCA" w:rsidRDefault="000A2FFC" w:rsidP="00ED265A">
            <w:pPr>
              <w:spacing w:before="0" w:after="0" w:line="240" w:lineRule="auto"/>
              <w:jc w:val="left"/>
              <w:rPr>
                <w:rFonts w:cs="Calibri"/>
                <w:color w:val="000000"/>
                <w:szCs w:val="22"/>
                <w:lang w:val="en-GB" w:eastAsia="en-GB"/>
              </w:rPr>
            </w:pPr>
            <w:r>
              <w:rPr>
                <w:rFonts w:cs="Calibri"/>
                <w:color w:val="000000"/>
                <w:szCs w:val="22"/>
                <w:lang w:val="en-GB" w:eastAsia="en-GB"/>
              </w:rPr>
              <w:t>Ključni ekspert</w:t>
            </w:r>
            <w:r w:rsidR="004C3A51" w:rsidRPr="001C6CCA">
              <w:rPr>
                <w:rFonts w:cs="Calibri"/>
                <w:color w:val="000000"/>
                <w:szCs w:val="22"/>
                <w:lang w:val="en-GB" w:eastAsia="en-GB"/>
              </w:rPr>
              <w:t xml:space="preserve"> 2</w:t>
            </w:r>
          </w:p>
        </w:tc>
      </w:tr>
      <w:tr w:rsidR="004C3A51" w:rsidRPr="001C6CCA" w14:paraId="196A571F" w14:textId="77777777" w:rsidTr="00ED265A">
        <w:trPr>
          <w:trHeight w:val="454"/>
        </w:trPr>
        <w:tc>
          <w:tcPr>
            <w:tcW w:w="2122" w:type="dxa"/>
            <w:tcBorders>
              <w:top w:val="nil"/>
              <w:right w:val="nil"/>
            </w:tcBorders>
            <w:shd w:val="clear" w:color="auto" w:fill="auto"/>
            <w:vAlign w:val="center"/>
          </w:tcPr>
          <w:p w14:paraId="0F33D7FC"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Patrick Reynolds</w:t>
            </w:r>
          </w:p>
        </w:tc>
        <w:tc>
          <w:tcPr>
            <w:tcW w:w="6945" w:type="dxa"/>
            <w:tcBorders>
              <w:top w:val="nil"/>
              <w:left w:val="nil"/>
            </w:tcBorders>
            <w:shd w:val="clear" w:color="auto" w:fill="auto"/>
            <w:vAlign w:val="center"/>
          </w:tcPr>
          <w:p w14:paraId="52F1983E" w14:textId="3FC4E142" w:rsidR="004C3A51" w:rsidRPr="001C6CCA" w:rsidRDefault="000A2FFC" w:rsidP="000A2FFC">
            <w:pPr>
              <w:spacing w:before="0" w:after="0" w:line="240" w:lineRule="auto"/>
              <w:jc w:val="left"/>
              <w:rPr>
                <w:rFonts w:cs="Calibri"/>
                <w:color w:val="000000"/>
                <w:szCs w:val="22"/>
                <w:lang w:val="en-GB" w:eastAsia="en-GB"/>
              </w:rPr>
            </w:pPr>
            <w:r>
              <w:rPr>
                <w:rFonts w:cs="Calibri"/>
                <w:color w:val="000000"/>
                <w:szCs w:val="22"/>
                <w:lang w:val="en-GB" w:eastAsia="en-GB"/>
              </w:rPr>
              <w:t>Ključni ekspert</w:t>
            </w:r>
            <w:r w:rsidRPr="001C6CCA">
              <w:rPr>
                <w:rFonts w:cs="Calibri"/>
                <w:color w:val="000000"/>
                <w:szCs w:val="22"/>
                <w:lang w:val="en-GB" w:eastAsia="en-GB"/>
              </w:rPr>
              <w:t xml:space="preserve"> </w:t>
            </w:r>
            <w:r w:rsidR="004C3A51" w:rsidRPr="001C6CCA">
              <w:rPr>
                <w:rFonts w:cs="Calibri"/>
                <w:color w:val="000000"/>
                <w:szCs w:val="22"/>
                <w:lang w:val="en-GB" w:eastAsia="en-GB"/>
              </w:rPr>
              <w:t xml:space="preserve">1 – </w:t>
            </w:r>
            <w:r>
              <w:rPr>
                <w:rFonts w:cs="Calibri"/>
                <w:color w:val="000000"/>
                <w:szCs w:val="22"/>
                <w:lang w:val="en-GB" w:eastAsia="en-GB"/>
              </w:rPr>
              <w:t>Vođa tima</w:t>
            </w:r>
          </w:p>
        </w:tc>
      </w:tr>
      <w:tr w:rsidR="004C3A51" w:rsidRPr="001C6CCA" w14:paraId="63A9C68C" w14:textId="77777777" w:rsidTr="00ED265A">
        <w:trPr>
          <w:trHeight w:val="454"/>
        </w:trPr>
        <w:tc>
          <w:tcPr>
            <w:tcW w:w="9067" w:type="dxa"/>
            <w:gridSpan w:val="2"/>
            <w:tcBorders>
              <w:bottom w:val="single" w:sz="4" w:space="0" w:color="auto"/>
            </w:tcBorders>
            <w:shd w:val="clear" w:color="auto" w:fill="B4C6E7"/>
            <w:vAlign w:val="center"/>
          </w:tcPr>
          <w:p w14:paraId="1F9CF683" w14:textId="0CC3CBC2" w:rsidR="004C3A51" w:rsidRPr="001C6CCA" w:rsidRDefault="000A2FFC" w:rsidP="00ED265A">
            <w:pPr>
              <w:spacing w:before="0" w:after="0" w:line="240" w:lineRule="auto"/>
              <w:jc w:val="left"/>
              <w:rPr>
                <w:rFonts w:cs="Calibri"/>
                <w:b/>
                <w:bCs/>
                <w:color w:val="000000"/>
                <w:szCs w:val="22"/>
                <w:lang w:val="en-GB" w:eastAsia="en-GB"/>
              </w:rPr>
            </w:pPr>
            <w:r>
              <w:rPr>
                <w:rFonts w:cs="Calibri"/>
                <w:b/>
                <w:bCs/>
                <w:color w:val="000000"/>
                <w:szCs w:val="22"/>
                <w:lang w:val="en-GB" w:eastAsia="en-GB"/>
              </w:rPr>
              <w:t xml:space="preserve">Neključni eksperti </w:t>
            </w:r>
            <w:r w:rsidR="004C3A51" w:rsidRPr="001C6CCA">
              <w:rPr>
                <w:rFonts w:cs="Calibri"/>
                <w:b/>
                <w:bCs/>
                <w:color w:val="000000"/>
                <w:szCs w:val="22"/>
                <w:lang w:val="en-GB" w:eastAsia="en-GB"/>
              </w:rPr>
              <w:t xml:space="preserve"> (</w:t>
            </w:r>
            <w:r w:rsidR="000411CE" w:rsidRPr="000411CE">
              <w:rPr>
                <w:rFonts w:cs="Calibri"/>
                <w:b/>
                <w:bCs/>
                <w:color w:val="000000"/>
                <w:szCs w:val="22"/>
                <w:lang w:val="en-GB" w:eastAsia="en-GB"/>
              </w:rPr>
              <w:t>po abecednom redu</w:t>
            </w:r>
            <w:r w:rsidR="004C3A51" w:rsidRPr="001C6CCA">
              <w:rPr>
                <w:rFonts w:cs="Calibri"/>
                <w:b/>
                <w:bCs/>
                <w:color w:val="000000"/>
                <w:szCs w:val="22"/>
                <w:lang w:val="en-GB" w:eastAsia="en-GB"/>
              </w:rPr>
              <w:t>)</w:t>
            </w:r>
          </w:p>
        </w:tc>
      </w:tr>
      <w:tr w:rsidR="004C3A51" w:rsidRPr="001C6CCA" w14:paraId="18E777A8" w14:textId="77777777" w:rsidTr="00ED265A">
        <w:trPr>
          <w:trHeight w:val="454"/>
        </w:trPr>
        <w:tc>
          <w:tcPr>
            <w:tcW w:w="2122" w:type="dxa"/>
            <w:tcBorders>
              <w:bottom w:val="nil"/>
              <w:right w:val="nil"/>
            </w:tcBorders>
            <w:shd w:val="clear" w:color="auto" w:fill="auto"/>
            <w:vAlign w:val="center"/>
            <w:hideMark/>
          </w:tcPr>
          <w:p w14:paraId="0332C33A"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Ana Pesic</w:t>
            </w:r>
          </w:p>
        </w:tc>
        <w:tc>
          <w:tcPr>
            <w:tcW w:w="6945" w:type="dxa"/>
            <w:tcBorders>
              <w:left w:val="nil"/>
              <w:bottom w:val="nil"/>
            </w:tcBorders>
            <w:shd w:val="clear" w:color="auto" w:fill="auto"/>
            <w:vAlign w:val="center"/>
            <w:hideMark/>
          </w:tcPr>
          <w:p w14:paraId="4D783DCB" w14:textId="279CAAD7" w:rsidR="004C3A51" w:rsidRPr="001C6CCA" w:rsidRDefault="000A2FFC" w:rsidP="000567DD">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 xml:space="preserve">kspert za </w:t>
            </w:r>
            <w:r w:rsidR="00126742">
              <w:rPr>
                <w:rFonts w:cs="Calibri"/>
                <w:color w:val="000000"/>
                <w:szCs w:val="22"/>
                <w:lang w:val="en-GB" w:eastAsia="en-GB"/>
              </w:rPr>
              <w:t>morsko ribarstvo</w:t>
            </w:r>
          </w:p>
        </w:tc>
      </w:tr>
      <w:tr w:rsidR="004C3A51" w:rsidRPr="001C6CCA" w14:paraId="1C3C7981" w14:textId="77777777" w:rsidTr="00ED265A">
        <w:trPr>
          <w:trHeight w:val="454"/>
        </w:trPr>
        <w:tc>
          <w:tcPr>
            <w:tcW w:w="2122" w:type="dxa"/>
            <w:tcBorders>
              <w:top w:val="nil"/>
              <w:bottom w:val="nil"/>
              <w:right w:val="nil"/>
            </w:tcBorders>
            <w:shd w:val="clear" w:color="auto" w:fill="auto"/>
            <w:vAlign w:val="center"/>
            <w:hideMark/>
          </w:tcPr>
          <w:p w14:paraId="02E62986"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Branka Grbec</w:t>
            </w:r>
          </w:p>
        </w:tc>
        <w:tc>
          <w:tcPr>
            <w:tcW w:w="6945" w:type="dxa"/>
            <w:tcBorders>
              <w:top w:val="nil"/>
              <w:left w:val="nil"/>
              <w:bottom w:val="nil"/>
            </w:tcBorders>
            <w:shd w:val="clear" w:color="auto" w:fill="auto"/>
            <w:vAlign w:val="center"/>
            <w:hideMark/>
          </w:tcPr>
          <w:p w14:paraId="52D3A3B7" w14:textId="5949B888" w:rsidR="004C3A51" w:rsidRPr="001C6CCA" w:rsidRDefault="000A2FFC" w:rsidP="00126742">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 xml:space="preserve">kspert za </w:t>
            </w:r>
            <w:r w:rsidR="00126742">
              <w:rPr>
                <w:rFonts w:cs="Calibri"/>
                <w:color w:val="000000"/>
                <w:szCs w:val="22"/>
                <w:lang w:val="en-GB" w:eastAsia="en-GB"/>
              </w:rPr>
              <w:t>fizičku okeanografiju</w:t>
            </w:r>
          </w:p>
        </w:tc>
      </w:tr>
      <w:tr w:rsidR="004C3A51" w:rsidRPr="001C6CCA" w14:paraId="5E16C04B" w14:textId="77777777" w:rsidTr="00ED265A">
        <w:trPr>
          <w:trHeight w:val="454"/>
        </w:trPr>
        <w:tc>
          <w:tcPr>
            <w:tcW w:w="2122" w:type="dxa"/>
            <w:tcBorders>
              <w:top w:val="nil"/>
              <w:bottom w:val="nil"/>
              <w:right w:val="nil"/>
            </w:tcBorders>
            <w:shd w:val="clear" w:color="auto" w:fill="auto"/>
            <w:vAlign w:val="center"/>
            <w:hideMark/>
          </w:tcPr>
          <w:p w14:paraId="570E020F"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Branka Pestoric</w:t>
            </w:r>
          </w:p>
        </w:tc>
        <w:tc>
          <w:tcPr>
            <w:tcW w:w="6945" w:type="dxa"/>
            <w:tcBorders>
              <w:top w:val="nil"/>
              <w:left w:val="nil"/>
              <w:bottom w:val="nil"/>
            </w:tcBorders>
            <w:shd w:val="clear" w:color="auto" w:fill="auto"/>
            <w:vAlign w:val="center"/>
            <w:hideMark/>
          </w:tcPr>
          <w:p w14:paraId="4F71DC21" w14:textId="1D59288C" w:rsidR="004C3A51" w:rsidRPr="001C6CCA" w:rsidRDefault="006C7C81" w:rsidP="000567DD">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kspert za biologiju mora</w:t>
            </w:r>
            <w:r w:rsidRPr="001C6CCA">
              <w:rPr>
                <w:rFonts w:cs="Calibri"/>
                <w:color w:val="000000"/>
                <w:szCs w:val="22"/>
                <w:lang w:val="en-GB" w:eastAsia="en-GB"/>
              </w:rPr>
              <w:t xml:space="preserve"> </w:t>
            </w:r>
            <w:r w:rsidR="00126742" w:rsidRPr="001C6CCA">
              <w:rPr>
                <w:rFonts w:cs="Calibri"/>
                <w:color w:val="000000"/>
                <w:szCs w:val="22"/>
                <w:lang w:val="en-GB" w:eastAsia="en-GB"/>
              </w:rPr>
              <w:t>(</w:t>
            </w:r>
            <w:r w:rsidR="00126742">
              <w:rPr>
                <w:rFonts w:cs="Calibri"/>
                <w:color w:val="000000"/>
                <w:szCs w:val="22"/>
                <w:lang w:val="en-GB" w:eastAsia="en-GB"/>
              </w:rPr>
              <w:t>Strane vrste</w:t>
            </w:r>
            <w:r w:rsidR="00126742" w:rsidRPr="001C6CCA">
              <w:rPr>
                <w:rFonts w:cs="Calibri"/>
                <w:color w:val="000000"/>
                <w:szCs w:val="22"/>
                <w:lang w:val="en-GB" w:eastAsia="en-GB"/>
              </w:rPr>
              <w:t>)</w:t>
            </w:r>
          </w:p>
        </w:tc>
      </w:tr>
      <w:tr w:rsidR="004C3A51" w:rsidRPr="001C6CCA" w14:paraId="54A7D9A7" w14:textId="77777777" w:rsidTr="00ED265A">
        <w:trPr>
          <w:trHeight w:val="454"/>
        </w:trPr>
        <w:tc>
          <w:tcPr>
            <w:tcW w:w="2122" w:type="dxa"/>
            <w:tcBorders>
              <w:top w:val="nil"/>
              <w:bottom w:val="nil"/>
              <w:right w:val="nil"/>
            </w:tcBorders>
            <w:shd w:val="clear" w:color="auto" w:fill="auto"/>
            <w:vAlign w:val="center"/>
            <w:hideMark/>
          </w:tcPr>
          <w:p w14:paraId="29DBE313"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Danijela Joksimovic</w:t>
            </w:r>
          </w:p>
        </w:tc>
        <w:tc>
          <w:tcPr>
            <w:tcW w:w="6945" w:type="dxa"/>
            <w:tcBorders>
              <w:top w:val="nil"/>
              <w:left w:val="nil"/>
              <w:bottom w:val="nil"/>
            </w:tcBorders>
            <w:shd w:val="clear" w:color="auto" w:fill="auto"/>
            <w:vAlign w:val="center"/>
            <w:hideMark/>
          </w:tcPr>
          <w:p w14:paraId="73A323F8" w14:textId="6088F841" w:rsidR="004C3A51" w:rsidRPr="001C6CCA" w:rsidRDefault="000A2FFC"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 xml:space="preserve">kspert za </w:t>
            </w:r>
            <w:r w:rsidR="00126742">
              <w:rPr>
                <w:rFonts w:cs="Calibri"/>
                <w:color w:val="000000"/>
                <w:szCs w:val="22"/>
                <w:lang w:val="en-GB" w:eastAsia="en-GB"/>
              </w:rPr>
              <w:t>morsku eutrofikaciju</w:t>
            </w:r>
          </w:p>
        </w:tc>
      </w:tr>
      <w:tr w:rsidR="004C3A51" w:rsidRPr="001C6CCA" w14:paraId="04FA774C" w14:textId="77777777" w:rsidTr="00ED265A">
        <w:trPr>
          <w:trHeight w:val="454"/>
        </w:trPr>
        <w:tc>
          <w:tcPr>
            <w:tcW w:w="2122" w:type="dxa"/>
            <w:tcBorders>
              <w:top w:val="nil"/>
              <w:bottom w:val="nil"/>
              <w:right w:val="nil"/>
            </w:tcBorders>
            <w:shd w:val="clear" w:color="auto" w:fill="auto"/>
            <w:vAlign w:val="center"/>
            <w:hideMark/>
          </w:tcPr>
          <w:p w14:paraId="4655BF8C"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Danijela Sukovic</w:t>
            </w:r>
          </w:p>
        </w:tc>
        <w:tc>
          <w:tcPr>
            <w:tcW w:w="6945" w:type="dxa"/>
            <w:tcBorders>
              <w:top w:val="nil"/>
              <w:left w:val="nil"/>
              <w:bottom w:val="nil"/>
            </w:tcBorders>
            <w:shd w:val="clear" w:color="auto" w:fill="auto"/>
            <w:vAlign w:val="center"/>
            <w:hideMark/>
          </w:tcPr>
          <w:p w14:paraId="62A23C91" w14:textId="21A4BD56" w:rsidR="004C3A51" w:rsidRPr="001C6CCA" w:rsidRDefault="00126742"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kspert za hemiju mora</w:t>
            </w:r>
            <w:r w:rsidRPr="001C6CCA">
              <w:rPr>
                <w:rFonts w:cs="Calibri"/>
                <w:color w:val="000000"/>
                <w:szCs w:val="22"/>
                <w:lang w:val="en-GB" w:eastAsia="en-GB"/>
              </w:rPr>
              <w:t xml:space="preserve"> (</w:t>
            </w:r>
            <w:r>
              <w:rPr>
                <w:rFonts w:cs="Calibri"/>
                <w:color w:val="000000"/>
                <w:szCs w:val="22"/>
                <w:lang w:val="en-GB" w:eastAsia="en-GB"/>
              </w:rPr>
              <w:t>Zagađivači</w:t>
            </w:r>
            <w:r w:rsidRPr="001C6CCA">
              <w:rPr>
                <w:rFonts w:cs="Calibri"/>
                <w:color w:val="000000"/>
                <w:szCs w:val="22"/>
                <w:lang w:val="en-GB" w:eastAsia="en-GB"/>
              </w:rPr>
              <w:t>)</w:t>
            </w:r>
          </w:p>
        </w:tc>
      </w:tr>
      <w:tr w:rsidR="004C3A51" w:rsidRPr="001C6CCA" w14:paraId="31E37BD2" w14:textId="77777777" w:rsidTr="00ED265A">
        <w:trPr>
          <w:trHeight w:val="454"/>
        </w:trPr>
        <w:tc>
          <w:tcPr>
            <w:tcW w:w="2122" w:type="dxa"/>
            <w:tcBorders>
              <w:top w:val="nil"/>
              <w:bottom w:val="nil"/>
              <w:right w:val="nil"/>
            </w:tcBorders>
            <w:shd w:val="clear" w:color="auto" w:fill="auto"/>
            <w:vAlign w:val="center"/>
            <w:hideMark/>
          </w:tcPr>
          <w:p w14:paraId="17BF5250"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Dragana Drakulovic</w:t>
            </w:r>
          </w:p>
        </w:tc>
        <w:tc>
          <w:tcPr>
            <w:tcW w:w="6945" w:type="dxa"/>
            <w:tcBorders>
              <w:top w:val="nil"/>
              <w:left w:val="nil"/>
              <w:bottom w:val="nil"/>
            </w:tcBorders>
            <w:shd w:val="clear" w:color="auto" w:fill="auto"/>
            <w:vAlign w:val="center"/>
            <w:hideMark/>
          </w:tcPr>
          <w:p w14:paraId="21C58747" w14:textId="3012E1B8" w:rsidR="004C3A51" w:rsidRPr="001C6CCA" w:rsidRDefault="006C7C8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kspert za biologiju mora</w:t>
            </w:r>
            <w:r w:rsidRPr="001C6CCA">
              <w:rPr>
                <w:rFonts w:cs="Calibri"/>
                <w:color w:val="000000"/>
                <w:szCs w:val="22"/>
                <w:lang w:val="en-GB" w:eastAsia="en-GB"/>
              </w:rPr>
              <w:t xml:space="preserve"> </w:t>
            </w:r>
            <w:r w:rsidR="004C3A51" w:rsidRPr="001C6CCA">
              <w:rPr>
                <w:rFonts w:cs="Calibri"/>
                <w:color w:val="000000"/>
                <w:szCs w:val="22"/>
                <w:lang w:val="en-GB" w:eastAsia="en-GB"/>
              </w:rPr>
              <w:t>(Plankton)</w:t>
            </w:r>
          </w:p>
        </w:tc>
      </w:tr>
      <w:tr w:rsidR="004C3A51" w:rsidRPr="001C6CCA" w14:paraId="13E9E43E" w14:textId="77777777" w:rsidTr="00ED265A">
        <w:trPr>
          <w:trHeight w:val="454"/>
        </w:trPr>
        <w:tc>
          <w:tcPr>
            <w:tcW w:w="2122" w:type="dxa"/>
            <w:tcBorders>
              <w:top w:val="nil"/>
              <w:bottom w:val="nil"/>
              <w:right w:val="nil"/>
            </w:tcBorders>
            <w:shd w:val="clear" w:color="auto" w:fill="auto"/>
            <w:vAlign w:val="center"/>
            <w:hideMark/>
          </w:tcPr>
          <w:p w14:paraId="7F11F6A2"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Ilija Cetkovic</w:t>
            </w:r>
          </w:p>
        </w:tc>
        <w:tc>
          <w:tcPr>
            <w:tcW w:w="6945" w:type="dxa"/>
            <w:tcBorders>
              <w:top w:val="nil"/>
              <w:left w:val="nil"/>
              <w:bottom w:val="nil"/>
            </w:tcBorders>
            <w:shd w:val="clear" w:color="auto" w:fill="auto"/>
            <w:vAlign w:val="center"/>
            <w:hideMark/>
          </w:tcPr>
          <w:p w14:paraId="6F2FB2C3" w14:textId="5E946841" w:rsidR="004C3A51" w:rsidRPr="001C6CCA" w:rsidRDefault="000A2FFC" w:rsidP="006C7C81">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 xml:space="preserve">kspert za </w:t>
            </w:r>
            <w:r w:rsidR="006C7C81">
              <w:rPr>
                <w:rFonts w:cs="Calibri"/>
                <w:color w:val="000000"/>
                <w:szCs w:val="22"/>
                <w:lang w:val="en-GB" w:eastAsia="en-GB"/>
              </w:rPr>
              <w:t>morsko ribarstvo</w:t>
            </w:r>
          </w:p>
        </w:tc>
      </w:tr>
      <w:tr w:rsidR="004C3A51" w:rsidRPr="001C6CCA" w14:paraId="3C3BAFF3" w14:textId="77777777" w:rsidTr="00ED265A">
        <w:trPr>
          <w:trHeight w:val="454"/>
        </w:trPr>
        <w:tc>
          <w:tcPr>
            <w:tcW w:w="2122" w:type="dxa"/>
            <w:tcBorders>
              <w:top w:val="nil"/>
              <w:bottom w:val="nil"/>
              <w:right w:val="nil"/>
            </w:tcBorders>
            <w:shd w:val="clear" w:color="auto" w:fill="auto"/>
            <w:vAlign w:val="center"/>
            <w:hideMark/>
          </w:tcPr>
          <w:p w14:paraId="0EE5ECAD"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Jelena Banicevic</w:t>
            </w:r>
          </w:p>
        </w:tc>
        <w:tc>
          <w:tcPr>
            <w:tcW w:w="6945" w:type="dxa"/>
            <w:tcBorders>
              <w:top w:val="nil"/>
              <w:left w:val="nil"/>
              <w:bottom w:val="nil"/>
            </w:tcBorders>
            <w:shd w:val="clear" w:color="auto" w:fill="auto"/>
            <w:vAlign w:val="center"/>
            <w:hideMark/>
          </w:tcPr>
          <w:p w14:paraId="25B56DA2" w14:textId="31349D91" w:rsidR="004C3A51" w:rsidRPr="001C6CCA" w:rsidRDefault="000A2FFC" w:rsidP="000A2FFC">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kspert za morske ptice</w:t>
            </w:r>
          </w:p>
        </w:tc>
      </w:tr>
      <w:tr w:rsidR="004C3A51" w:rsidRPr="001C6CCA" w14:paraId="588C69B2" w14:textId="77777777" w:rsidTr="00ED265A">
        <w:trPr>
          <w:trHeight w:val="454"/>
        </w:trPr>
        <w:tc>
          <w:tcPr>
            <w:tcW w:w="2122" w:type="dxa"/>
            <w:tcBorders>
              <w:top w:val="nil"/>
              <w:bottom w:val="nil"/>
              <w:right w:val="nil"/>
            </w:tcBorders>
            <w:shd w:val="clear" w:color="auto" w:fill="auto"/>
            <w:vAlign w:val="center"/>
            <w:hideMark/>
          </w:tcPr>
          <w:p w14:paraId="58D9DDC9"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Jelena Milic</w:t>
            </w:r>
          </w:p>
        </w:tc>
        <w:tc>
          <w:tcPr>
            <w:tcW w:w="6945" w:type="dxa"/>
            <w:tcBorders>
              <w:top w:val="nil"/>
              <w:left w:val="nil"/>
              <w:bottom w:val="nil"/>
            </w:tcBorders>
            <w:shd w:val="clear" w:color="auto" w:fill="auto"/>
            <w:vAlign w:val="center"/>
            <w:hideMark/>
          </w:tcPr>
          <w:p w14:paraId="391E4010" w14:textId="35E8FAF2" w:rsidR="004C3A51" w:rsidRPr="001C6CCA" w:rsidRDefault="000A2FFC" w:rsidP="00126742">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 xml:space="preserve">kspert za </w:t>
            </w:r>
            <w:r w:rsidR="004C3A51" w:rsidRPr="001C6CCA">
              <w:rPr>
                <w:rFonts w:cs="Calibri"/>
                <w:color w:val="000000"/>
                <w:szCs w:val="22"/>
                <w:lang w:val="en-GB" w:eastAsia="en-GB"/>
              </w:rPr>
              <w:t>GIS</w:t>
            </w:r>
          </w:p>
        </w:tc>
      </w:tr>
      <w:tr w:rsidR="004C3A51" w:rsidRPr="001C6CCA" w14:paraId="0046424D" w14:textId="77777777" w:rsidTr="00ED265A">
        <w:trPr>
          <w:trHeight w:val="454"/>
        </w:trPr>
        <w:tc>
          <w:tcPr>
            <w:tcW w:w="2122" w:type="dxa"/>
            <w:tcBorders>
              <w:top w:val="nil"/>
              <w:bottom w:val="nil"/>
              <w:right w:val="nil"/>
            </w:tcBorders>
            <w:shd w:val="clear" w:color="auto" w:fill="auto"/>
            <w:vAlign w:val="center"/>
            <w:hideMark/>
          </w:tcPr>
          <w:p w14:paraId="4CAE37EC"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Milica Mandic</w:t>
            </w:r>
          </w:p>
        </w:tc>
        <w:tc>
          <w:tcPr>
            <w:tcW w:w="6945" w:type="dxa"/>
            <w:tcBorders>
              <w:top w:val="nil"/>
              <w:left w:val="nil"/>
              <w:bottom w:val="nil"/>
            </w:tcBorders>
            <w:shd w:val="clear" w:color="auto" w:fill="auto"/>
            <w:vAlign w:val="center"/>
            <w:hideMark/>
          </w:tcPr>
          <w:p w14:paraId="52A43306" w14:textId="0ABCD9CB" w:rsidR="004C3A51" w:rsidRPr="001C6CCA" w:rsidRDefault="000A2FFC"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kspert za morski otpad</w:t>
            </w:r>
          </w:p>
        </w:tc>
      </w:tr>
      <w:tr w:rsidR="004C3A51" w:rsidRPr="001C6CCA" w14:paraId="345FD850" w14:textId="77777777" w:rsidTr="00ED265A">
        <w:trPr>
          <w:trHeight w:val="454"/>
        </w:trPr>
        <w:tc>
          <w:tcPr>
            <w:tcW w:w="2122" w:type="dxa"/>
            <w:tcBorders>
              <w:top w:val="nil"/>
              <w:bottom w:val="nil"/>
              <w:right w:val="nil"/>
            </w:tcBorders>
            <w:shd w:val="clear" w:color="auto" w:fill="auto"/>
            <w:vAlign w:val="center"/>
            <w:hideMark/>
          </w:tcPr>
          <w:p w14:paraId="226A44A3"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Mirko Djurovic</w:t>
            </w:r>
          </w:p>
        </w:tc>
        <w:tc>
          <w:tcPr>
            <w:tcW w:w="6945" w:type="dxa"/>
            <w:tcBorders>
              <w:top w:val="nil"/>
              <w:left w:val="nil"/>
              <w:bottom w:val="nil"/>
            </w:tcBorders>
            <w:shd w:val="clear" w:color="auto" w:fill="auto"/>
            <w:vAlign w:val="center"/>
            <w:hideMark/>
          </w:tcPr>
          <w:p w14:paraId="61D7F1B0" w14:textId="53665FAC" w:rsidR="004C3A51" w:rsidRPr="001C6CCA" w:rsidRDefault="006C7C8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kspert za biologiju mora</w:t>
            </w:r>
            <w:r w:rsidRPr="001C6CCA">
              <w:rPr>
                <w:rFonts w:cs="Calibri"/>
                <w:color w:val="000000"/>
                <w:szCs w:val="22"/>
                <w:lang w:val="en-GB" w:eastAsia="en-GB"/>
              </w:rPr>
              <w:t xml:space="preserve"> </w:t>
            </w:r>
            <w:r w:rsidR="00126742" w:rsidRPr="001C6CCA">
              <w:rPr>
                <w:rFonts w:cs="Calibri"/>
                <w:color w:val="000000"/>
                <w:szCs w:val="22"/>
                <w:lang w:val="en-GB" w:eastAsia="en-GB"/>
              </w:rPr>
              <w:t>(M</w:t>
            </w:r>
            <w:r w:rsidR="00126742">
              <w:rPr>
                <w:rFonts w:cs="Calibri"/>
                <w:color w:val="000000"/>
                <w:szCs w:val="22"/>
                <w:lang w:val="en-GB" w:eastAsia="en-GB"/>
              </w:rPr>
              <w:t>orski sisari i gmizavci</w:t>
            </w:r>
            <w:r w:rsidR="00126742" w:rsidRPr="001C6CCA">
              <w:rPr>
                <w:rFonts w:cs="Calibri"/>
                <w:color w:val="000000"/>
                <w:szCs w:val="22"/>
                <w:lang w:val="en-GB" w:eastAsia="en-GB"/>
              </w:rPr>
              <w:t>)</w:t>
            </w:r>
          </w:p>
        </w:tc>
      </w:tr>
      <w:tr w:rsidR="004C3A51" w:rsidRPr="001C6CCA" w14:paraId="5D1DE4EF" w14:textId="77777777" w:rsidTr="00ED265A">
        <w:trPr>
          <w:trHeight w:val="454"/>
        </w:trPr>
        <w:tc>
          <w:tcPr>
            <w:tcW w:w="2122" w:type="dxa"/>
            <w:tcBorders>
              <w:top w:val="nil"/>
              <w:bottom w:val="nil"/>
              <w:right w:val="nil"/>
            </w:tcBorders>
            <w:shd w:val="clear" w:color="auto" w:fill="auto"/>
            <w:vAlign w:val="center"/>
            <w:hideMark/>
          </w:tcPr>
          <w:p w14:paraId="5BFA33B4"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Olivera Markovic</w:t>
            </w:r>
          </w:p>
        </w:tc>
        <w:tc>
          <w:tcPr>
            <w:tcW w:w="6945" w:type="dxa"/>
            <w:tcBorders>
              <w:top w:val="nil"/>
              <w:left w:val="nil"/>
              <w:bottom w:val="nil"/>
            </w:tcBorders>
            <w:shd w:val="clear" w:color="auto" w:fill="auto"/>
            <w:vAlign w:val="center"/>
            <w:hideMark/>
          </w:tcPr>
          <w:p w14:paraId="289E5489" w14:textId="08260687" w:rsidR="004C3A51" w:rsidRPr="001C6CCA" w:rsidRDefault="006C7C8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kspert za biologiju mora</w:t>
            </w:r>
            <w:r w:rsidRPr="001C6CCA">
              <w:rPr>
                <w:rFonts w:cs="Calibri"/>
                <w:color w:val="000000"/>
                <w:szCs w:val="22"/>
                <w:lang w:val="en-GB" w:eastAsia="en-GB"/>
              </w:rPr>
              <w:t xml:space="preserve"> </w:t>
            </w:r>
            <w:r w:rsidR="00D419DD" w:rsidRPr="001C6CCA">
              <w:rPr>
                <w:rFonts w:cs="Calibri"/>
                <w:color w:val="000000"/>
                <w:szCs w:val="22"/>
                <w:lang w:val="en-GB" w:eastAsia="en-GB"/>
              </w:rPr>
              <w:t>(Bent</w:t>
            </w:r>
            <w:r w:rsidR="00D419DD">
              <w:rPr>
                <w:rFonts w:cs="Calibri"/>
                <w:color w:val="000000"/>
                <w:szCs w:val="22"/>
                <w:lang w:val="en-GB" w:eastAsia="en-GB"/>
              </w:rPr>
              <w:t>ička zona</w:t>
            </w:r>
            <w:r w:rsidR="00D419DD" w:rsidRPr="001C6CCA">
              <w:rPr>
                <w:rFonts w:cs="Calibri"/>
                <w:color w:val="000000"/>
                <w:szCs w:val="22"/>
                <w:lang w:val="en-GB" w:eastAsia="en-GB"/>
              </w:rPr>
              <w:t>)</w:t>
            </w:r>
          </w:p>
        </w:tc>
      </w:tr>
      <w:tr w:rsidR="004C3A51" w:rsidRPr="001C6CCA" w14:paraId="7509C5D2" w14:textId="77777777" w:rsidTr="00ED265A">
        <w:trPr>
          <w:trHeight w:val="454"/>
        </w:trPr>
        <w:tc>
          <w:tcPr>
            <w:tcW w:w="2122" w:type="dxa"/>
            <w:tcBorders>
              <w:top w:val="nil"/>
              <w:bottom w:val="nil"/>
              <w:right w:val="nil"/>
            </w:tcBorders>
            <w:shd w:val="clear" w:color="auto" w:fill="auto"/>
            <w:vAlign w:val="center"/>
            <w:hideMark/>
          </w:tcPr>
          <w:p w14:paraId="5EE48482"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Predrag Vukadin</w:t>
            </w:r>
          </w:p>
        </w:tc>
        <w:tc>
          <w:tcPr>
            <w:tcW w:w="6945" w:type="dxa"/>
            <w:tcBorders>
              <w:top w:val="nil"/>
              <w:left w:val="nil"/>
              <w:bottom w:val="nil"/>
            </w:tcBorders>
            <w:shd w:val="clear" w:color="auto" w:fill="auto"/>
            <w:vAlign w:val="center"/>
            <w:hideMark/>
          </w:tcPr>
          <w:p w14:paraId="7FBC4757" w14:textId="2C326521" w:rsidR="004C3A51" w:rsidRPr="001C6CCA" w:rsidRDefault="000A2FFC" w:rsidP="00126742">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 xml:space="preserve">kspert za </w:t>
            </w:r>
            <w:r w:rsidR="00126742">
              <w:rPr>
                <w:rFonts w:cs="Calibri"/>
                <w:color w:val="000000"/>
                <w:szCs w:val="22"/>
                <w:lang w:val="en-GB" w:eastAsia="en-GB"/>
              </w:rPr>
              <w:t>podvodnu buku</w:t>
            </w:r>
          </w:p>
        </w:tc>
      </w:tr>
      <w:tr w:rsidR="004C3A51" w:rsidRPr="001C6CCA" w14:paraId="42E7BCDA" w14:textId="77777777" w:rsidTr="00ED265A">
        <w:trPr>
          <w:trHeight w:val="454"/>
        </w:trPr>
        <w:tc>
          <w:tcPr>
            <w:tcW w:w="2122" w:type="dxa"/>
            <w:tcBorders>
              <w:top w:val="nil"/>
              <w:bottom w:val="nil"/>
              <w:right w:val="nil"/>
            </w:tcBorders>
            <w:shd w:val="clear" w:color="auto" w:fill="auto"/>
            <w:vAlign w:val="center"/>
            <w:hideMark/>
          </w:tcPr>
          <w:p w14:paraId="12F6F4D0"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Robert Precali</w:t>
            </w:r>
          </w:p>
        </w:tc>
        <w:tc>
          <w:tcPr>
            <w:tcW w:w="6945" w:type="dxa"/>
            <w:tcBorders>
              <w:top w:val="nil"/>
              <w:left w:val="nil"/>
              <w:bottom w:val="nil"/>
            </w:tcBorders>
            <w:shd w:val="clear" w:color="auto" w:fill="auto"/>
            <w:vAlign w:val="center"/>
            <w:hideMark/>
          </w:tcPr>
          <w:p w14:paraId="271A9C37" w14:textId="4C4345D6" w:rsidR="004C3A51" w:rsidRPr="001C6CCA" w:rsidRDefault="000A2FFC" w:rsidP="00126742">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 xml:space="preserve">kspert za </w:t>
            </w:r>
            <w:r w:rsidR="00126742">
              <w:rPr>
                <w:rFonts w:cs="Calibri"/>
                <w:color w:val="000000"/>
                <w:szCs w:val="22"/>
                <w:lang w:val="en-GB" w:eastAsia="en-GB"/>
              </w:rPr>
              <w:t>morsku eutrofikaciju</w:t>
            </w:r>
          </w:p>
        </w:tc>
      </w:tr>
      <w:tr w:rsidR="004C3A51" w:rsidRPr="001C6CCA" w14:paraId="410CFBD8" w14:textId="77777777" w:rsidTr="00ED265A">
        <w:trPr>
          <w:trHeight w:val="454"/>
        </w:trPr>
        <w:tc>
          <w:tcPr>
            <w:tcW w:w="2122" w:type="dxa"/>
            <w:tcBorders>
              <w:top w:val="nil"/>
              <w:bottom w:val="nil"/>
              <w:right w:val="nil"/>
            </w:tcBorders>
            <w:shd w:val="clear" w:color="auto" w:fill="auto"/>
            <w:vAlign w:val="center"/>
            <w:hideMark/>
          </w:tcPr>
          <w:p w14:paraId="4F44CCFD"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Slavica Petovic</w:t>
            </w:r>
          </w:p>
        </w:tc>
        <w:tc>
          <w:tcPr>
            <w:tcW w:w="6945" w:type="dxa"/>
            <w:tcBorders>
              <w:top w:val="nil"/>
              <w:left w:val="nil"/>
              <w:bottom w:val="nil"/>
            </w:tcBorders>
            <w:shd w:val="clear" w:color="auto" w:fill="auto"/>
            <w:vAlign w:val="center"/>
            <w:hideMark/>
          </w:tcPr>
          <w:p w14:paraId="1D78DEED" w14:textId="433BD037" w:rsidR="004C3A51" w:rsidRPr="001C6CCA" w:rsidRDefault="006C7C81" w:rsidP="00126742">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kspert za biologiju mora</w:t>
            </w:r>
            <w:r w:rsidRPr="001C6CCA">
              <w:rPr>
                <w:rFonts w:cs="Calibri"/>
                <w:color w:val="000000"/>
                <w:szCs w:val="22"/>
                <w:lang w:val="en-GB" w:eastAsia="en-GB"/>
              </w:rPr>
              <w:t xml:space="preserve"> </w:t>
            </w:r>
            <w:r w:rsidR="004C3A51" w:rsidRPr="001C6CCA">
              <w:rPr>
                <w:rFonts w:cs="Calibri"/>
                <w:color w:val="000000"/>
                <w:szCs w:val="22"/>
                <w:lang w:val="en-GB" w:eastAsia="en-GB"/>
              </w:rPr>
              <w:t>(</w:t>
            </w:r>
            <w:r w:rsidR="00126742">
              <w:rPr>
                <w:rFonts w:cs="Calibri"/>
                <w:color w:val="000000"/>
                <w:szCs w:val="22"/>
                <w:lang w:val="en-GB" w:eastAsia="en-GB"/>
              </w:rPr>
              <w:t>Strane vrste</w:t>
            </w:r>
            <w:r w:rsidR="004C3A51" w:rsidRPr="001C6CCA">
              <w:rPr>
                <w:rFonts w:cs="Calibri"/>
                <w:color w:val="000000"/>
                <w:szCs w:val="22"/>
                <w:lang w:val="en-GB" w:eastAsia="en-GB"/>
              </w:rPr>
              <w:t>)</w:t>
            </w:r>
          </w:p>
        </w:tc>
      </w:tr>
      <w:tr w:rsidR="004C3A51" w:rsidRPr="001C6CCA" w14:paraId="611FF963" w14:textId="77777777" w:rsidTr="00ED265A">
        <w:trPr>
          <w:trHeight w:val="454"/>
        </w:trPr>
        <w:tc>
          <w:tcPr>
            <w:tcW w:w="2122" w:type="dxa"/>
            <w:tcBorders>
              <w:top w:val="nil"/>
              <w:bottom w:val="nil"/>
              <w:right w:val="nil"/>
            </w:tcBorders>
            <w:shd w:val="clear" w:color="auto" w:fill="auto"/>
            <w:vAlign w:val="center"/>
            <w:hideMark/>
          </w:tcPr>
          <w:p w14:paraId="2A266DD4"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Vesna Macic</w:t>
            </w:r>
          </w:p>
        </w:tc>
        <w:tc>
          <w:tcPr>
            <w:tcW w:w="6945" w:type="dxa"/>
            <w:tcBorders>
              <w:top w:val="nil"/>
              <w:left w:val="nil"/>
              <w:bottom w:val="nil"/>
            </w:tcBorders>
            <w:shd w:val="clear" w:color="auto" w:fill="auto"/>
            <w:vAlign w:val="center"/>
            <w:hideMark/>
          </w:tcPr>
          <w:p w14:paraId="1F50281F" w14:textId="33AAB920" w:rsidR="004C3A51" w:rsidRPr="001C6CCA" w:rsidRDefault="006C7C81" w:rsidP="00D419DD">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kspert za biologiju mora</w:t>
            </w:r>
            <w:r w:rsidRPr="001C6CCA">
              <w:rPr>
                <w:rFonts w:cs="Calibri"/>
                <w:color w:val="000000"/>
                <w:szCs w:val="22"/>
                <w:lang w:val="en-GB" w:eastAsia="en-GB"/>
              </w:rPr>
              <w:t xml:space="preserve"> </w:t>
            </w:r>
            <w:r w:rsidR="004C3A51" w:rsidRPr="001C6CCA">
              <w:rPr>
                <w:rFonts w:cs="Calibri"/>
                <w:color w:val="000000"/>
                <w:szCs w:val="22"/>
                <w:lang w:val="en-GB" w:eastAsia="en-GB"/>
              </w:rPr>
              <w:t>(Bent</w:t>
            </w:r>
            <w:r w:rsidR="00D419DD">
              <w:rPr>
                <w:rFonts w:cs="Calibri"/>
                <w:color w:val="000000"/>
                <w:szCs w:val="22"/>
                <w:lang w:val="en-GB" w:eastAsia="en-GB"/>
              </w:rPr>
              <w:t>ička zona</w:t>
            </w:r>
            <w:r w:rsidR="004C3A51" w:rsidRPr="001C6CCA">
              <w:rPr>
                <w:rFonts w:cs="Calibri"/>
                <w:color w:val="000000"/>
                <w:szCs w:val="22"/>
                <w:lang w:val="en-GB" w:eastAsia="en-GB"/>
              </w:rPr>
              <w:t>)</w:t>
            </w:r>
          </w:p>
        </w:tc>
      </w:tr>
      <w:tr w:rsidR="004C3A51" w:rsidRPr="001C6CCA" w14:paraId="783A5A00" w14:textId="77777777" w:rsidTr="00ED265A">
        <w:trPr>
          <w:trHeight w:val="454"/>
        </w:trPr>
        <w:tc>
          <w:tcPr>
            <w:tcW w:w="2122" w:type="dxa"/>
            <w:tcBorders>
              <w:top w:val="nil"/>
              <w:bottom w:val="nil"/>
              <w:right w:val="nil"/>
            </w:tcBorders>
            <w:shd w:val="clear" w:color="auto" w:fill="auto"/>
            <w:vAlign w:val="center"/>
            <w:hideMark/>
          </w:tcPr>
          <w:p w14:paraId="22AF39C9"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Vladimir Zivkovic</w:t>
            </w:r>
          </w:p>
        </w:tc>
        <w:tc>
          <w:tcPr>
            <w:tcW w:w="6945" w:type="dxa"/>
            <w:tcBorders>
              <w:top w:val="nil"/>
              <w:left w:val="nil"/>
              <w:bottom w:val="nil"/>
            </w:tcBorders>
            <w:shd w:val="clear" w:color="auto" w:fill="auto"/>
            <w:vAlign w:val="center"/>
            <w:hideMark/>
          </w:tcPr>
          <w:p w14:paraId="3748A04C" w14:textId="636CE857" w:rsidR="004C3A51" w:rsidRPr="001C6CCA" w:rsidRDefault="000A2FFC" w:rsidP="00126742">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 xml:space="preserve">kspert za </w:t>
            </w:r>
            <w:r w:rsidR="00126742">
              <w:rPr>
                <w:rFonts w:cs="Calibri"/>
                <w:color w:val="000000"/>
                <w:szCs w:val="22"/>
                <w:lang w:val="en-GB" w:eastAsia="en-GB"/>
              </w:rPr>
              <w:t>hemiju mora</w:t>
            </w:r>
            <w:r w:rsidR="004C3A51" w:rsidRPr="001C6CCA">
              <w:rPr>
                <w:rFonts w:cs="Calibri"/>
                <w:color w:val="000000"/>
                <w:szCs w:val="22"/>
                <w:lang w:val="en-GB" w:eastAsia="en-GB"/>
              </w:rPr>
              <w:t xml:space="preserve"> (</w:t>
            </w:r>
            <w:r w:rsidR="00126742">
              <w:rPr>
                <w:rFonts w:cs="Calibri"/>
                <w:color w:val="000000"/>
                <w:szCs w:val="22"/>
                <w:lang w:val="en-GB" w:eastAsia="en-GB"/>
              </w:rPr>
              <w:t>Zagađivači</w:t>
            </w:r>
            <w:r w:rsidR="004C3A51" w:rsidRPr="001C6CCA">
              <w:rPr>
                <w:rFonts w:cs="Calibri"/>
                <w:color w:val="000000"/>
                <w:szCs w:val="22"/>
                <w:lang w:val="en-GB" w:eastAsia="en-GB"/>
              </w:rPr>
              <w:t>)</w:t>
            </w:r>
          </w:p>
        </w:tc>
      </w:tr>
      <w:tr w:rsidR="004C3A51" w:rsidRPr="001C6CCA" w14:paraId="1A657D99" w14:textId="77777777" w:rsidTr="00ED265A">
        <w:trPr>
          <w:trHeight w:val="454"/>
        </w:trPr>
        <w:tc>
          <w:tcPr>
            <w:tcW w:w="2122" w:type="dxa"/>
            <w:tcBorders>
              <w:top w:val="nil"/>
              <w:bottom w:val="nil"/>
              <w:right w:val="nil"/>
            </w:tcBorders>
            <w:shd w:val="clear" w:color="auto" w:fill="auto"/>
            <w:vAlign w:val="center"/>
            <w:hideMark/>
          </w:tcPr>
          <w:p w14:paraId="719B9C65"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Zdravko Ikica</w:t>
            </w:r>
          </w:p>
        </w:tc>
        <w:tc>
          <w:tcPr>
            <w:tcW w:w="6945" w:type="dxa"/>
            <w:tcBorders>
              <w:top w:val="nil"/>
              <w:left w:val="nil"/>
              <w:bottom w:val="nil"/>
            </w:tcBorders>
            <w:shd w:val="clear" w:color="auto" w:fill="auto"/>
            <w:vAlign w:val="center"/>
            <w:hideMark/>
          </w:tcPr>
          <w:p w14:paraId="79CBCC31" w14:textId="7363BC6C" w:rsidR="004C3A51" w:rsidRPr="001C6CCA" w:rsidRDefault="006C7C81" w:rsidP="00126742">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kspert za biologiju mora</w:t>
            </w:r>
            <w:r w:rsidRPr="001C6CCA">
              <w:rPr>
                <w:rFonts w:cs="Calibri"/>
                <w:color w:val="000000"/>
                <w:szCs w:val="22"/>
                <w:lang w:val="en-GB" w:eastAsia="en-GB"/>
              </w:rPr>
              <w:t xml:space="preserve"> </w:t>
            </w:r>
            <w:r w:rsidR="004C3A51" w:rsidRPr="001C6CCA">
              <w:rPr>
                <w:rFonts w:cs="Calibri"/>
                <w:color w:val="000000"/>
                <w:szCs w:val="22"/>
                <w:lang w:val="en-GB" w:eastAsia="en-GB"/>
              </w:rPr>
              <w:t>(M</w:t>
            </w:r>
            <w:r w:rsidR="00126742">
              <w:rPr>
                <w:rFonts w:cs="Calibri"/>
                <w:color w:val="000000"/>
                <w:szCs w:val="22"/>
                <w:lang w:val="en-GB" w:eastAsia="en-GB"/>
              </w:rPr>
              <w:t>orski sisari i gmizavci</w:t>
            </w:r>
            <w:r w:rsidR="004C3A51" w:rsidRPr="001C6CCA">
              <w:rPr>
                <w:rFonts w:cs="Calibri"/>
                <w:color w:val="000000"/>
                <w:szCs w:val="22"/>
                <w:lang w:val="en-GB" w:eastAsia="en-GB"/>
              </w:rPr>
              <w:t>)</w:t>
            </w:r>
          </w:p>
        </w:tc>
      </w:tr>
      <w:tr w:rsidR="004C3A51" w:rsidRPr="001C6CCA" w14:paraId="5A0ACB77" w14:textId="77777777" w:rsidTr="00ED265A">
        <w:trPr>
          <w:trHeight w:val="454"/>
        </w:trPr>
        <w:tc>
          <w:tcPr>
            <w:tcW w:w="2122" w:type="dxa"/>
            <w:tcBorders>
              <w:top w:val="nil"/>
              <w:right w:val="nil"/>
            </w:tcBorders>
            <w:shd w:val="clear" w:color="auto" w:fill="auto"/>
            <w:vAlign w:val="center"/>
            <w:hideMark/>
          </w:tcPr>
          <w:p w14:paraId="42900B8E" w14:textId="77777777" w:rsidR="004C3A51" w:rsidRPr="001C6CCA" w:rsidRDefault="004C3A51" w:rsidP="00ED265A">
            <w:pPr>
              <w:spacing w:before="0" w:after="0" w:line="240" w:lineRule="auto"/>
              <w:jc w:val="left"/>
              <w:rPr>
                <w:rFonts w:cs="Calibri"/>
                <w:color w:val="000000"/>
                <w:szCs w:val="22"/>
                <w:lang w:val="en-GB" w:eastAsia="en-GB"/>
              </w:rPr>
            </w:pPr>
            <w:r w:rsidRPr="001C6CCA">
              <w:rPr>
                <w:rFonts w:cs="Calibri"/>
                <w:color w:val="000000"/>
                <w:szCs w:val="22"/>
                <w:lang w:val="en-GB" w:eastAsia="en-GB"/>
              </w:rPr>
              <w:t>Zivana Nincevic</w:t>
            </w:r>
          </w:p>
        </w:tc>
        <w:tc>
          <w:tcPr>
            <w:tcW w:w="6945" w:type="dxa"/>
            <w:tcBorders>
              <w:top w:val="nil"/>
              <w:left w:val="nil"/>
            </w:tcBorders>
            <w:shd w:val="clear" w:color="auto" w:fill="auto"/>
            <w:vAlign w:val="center"/>
            <w:hideMark/>
          </w:tcPr>
          <w:p w14:paraId="2B183089" w14:textId="1B317BF5" w:rsidR="004C3A51" w:rsidRPr="001C6CCA" w:rsidRDefault="000A2FFC" w:rsidP="000A2FFC">
            <w:pPr>
              <w:spacing w:before="0" w:after="0" w:line="240" w:lineRule="auto"/>
              <w:jc w:val="left"/>
              <w:rPr>
                <w:rFonts w:cs="Calibri"/>
                <w:color w:val="000000"/>
                <w:szCs w:val="22"/>
                <w:lang w:val="en-GB" w:eastAsia="en-GB"/>
              </w:rPr>
            </w:pPr>
            <w:r w:rsidRPr="001C6CCA">
              <w:rPr>
                <w:rFonts w:cs="Calibri"/>
                <w:color w:val="000000"/>
                <w:szCs w:val="22"/>
                <w:lang w:val="en-GB" w:eastAsia="en-GB"/>
              </w:rPr>
              <w:t>E</w:t>
            </w:r>
            <w:r>
              <w:rPr>
                <w:rFonts w:cs="Calibri"/>
                <w:color w:val="000000"/>
                <w:szCs w:val="22"/>
                <w:lang w:val="en-GB" w:eastAsia="en-GB"/>
              </w:rPr>
              <w:t>kspert za biologiju mora</w:t>
            </w:r>
            <w:r w:rsidR="004C3A51" w:rsidRPr="001C6CCA">
              <w:rPr>
                <w:rFonts w:cs="Calibri"/>
                <w:color w:val="000000"/>
                <w:szCs w:val="22"/>
                <w:lang w:val="en-GB" w:eastAsia="en-GB"/>
              </w:rPr>
              <w:t xml:space="preserve"> (Plankton)</w:t>
            </w:r>
          </w:p>
        </w:tc>
      </w:tr>
    </w:tbl>
    <w:p w14:paraId="0D4A893A" w14:textId="77777777" w:rsidR="004C3A51" w:rsidRPr="001C6CCA" w:rsidRDefault="004C3A51" w:rsidP="004C3A51">
      <w:pPr>
        <w:pStyle w:val="Documentgeneraltitle"/>
        <w:spacing w:after="0"/>
        <w:jc w:val="both"/>
        <w:rPr>
          <w:sz w:val="20"/>
          <w:szCs w:val="20"/>
        </w:rPr>
      </w:pPr>
    </w:p>
    <w:sdt>
      <w:sdtPr>
        <w:rPr>
          <w:rFonts w:ascii="Calibri" w:eastAsia="Times New Roman" w:hAnsi="Calibri"/>
          <w:b w:val="0"/>
          <w:bCs w:val="0"/>
          <w:caps w:val="0"/>
          <w:color w:val="auto"/>
          <w:sz w:val="22"/>
          <w:szCs w:val="24"/>
          <w:lang w:val="en-GB" w:eastAsia="fr-FR"/>
        </w:rPr>
        <w:id w:val="-2128069161"/>
        <w:docPartObj>
          <w:docPartGallery w:val="Table of Contents"/>
          <w:docPartUnique/>
        </w:docPartObj>
      </w:sdtPr>
      <w:sdtEndPr/>
      <w:sdtContent>
        <w:p w14:paraId="13C6D3BE" w14:textId="094319DA" w:rsidR="00A83D79" w:rsidRPr="00D278E9" w:rsidRDefault="000A2FFC">
          <w:pPr>
            <w:pStyle w:val="TOCHeading"/>
            <w:rPr>
              <w:rFonts w:asciiTheme="minorHAnsi" w:eastAsia="Times New Roman" w:hAnsiTheme="minorHAnsi" w:cstheme="minorHAnsi"/>
              <w:b w:val="0"/>
              <w:bCs w:val="0"/>
              <w:caps w:val="0"/>
              <w:color w:val="auto"/>
              <w:sz w:val="32"/>
              <w:szCs w:val="32"/>
              <w:lang w:val="en-GB" w:eastAsia="fr-FR"/>
            </w:rPr>
          </w:pPr>
          <w:r w:rsidRPr="00D278E9">
            <w:rPr>
              <w:rFonts w:asciiTheme="minorHAnsi" w:hAnsiTheme="minorHAnsi" w:cstheme="minorHAnsi"/>
              <w:sz w:val="32"/>
              <w:szCs w:val="32"/>
              <w:lang w:val="en-GB"/>
            </w:rPr>
            <w:t>SADRŽAJ</w:t>
          </w:r>
        </w:p>
        <w:p w14:paraId="6CD31322" w14:textId="16583B7B" w:rsidR="00A65A59" w:rsidRDefault="00A83D79">
          <w:pPr>
            <w:pStyle w:val="TOC1"/>
            <w:tabs>
              <w:tab w:val="right" w:leader="dot" w:pos="9347"/>
            </w:tabs>
            <w:rPr>
              <w:rFonts w:eastAsiaTheme="minorEastAsia" w:cstheme="minorBidi"/>
              <w:b w:val="0"/>
              <w:bCs w:val="0"/>
              <w:caps w:val="0"/>
              <w:noProof/>
              <w:sz w:val="22"/>
              <w:szCs w:val="22"/>
              <w:lang w:val="hr-HR" w:eastAsia="hr-HR"/>
            </w:rPr>
          </w:pPr>
          <w:r w:rsidRPr="001C6CCA">
            <w:rPr>
              <w:lang w:val="en-GB"/>
            </w:rPr>
            <w:fldChar w:fldCharType="begin"/>
          </w:r>
          <w:r w:rsidRPr="001C6CCA">
            <w:rPr>
              <w:lang w:val="en-GB"/>
            </w:rPr>
            <w:instrText xml:space="preserve"> TOC \o "1-3" \h \z \u </w:instrText>
          </w:r>
          <w:r w:rsidRPr="001C6CCA">
            <w:rPr>
              <w:lang w:val="en-GB"/>
            </w:rPr>
            <w:fldChar w:fldCharType="separate"/>
          </w:r>
          <w:hyperlink w:anchor="_Toc83630885" w:history="1">
            <w:r w:rsidR="00A65A59" w:rsidRPr="0053518F">
              <w:rPr>
                <w:rStyle w:val="Hyperlink"/>
                <w:noProof/>
              </w:rPr>
              <w:t>KONTROLNI LIST DOKUMENTA</w:t>
            </w:r>
            <w:r w:rsidR="00A65A59">
              <w:rPr>
                <w:noProof/>
                <w:webHidden/>
              </w:rPr>
              <w:tab/>
            </w:r>
            <w:r w:rsidR="00A65A59">
              <w:rPr>
                <w:noProof/>
                <w:webHidden/>
              </w:rPr>
              <w:fldChar w:fldCharType="begin"/>
            </w:r>
            <w:r w:rsidR="00A65A59">
              <w:rPr>
                <w:noProof/>
                <w:webHidden/>
              </w:rPr>
              <w:instrText xml:space="preserve"> PAGEREF _Toc83630885 \h </w:instrText>
            </w:r>
            <w:r w:rsidR="00A65A59">
              <w:rPr>
                <w:noProof/>
                <w:webHidden/>
              </w:rPr>
            </w:r>
            <w:r w:rsidR="00A65A59">
              <w:rPr>
                <w:noProof/>
                <w:webHidden/>
              </w:rPr>
              <w:fldChar w:fldCharType="separate"/>
            </w:r>
            <w:r w:rsidR="000D1E20">
              <w:rPr>
                <w:noProof/>
                <w:webHidden/>
              </w:rPr>
              <w:t>2</w:t>
            </w:r>
            <w:r w:rsidR="00A65A59">
              <w:rPr>
                <w:noProof/>
                <w:webHidden/>
              </w:rPr>
              <w:fldChar w:fldCharType="end"/>
            </w:r>
          </w:hyperlink>
        </w:p>
        <w:p w14:paraId="7891EF5E" w14:textId="4C28AA0E" w:rsidR="00A65A59" w:rsidRDefault="003801F2">
          <w:pPr>
            <w:pStyle w:val="TOC1"/>
            <w:tabs>
              <w:tab w:val="right" w:leader="dot" w:pos="9347"/>
            </w:tabs>
            <w:rPr>
              <w:rFonts w:eastAsiaTheme="minorEastAsia" w:cstheme="minorBidi"/>
              <w:b w:val="0"/>
              <w:bCs w:val="0"/>
              <w:caps w:val="0"/>
              <w:noProof/>
              <w:sz w:val="22"/>
              <w:szCs w:val="22"/>
              <w:lang w:val="hr-HR" w:eastAsia="hr-HR"/>
            </w:rPr>
          </w:pPr>
          <w:hyperlink w:anchor="_Toc83630886" w:history="1">
            <w:r w:rsidR="00A65A59" w:rsidRPr="0053518F">
              <w:rPr>
                <w:rStyle w:val="Hyperlink"/>
                <w:noProof/>
                <w:kern w:val="32"/>
                <w:lang w:val="en-GB"/>
              </w:rPr>
              <w:t>SPISAK PROJEKTNIH EKSPERATA KOJI SU UČESTVOVALI U PRIPREMI DOKUMENTA</w:t>
            </w:r>
            <w:r w:rsidR="00A65A59">
              <w:rPr>
                <w:noProof/>
                <w:webHidden/>
              </w:rPr>
              <w:tab/>
            </w:r>
            <w:r w:rsidR="00A65A59">
              <w:rPr>
                <w:noProof/>
                <w:webHidden/>
              </w:rPr>
              <w:fldChar w:fldCharType="begin"/>
            </w:r>
            <w:r w:rsidR="00A65A59">
              <w:rPr>
                <w:noProof/>
                <w:webHidden/>
              </w:rPr>
              <w:instrText xml:space="preserve"> PAGEREF _Toc83630886 \h </w:instrText>
            </w:r>
            <w:r w:rsidR="00A65A59">
              <w:rPr>
                <w:noProof/>
                <w:webHidden/>
              </w:rPr>
            </w:r>
            <w:r w:rsidR="00A65A59">
              <w:rPr>
                <w:noProof/>
                <w:webHidden/>
              </w:rPr>
              <w:fldChar w:fldCharType="separate"/>
            </w:r>
            <w:r w:rsidR="000D1E20">
              <w:rPr>
                <w:noProof/>
                <w:webHidden/>
              </w:rPr>
              <w:t>3</w:t>
            </w:r>
            <w:r w:rsidR="00A65A59">
              <w:rPr>
                <w:noProof/>
                <w:webHidden/>
              </w:rPr>
              <w:fldChar w:fldCharType="end"/>
            </w:r>
          </w:hyperlink>
        </w:p>
        <w:p w14:paraId="1198D845" w14:textId="35929BC4" w:rsidR="00A65A59" w:rsidRDefault="003801F2">
          <w:pPr>
            <w:pStyle w:val="TOC1"/>
            <w:tabs>
              <w:tab w:val="right" w:leader="dot" w:pos="9347"/>
            </w:tabs>
            <w:rPr>
              <w:rFonts w:eastAsiaTheme="minorEastAsia" w:cstheme="minorBidi"/>
              <w:b w:val="0"/>
              <w:bCs w:val="0"/>
              <w:caps w:val="0"/>
              <w:noProof/>
              <w:sz w:val="22"/>
              <w:szCs w:val="22"/>
              <w:lang w:val="hr-HR" w:eastAsia="hr-HR"/>
            </w:rPr>
          </w:pPr>
          <w:hyperlink w:anchor="_Toc83630887" w:history="1">
            <w:r w:rsidR="00A65A59" w:rsidRPr="0053518F">
              <w:rPr>
                <w:rStyle w:val="Hyperlink"/>
                <w:noProof/>
                <w:kern w:val="32"/>
                <w:lang w:val="en-GB"/>
              </w:rPr>
              <w:t>SPISAK SLIKA</w:t>
            </w:r>
            <w:r w:rsidR="00A65A59">
              <w:rPr>
                <w:noProof/>
                <w:webHidden/>
              </w:rPr>
              <w:tab/>
            </w:r>
            <w:r w:rsidR="00A65A59">
              <w:rPr>
                <w:noProof/>
                <w:webHidden/>
              </w:rPr>
              <w:fldChar w:fldCharType="begin"/>
            </w:r>
            <w:r w:rsidR="00A65A59">
              <w:rPr>
                <w:noProof/>
                <w:webHidden/>
              </w:rPr>
              <w:instrText xml:space="preserve"> PAGEREF _Toc83630887 \h </w:instrText>
            </w:r>
            <w:r w:rsidR="00A65A59">
              <w:rPr>
                <w:noProof/>
                <w:webHidden/>
              </w:rPr>
            </w:r>
            <w:r w:rsidR="00A65A59">
              <w:rPr>
                <w:noProof/>
                <w:webHidden/>
              </w:rPr>
              <w:fldChar w:fldCharType="separate"/>
            </w:r>
            <w:r w:rsidR="000D1E20">
              <w:rPr>
                <w:noProof/>
                <w:webHidden/>
              </w:rPr>
              <w:t>7</w:t>
            </w:r>
            <w:r w:rsidR="00A65A59">
              <w:rPr>
                <w:noProof/>
                <w:webHidden/>
              </w:rPr>
              <w:fldChar w:fldCharType="end"/>
            </w:r>
          </w:hyperlink>
        </w:p>
        <w:p w14:paraId="2FAD90EE" w14:textId="7217FD0A" w:rsidR="00A65A59" w:rsidRDefault="003801F2">
          <w:pPr>
            <w:pStyle w:val="TOC1"/>
            <w:tabs>
              <w:tab w:val="right" w:leader="dot" w:pos="9347"/>
            </w:tabs>
            <w:rPr>
              <w:rFonts w:eastAsiaTheme="minorEastAsia" w:cstheme="minorBidi"/>
              <w:b w:val="0"/>
              <w:bCs w:val="0"/>
              <w:caps w:val="0"/>
              <w:noProof/>
              <w:sz w:val="22"/>
              <w:szCs w:val="22"/>
              <w:lang w:val="hr-HR" w:eastAsia="hr-HR"/>
            </w:rPr>
          </w:pPr>
          <w:hyperlink w:anchor="_Toc83630888" w:history="1">
            <w:r w:rsidR="00A65A59" w:rsidRPr="0053518F">
              <w:rPr>
                <w:rStyle w:val="Hyperlink"/>
                <w:noProof/>
                <w:kern w:val="32"/>
                <w:lang w:val="en-GB"/>
              </w:rPr>
              <w:t>SPISAK TABELA</w:t>
            </w:r>
            <w:r w:rsidR="00A65A59">
              <w:rPr>
                <w:noProof/>
                <w:webHidden/>
              </w:rPr>
              <w:tab/>
            </w:r>
            <w:r w:rsidR="00A65A59">
              <w:rPr>
                <w:noProof/>
                <w:webHidden/>
              </w:rPr>
              <w:fldChar w:fldCharType="begin"/>
            </w:r>
            <w:r w:rsidR="00A65A59">
              <w:rPr>
                <w:noProof/>
                <w:webHidden/>
              </w:rPr>
              <w:instrText xml:space="preserve"> PAGEREF _Toc83630888 \h </w:instrText>
            </w:r>
            <w:r w:rsidR="00A65A59">
              <w:rPr>
                <w:noProof/>
                <w:webHidden/>
              </w:rPr>
            </w:r>
            <w:r w:rsidR="00A65A59">
              <w:rPr>
                <w:noProof/>
                <w:webHidden/>
              </w:rPr>
              <w:fldChar w:fldCharType="separate"/>
            </w:r>
            <w:r w:rsidR="000D1E20">
              <w:rPr>
                <w:noProof/>
                <w:webHidden/>
              </w:rPr>
              <w:t>8</w:t>
            </w:r>
            <w:r w:rsidR="00A65A59">
              <w:rPr>
                <w:noProof/>
                <w:webHidden/>
              </w:rPr>
              <w:fldChar w:fldCharType="end"/>
            </w:r>
          </w:hyperlink>
        </w:p>
        <w:p w14:paraId="309DC757" w14:textId="0931680C" w:rsidR="00A65A59" w:rsidRDefault="003801F2">
          <w:pPr>
            <w:pStyle w:val="TOC1"/>
            <w:tabs>
              <w:tab w:val="right" w:leader="dot" w:pos="9347"/>
            </w:tabs>
            <w:rPr>
              <w:rFonts w:eastAsiaTheme="minorEastAsia" w:cstheme="minorBidi"/>
              <w:b w:val="0"/>
              <w:bCs w:val="0"/>
              <w:caps w:val="0"/>
              <w:noProof/>
              <w:sz w:val="22"/>
              <w:szCs w:val="22"/>
              <w:lang w:val="hr-HR" w:eastAsia="hr-HR"/>
            </w:rPr>
          </w:pPr>
          <w:hyperlink w:anchor="_Toc83630889" w:history="1">
            <w:r w:rsidR="00A65A59" w:rsidRPr="0053518F">
              <w:rPr>
                <w:rStyle w:val="Hyperlink"/>
                <w:noProof/>
                <w:kern w:val="32"/>
                <w:lang w:val="en-GB"/>
              </w:rPr>
              <w:t>SPISAK SKRAĆENICA</w:t>
            </w:r>
            <w:r w:rsidR="00A65A59">
              <w:rPr>
                <w:noProof/>
                <w:webHidden/>
              </w:rPr>
              <w:tab/>
            </w:r>
            <w:r w:rsidR="00A65A59">
              <w:rPr>
                <w:noProof/>
                <w:webHidden/>
              </w:rPr>
              <w:fldChar w:fldCharType="begin"/>
            </w:r>
            <w:r w:rsidR="00A65A59">
              <w:rPr>
                <w:noProof/>
                <w:webHidden/>
              </w:rPr>
              <w:instrText xml:space="preserve"> PAGEREF _Toc83630889 \h </w:instrText>
            </w:r>
            <w:r w:rsidR="00A65A59">
              <w:rPr>
                <w:noProof/>
                <w:webHidden/>
              </w:rPr>
            </w:r>
            <w:r w:rsidR="00A65A59">
              <w:rPr>
                <w:noProof/>
                <w:webHidden/>
              </w:rPr>
              <w:fldChar w:fldCharType="separate"/>
            </w:r>
            <w:r w:rsidR="000D1E20">
              <w:rPr>
                <w:noProof/>
                <w:webHidden/>
              </w:rPr>
              <w:t>10</w:t>
            </w:r>
            <w:r w:rsidR="00A65A59">
              <w:rPr>
                <w:noProof/>
                <w:webHidden/>
              </w:rPr>
              <w:fldChar w:fldCharType="end"/>
            </w:r>
          </w:hyperlink>
        </w:p>
        <w:p w14:paraId="2FF51605" w14:textId="07565708" w:rsidR="00A65A59" w:rsidRDefault="003801F2">
          <w:pPr>
            <w:pStyle w:val="TOC1"/>
            <w:tabs>
              <w:tab w:val="right" w:leader="dot" w:pos="9347"/>
            </w:tabs>
            <w:rPr>
              <w:rFonts w:eastAsiaTheme="minorEastAsia" w:cstheme="minorBidi"/>
              <w:b w:val="0"/>
              <w:bCs w:val="0"/>
              <w:caps w:val="0"/>
              <w:noProof/>
              <w:sz w:val="22"/>
              <w:szCs w:val="22"/>
              <w:lang w:val="hr-HR" w:eastAsia="hr-HR"/>
            </w:rPr>
          </w:pPr>
          <w:hyperlink w:anchor="_Toc83630890" w:history="1">
            <w:r w:rsidR="00A65A59" w:rsidRPr="0053518F">
              <w:rPr>
                <w:rStyle w:val="Hyperlink"/>
                <w:rFonts w:eastAsia="Calibri"/>
                <w:noProof/>
                <w:lang w:val="en-GB" w:eastAsia="en-US"/>
              </w:rPr>
              <w:t>KRATAK SADRŽAJ</w:t>
            </w:r>
            <w:r w:rsidR="00A65A59">
              <w:rPr>
                <w:noProof/>
                <w:webHidden/>
              </w:rPr>
              <w:tab/>
            </w:r>
            <w:r w:rsidR="00A65A59">
              <w:rPr>
                <w:noProof/>
                <w:webHidden/>
              </w:rPr>
              <w:fldChar w:fldCharType="begin"/>
            </w:r>
            <w:r w:rsidR="00A65A59">
              <w:rPr>
                <w:noProof/>
                <w:webHidden/>
              </w:rPr>
              <w:instrText xml:space="preserve"> PAGEREF _Toc83630890 \h </w:instrText>
            </w:r>
            <w:r w:rsidR="00A65A59">
              <w:rPr>
                <w:noProof/>
                <w:webHidden/>
              </w:rPr>
            </w:r>
            <w:r w:rsidR="00A65A59">
              <w:rPr>
                <w:noProof/>
                <w:webHidden/>
              </w:rPr>
              <w:fldChar w:fldCharType="separate"/>
            </w:r>
            <w:r w:rsidR="000D1E20">
              <w:rPr>
                <w:noProof/>
                <w:webHidden/>
              </w:rPr>
              <w:t>12</w:t>
            </w:r>
            <w:r w:rsidR="00A65A59">
              <w:rPr>
                <w:noProof/>
                <w:webHidden/>
              </w:rPr>
              <w:fldChar w:fldCharType="end"/>
            </w:r>
          </w:hyperlink>
        </w:p>
        <w:p w14:paraId="685A873E" w14:textId="006D606B" w:rsidR="00A65A59" w:rsidRDefault="003801F2">
          <w:pPr>
            <w:pStyle w:val="TOC1"/>
            <w:tabs>
              <w:tab w:val="left" w:pos="440"/>
              <w:tab w:val="right" w:leader="dot" w:pos="9347"/>
            </w:tabs>
            <w:rPr>
              <w:rFonts w:eastAsiaTheme="minorEastAsia" w:cstheme="minorBidi"/>
              <w:b w:val="0"/>
              <w:bCs w:val="0"/>
              <w:caps w:val="0"/>
              <w:noProof/>
              <w:sz w:val="22"/>
              <w:szCs w:val="22"/>
              <w:lang w:val="hr-HR" w:eastAsia="hr-HR"/>
            </w:rPr>
          </w:pPr>
          <w:hyperlink w:anchor="_Toc83630891" w:history="1">
            <w:r w:rsidR="00A65A59" w:rsidRPr="0053518F">
              <w:rPr>
                <w:rStyle w:val="Hyperlink"/>
                <w:rFonts w:eastAsiaTheme="minorHAnsi"/>
                <w:noProof/>
                <w:lang w:val="en-GB"/>
              </w:rPr>
              <w:t>1</w:t>
            </w:r>
            <w:r w:rsidR="00A65A59">
              <w:rPr>
                <w:rFonts w:eastAsiaTheme="minorEastAsia" w:cstheme="minorBidi"/>
                <w:b w:val="0"/>
                <w:bCs w:val="0"/>
                <w:caps w:val="0"/>
                <w:noProof/>
                <w:sz w:val="22"/>
                <w:szCs w:val="22"/>
                <w:lang w:val="hr-HR" w:eastAsia="hr-HR"/>
              </w:rPr>
              <w:tab/>
            </w:r>
            <w:r w:rsidR="00A65A59" w:rsidRPr="0053518F">
              <w:rPr>
                <w:rStyle w:val="Hyperlink"/>
                <w:rFonts w:eastAsiaTheme="minorHAnsi"/>
                <w:noProof/>
                <w:lang w:val="en-GB"/>
              </w:rPr>
              <w:t>UVOD</w:t>
            </w:r>
            <w:r w:rsidR="00A65A59">
              <w:rPr>
                <w:noProof/>
                <w:webHidden/>
              </w:rPr>
              <w:tab/>
            </w:r>
            <w:r w:rsidR="00A65A59">
              <w:rPr>
                <w:noProof/>
                <w:webHidden/>
              </w:rPr>
              <w:fldChar w:fldCharType="begin"/>
            </w:r>
            <w:r w:rsidR="00A65A59">
              <w:rPr>
                <w:noProof/>
                <w:webHidden/>
              </w:rPr>
              <w:instrText xml:space="preserve"> PAGEREF _Toc83630891 \h </w:instrText>
            </w:r>
            <w:r w:rsidR="00A65A59">
              <w:rPr>
                <w:noProof/>
                <w:webHidden/>
              </w:rPr>
            </w:r>
            <w:r w:rsidR="00A65A59">
              <w:rPr>
                <w:noProof/>
                <w:webHidden/>
              </w:rPr>
              <w:fldChar w:fldCharType="separate"/>
            </w:r>
            <w:r w:rsidR="000D1E20">
              <w:rPr>
                <w:noProof/>
                <w:webHidden/>
              </w:rPr>
              <w:t>22</w:t>
            </w:r>
            <w:r w:rsidR="00A65A59">
              <w:rPr>
                <w:noProof/>
                <w:webHidden/>
              </w:rPr>
              <w:fldChar w:fldCharType="end"/>
            </w:r>
          </w:hyperlink>
        </w:p>
        <w:p w14:paraId="74035606" w14:textId="5817619B" w:rsidR="00A65A59" w:rsidRDefault="003801F2">
          <w:pPr>
            <w:pStyle w:val="TOC1"/>
            <w:tabs>
              <w:tab w:val="left" w:pos="440"/>
              <w:tab w:val="right" w:leader="dot" w:pos="9347"/>
            </w:tabs>
            <w:rPr>
              <w:rFonts w:eastAsiaTheme="minorEastAsia" w:cstheme="minorBidi"/>
              <w:b w:val="0"/>
              <w:bCs w:val="0"/>
              <w:caps w:val="0"/>
              <w:noProof/>
              <w:sz w:val="22"/>
              <w:szCs w:val="22"/>
              <w:lang w:val="hr-HR" w:eastAsia="hr-HR"/>
            </w:rPr>
          </w:pPr>
          <w:hyperlink w:anchor="_Toc83630892" w:history="1">
            <w:r w:rsidR="00A65A59" w:rsidRPr="0053518F">
              <w:rPr>
                <w:rStyle w:val="Hyperlink"/>
                <w:noProof/>
                <w:lang w:val="en-GB"/>
              </w:rPr>
              <w:t>2</w:t>
            </w:r>
            <w:r w:rsidR="00A65A59">
              <w:rPr>
                <w:rFonts w:eastAsiaTheme="minorEastAsia" w:cstheme="minorBidi"/>
                <w:b w:val="0"/>
                <w:bCs w:val="0"/>
                <w:caps w:val="0"/>
                <w:noProof/>
                <w:sz w:val="22"/>
                <w:szCs w:val="22"/>
                <w:lang w:val="hr-HR" w:eastAsia="hr-HR"/>
              </w:rPr>
              <w:tab/>
            </w:r>
            <w:r w:rsidR="00A65A59" w:rsidRPr="0053518F">
              <w:rPr>
                <w:rStyle w:val="Hyperlink"/>
                <w:rFonts w:eastAsiaTheme="minorHAnsi"/>
                <w:noProof/>
                <w:lang w:val="en-GB"/>
              </w:rPr>
              <w:t>DESKRIPTORI POVEZANI SA RELEVANTNIM ANTROPOGENIM PRITISCIMA</w:t>
            </w:r>
            <w:r w:rsidR="00A65A59">
              <w:rPr>
                <w:noProof/>
                <w:webHidden/>
              </w:rPr>
              <w:tab/>
            </w:r>
            <w:r w:rsidR="00A65A59">
              <w:rPr>
                <w:noProof/>
                <w:webHidden/>
              </w:rPr>
              <w:fldChar w:fldCharType="begin"/>
            </w:r>
            <w:r w:rsidR="00A65A59">
              <w:rPr>
                <w:noProof/>
                <w:webHidden/>
              </w:rPr>
              <w:instrText xml:space="preserve"> PAGEREF _Toc83630892 \h </w:instrText>
            </w:r>
            <w:r w:rsidR="00A65A59">
              <w:rPr>
                <w:noProof/>
                <w:webHidden/>
              </w:rPr>
            </w:r>
            <w:r w:rsidR="00A65A59">
              <w:rPr>
                <w:noProof/>
                <w:webHidden/>
              </w:rPr>
              <w:fldChar w:fldCharType="separate"/>
            </w:r>
            <w:r w:rsidR="000D1E20">
              <w:rPr>
                <w:noProof/>
                <w:webHidden/>
              </w:rPr>
              <w:t>31</w:t>
            </w:r>
            <w:r w:rsidR="00A65A59">
              <w:rPr>
                <w:noProof/>
                <w:webHidden/>
              </w:rPr>
              <w:fldChar w:fldCharType="end"/>
            </w:r>
          </w:hyperlink>
        </w:p>
        <w:p w14:paraId="3F0811BA" w14:textId="1F34154D" w:rsidR="00A65A59" w:rsidRDefault="003801F2">
          <w:pPr>
            <w:pStyle w:val="TOC2"/>
            <w:rPr>
              <w:rFonts w:eastAsiaTheme="minorEastAsia" w:cstheme="minorBidi"/>
              <w:smallCaps w:val="0"/>
              <w:noProof/>
              <w:sz w:val="22"/>
              <w:szCs w:val="22"/>
              <w:lang w:val="hr-HR" w:eastAsia="hr-HR"/>
            </w:rPr>
          </w:pPr>
          <w:hyperlink w:anchor="_Toc83630893" w:history="1">
            <w:r w:rsidR="00A65A59" w:rsidRPr="0053518F">
              <w:rPr>
                <w:rStyle w:val="Hyperlink"/>
                <w:noProof/>
                <w:lang w:val="en-GB" w:eastAsia="en-US"/>
              </w:rPr>
              <w:t>2.1</w:t>
            </w:r>
            <w:r w:rsidR="00A65A59">
              <w:rPr>
                <w:rFonts w:eastAsiaTheme="minorEastAsia" w:cstheme="minorBidi"/>
                <w:smallCaps w:val="0"/>
                <w:noProof/>
                <w:sz w:val="22"/>
                <w:szCs w:val="22"/>
                <w:lang w:val="hr-HR" w:eastAsia="hr-HR"/>
              </w:rPr>
              <w:tab/>
            </w:r>
            <w:r w:rsidR="00A65A59" w:rsidRPr="0053518F">
              <w:rPr>
                <w:rStyle w:val="Hyperlink"/>
                <w:noProof/>
                <w:lang w:val="en-GB" w:eastAsia="en-US"/>
              </w:rPr>
              <w:t>STRANE VRSTE (DESKRIPTOR 2)</w:t>
            </w:r>
            <w:r w:rsidR="00A65A59">
              <w:rPr>
                <w:noProof/>
                <w:webHidden/>
              </w:rPr>
              <w:tab/>
            </w:r>
            <w:r w:rsidR="00A65A59">
              <w:rPr>
                <w:noProof/>
                <w:webHidden/>
              </w:rPr>
              <w:fldChar w:fldCharType="begin"/>
            </w:r>
            <w:r w:rsidR="00A65A59">
              <w:rPr>
                <w:noProof/>
                <w:webHidden/>
              </w:rPr>
              <w:instrText xml:space="preserve"> PAGEREF _Toc83630893 \h </w:instrText>
            </w:r>
            <w:r w:rsidR="00A65A59">
              <w:rPr>
                <w:noProof/>
                <w:webHidden/>
              </w:rPr>
            </w:r>
            <w:r w:rsidR="00A65A59">
              <w:rPr>
                <w:noProof/>
                <w:webHidden/>
              </w:rPr>
              <w:fldChar w:fldCharType="separate"/>
            </w:r>
            <w:r w:rsidR="000D1E20">
              <w:rPr>
                <w:noProof/>
                <w:webHidden/>
              </w:rPr>
              <w:t>31</w:t>
            </w:r>
            <w:r w:rsidR="00A65A59">
              <w:rPr>
                <w:noProof/>
                <w:webHidden/>
              </w:rPr>
              <w:fldChar w:fldCharType="end"/>
            </w:r>
          </w:hyperlink>
        </w:p>
        <w:p w14:paraId="339CD5A0" w14:textId="4311D697" w:rsidR="00A65A59" w:rsidRDefault="003801F2">
          <w:pPr>
            <w:pStyle w:val="TOC3"/>
            <w:rPr>
              <w:rFonts w:eastAsiaTheme="minorEastAsia" w:cstheme="minorBidi"/>
              <w:i w:val="0"/>
              <w:iCs w:val="0"/>
              <w:noProof/>
              <w:sz w:val="22"/>
              <w:szCs w:val="22"/>
              <w:lang w:val="hr-HR" w:eastAsia="hr-HR"/>
            </w:rPr>
          </w:pPr>
          <w:hyperlink w:anchor="_Toc83630894" w:history="1">
            <w:r w:rsidR="00A65A59" w:rsidRPr="0053518F">
              <w:rPr>
                <w:rStyle w:val="Hyperlink"/>
                <w:noProof/>
                <w:lang w:val="sr-Latn-ME"/>
                <w14:scene3d>
                  <w14:camera w14:prst="orthographicFront"/>
                  <w14:lightRig w14:rig="threePt" w14:dir="t">
                    <w14:rot w14:lat="0" w14:lon="0" w14:rev="0"/>
                  </w14:lightRig>
                </w14:scene3d>
              </w:rPr>
              <w:t>2.1.1</w:t>
            </w:r>
            <w:r w:rsidR="00A65A59">
              <w:rPr>
                <w:rFonts w:eastAsiaTheme="minorEastAsia" w:cstheme="minorBidi"/>
                <w:i w:val="0"/>
                <w:iCs w:val="0"/>
                <w:noProof/>
                <w:sz w:val="22"/>
                <w:szCs w:val="22"/>
                <w:lang w:val="hr-HR" w:eastAsia="hr-HR"/>
              </w:rPr>
              <w:tab/>
            </w:r>
            <w:r w:rsidR="00A65A59" w:rsidRPr="0053518F">
              <w:rPr>
                <w:rStyle w:val="Hyperlink"/>
                <w:noProof/>
                <w:lang w:val="sr-Latn-ME"/>
              </w:rPr>
              <w:t>Relevantni pritisci i uticaji</w:t>
            </w:r>
            <w:r w:rsidR="00A65A59">
              <w:rPr>
                <w:noProof/>
                <w:webHidden/>
              </w:rPr>
              <w:tab/>
            </w:r>
            <w:r w:rsidR="00A65A59">
              <w:rPr>
                <w:noProof/>
                <w:webHidden/>
              </w:rPr>
              <w:fldChar w:fldCharType="begin"/>
            </w:r>
            <w:r w:rsidR="00A65A59">
              <w:rPr>
                <w:noProof/>
                <w:webHidden/>
              </w:rPr>
              <w:instrText xml:space="preserve"> PAGEREF _Toc83630894 \h </w:instrText>
            </w:r>
            <w:r w:rsidR="00A65A59">
              <w:rPr>
                <w:noProof/>
                <w:webHidden/>
              </w:rPr>
            </w:r>
            <w:r w:rsidR="00A65A59">
              <w:rPr>
                <w:noProof/>
                <w:webHidden/>
              </w:rPr>
              <w:fldChar w:fldCharType="separate"/>
            </w:r>
            <w:r w:rsidR="000D1E20">
              <w:rPr>
                <w:noProof/>
                <w:webHidden/>
              </w:rPr>
              <w:t>31</w:t>
            </w:r>
            <w:r w:rsidR="00A65A59">
              <w:rPr>
                <w:noProof/>
                <w:webHidden/>
              </w:rPr>
              <w:fldChar w:fldCharType="end"/>
            </w:r>
          </w:hyperlink>
        </w:p>
        <w:p w14:paraId="22BC38CA" w14:textId="445C7FCC" w:rsidR="00A65A59" w:rsidRDefault="003801F2">
          <w:pPr>
            <w:pStyle w:val="TOC3"/>
            <w:rPr>
              <w:rFonts w:eastAsiaTheme="minorEastAsia" w:cstheme="minorBidi"/>
              <w:i w:val="0"/>
              <w:iCs w:val="0"/>
              <w:noProof/>
              <w:sz w:val="22"/>
              <w:szCs w:val="22"/>
              <w:lang w:val="hr-HR" w:eastAsia="hr-HR"/>
            </w:rPr>
          </w:pPr>
          <w:hyperlink w:anchor="_Toc83630895" w:history="1">
            <w:r w:rsidR="00A65A59" w:rsidRPr="0053518F">
              <w:rPr>
                <w:rStyle w:val="Hyperlink"/>
                <w:noProof/>
                <w:lang w:val="sr-Latn-ME"/>
                <w14:scene3d>
                  <w14:camera w14:prst="orthographicFront"/>
                  <w14:lightRig w14:rig="threePt" w14:dir="t">
                    <w14:rot w14:lat="0" w14:lon="0" w14:rev="0"/>
                  </w14:lightRig>
                </w14:scene3d>
              </w:rPr>
              <w:t>2.1.2</w:t>
            </w:r>
            <w:r w:rsidR="00A65A59">
              <w:rPr>
                <w:rFonts w:eastAsiaTheme="minorEastAsia" w:cstheme="minorBidi"/>
                <w:i w:val="0"/>
                <w:iCs w:val="0"/>
                <w:noProof/>
                <w:sz w:val="22"/>
                <w:szCs w:val="22"/>
                <w:lang w:val="hr-HR" w:eastAsia="hr-HR"/>
              </w:rPr>
              <w:tab/>
            </w:r>
            <w:r w:rsidR="00A65A59" w:rsidRPr="0053518F">
              <w:rPr>
                <w:rStyle w:val="Hyperlink"/>
                <w:noProof/>
                <w:lang w:val="sr-Latn-ME"/>
              </w:rPr>
              <w:t>Zakonodavni okvir – nacionalni i međunarodni</w:t>
            </w:r>
            <w:r w:rsidR="00A65A59">
              <w:rPr>
                <w:noProof/>
                <w:webHidden/>
              </w:rPr>
              <w:tab/>
            </w:r>
            <w:r w:rsidR="00A65A59">
              <w:rPr>
                <w:noProof/>
                <w:webHidden/>
              </w:rPr>
              <w:fldChar w:fldCharType="begin"/>
            </w:r>
            <w:r w:rsidR="00A65A59">
              <w:rPr>
                <w:noProof/>
                <w:webHidden/>
              </w:rPr>
              <w:instrText xml:space="preserve"> PAGEREF _Toc83630895 \h </w:instrText>
            </w:r>
            <w:r w:rsidR="00A65A59">
              <w:rPr>
                <w:noProof/>
                <w:webHidden/>
              </w:rPr>
            </w:r>
            <w:r w:rsidR="00A65A59">
              <w:rPr>
                <w:noProof/>
                <w:webHidden/>
              </w:rPr>
              <w:fldChar w:fldCharType="separate"/>
            </w:r>
            <w:r w:rsidR="000D1E20">
              <w:rPr>
                <w:noProof/>
                <w:webHidden/>
              </w:rPr>
              <w:t>32</w:t>
            </w:r>
            <w:r w:rsidR="00A65A59">
              <w:rPr>
                <w:noProof/>
                <w:webHidden/>
              </w:rPr>
              <w:fldChar w:fldCharType="end"/>
            </w:r>
          </w:hyperlink>
        </w:p>
        <w:p w14:paraId="29DB52CF" w14:textId="1DFB189C" w:rsidR="00A65A59" w:rsidRDefault="003801F2">
          <w:pPr>
            <w:pStyle w:val="TOC3"/>
            <w:rPr>
              <w:rFonts w:eastAsiaTheme="minorEastAsia" w:cstheme="minorBidi"/>
              <w:i w:val="0"/>
              <w:iCs w:val="0"/>
              <w:noProof/>
              <w:sz w:val="22"/>
              <w:szCs w:val="22"/>
              <w:lang w:val="hr-HR" w:eastAsia="hr-HR"/>
            </w:rPr>
          </w:pPr>
          <w:hyperlink w:anchor="_Toc83630896" w:history="1">
            <w:r w:rsidR="00A65A59" w:rsidRPr="0053518F">
              <w:rPr>
                <w:rStyle w:val="Hyperlink"/>
                <w:noProof/>
                <w:lang w:val="sr-Latn-ME"/>
                <w14:scene3d>
                  <w14:camera w14:prst="orthographicFront"/>
                  <w14:lightRig w14:rig="threePt" w14:dir="t">
                    <w14:rot w14:lat="0" w14:lon="0" w14:rev="0"/>
                  </w14:lightRig>
                </w14:scene3d>
              </w:rPr>
              <w:t>2.1.3</w:t>
            </w:r>
            <w:r w:rsidR="00A65A59">
              <w:rPr>
                <w:rFonts w:eastAsiaTheme="minorEastAsia" w:cstheme="minorBidi"/>
                <w:i w:val="0"/>
                <w:iCs w:val="0"/>
                <w:noProof/>
                <w:sz w:val="22"/>
                <w:szCs w:val="22"/>
                <w:lang w:val="hr-HR" w:eastAsia="hr-HR"/>
              </w:rPr>
              <w:tab/>
            </w:r>
            <w:r w:rsidR="00A65A59" w:rsidRPr="0053518F">
              <w:rPr>
                <w:rStyle w:val="Hyperlink"/>
                <w:noProof/>
                <w:lang w:val="sr-Latn-ME"/>
              </w:rPr>
              <w:t>Odabir kriterijuma za procjenu GES-a</w:t>
            </w:r>
            <w:r w:rsidR="00A65A59">
              <w:rPr>
                <w:noProof/>
                <w:webHidden/>
              </w:rPr>
              <w:tab/>
            </w:r>
            <w:r w:rsidR="00A65A59">
              <w:rPr>
                <w:noProof/>
                <w:webHidden/>
              </w:rPr>
              <w:fldChar w:fldCharType="begin"/>
            </w:r>
            <w:r w:rsidR="00A65A59">
              <w:rPr>
                <w:noProof/>
                <w:webHidden/>
              </w:rPr>
              <w:instrText xml:space="preserve"> PAGEREF _Toc83630896 \h </w:instrText>
            </w:r>
            <w:r w:rsidR="00A65A59">
              <w:rPr>
                <w:noProof/>
                <w:webHidden/>
              </w:rPr>
            </w:r>
            <w:r w:rsidR="00A65A59">
              <w:rPr>
                <w:noProof/>
                <w:webHidden/>
              </w:rPr>
              <w:fldChar w:fldCharType="separate"/>
            </w:r>
            <w:r w:rsidR="000D1E20">
              <w:rPr>
                <w:noProof/>
                <w:webHidden/>
              </w:rPr>
              <w:t>33</w:t>
            </w:r>
            <w:r w:rsidR="00A65A59">
              <w:rPr>
                <w:noProof/>
                <w:webHidden/>
              </w:rPr>
              <w:fldChar w:fldCharType="end"/>
            </w:r>
          </w:hyperlink>
        </w:p>
        <w:p w14:paraId="5E04963B" w14:textId="5F7D20CE" w:rsidR="00A65A59" w:rsidRDefault="003801F2">
          <w:pPr>
            <w:pStyle w:val="TOC3"/>
            <w:rPr>
              <w:rFonts w:eastAsiaTheme="minorEastAsia" w:cstheme="minorBidi"/>
              <w:i w:val="0"/>
              <w:iCs w:val="0"/>
              <w:noProof/>
              <w:sz w:val="22"/>
              <w:szCs w:val="22"/>
              <w:lang w:val="hr-HR" w:eastAsia="hr-HR"/>
            </w:rPr>
          </w:pPr>
          <w:hyperlink w:anchor="_Toc83630897" w:history="1">
            <w:r w:rsidR="00A65A59" w:rsidRPr="0053518F">
              <w:rPr>
                <w:rStyle w:val="Hyperlink"/>
                <w:noProof/>
                <w:lang w:val="sr-Latn-ME"/>
                <w14:scene3d>
                  <w14:camera w14:prst="orthographicFront"/>
                  <w14:lightRig w14:rig="threePt" w14:dir="t">
                    <w14:rot w14:lat="0" w14:lon="0" w14:rev="0"/>
                  </w14:lightRig>
                </w14:scene3d>
              </w:rPr>
              <w:t>2.1.4</w:t>
            </w:r>
            <w:r w:rsidR="00A65A59">
              <w:rPr>
                <w:rFonts w:eastAsiaTheme="minorEastAsia" w:cstheme="minorBidi"/>
                <w:i w:val="0"/>
                <w:iCs w:val="0"/>
                <w:noProof/>
                <w:sz w:val="22"/>
                <w:szCs w:val="22"/>
                <w:lang w:val="hr-HR" w:eastAsia="hr-HR"/>
              </w:rPr>
              <w:tab/>
            </w:r>
            <w:r w:rsidR="00A65A59" w:rsidRPr="0053518F">
              <w:rPr>
                <w:rStyle w:val="Hyperlink"/>
                <w:noProof/>
                <w:lang w:val="sr-Latn-ME"/>
              </w:rPr>
              <w:t>Rezime stanja D2 na osnovu Početne procjene</w:t>
            </w:r>
            <w:r w:rsidR="00A65A59">
              <w:rPr>
                <w:noProof/>
                <w:webHidden/>
              </w:rPr>
              <w:tab/>
            </w:r>
            <w:r w:rsidR="00A65A59">
              <w:rPr>
                <w:noProof/>
                <w:webHidden/>
              </w:rPr>
              <w:fldChar w:fldCharType="begin"/>
            </w:r>
            <w:r w:rsidR="00A65A59">
              <w:rPr>
                <w:noProof/>
                <w:webHidden/>
              </w:rPr>
              <w:instrText xml:space="preserve"> PAGEREF _Toc83630897 \h </w:instrText>
            </w:r>
            <w:r w:rsidR="00A65A59">
              <w:rPr>
                <w:noProof/>
                <w:webHidden/>
              </w:rPr>
            </w:r>
            <w:r w:rsidR="00A65A59">
              <w:rPr>
                <w:noProof/>
                <w:webHidden/>
              </w:rPr>
              <w:fldChar w:fldCharType="separate"/>
            </w:r>
            <w:r w:rsidR="000D1E20">
              <w:rPr>
                <w:noProof/>
                <w:webHidden/>
              </w:rPr>
              <w:t>33</w:t>
            </w:r>
            <w:r w:rsidR="00A65A59">
              <w:rPr>
                <w:noProof/>
                <w:webHidden/>
              </w:rPr>
              <w:fldChar w:fldCharType="end"/>
            </w:r>
          </w:hyperlink>
        </w:p>
        <w:p w14:paraId="710436C3" w14:textId="6EC8707A" w:rsidR="00A65A59" w:rsidRDefault="003801F2">
          <w:pPr>
            <w:pStyle w:val="TOC3"/>
            <w:rPr>
              <w:rFonts w:eastAsiaTheme="minorEastAsia" w:cstheme="minorBidi"/>
              <w:i w:val="0"/>
              <w:iCs w:val="0"/>
              <w:noProof/>
              <w:sz w:val="22"/>
              <w:szCs w:val="22"/>
              <w:lang w:val="hr-HR" w:eastAsia="hr-HR"/>
            </w:rPr>
          </w:pPr>
          <w:hyperlink w:anchor="_Toc83630898" w:history="1">
            <w:r w:rsidR="00A65A59" w:rsidRPr="0053518F">
              <w:rPr>
                <w:rStyle w:val="Hyperlink"/>
                <w:noProof/>
                <w:lang w:val="sr-Latn-ME"/>
                <w14:scene3d>
                  <w14:camera w14:prst="orthographicFront"/>
                  <w14:lightRig w14:rig="threePt" w14:dir="t">
                    <w14:rot w14:lat="0" w14:lon="0" w14:rev="0"/>
                  </w14:lightRig>
                </w14:scene3d>
              </w:rPr>
              <w:t>2.1.5</w:t>
            </w:r>
            <w:r w:rsidR="00A65A59">
              <w:rPr>
                <w:rFonts w:eastAsiaTheme="minorEastAsia" w:cstheme="minorBidi"/>
                <w:i w:val="0"/>
                <w:iCs w:val="0"/>
                <w:noProof/>
                <w:sz w:val="22"/>
                <w:szCs w:val="22"/>
                <w:lang w:val="hr-HR" w:eastAsia="hr-HR"/>
              </w:rPr>
              <w:tab/>
            </w:r>
            <w:r w:rsidR="00A65A59" w:rsidRPr="0053518F">
              <w:rPr>
                <w:rStyle w:val="Hyperlink"/>
                <w:noProof/>
                <w:lang w:val="sr-Latn-ME"/>
              </w:rPr>
              <w:t>Pristup procjeni GES-a</w:t>
            </w:r>
            <w:r w:rsidR="00A65A59">
              <w:rPr>
                <w:noProof/>
                <w:webHidden/>
              </w:rPr>
              <w:tab/>
            </w:r>
            <w:r w:rsidR="00A65A59">
              <w:rPr>
                <w:noProof/>
                <w:webHidden/>
              </w:rPr>
              <w:fldChar w:fldCharType="begin"/>
            </w:r>
            <w:r w:rsidR="00A65A59">
              <w:rPr>
                <w:noProof/>
                <w:webHidden/>
              </w:rPr>
              <w:instrText xml:space="preserve"> PAGEREF _Toc83630898 \h </w:instrText>
            </w:r>
            <w:r w:rsidR="00A65A59">
              <w:rPr>
                <w:noProof/>
                <w:webHidden/>
              </w:rPr>
            </w:r>
            <w:r w:rsidR="00A65A59">
              <w:rPr>
                <w:noProof/>
                <w:webHidden/>
              </w:rPr>
              <w:fldChar w:fldCharType="separate"/>
            </w:r>
            <w:r w:rsidR="000D1E20">
              <w:rPr>
                <w:noProof/>
                <w:webHidden/>
              </w:rPr>
              <w:t>36</w:t>
            </w:r>
            <w:r w:rsidR="00A65A59">
              <w:rPr>
                <w:noProof/>
                <w:webHidden/>
              </w:rPr>
              <w:fldChar w:fldCharType="end"/>
            </w:r>
          </w:hyperlink>
        </w:p>
        <w:p w14:paraId="49B5D52B" w14:textId="0D6F02D0" w:rsidR="00A65A59" w:rsidRDefault="003801F2">
          <w:pPr>
            <w:pStyle w:val="TOC3"/>
            <w:rPr>
              <w:rFonts w:eastAsiaTheme="minorEastAsia" w:cstheme="minorBidi"/>
              <w:i w:val="0"/>
              <w:iCs w:val="0"/>
              <w:noProof/>
              <w:sz w:val="22"/>
              <w:szCs w:val="22"/>
              <w:lang w:val="hr-HR" w:eastAsia="hr-HR"/>
            </w:rPr>
          </w:pPr>
          <w:hyperlink w:anchor="_Toc83630899" w:history="1">
            <w:r w:rsidR="00A65A59" w:rsidRPr="0053518F">
              <w:rPr>
                <w:rStyle w:val="Hyperlink"/>
                <w:noProof/>
                <w:lang w:val="sr-Latn-ME"/>
                <w14:scene3d>
                  <w14:camera w14:prst="orthographicFront"/>
                  <w14:lightRig w14:rig="threePt" w14:dir="t">
                    <w14:rot w14:lat="0" w14:lon="0" w14:rev="0"/>
                  </w14:lightRig>
                </w14:scene3d>
              </w:rPr>
              <w:t>2.1.6</w:t>
            </w:r>
            <w:r w:rsidR="00A65A59">
              <w:rPr>
                <w:rFonts w:eastAsiaTheme="minorEastAsia" w:cstheme="minorBidi"/>
                <w:i w:val="0"/>
                <w:iCs w:val="0"/>
                <w:noProof/>
                <w:sz w:val="22"/>
                <w:szCs w:val="22"/>
                <w:lang w:val="hr-HR" w:eastAsia="hr-HR"/>
              </w:rPr>
              <w:tab/>
            </w:r>
            <w:r w:rsidR="00A65A59" w:rsidRPr="0053518F">
              <w:rPr>
                <w:rStyle w:val="Hyperlink"/>
                <w:noProof/>
                <w:lang w:val="sr-Latn-ME"/>
              </w:rPr>
              <w:t>Pristup definisanju ciljeva za ostvarivanje/održavanje GES-a za D2</w:t>
            </w:r>
            <w:r w:rsidR="00A65A59">
              <w:rPr>
                <w:noProof/>
                <w:webHidden/>
              </w:rPr>
              <w:tab/>
            </w:r>
            <w:r w:rsidR="00A65A59">
              <w:rPr>
                <w:noProof/>
                <w:webHidden/>
              </w:rPr>
              <w:fldChar w:fldCharType="begin"/>
            </w:r>
            <w:r w:rsidR="00A65A59">
              <w:rPr>
                <w:noProof/>
                <w:webHidden/>
              </w:rPr>
              <w:instrText xml:space="preserve"> PAGEREF _Toc83630899 \h </w:instrText>
            </w:r>
            <w:r w:rsidR="00A65A59">
              <w:rPr>
                <w:noProof/>
                <w:webHidden/>
              </w:rPr>
            </w:r>
            <w:r w:rsidR="00A65A59">
              <w:rPr>
                <w:noProof/>
                <w:webHidden/>
              </w:rPr>
              <w:fldChar w:fldCharType="separate"/>
            </w:r>
            <w:r w:rsidR="000D1E20">
              <w:rPr>
                <w:noProof/>
                <w:webHidden/>
              </w:rPr>
              <w:t>36</w:t>
            </w:r>
            <w:r w:rsidR="00A65A59">
              <w:rPr>
                <w:noProof/>
                <w:webHidden/>
              </w:rPr>
              <w:fldChar w:fldCharType="end"/>
            </w:r>
          </w:hyperlink>
        </w:p>
        <w:p w14:paraId="5FBFB60D" w14:textId="7F6163B2" w:rsidR="00A65A59" w:rsidRDefault="003801F2">
          <w:pPr>
            <w:pStyle w:val="TOC3"/>
            <w:rPr>
              <w:rFonts w:eastAsiaTheme="minorEastAsia" w:cstheme="minorBidi"/>
              <w:i w:val="0"/>
              <w:iCs w:val="0"/>
              <w:noProof/>
              <w:sz w:val="22"/>
              <w:szCs w:val="22"/>
              <w:lang w:val="hr-HR" w:eastAsia="hr-HR"/>
            </w:rPr>
          </w:pPr>
          <w:hyperlink w:anchor="_Toc83630900" w:history="1">
            <w:r w:rsidR="00A65A59" w:rsidRPr="0053518F">
              <w:rPr>
                <w:rStyle w:val="Hyperlink"/>
                <w:noProof/>
                <w:lang w:val="sr-Latn-ME"/>
                <w14:scene3d>
                  <w14:camera w14:prst="orthographicFront"/>
                  <w14:lightRig w14:rig="threePt" w14:dir="t">
                    <w14:rot w14:lat="0" w14:lon="0" w14:rev="0"/>
                  </w14:lightRig>
                </w14:scene3d>
              </w:rPr>
              <w:t>2.1.7</w:t>
            </w:r>
            <w:r w:rsidR="00A65A59">
              <w:rPr>
                <w:rFonts w:eastAsiaTheme="minorEastAsia" w:cstheme="minorBidi"/>
                <w:i w:val="0"/>
                <w:iCs w:val="0"/>
                <w:noProof/>
                <w:sz w:val="22"/>
                <w:szCs w:val="22"/>
                <w:lang w:val="hr-HR" w:eastAsia="hr-HR"/>
              </w:rPr>
              <w:tab/>
            </w:r>
            <w:r w:rsidR="00A65A59" w:rsidRPr="0053518F">
              <w:rPr>
                <w:rStyle w:val="Hyperlink"/>
                <w:noProof/>
                <w:lang w:val="sr-Latn-ME"/>
              </w:rPr>
              <w:t>Veza sa ostalim deskriptorima</w:t>
            </w:r>
            <w:r w:rsidR="00A65A59">
              <w:rPr>
                <w:noProof/>
                <w:webHidden/>
              </w:rPr>
              <w:tab/>
            </w:r>
            <w:r w:rsidR="00A65A59">
              <w:rPr>
                <w:noProof/>
                <w:webHidden/>
              </w:rPr>
              <w:fldChar w:fldCharType="begin"/>
            </w:r>
            <w:r w:rsidR="00A65A59">
              <w:rPr>
                <w:noProof/>
                <w:webHidden/>
              </w:rPr>
              <w:instrText xml:space="preserve"> PAGEREF _Toc83630900 \h </w:instrText>
            </w:r>
            <w:r w:rsidR="00A65A59">
              <w:rPr>
                <w:noProof/>
                <w:webHidden/>
              </w:rPr>
            </w:r>
            <w:r w:rsidR="00A65A59">
              <w:rPr>
                <w:noProof/>
                <w:webHidden/>
              </w:rPr>
              <w:fldChar w:fldCharType="separate"/>
            </w:r>
            <w:r w:rsidR="000D1E20">
              <w:rPr>
                <w:noProof/>
                <w:webHidden/>
              </w:rPr>
              <w:t>37</w:t>
            </w:r>
            <w:r w:rsidR="00A65A59">
              <w:rPr>
                <w:noProof/>
                <w:webHidden/>
              </w:rPr>
              <w:fldChar w:fldCharType="end"/>
            </w:r>
          </w:hyperlink>
        </w:p>
        <w:p w14:paraId="58B7EBFC" w14:textId="4899096B" w:rsidR="00A65A59" w:rsidRDefault="003801F2">
          <w:pPr>
            <w:pStyle w:val="TOC3"/>
            <w:rPr>
              <w:rFonts w:eastAsiaTheme="minorEastAsia" w:cstheme="minorBidi"/>
              <w:i w:val="0"/>
              <w:iCs w:val="0"/>
              <w:noProof/>
              <w:sz w:val="22"/>
              <w:szCs w:val="22"/>
              <w:lang w:val="hr-HR" w:eastAsia="hr-HR"/>
            </w:rPr>
          </w:pPr>
          <w:hyperlink w:anchor="_Toc83630901" w:history="1">
            <w:r w:rsidR="00A65A59" w:rsidRPr="0053518F">
              <w:rPr>
                <w:rStyle w:val="Hyperlink"/>
                <w:noProof/>
                <w:lang w:val="sr-Latn-ME"/>
                <w14:scene3d>
                  <w14:camera w14:prst="orthographicFront"/>
                  <w14:lightRig w14:rig="threePt" w14:dir="t">
                    <w14:rot w14:lat="0" w14:lon="0" w14:rev="0"/>
                  </w14:lightRig>
                </w14:scene3d>
              </w:rPr>
              <w:t>2.1.8</w:t>
            </w:r>
            <w:r w:rsidR="00A65A59">
              <w:rPr>
                <w:rFonts w:eastAsiaTheme="minorEastAsia" w:cstheme="minorBidi"/>
                <w:i w:val="0"/>
                <w:iCs w:val="0"/>
                <w:noProof/>
                <w:sz w:val="22"/>
                <w:szCs w:val="22"/>
                <w:lang w:val="hr-HR" w:eastAsia="hr-HR"/>
              </w:rPr>
              <w:tab/>
            </w:r>
            <w:r w:rsidR="00A65A59" w:rsidRPr="0053518F">
              <w:rPr>
                <w:rStyle w:val="Hyperlink"/>
                <w:noProof/>
                <w:lang w:val="sr-Latn-ME"/>
              </w:rPr>
              <w:t>Nedostaci i potrebe za unapređenjem</w:t>
            </w:r>
            <w:r w:rsidR="00A65A59">
              <w:rPr>
                <w:noProof/>
                <w:webHidden/>
              </w:rPr>
              <w:tab/>
            </w:r>
            <w:r w:rsidR="00A65A59">
              <w:rPr>
                <w:noProof/>
                <w:webHidden/>
              </w:rPr>
              <w:fldChar w:fldCharType="begin"/>
            </w:r>
            <w:r w:rsidR="00A65A59">
              <w:rPr>
                <w:noProof/>
                <w:webHidden/>
              </w:rPr>
              <w:instrText xml:space="preserve"> PAGEREF _Toc83630901 \h </w:instrText>
            </w:r>
            <w:r w:rsidR="00A65A59">
              <w:rPr>
                <w:noProof/>
                <w:webHidden/>
              </w:rPr>
            </w:r>
            <w:r w:rsidR="00A65A59">
              <w:rPr>
                <w:noProof/>
                <w:webHidden/>
              </w:rPr>
              <w:fldChar w:fldCharType="separate"/>
            </w:r>
            <w:r w:rsidR="000D1E20">
              <w:rPr>
                <w:noProof/>
                <w:webHidden/>
              </w:rPr>
              <w:t>37</w:t>
            </w:r>
            <w:r w:rsidR="00A65A59">
              <w:rPr>
                <w:noProof/>
                <w:webHidden/>
              </w:rPr>
              <w:fldChar w:fldCharType="end"/>
            </w:r>
          </w:hyperlink>
        </w:p>
        <w:p w14:paraId="22E50587" w14:textId="0AA2BBBB" w:rsidR="00A65A59" w:rsidRDefault="003801F2">
          <w:pPr>
            <w:pStyle w:val="TOC2"/>
            <w:rPr>
              <w:rFonts w:eastAsiaTheme="minorEastAsia" w:cstheme="minorBidi"/>
              <w:smallCaps w:val="0"/>
              <w:noProof/>
              <w:sz w:val="22"/>
              <w:szCs w:val="22"/>
              <w:lang w:val="hr-HR" w:eastAsia="hr-HR"/>
            </w:rPr>
          </w:pPr>
          <w:hyperlink w:anchor="_Toc83630902" w:history="1">
            <w:r w:rsidR="00A65A59" w:rsidRPr="0053518F">
              <w:rPr>
                <w:rStyle w:val="Hyperlink"/>
                <w:noProof/>
                <w:lang w:val="en-GB" w:eastAsia="en-US"/>
              </w:rPr>
              <w:t>2.2</w:t>
            </w:r>
            <w:r w:rsidR="00A65A59">
              <w:rPr>
                <w:rFonts w:eastAsiaTheme="minorEastAsia" w:cstheme="minorBidi"/>
                <w:smallCaps w:val="0"/>
                <w:noProof/>
                <w:sz w:val="22"/>
                <w:szCs w:val="22"/>
                <w:lang w:val="hr-HR" w:eastAsia="hr-HR"/>
              </w:rPr>
              <w:tab/>
            </w:r>
            <w:r w:rsidR="00A65A59" w:rsidRPr="0053518F">
              <w:rPr>
                <w:rStyle w:val="Hyperlink"/>
                <w:noProof/>
                <w:lang w:val="en-GB" w:eastAsia="en-US"/>
              </w:rPr>
              <w:t>POPULACIJE RIBA I RAKOVA KOJI SE ISKORIŠĆAVAJU U KOMERCIJALNE SVRHE (DESKRIPTOR 3)</w:t>
            </w:r>
            <w:r w:rsidR="00A65A59">
              <w:rPr>
                <w:noProof/>
                <w:webHidden/>
              </w:rPr>
              <w:tab/>
            </w:r>
            <w:r w:rsidR="00A65A59">
              <w:rPr>
                <w:noProof/>
                <w:webHidden/>
              </w:rPr>
              <w:fldChar w:fldCharType="begin"/>
            </w:r>
            <w:r w:rsidR="00A65A59">
              <w:rPr>
                <w:noProof/>
                <w:webHidden/>
              </w:rPr>
              <w:instrText xml:space="preserve"> PAGEREF _Toc83630902 \h </w:instrText>
            </w:r>
            <w:r w:rsidR="00A65A59">
              <w:rPr>
                <w:noProof/>
                <w:webHidden/>
              </w:rPr>
            </w:r>
            <w:r w:rsidR="00A65A59">
              <w:rPr>
                <w:noProof/>
                <w:webHidden/>
              </w:rPr>
              <w:fldChar w:fldCharType="separate"/>
            </w:r>
            <w:r w:rsidR="000D1E20">
              <w:rPr>
                <w:noProof/>
                <w:webHidden/>
              </w:rPr>
              <w:t>38</w:t>
            </w:r>
            <w:r w:rsidR="00A65A59">
              <w:rPr>
                <w:noProof/>
                <w:webHidden/>
              </w:rPr>
              <w:fldChar w:fldCharType="end"/>
            </w:r>
          </w:hyperlink>
        </w:p>
        <w:p w14:paraId="4711E3DC" w14:textId="0D3DF2FF" w:rsidR="00A65A59" w:rsidRDefault="003801F2">
          <w:pPr>
            <w:pStyle w:val="TOC3"/>
            <w:rPr>
              <w:rFonts w:eastAsiaTheme="minorEastAsia" w:cstheme="minorBidi"/>
              <w:i w:val="0"/>
              <w:iCs w:val="0"/>
              <w:noProof/>
              <w:sz w:val="22"/>
              <w:szCs w:val="22"/>
              <w:lang w:val="hr-HR" w:eastAsia="hr-HR"/>
            </w:rPr>
          </w:pPr>
          <w:hyperlink w:anchor="_Toc83630903" w:history="1">
            <w:r w:rsidR="00A65A59" w:rsidRPr="0053518F">
              <w:rPr>
                <w:rStyle w:val="Hyperlink"/>
                <w:noProof/>
                <w:lang w:val="en-GB" w:eastAsia="en-US"/>
                <w14:scene3d>
                  <w14:camera w14:prst="orthographicFront"/>
                  <w14:lightRig w14:rig="threePt" w14:dir="t">
                    <w14:rot w14:lat="0" w14:lon="0" w14:rev="0"/>
                  </w14:lightRig>
                </w14:scene3d>
              </w:rPr>
              <w:t>2.2.1</w:t>
            </w:r>
            <w:r w:rsidR="00A65A59">
              <w:rPr>
                <w:rFonts w:eastAsiaTheme="minorEastAsia" w:cstheme="minorBidi"/>
                <w:i w:val="0"/>
                <w:iCs w:val="0"/>
                <w:noProof/>
                <w:sz w:val="22"/>
                <w:szCs w:val="22"/>
                <w:lang w:val="hr-HR" w:eastAsia="hr-HR"/>
              </w:rPr>
              <w:tab/>
            </w:r>
            <w:r w:rsidR="00A65A59" w:rsidRPr="0053518F">
              <w:rPr>
                <w:rStyle w:val="Hyperlink"/>
                <w:noProof/>
                <w:lang w:val="sr-Latn-ME"/>
              </w:rPr>
              <w:t xml:space="preserve">Zakonodavni okvir </w:t>
            </w:r>
            <w:r w:rsidR="00A65A59" w:rsidRPr="0053518F">
              <w:rPr>
                <w:rStyle w:val="Hyperlink"/>
                <w:noProof/>
                <w:lang w:val="sr-Latn-ME" w:eastAsia="en-US"/>
              </w:rPr>
              <w:t xml:space="preserve"> – nacionalni i međunarodni</w:t>
            </w:r>
            <w:r w:rsidR="00A65A59">
              <w:rPr>
                <w:noProof/>
                <w:webHidden/>
              </w:rPr>
              <w:tab/>
            </w:r>
            <w:r w:rsidR="00A65A59">
              <w:rPr>
                <w:noProof/>
                <w:webHidden/>
              </w:rPr>
              <w:fldChar w:fldCharType="begin"/>
            </w:r>
            <w:r w:rsidR="00A65A59">
              <w:rPr>
                <w:noProof/>
                <w:webHidden/>
              </w:rPr>
              <w:instrText xml:space="preserve"> PAGEREF _Toc83630903 \h </w:instrText>
            </w:r>
            <w:r w:rsidR="00A65A59">
              <w:rPr>
                <w:noProof/>
                <w:webHidden/>
              </w:rPr>
            </w:r>
            <w:r w:rsidR="00A65A59">
              <w:rPr>
                <w:noProof/>
                <w:webHidden/>
              </w:rPr>
              <w:fldChar w:fldCharType="separate"/>
            </w:r>
            <w:r w:rsidR="000D1E20">
              <w:rPr>
                <w:noProof/>
                <w:webHidden/>
              </w:rPr>
              <w:t>38</w:t>
            </w:r>
            <w:r w:rsidR="00A65A59">
              <w:rPr>
                <w:noProof/>
                <w:webHidden/>
              </w:rPr>
              <w:fldChar w:fldCharType="end"/>
            </w:r>
          </w:hyperlink>
        </w:p>
        <w:p w14:paraId="145F4445" w14:textId="344C523E" w:rsidR="00A65A59" w:rsidRDefault="003801F2">
          <w:pPr>
            <w:pStyle w:val="TOC3"/>
            <w:rPr>
              <w:rFonts w:eastAsiaTheme="minorEastAsia" w:cstheme="minorBidi"/>
              <w:i w:val="0"/>
              <w:iCs w:val="0"/>
              <w:noProof/>
              <w:sz w:val="22"/>
              <w:szCs w:val="22"/>
              <w:lang w:val="hr-HR" w:eastAsia="hr-HR"/>
            </w:rPr>
          </w:pPr>
          <w:hyperlink w:anchor="_Toc83630904" w:history="1">
            <w:r w:rsidR="00A65A59" w:rsidRPr="0053518F">
              <w:rPr>
                <w:rStyle w:val="Hyperlink"/>
                <w:noProof/>
                <w:lang w:val="en-GB" w:eastAsia="en-US"/>
                <w14:scene3d>
                  <w14:camera w14:prst="orthographicFront"/>
                  <w14:lightRig w14:rig="threePt" w14:dir="t">
                    <w14:rot w14:lat="0" w14:lon="0" w14:rev="0"/>
                  </w14:lightRig>
                </w14:scene3d>
              </w:rPr>
              <w:t>2.2.2</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Relevantni pritisci i uticaji</w:t>
            </w:r>
            <w:r w:rsidR="00A65A59">
              <w:rPr>
                <w:noProof/>
                <w:webHidden/>
              </w:rPr>
              <w:tab/>
            </w:r>
            <w:r w:rsidR="00A65A59">
              <w:rPr>
                <w:noProof/>
                <w:webHidden/>
              </w:rPr>
              <w:fldChar w:fldCharType="begin"/>
            </w:r>
            <w:r w:rsidR="00A65A59">
              <w:rPr>
                <w:noProof/>
                <w:webHidden/>
              </w:rPr>
              <w:instrText xml:space="preserve"> PAGEREF _Toc83630904 \h </w:instrText>
            </w:r>
            <w:r w:rsidR="00A65A59">
              <w:rPr>
                <w:noProof/>
                <w:webHidden/>
              </w:rPr>
            </w:r>
            <w:r w:rsidR="00A65A59">
              <w:rPr>
                <w:noProof/>
                <w:webHidden/>
              </w:rPr>
              <w:fldChar w:fldCharType="separate"/>
            </w:r>
            <w:r w:rsidR="000D1E20">
              <w:rPr>
                <w:noProof/>
                <w:webHidden/>
              </w:rPr>
              <w:t>39</w:t>
            </w:r>
            <w:r w:rsidR="00A65A59">
              <w:rPr>
                <w:noProof/>
                <w:webHidden/>
              </w:rPr>
              <w:fldChar w:fldCharType="end"/>
            </w:r>
          </w:hyperlink>
        </w:p>
        <w:p w14:paraId="25CABA46" w14:textId="2D69C35A" w:rsidR="00A65A59" w:rsidRDefault="003801F2">
          <w:pPr>
            <w:pStyle w:val="TOC3"/>
            <w:rPr>
              <w:rFonts w:eastAsiaTheme="minorEastAsia" w:cstheme="minorBidi"/>
              <w:i w:val="0"/>
              <w:iCs w:val="0"/>
              <w:noProof/>
              <w:sz w:val="22"/>
              <w:szCs w:val="22"/>
              <w:lang w:val="hr-HR" w:eastAsia="hr-HR"/>
            </w:rPr>
          </w:pPr>
          <w:hyperlink w:anchor="_Toc83630905" w:history="1">
            <w:r w:rsidR="00A65A59" w:rsidRPr="0053518F">
              <w:rPr>
                <w:rStyle w:val="Hyperlink"/>
                <w:noProof/>
                <w:lang w:val="en-GB" w:eastAsia="en-US"/>
                <w14:scene3d>
                  <w14:camera w14:prst="orthographicFront"/>
                  <w14:lightRig w14:rig="threePt" w14:dir="t">
                    <w14:rot w14:lat="0" w14:lon="0" w14:rev="0"/>
                  </w14:lightRig>
                </w14:scene3d>
              </w:rPr>
              <w:t>2.2.3</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Odabir kriterijuma za procjenu GES-a</w:t>
            </w:r>
            <w:r w:rsidR="00A65A59">
              <w:rPr>
                <w:noProof/>
                <w:webHidden/>
              </w:rPr>
              <w:tab/>
            </w:r>
            <w:r w:rsidR="00A65A59">
              <w:rPr>
                <w:noProof/>
                <w:webHidden/>
              </w:rPr>
              <w:fldChar w:fldCharType="begin"/>
            </w:r>
            <w:r w:rsidR="00A65A59">
              <w:rPr>
                <w:noProof/>
                <w:webHidden/>
              </w:rPr>
              <w:instrText xml:space="preserve"> PAGEREF _Toc83630905 \h </w:instrText>
            </w:r>
            <w:r w:rsidR="00A65A59">
              <w:rPr>
                <w:noProof/>
                <w:webHidden/>
              </w:rPr>
            </w:r>
            <w:r w:rsidR="00A65A59">
              <w:rPr>
                <w:noProof/>
                <w:webHidden/>
              </w:rPr>
              <w:fldChar w:fldCharType="separate"/>
            </w:r>
            <w:r w:rsidR="000D1E20">
              <w:rPr>
                <w:noProof/>
                <w:webHidden/>
              </w:rPr>
              <w:t>41</w:t>
            </w:r>
            <w:r w:rsidR="00A65A59">
              <w:rPr>
                <w:noProof/>
                <w:webHidden/>
              </w:rPr>
              <w:fldChar w:fldCharType="end"/>
            </w:r>
          </w:hyperlink>
        </w:p>
        <w:p w14:paraId="6D58D389" w14:textId="67BAA944" w:rsidR="00A65A59" w:rsidRDefault="003801F2">
          <w:pPr>
            <w:pStyle w:val="TOC3"/>
            <w:rPr>
              <w:rFonts w:eastAsiaTheme="minorEastAsia" w:cstheme="minorBidi"/>
              <w:i w:val="0"/>
              <w:iCs w:val="0"/>
              <w:noProof/>
              <w:sz w:val="22"/>
              <w:szCs w:val="22"/>
              <w:lang w:val="hr-HR" w:eastAsia="hr-HR"/>
            </w:rPr>
          </w:pPr>
          <w:hyperlink w:anchor="_Toc83630906" w:history="1">
            <w:r w:rsidR="00A65A59" w:rsidRPr="0053518F">
              <w:rPr>
                <w:rStyle w:val="Hyperlink"/>
                <w:noProof/>
                <w:lang w:val="sr-Latn-ME"/>
                <w14:scene3d>
                  <w14:camera w14:prst="orthographicFront"/>
                  <w14:lightRig w14:rig="threePt" w14:dir="t">
                    <w14:rot w14:lat="0" w14:lon="0" w14:rev="0"/>
                  </w14:lightRig>
                </w14:scene3d>
              </w:rPr>
              <w:t>2.2.4</w:t>
            </w:r>
            <w:r w:rsidR="00A65A59">
              <w:rPr>
                <w:rFonts w:eastAsiaTheme="minorEastAsia" w:cstheme="minorBidi"/>
                <w:i w:val="0"/>
                <w:iCs w:val="0"/>
                <w:noProof/>
                <w:sz w:val="22"/>
                <w:szCs w:val="22"/>
                <w:lang w:val="hr-HR" w:eastAsia="hr-HR"/>
              </w:rPr>
              <w:tab/>
            </w:r>
            <w:r w:rsidR="00A65A59" w:rsidRPr="0053518F">
              <w:rPr>
                <w:rStyle w:val="Hyperlink"/>
                <w:noProof/>
                <w:lang w:val="sr-Latn-ME"/>
              </w:rPr>
              <w:t>Rezime stanja D3 na osnovu Početne procjene</w:t>
            </w:r>
            <w:r w:rsidR="00A65A59">
              <w:rPr>
                <w:noProof/>
                <w:webHidden/>
              </w:rPr>
              <w:tab/>
            </w:r>
            <w:r w:rsidR="00A65A59">
              <w:rPr>
                <w:noProof/>
                <w:webHidden/>
              </w:rPr>
              <w:fldChar w:fldCharType="begin"/>
            </w:r>
            <w:r w:rsidR="00A65A59">
              <w:rPr>
                <w:noProof/>
                <w:webHidden/>
              </w:rPr>
              <w:instrText xml:space="preserve"> PAGEREF _Toc83630906 \h </w:instrText>
            </w:r>
            <w:r w:rsidR="00A65A59">
              <w:rPr>
                <w:noProof/>
                <w:webHidden/>
              </w:rPr>
            </w:r>
            <w:r w:rsidR="00A65A59">
              <w:rPr>
                <w:noProof/>
                <w:webHidden/>
              </w:rPr>
              <w:fldChar w:fldCharType="separate"/>
            </w:r>
            <w:r w:rsidR="000D1E20">
              <w:rPr>
                <w:noProof/>
                <w:webHidden/>
              </w:rPr>
              <w:t>41</w:t>
            </w:r>
            <w:r w:rsidR="00A65A59">
              <w:rPr>
                <w:noProof/>
                <w:webHidden/>
              </w:rPr>
              <w:fldChar w:fldCharType="end"/>
            </w:r>
          </w:hyperlink>
        </w:p>
        <w:p w14:paraId="03B8333F" w14:textId="11506E78" w:rsidR="00A65A59" w:rsidRDefault="003801F2">
          <w:pPr>
            <w:pStyle w:val="TOC3"/>
            <w:rPr>
              <w:rFonts w:eastAsiaTheme="minorEastAsia" w:cstheme="minorBidi"/>
              <w:i w:val="0"/>
              <w:iCs w:val="0"/>
              <w:noProof/>
              <w:sz w:val="22"/>
              <w:szCs w:val="22"/>
              <w:lang w:val="hr-HR" w:eastAsia="hr-HR"/>
            </w:rPr>
          </w:pPr>
          <w:hyperlink w:anchor="_Toc83630907" w:history="1">
            <w:r w:rsidR="00A65A59" w:rsidRPr="0053518F">
              <w:rPr>
                <w:rStyle w:val="Hyperlink"/>
                <w:noProof/>
                <w:lang w:val="en-GB" w:eastAsia="en-US"/>
                <w14:scene3d>
                  <w14:camera w14:prst="orthographicFront"/>
                  <w14:lightRig w14:rig="threePt" w14:dir="t">
                    <w14:rot w14:lat="0" w14:lon="0" w14:rev="0"/>
                  </w14:lightRig>
                </w14:scene3d>
              </w:rPr>
              <w:t>2.2.5</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Pristup procjeni GES-a</w:t>
            </w:r>
            <w:r w:rsidR="00A65A59">
              <w:rPr>
                <w:noProof/>
                <w:webHidden/>
              </w:rPr>
              <w:tab/>
            </w:r>
            <w:r w:rsidR="00A65A59">
              <w:rPr>
                <w:noProof/>
                <w:webHidden/>
              </w:rPr>
              <w:fldChar w:fldCharType="begin"/>
            </w:r>
            <w:r w:rsidR="00A65A59">
              <w:rPr>
                <w:noProof/>
                <w:webHidden/>
              </w:rPr>
              <w:instrText xml:space="preserve"> PAGEREF _Toc83630907 \h </w:instrText>
            </w:r>
            <w:r w:rsidR="00A65A59">
              <w:rPr>
                <w:noProof/>
                <w:webHidden/>
              </w:rPr>
            </w:r>
            <w:r w:rsidR="00A65A59">
              <w:rPr>
                <w:noProof/>
                <w:webHidden/>
              </w:rPr>
              <w:fldChar w:fldCharType="separate"/>
            </w:r>
            <w:r w:rsidR="000D1E20">
              <w:rPr>
                <w:noProof/>
                <w:webHidden/>
              </w:rPr>
              <w:t>49</w:t>
            </w:r>
            <w:r w:rsidR="00A65A59">
              <w:rPr>
                <w:noProof/>
                <w:webHidden/>
              </w:rPr>
              <w:fldChar w:fldCharType="end"/>
            </w:r>
          </w:hyperlink>
        </w:p>
        <w:p w14:paraId="4C92B0C2" w14:textId="0F00DB3C" w:rsidR="00A65A59" w:rsidRDefault="003801F2">
          <w:pPr>
            <w:pStyle w:val="TOC3"/>
            <w:rPr>
              <w:rFonts w:eastAsiaTheme="minorEastAsia" w:cstheme="minorBidi"/>
              <w:i w:val="0"/>
              <w:iCs w:val="0"/>
              <w:noProof/>
              <w:sz w:val="22"/>
              <w:szCs w:val="22"/>
              <w:lang w:val="hr-HR" w:eastAsia="hr-HR"/>
            </w:rPr>
          </w:pPr>
          <w:hyperlink w:anchor="_Toc83630908" w:history="1">
            <w:r w:rsidR="00A65A59" w:rsidRPr="0053518F">
              <w:rPr>
                <w:rStyle w:val="Hyperlink"/>
                <w:noProof/>
                <w:lang w:val="en-GB"/>
                <w14:scene3d>
                  <w14:camera w14:prst="orthographicFront"/>
                  <w14:lightRig w14:rig="threePt" w14:dir="t">
                    <w14:rot w14:lat="0" w14:lon="0" w14:rev="0"/>
                  </w14:lightRig>
                </w14:scene3d>
              </w:rPr>
              <w:t>2.2.6</w:t>
            </w:r>
            <w:r w:rsidR="00A65A59">
              <w:rPr>
                <w:rFonts w:eastAsiaTheme="minorEastAsia" w:cstheme="minorBidi"/>
                <w:i w:val="0"/>
                <w:iCs w:val="0"/>
                <w:noProof/>
                <w:sz w:val="22"/>
                <w:szCs w:val="22"/>
                <w:lang w:val="hr-HR" w:eastAsia="hr-HR"/>
              </w:rPr>
              <w:tab/>
            </w:r>
            <w:r w:rsidR="00A65A59" w:rsidRPr="0053518F">
              <w:rPr>
                <w:rStyle w:val="Hyperlink"/>
                <w:noProof/>
                <w:lang w:val="en-GB"/>
              </w:rPr>
              <w:t>Postizanje GES-a</w:t>
            </w:r>
            <w:r w:rsidR="00A65A59">
              <w:rPr>
                <w:noProof/>
                <w:webHidden/>
              </w:rPr>
              <w:tab/>
            </w:r>
            <w:r w:rsidR="00A65A59">
              <w:rPr>
                <w:noProof/>
                <w:webHidden/>
              </w:rPr>
              <w:fldChar w:fldCharType="begin"/>
            </w:r>
            <w:r w:rsidR="00A65A59">
              <w:rPr>
                <w:noProof/>
                <w:webHidden/>
              </w:rPr>
              <w:instrText xml:space="preserve"> PAGEREF _Toc83630908 \h </w:instrText>
            </w:r>
            <w:r w:rsidR="00A65A59">
              <w:rPr>
                <w:noProof/>
                <w:webHidden/>
              </w:rPr>
            </w:r>
            <w:r w:rsidR="00A65A59">
              <w:rPr>
                <w:noProof/>
                <w:webHidden/>
              </w:rPr>
              <w:fldChar w:fldCharType="separate"/>
            </w:r>
            <w:r w:rsidR="000D1E20">
              <w:rPr>
                <w:noProof/>
                <w:webHidden/>
              </w:rPr>
              <w:t>51</w:t>
            </w:r>
            <w:r w:rsidR="00A65A59">
              <w:rPr>
                <w:noProof/>
                <w:webHidden/>
              </w:rPr>
              <w:fldChar w:fldCharType="end"/>
            </w:r>
          </w:hyperlink>
        </w:p>
        <w:p w14:paraId="3293D726" w14:textId="7745AC94" w:rsidR="00A65A59" w:rsidRDefault="003801F2">
          <w:pPr>
            <w:pStyle w:val="TOC3"/>
            <w:rPr>
              <w:rFonts w:eastAsiaTheme="minorEastAsia" w:cstheme="minorBidi"/>
              <w:i w:val="0"/>
              <w:iCs w:val="0"/>
              <w:noProof/>
              <w:sz w:val="22"/>
              <w:szCs w:val="22"/>
              <w:lang w:val="hr-HR" w:eastAsia="hr-HR"/>
            </w:rPr>
          </w:pPr>
          <w:hyperlink w:anchor="_Toc83630909" w:history="1">
            <w:r w:rsidR="00A65A59" w:rsidRPr="0053518F">
              <w:rPr>
                <w:rStyle w:val="Hyperlink"/>
                <w:noProof/>
                <w:lang w:val="en-GB"/>
                <w14:scene3d>
                  <w14:camera w14:prst="orthographicFront"/>
                  <w14:lightRig w14:rig="threePt" w14:dir="t">
                    <w14:rot w14:lat="0" w14:lon="0" w14:rev="0"/>
                  </w14:lightRig>
                </w14:scene3d>
              </w:rPr>
              <w:t>2.2.7</w:t>
            </w:r>
            <w:r w:rsidR="00A65A59">
              <w:rPr>
                <w:rFonts w:eastAsiaTheme="minorEastAsia" w:cstheme="minorBidi"/>
                <w:i w:val="0"/>
                <w:iCs w:val="0"/>
                <w:noProof/>
                <w:sz w:val="22"/>
                <w:szCs w:val="22"/>
                <w:lang w:val="hr-HR" w:eastAsia="hr-HR"/>
              </w:rPr>
              <w:tab/>
            </w:r>
            <w:r w:rsidR="00A65A59" w:rsidRPr="0053518F">
              <w:rPr>
                <w:rStyle w:val="Hyperlink"/>
                <w:noProof/>
                <w:lang w:val="en-GB"/>
              </w:rPr>
              <w:t>Pristup definisanju ciljeva za D3</w:t>
            </w:r>
            <w:r w:rsidR="00A65A59">
              <w:rPr>
                <w:noProof/>
                <w:webHidden/>
              </w:rPr>
              <w:tab/>
            </w:r>
            <w:r w:rsidR="00A65A59">
              <w:rPr>
                <w:noProof/>
                <w:webHidden/>
              </w:rPr>
              <w:fldChar w:fldCharType="begin"/>
            </w:r>
            <w:r w:rsidR="00A65A59">
              <w:rPr>
                <w:noProof/>
                <w:webHidden/>
              </w:rPr>
              <w:instrText xml:space="preserve"> PAGEREF _Toc83630909 \h </w:instrText>
            </w:r>
            <w:r w:rsidR="00A65A59">
              <w:rPr>
                <w:noProof/>
                <w:webHidden/>
              </w:rPr>
            </w:r>
            <w:r w:rsidR="00A65A59">
              <w:rPr>
                <w:noProof/>
                <w:webHidden/>
              </w:rPr>
              <w:fldChar w:fldCharType="separate"/>
            </w:r>
            <w:r w:rsidR="000D1E20">
              <w:rPr>
                <w:noProof/>
                <w:webHidden/>
              </w:rPr>
              <w:t>55</w:t>
            </w:r>
            <w:r w:rsidR="00A65A59">
              <w:rPr>
                <w:noProof/>
                <w:webHidden/>
              </w:rPr>
              <w:fldChar w:fldCharType="end"/>
            </w:r>
          </w:hyperlink>
        </w:p>
        <w:p w14:paraId="6CB18A05" w14:textId="437252C1" w:rsidR="00A65A59" w:rsidRDefault="003801F2">
          <w:pPr>
            <w:pStyle w:val="TOC3"/>
            <w:rPr>
              <w:rFonts w:eastAsiaTheme="minorEastAsia" w:cstheme="minorBidi"/>
              <w:i w:val="0"/>
              <w:iCs w:val="0"/>
              <w:noProof/>
              <w:sz w:val="22"/>
              <w:szCs w:val="22"/>
              <w:lang w:val="hr-HR" w:eastAsia="hr-HR"/>
            </w:rPr>
          </w:pPr>
          <w:hyperlink w:anchor="_Toc83630910" w:history="1">
            <w:r w:rsidR="00A65A59" w:rsidRPr="0053518F">
              <w:rPr>
                <w:rStyle w:val="Hyperlink"/>
                <w:noProof/>
                <w:lang w:val="en-GB" w:eastAsia="en-US"/>
                <w14:scene3d>
                  <w14:camera w14:prst="orthographicFront"/>
                  <w14:lightRig w14:rig="threePt" w14:dir="t">
                    <w14:rot w14:lat="0" w14:lon="0" w14:rev="0"/>
                  </w14:lightRig>
                </w14:scene3d>
              </w:rPr>
              <w:t>2.2.8</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Postojeće mjere za postizanje GES-a</w:t>
            </w:r>
            <w:r w:rsidR="00A65A59">
              <w:rPr>
                <w:noProof/>
                <w:webHidden/>
              </w:rPr>
              <w:tab/>
            </w:r>
            <w:r w:rsidR="00A65A59">
              <w:rPr>
                <w:noProof/>
                <w:webHidden/>
              </w:rPr>
              <w:fldChar w:fldCharType="begin"/>
            </w:r>
            <w:r w:rsidR="00A65A59">
              <w:rPr>
                <w:noProof/>
                <w:webHidden/>
              </w:rPr>
              <w:instrText xml:space="preserve"> PAGEREF _Toc83630910 \h </w:instrText>
            </w:r>
            <w:r w:rsidR="00A65A59">
              <w:rPr>
                <w:noProof/>
                <w:webHidden/>
              </w:rPr>
            </w:r>
            <w:r w:rsidR="00A65A59">
              <w:rPr>
                <w:noProof/>
                <w:webHidden/>
              </w:rPr>
              <w:fldChar w:fldCharType="separate"/>
            </w:r>
            <w:r w:rsidR="000D1E20">
              <w:rPr>
                <w:noProof/>
                <w:webHidden/>
              </w:rPr>
              <w:t>56</w:t>
            </w:r>
            <w:r w:rsidR="00A65A59">
              <w:rPr>
                <w:noProof/>
                <w:webHidden/>
              </w:rPr>
              <w:fldChar w:fldCharType="end"/>
            </w:r>
          </w:hyperlink>
        </w:p>
        <w:p w14:paraId="7208CB03" w14:textId="4C805A24" w:rsidR="00A65A59" w:rsidRDefault="003801F2">
          <w:pPr>
            <w:pStyle w:val="TOC3"/>
            <w:rPr>
              <w:rFonts w:eastAsiaTheme="minorEastAsia" w:cstheme="minorBidi"/>
              <w:i w:val="0"/>
              <w:iCs w:val="0"/>
              <w:noProof/>
              <w:sz w:val="22"/>
              <w:szCs w:val="22"/>
              <w:lang w:val="hr-HR" w:eastAsia="hr-HR"/>
            </w:rPr>
          </w:pPr>
          <w:hyperlink w:anchor="_Toc83630911" w:history="1">
            <w:r w:rsidR="00A65A59" w:rsidRPr="0053518F">
              <w:rPr>
                <w:rStyle w:val="Hyperlink"/>
                <w:noProof/>
                <w:lang w:val="en-GB" w:eastAsia="en-US"/>
                <w14:scene3d>
                  <w14:camera w14:prst="orthographicFront"/>
                  <w14:lightRig w14:rig="threePt" w14:dir="t">
                    <w14:rot w14:lat="0" w14:lon="0" w14:rev="0"/>
                  </w14:lightRig>
                </w14:scene3d>
              </w:rPr>
              <w:t>2.2.9</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Veze sa ostalim deskriptorima</w:t>
            </w:r>
            <w:r w:rsidR="00A65A59">
              <w:rPr>
                <w:noProof/>
                <w:webHidden/>
              </w:rPr>
              <w:tab/>
            </w:r>
            <w:r w:rsidR="00A65A59">
              <w:rPr>
                <w:noProof/>
                <w:webHidden/>
              </w:rPr>
              <w:fldChar w:fldCharType="begin"/>
            </w:r>
            <w:r w:rsidR="00A65A59">
              <w:rPr>
                <w:noProof/>
                <w:webHidden/>
              </w:rPr>
              <w:instrText xml:space="preserve"> PAGEREF _Toc83630911 \h </w:instrText>
            </w:r>
            <w:r w:rsidR="00A65A59">
              <w:rPr>
                <w:noProof/>
                <w:webHidden/>
              </w:rPr>
            </w:r>
            <w:r w:rsidR="00A65A59">
              <w:rPr>
                <w:noProof/>
                <w:webHidden/>
              </w:rPr>
              <w:fldChar w:fldCharType="separate"/>
            </w:r>
            <w:r w:rsidR="000D1E20">
              <w:rPr>
                <w:noProof/>
                <w:webHidden/>
              </w:rPr>
              <w:t>57</w:t>
            </w:r>
            <w:r w:rsidR="00A65A59">
              <w:rPr>
                <w:noProof/>
                <w:webHidden/>
              </w:rPr>
              <w:fldChar w:fldCharType="end"/>
            </w:r>
          </w:hyperlink>
        </w:p>
        <w:p w14:paraId="56613331" w14:textId="3D30F5B1" w:rsidR="00A65A59" w:rsidRDefault="003801F2">
          <w:pPr>
            <w:pStyle w:val="TOC3"/>
            <w:rPr>
              <w:rFonts w:eastAsiaTheme="minorEastAsia" w:cstheme="minorBidi"/>
              <w:i w:val="0"/>
              <w:iCs w:val="0"/>
              <w:noProof/>
              <w:sz w:val="22"/>
              <w:szCs w:val="22"/>
              <w:lang w:val="hr-HR" w:eastAsia="hr-HR"/>
            </w:rPr>
          </w:pPr>
          <w:hyperlink w:anchor="_Toc83630912" w:history="1">
            <w:r w:rsidR="00A65A59" w:rsidRPr="0053518F">
              <w:rPr>
                <w:rStyle w:val="Hyperlink"/>
                <w:noProof/>
                <w:lang w:val="en-GB" w:eastAsia="en-US"/>
                <w14:scene3d>
                  <w14:camera w14:prst="orthographicFront"/>
                  <w14:lightRig w14:rig="threePt" w14:dir="t">
                    <w14:rot w14:lat="0" w14:lon="0" w14:rev="0"/>
                  </w14:lightRig>
                </w14:scene3d>
              </w:rPr>
              <w:t>2.2.10</w:t>
            </w:r>
            <w:r w:rsidR="00A65A59">
              <w:rPr>
                <w:rFonts w:eastAsiaTheme="minorEastAsia" w:cstheme="minorBidi"/>
                <w:i w:val="0"/>
                <w:iCs w:val="0"/>
                <w:noProof/>
                <w:sz w:val="22"/>
                <w:szCs w:val="22"/>
                <w:lang w:val="hr-HR" w:eastAsia="hr-HR"/>
              </w:rPr>
              <w:tab/>
            </w:r>
            <w:r w:rsidR="00A65A59" w:rsidRPr="0053518F">
              <w:rPr>
                <w:rStyle w:val="Hyperlink"/>
                <w:noProof/>
                <w:lang w:val="sr-Latn-ME" w:eastAsia="en-US"/>
              </w:rPr>
              <w:t>Nedostaci i potrebe za unapređenjem</w:t>
            </w:r>
            <w:r w:rsidR="00A65A59">
              <w:rPr>
                <w:noProof/>
                <w:webHidden/>
              </w:rPr>
              <w:tab/>
            </w:r>
            <w:r w:rsidR="00A65A59">
              <w:rPr>
                <w:noProof/>
                <w:webHidden/>
              </w:rPr>
              <w:fldChar w:fldCharType="begin"/>
            </w:r>
            <w:r w:rsidR="00A65A59">
              <w:rPr>
                <w:noProof/>
                <w:webHidden/>
              </w:rPr>
              <w:instrText xml:space="preserve"> PAGEREF _Toc83630912 \h </w:instrText>
            </w:r>
            <w:r w:rsidR="00A65A59">
              <w:rPr>
                <w:noProof/>
                <w:webHidden/>
              </w:rPr>
            </w:r>
            <w:r w:rsidR="00A65A59">
              <w:rPr>
                <w:noProof/>
                <w:webHidden/>
              </w:rPr>
              <w:fldChar w:fldCharType="separate"/>
            </w:r>
            <w:r w:rsidR="000D1E20">
              <w:rPr>
                <w:noProof/>
                <w:webHidden/>
              </w:rPr>
              <w:t>57</w:t>
            </w:r>
            <w:r w:rsidR="00A65A59">
              <w:rPr>
                <w:noProof/>
                <w:webHidden/>
              </w:rPr>
              <w:fldChar w:fldCharType="end"/>
            </w:r>
          </w:hyperlink>
        </w:p>
        <w:p w14:paraId="69F5B770" w14:textId="36F57E4C" w:rsidR="00A65A59" w:rsidRDefault="003801F2">
          <w:pPr>
            <w:pStyle w:val="TOC2"/>
            <w:rPr>
              <w:rFonts w:eastAsiaTheme="minorEastAsia" w:cstheme="minorBidi"/>
              <w:smallCaps w:val="0"/>
              <w:noProof/>
              <w:sz w:val="22"/>
              <w:szCs w:val="22"/>
              <w:lang w:val="hr-HR" w:eastAsia="hr-HR"/>
            </w:rPr>
          </w:pPr>
          <w:hyperlink w:anchor="_Toc83630913" w:history="1">
            <w:r w:rsidR="00A65A59" w:rsidRPr="0053518F">
              <w:rPr>
                <w:rStyle w:val="Hyperlink"/>
                <w:noProof/>
              </w:rPr>
              <w:t>2.3</w:t>
            </w:r>
            <w:r w:rsidR="00A65A59">
              <w:rPr>
                <w:rFonts w:eastAsiaTheme="minorEastAsia" w:cstheme="minorBidi"/>
                <w:smallCaps w:val="0"/>
                <w:noProof/>
                <w:sz w:val="22"/>
                <w:szCs w:val="22"/>
                <w:lang w:val="hr-HR" w:eastAsia="hr-HR"/>
              </w:rPr>
              <w:tab/>
            </w:r>
            <w:r w:rsidR="00A65A59" w:rsidRPr="0053518F">
              <w:rPr>
                <w:rStyle w:val="Hyperlink"/>
                <w:noProof/>
              </w:rPr>
              <w:t>EUTROFIKACIJA KOJU UZROKUJE ČOVJEK (DESKRIPTOR 5)</w:t>
            </w:r>
            <w:r w:rsidR="00A65A59">
              <w:rPr>
                <w:noProof/>
                <w:webHidden/>
              </w:rPr>
              <w:tab/>
            </w:r>
            <w:r w:rsidR="00A65A59">
              <w:rPr>
                <w:noProof/>
                <w:webHidden/>
              </w:rPr>
              <w:fldChar w:fldCharType="begin"/>
            </w:r>
            <w:r w:rsidR="00A65A59">
              <w:rPr>
                <w:noProof/>
                <w:webHidden/>
              </w:rPr>
              <w:instrText xml:space="preserve"> PAGEREF _Toc83630913 \h </w:instrText>
            </w:r>
            <w:r w:rsidR="00A65A59">
              <w:rPr>
                <w:noProof/>
                <w:webHidden/>
              </w:rPr>
            </w:r>
            <w:r w:rsidR="00A65A59">
              <w:rPr>
                <w:noProof/>
                <w:webHidden/>
              </w:rPr>
              <w:fldChar w:fldCharType="separate"/>
            </w:r>
            <w:r w:rsidR="000D1E20">
              <w:rPr>
                <w:noProof/>
                <w:webHidden/>
              </w:rPr>
              <w:t>57</w:t>
            </w:r>
            <w:r w:rsidR="00A65A59">
              <w:rPr>
                <w:noProof/>
                <w:webHidden/>
              </w:rPr>
              <w:fldChar w:fldCharType="end"/>
            </w:r>
          </w:hyperlink>
        </w:p>
        <w:p w14:paraId="128B3F53" w14:textId="08C72171" w:rsidR="00A65A59" w:rsidRDefault="003801F2">
          <w:pPr>
            <w:pStyle w:val="TOC3"/>
            <w:rPr>
              <w:rFonts w:eastAsiaTheme="minorEastAsia" w:cstheme="minorBidi"/>
              <w:i w:val="0"/>
              <w:iCs w:val="0"/>
              <w:noProof/>
              <w:sz w:val="22"/>
              <w:szCs w:val="22"/>
              <w:lang w:val="hr-HR" w:eastAsia="hr-HR"/>
            </w:rPr>
          </w:pPr>
          <w:hyperlink w:anchor="_Toc83630914" w:history="1">
            <w:r w:rsidR="00A65A59" w:rsidRPr="0053518F">
              <w:rPr>
                <w:rStyle w:val="Hyperlink"/>
                <w:noProof/>
                <w:lang w:val="en-GB" w:eastAsia="en-US"/>
                <w14:scene3d>
                  <w14:camera w14:prst="orthographicFront"/>
                  <w14:lightRig w14:rig="threePt" w14:dir="t">
                    <w14:rot w14:lat="0" w14:lon="0" w14:rev="0"/>
                  </w14:lightRig>
                </w14:scene3d>
              </w:rPr>
              <w:t>2.3.1</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Relevantni pritisci i uticaji</w:t>
            </w:r>
            <w:r w:rsidR="00A65A59">
              <w:rPr>
                <w:noProof/>
                <w:webHidden/>
              </w:rPr>
              <w:tab/>
            </w:r>
            <w:r w:rsidR="00A65A59">
              <w:rPr>
                <w:noProof/>
                <w:webHidden/>
              </w:rPr>
              <w:fldChar w:fldCharType="begin"/>
            </w:r>
            <w:r w:rsidR="00A65A59">
              <w:rPr>
                <w:noProof/>
                <w:webHidden/>
              </w:rPr>
              <w:instrText xml:space="preserve"> PAGEREF _Toc83630914 \h </w:instrText>
            </w:r>
            <w:r w:rsidR="00A65A59">
              <w:rPr>
                <w:noProof/>
                <w:webHidden/>
              </w:rPr>
            </w:r>
            <w:r w:rsidR="00A65A59">
              <w:rPr>
                <w:noProof/>
                <w:webHidden/>
              </w:rPr>
              <w:fldChar w:fldCharType="separate"/>
            </w:r>
            <w:r w:rsidR="000D1E20">
              <w:rPr>
                <w:noProof/>
                <w:webHidden/>
              </w:rPr>
              <w:t>58</w:t>
            </w:r>
            <w:r w:rsidR="00A65A59">
              <w:rPr>
                <w:noProof/>
                <w:webHidden/>
              </w:rPr>
              <w:fldChar w:fldCharType="end"/>
            </w:r>
          </w:hyperlink>
        </w:p>
        <w:p w14:paraId="0308FB65" w14:textId="5BE095B8" w:rsidR="00A65A59" w:rsidRDefault="003801F2">
          <w:pPr>
            <w:pStyle w:val="TOC3"/>
            <w:rPr>
              <w:rFonts w:eastAsiaTheme="minorEastAsia" w:cstheme="minorBidi"/>
              <w:i w:val="0"/>
              <w:iCs w:val="0"/>
              <w:noProof/>
              <w:sz w:val="22"/>
              <w:szCs w:val="22"/>
              <w:lang w:val="hr-HR" w:eastAsia="hr-HR"/>
            </w:rPr>
          </w:pPr>
          <w:hyperlink w:anchor="_Toc83630915" w:history="1">
            <w:r w:rsidR="00A65A59" w:rsidRPr="0053518F">
              <w:rPr>
                <w:rStyle w:val="Hyperlink"/>
                <w:noProof/>
                <w:lang w:val="en-GB" w:eastAsia="en-US"/>
                <w14:scene3d>
                  <w14:camera w14:prst="orthographicFront"/>
                  <w14:lightRig w14:rig="threePt" w14:dir="t">
                    <w14:rot w14:lat="0" w14:lon="0" w14:rev="0"/>
                  </w14:lightRig>
                </w14:scene3d>
              </w:rPr>
              <w:t>2.3.2</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Zakonodavni okvir – nacionalni i međunarodni</w:t>
            </w:r>
            <w:r w:rsidR="00A65A59">
              <w:rPr>
                <w:noProof/>
                <w:webHidden/>
              </w:rPr>
              <w:tab/>
            </w:r>
            <w:r w:rsidR="00A65A59">
              <w:rPr>
                <w:noProof/>
                <w:webHidden/>
              </w:rPr>
              <w:fldChar w:fldCharType="begin"/>
            </w:r>
            <w:r w:rsidR="00A65A59">
              <w:rPr>
                <w:noProof/>
                <w:webHidden/>
              </w:rPr>
              <w:instrText xml:space="preserve"> PAGEREF _Toc83630915 \h </w:instrText>
            </w:r>
            <w:r w:rsidR="00A65A59">
              <w:rPr>
                <w:noProof/>
                <w:webHidden/>
              </w:rPr>
            </w:r>
            <w:r w:rsidR="00A65A59">
              <w:rPr>
                <w:noProof/>
                <w:webHidden/>
              </w:rPr>
              <w:fldChar w:fldCharType="separate"/>
            </w:r>
            <w:r w:rsidR="000D1E20">
              <w:rPr>
                <w:noProof/>
                <w:webHidden/>
              </w:rPr>
              <w:t>58</w:t>
            </w:r>
            <w:r w:rsidR="00A65A59">
              <w:rPr>
                <w:noProof/>
                <w:webHidden/>
              </w:rPr>
              <w:fldChar w:fldCharType="end"/>
            </w:r>
          </w:hyperlink>
        </w:p>
        <w:p w14:paraId="0AA0F390" w14:textId="0AE52BBA" w:rsidR="00A65A59" w:rsidRDefault="003801F2">
          <w:pPr>
            <w:pStyle w:val="TOC3"/>
            <w:rPr>
              <w:rFonts w:eastAsiaTheme="minorEastAsia" w:cstheme="minorBidi"/>
              <w:i w:val="0"/>
              <w:iCs w:val="0"/>
              <w:noProof/>
              <w:sz w:val="22"/>
              <w:szCs w:val="22"/>
              <w:lang w:val="hr-HR" w:eastAsia="hr-HR"/>
            </w:rPr>
          </w:pPr>
          <w:hyperlink w:anchor="_Toc83630916" w:history="1">
            <w:r w:rsidR="00A65A59" w:rsidRPr="0053518F">
              <w:rPr>
                <w:rStyle w:val="Hyperlink"/>
                <w:noProof/>
                <w:lang w:val="en-GB" w:eastAsia="en-US"/>
                <w14:scene3d>
                  <w14:camera w14:prst="orthographicFront"/>
                  <w14:lightRig w14:rig="threePt" w14:dir="t">
                    <w14:rot w14:lat="0" w14:lon="0" w14:rev="0"/>
                  </w14:lightRig>
                </w14:scene3d>
              </w:rPr>
              <w:t>2.3.3</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Odabir kriterijuma za procjenu GES-a</w:t>
            </w:r>
            <w:r w:rsidR="00A65A59">
              <w:rPr>
                <w:noProof/>
                <w:webHidden/>
              </w:rPr>
              <w:tab/>
            </w:r>
            <w:r w:rsidR="00A65A59">
              <w:rPr>
                <w:noProof/>
                <w:webHidden/>
              </w:rPr>
              <w:fldChar w:fldCharType="begin"/>
            </w:r>
            <w:r w:rsidR="00A65A59">
              <w:rPr>
                <w:noProof/>
                <w:webHidden/>
              </w:rPr>
              <w:instrText xml:space="preserve"> PAGEREF _Toc83630916 \h </w:instrText>
            </w:r>
            <w:r w:rsidR="00A65A59">
              <w:rPr>
                <w:noProof/>
                <w:webHidden/>
              </w:rPr>
            </w:r>
            <w:r w:rsidR="00A65A59">
              <w:rPr>
                <w:noProof/>
                <w:webHidden/>
              </w:rPr>
              <w:fldChar w:fldCharType="separate"/>
            </w:r>
            <w:r w:rsidR="000D1E20">
              <w:rPr>
                <w:noProof/>
                <w:webHidden/>
              </w:rPr>
              <w:t>59</w:t>
            </w:r>
            <w:r w:rsidR="00A65A59">
              <w:rPr>
                <w:noProof/>
                <w:webHidden/>
              </w:rPr>
              <w:fldChar w:fldCharType="end"/>
            </w:r>
          </w:hyperlink>
        </w:p>
        <w:p w14:paraId="5BAC92AF" w14:textId="2E16E1A9" w:rsidR="00A65A59" w:rsidRDefault="003801F2">
          <w:pPr>
            <w:pStyle w:val="TOC3"/>
            <w:rPr>
              <w:rFonts w:eastAsiaTheme="minorEastAsia" w:cstheme="minorBidi"/>
              <w:i w:val="0"/>
              <w:iCs w:val="0"/>
              <w:noProof/>
              <w:sz w:val="22"/>
              <w:szCs w:val="22"/>
              <w:lang w:val="hr-HR" w:eastAsia="hr-HR"/>
            </w:rPr>
          </w:pPr>
          <w:hyperlink w:anchor="_Toc83630917" w:history="1">
            <w:r w:rsidR="00A65A59" w:rsidRPr="0053518F">
              <w:rPr>
                <w:rStyle w:val="Hyperlink"/>
                <w:noProof/>
                <w:lang w:val="en-GB" w:eastAsia="en-US"/>
                <w14:scene3d>
                  <w14:camera w14:prst="orthographicFront"/>
                  <w14:lightRig w14:rig="threePt" w14:dir="t">
                    <w14:rot w14:lat="0" w14:lon="0" w14:rev="0"/>
                  </w14:lightRig>
                </w14:scene3d>
              </w:rPr>
              <w:t>2.3.4</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Rezime stanja D5 na osnovu Početne procjene</w:t>
            </w:r>
            <w:r w:rsidR="00A65A59">
              <w:rPr>
                <w:noProof/>
                <w:webHidden/>
              </w:rPr>
              <w:tab/>
            </w:r>
            <w:r w:rsidR="00A65A59">
              <w:rPr>
                <w:noProof/>
                <w:webHidden/>
              </w:rPr>
              <w:fldChar w:fldCharType="begin"/>
            </w:r>
            <w:r w:rsidR="00A65A59">
              <w:rPr>
                <w:noProof/>
                <w:webHidden/>
              </w:rPr>
              <w:instrText xml:space="preserve"> PAGEREF _Toc83630917 \h </w:instrText>
            </w:r>
            <w:r w:rsidR="00A65A59">
              <w:rPr>
                <w:noProof/>
                <w:webHidden/>
              </w:rPr>
            </w:r>
            <w:r w:rsidR="00A65A59">
              <w:rPr>
                <w:noProof/>
                <w:webHidden/>
              </w:rPr>
              <w:fldChar w:fldCharType="separate"/>
            </w:r>
            <w:r w:rsidR="000D1E20">
              <w:rPr>
                <w:noProof/>
                <w:webHidden/>
              </w:rPr>
              <w:t>60</w:t>
            </w:r>
            <w:r w:rsidR="00A65A59">
              <w:rPr>
                <w:noProof/>
                <w:webHidden/>
              </w:rPr>
              <w:fldChar w:fldCharType="end"/>
            </w:r>
          </w:hyperlink>
        </w:p>
        <w:p w14:paraId="06843D54" w14:textId="73CB1ADD" w:rsidR="00A65A59" w:rsidRDefault="003801F2">
          <w:pPr>
            <w:pStyle w:val="TOC3"/>
            <w:rPr>
              <w:rFonts w:eastAsiaTheme="minorEastAsia" w:cstheme="minorBidi"/>
              <w:i w:val="0"/>
              <w:iCs w:val="0"/>
              <w:noProof/>
              <w:sz w:val="22"/>
              <w:szCs w:val="22"/>
              <w:lang w:val="hr-HR" w:eastAsia="hr-HR"/>
            </w:rPr>
          </w:pPr>
          <w:hyperlink w:anchor="_Toc83630918" w:history="1">
            <w:r w:rsidR="00A65A59" w:rsidRPr="0053518F">
              <w:rPr>
                <w:rStyle w:val="Hyperlink"/>
                <w:noProof/>
                <w:lang w:val="en-GB" w:eastAsia="en-US"/>
                <w14:scene3d>
                  <w14:camera w14:prst="orthographicFront"/>
                  <w14:lightRig w14:rig="threePt" w14:dir="t">
                    <w14:rot w14:lat="0" w14:lon="0" w14:rev="0"/>
                  </w14:lightRig>
                </w14:scene3d>
              </w:rPr>
              <w:t>2.3.5</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Postizanje GES-a</w:t>
            </w:r>
            <w:r w:rsidR="00A65A59">
              <w:rPr>
                <w:noProof/>
                <w:webHidden/>
              </w:rPr>
              <w:tab/>
            </w:r>
            <w:r w:rsidR="00A65A59">
              <w:rPr>
                <w:noProof/>
                <w:webHidden/>
              </w:rPr>
              <w:fldChar w:fldCharType="begin"/>
            </w:r>
            <w:r w:rsidR="00A65A59">
              <w:rPr>
                <w:noProof/>
                <w:webHidden/>
              </w:rPr>
              <w:instrText xml:space="preserve"> PAGEREF _Toc83630918 \h </w:instrText>
            </w:r>
            <w:r w:rsidR="00A65A59">
              <w:rPr>
                <w:noProof/>
                <w:webHidden/>
              </w:rPr>
            </w:r>
            <w:r w:rsidR="00A65A59">
              <w:rPr>
                <w:noProof/>
                <w:webHidden/>
              </w:rPr>
              <w:fldChar w:fldCharType="separate"/>
            </w:r>
            <w:r w:rsidR="000D1E20">
              <w:rPr>
                <w:noProof/>
                <w:webHidden/>
              </w:rPr>
              <w:t>67</w:t>
            </w:r>
            <w:r w:rsidR="00A65A59">
              <w:rPr>
                <w:noProof/>
                <w:webHidden/>
              </w:rPr>
              <w:fldChar w:fldCharType="end"/>
            </w:r>
          </w:hyperlink>
        </w:p>
        <w:p w14:paraId="1A316A14" w14:textId="17C2AE0B" w:rsidR="00A65A59" w:rsidRDefault="003801F2">
          <w:pPr>
            <w:pStyle w:val="TOC3"/>
            <w:rPr>
              <w:rFonts w:eastAsiaTheme="minorEastAsia" w:cstheme="minorBidi"/>
              <w:i w:val="0"/>
              <w:iCs w:val="0"/>
              <w:noProof/>
              <w:sz w:val="22"/>
              <w:szCs w:val="22"/>
              <w:lang w:val="hr-HR" w:eastAsia="hr-HR"/>
            </w:rPr>
          </w:pPr>
          <w:hyperlink w:anchor="_Toc83630919" w:history="1">
            <w:r w:rsidR="00A65A59" w:rsidRPr="0053518F">
              <w:rPr>
                <w:rStyle w:val="Hyperlink"/>
                <w:noProof/>
                <w:lang w:val="en-GB" w:eastAsia="en-US"/>
                <w14:scene3d>
                  <w14:camera w14:prst="orthographicFront"/>
                  <w14:lightRig w14:rig="threePt" w14:dir="t">
                    <w14:rot w14:lat="0" w14:lon="0" w14:rev="0"/>
                  </w14:lightRig>
                </w14:scene3d>
              </w:rPr>
              <w:t>2.3.6</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Pristup definisanju ciljeva za ostvarivanje/održavanje GES-a za D5</w:t>
            </w:r>
            <w:r w:rsidR="00A65A59">
              <w:rPr>
                <w:noProof/>
                <w:webHidden/>
              </w:rPr>
              <w:tab/>
            </w:r>
            <w:r w:rsidR="00A65A59">
              <w:rPr>
                <w:noProof/>
                <w:webHidden/>
              </w:rPr>
              <w:fldChar w:fldCharType="begin"/>
            </w:r>
            <w:r w:rsidR="00A65A59">
              <w:rPr>
                <w:noProof/>
                <w:webHidden/>
              </w:rPr>
              <w:instrText xml:space="preserve"> PAGEREF _Toc83630919 \h </w:instrText>
            </w:r>
            <w:r w:rsidR="00A65A59">
              <w:rPr>
                <w:noProof/>
                <w:webHidden/>
              </w:rPr>
            </w:r>
            <w:r w:rsidR="00A65A59">
              <w:rPr>
                <w:noProof/>
                <w:webHidden/>
              </w:rPr>
              <w:fldChar w:fldCharType="separate"/>
            </w:r>
            <w:r w:rsidR="000D1E20">
              <w:rPr>
                <w:noProof/>
                <w:webHidden/>
              </w:rPr>
              <w:t>67</w:t>
            </w:r>
            <w:r w:rsidR="00A65A59">
              <w:rPr>
                <w:noProof/>
                <w:webHidden/>
              </w:rPr>
              <w:fldChar w:fldCharType="end"/>
            </w:r>
          </w:hyperlink>
        </w:p>
        <w:p w14:paraId="74BF3B55" w14:textId="6C8061C6" w:rsidR="00A65A59" w:rsidRDefault="003801F2">
          <w:pPr>
            <w:pStyle w:val="TOC3"/>
            <w:rPr>
              <w:rFonts w:eastAsiaTheme="minorEastAsia" w:cstheme="minorBidi"/>
              <w:i w:val="0"/>
              <w:iCs w:val="0"/>
              <w:noProof/>
              <w:sz w:val="22"/>
              <w:szCs w:val="22"/>
              <w:lang w:val="hr-HR" w:eastAsia="hr-HR"/>
            </w:rPr>
          </w:pPr>
          <w:hyperlink w:anchor="_Toc83630920" w:history="1">
            <w:r w:rsidR="00A65A59" w:rsidRPr="0053518F">
              <w:rPr>
                <w:rStyle w:val="Hyperlink"/>
                <w:noProof/>
                <w:lang w:val="en-GB" w:eastAsia="en-US"/>
                <w14:scene3d>
                  <w14:camera w14:prst="orthographicFront"/>
                  <w14:lightRig w14:rig="threePt" w14:dir="t">
                    <w14:rot w14:lat="0" w14:lon="0" w14:rev="0"/>
                  </w14:lightRig>
                </w14:scene3d>
              </w:rPr>
              <w:t>2.3.7</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Povezanost sa drugim deskriptorima</w:t>
            </w:r>
            <w:r w:rsidR="00A65A59">
              <w:rPr>
                <w:noProof/>
                <w:webHidden/>
              </w:rPr>
              <w:tab/>
            </w:r>
            <w:r w:rsidR="00A65A59">
              <w:rPr>
                <w:noProof/>
                <w:webHidden/>
              </w:rPr>
              <w:fldChar w:fldCharType="begin"/>
            </w:r>
            <w:r w:rsidR="00A65A59">
              <w:rPr>
                <w:noProof/>
                <w:webHidden/>
              </w:rPr>
              <w:instrText xml:space="preserve"> PAGEREF _Toc83630920 \h </w:instrText>
            </w:r>
            <w:r w:rsidR="00A65A59">
              <w:rPr>
                <w:noProof/>
                <w:webHidden/>
              </w:rPr>
            </w:r>
            <w:r w:rsidR="00A65A59">
              <w:rPr>
                <w:noProof/>
                <w:webHidden/>
              </w:rPr>
              <w:fldChar w:fldCharType="separate"/>
            </w:r>
            <w:r w:rsidR="000D1E20">
              <w:rPr>
                <w:noProof/>
                <w:webHidden/>
              </w:rPr>
              <w:t>68</w:t>
            </w:r>
            <w:r w:rsidR="00A65A59">
              <w:rPr>
                <w:noProof/>
                <w:webHidden/>
              </w:rPr>
              <w:fldChar w:fldCharType="end"/>
            </w:r>
          </w:hyperlink>
        </w:p>
        <w:p w14:paraId="67542350" w14:textId="511C9DBE" w:rsidR="00A65A59" w:rsidRDefault="003801F2">
          <w:pPr>
            <w:pStyle w:val="TOC3"/>
            <w:rPr>
              <w:rFonts w:eastAsiaTheme="minorEastAsia" w:cstheme="minorBidi"/>
              <w:i w:val="0"/>
              <w:iCs w:val="0"/>
              <w:noProof/>
              <w:sz w:val="22"/>
              <w:szCs w:val="22"/>
              <w:lang w:val="hr-HR" w:eastAsia="hr-HR"/>
            </w:rPr>
          </w:pPr>
          <w:hyperlink w:anchor="_Toc83630921" w:history="1">
            <w:r w:rsidR="00A65A59" w:rsidRPr="0053518F">
              <w:rPr>
                <w:rStyle w:val="Hyperlink"/>
                <w:noProof/>
                <w:lang w:val="en-GB" w:eastAsia="en-US"/>
                <w14:scene3d>
                  <w14:camera w14:prst="orthographicFront"/>
                  <w14:lightRig w14:rig="threePt" w14:dir="t">
                    <w14:rot w14:lat="0" w14:lon="0" w14:rev="0"/>
                  </w14:lightRig>
                </w14:scene3d>
              </w:rPr>
              <w:t>2.3.8</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Nedostaci i potrebe za unapređenjem</w:t>
            </w:r>
            <w:r w:rsidR="00A65A59">
              <w:rPr>
                <w:noProof/>
                <w:webHidden/>
              </w:rPr>
              <w:tab/>
            </w:r>
            <w:r w:rsidR="00A65A59">
              <w:rPr>
                <w:noProof/>
                <w:webHidden/>
              </w:rPr>
              <w:fldChar w:fldCharType="begin"/>
            </w:r>
            <w:r w:rsidR="00A65A59">
              <w:rPr>
                <w:noProof/>
                <w:webHidden/>
              </w:rPr>
              <w:instrText xml:space="preserve"> PAGEREF _Toc83630921 \h </w:instrText>
            </w:r>
            <w:r w:rsidR="00A65A59">
              <w:rPr>
                <w:noProof/>
                <w:webHidden/>
              </w:rPr>
            </w:r>
            <w:r w:rsidR="00A65A59">
              <w:rPr>
                <w:noProof/>
                <w:webHidden/>
              </w:rPr>
              <w:fldChar w:fldCharType="separate"/>
            </w:r>
            <w:r w:rsidR="000D1E20">
              <w:rPr>
                <w:noProof/>
                <w:webHidden/>
              </w:rPr>
              <w:t>68</w:t>
            </w:r>
            <w:r w:rsidR="00A65A59">
              <w:rPr>
                <w:noProof/>
                <w:webHidden/>
              </w:rPr>
              <w:fldChar w:fldCharType="end"/>
            </w:r>
          </w:hyperlink>
        </w:p>
        <w:p w14:paraId="21DBA295" w14:textId="5BB09594" w:rsidR="00A65A59" w:rsidRDefault="003801F2">
          <w:pPr>
            <w:pStyle w:val="TOC2"/>
            <w:rPr>
              <w:rFonts w:eastAsiaTheme="minorEastAsia" w:cstheme="minorBidi"/>
              <w:smallCaps w:val="0"/>
              <w:noProof/>
              <w:sz w:val="22"/>
              <w:szCs w:val="22"/>
              <w:lang w:val="hr-HR" w:eastAsia="hr-HR"/>
            </w:rPr>
          </w:pPr>
          <w:hyperlink w:anchor="_Toc83630922" w:history="1">
            <w:r w:rsidR="00A65A59" w:rsidRPr="0053518F">
              <w:rPr>
                <w:rStyle w:val="Hyperlink"/>
                <w:noProof/>
              </w:rPr>
              <w:t>2.4</w:t>
            </w:r>
            <w:r w:rsidR="00A65A59">
              <w:rPr>
                <w:rFonts w:eastAsiaTheme="minorEastAsia" w:cstheme="minorBidi"/>
                <w:smallCaps w:val="0"/>
                <w:noProof/>
                <w:sz w:val="22"/>
                <w:szCs w:val="22"/>
                <w:lang w:val="hr-HR" w:eastAsia="hr-HR"/>
              </w:rPr>
              <w:tab/>
            </w:r>
            <w:r w:rsidR="00A65A59" w:rsidRPr="0053518F">
              <w:rPr>
                <w:rStyle w:val="Hyperlink"/>
                <w:noProof/>
              </w:rPr>
              <w:t>TRAJNA IZMJENA HIDROGRAFSKIH USLOVA (Descriptor 7)</w:t>
            </w:r>
            <w:r w:rsidR="00A65A59">
              <w:rPr>
                <w:noProof/>
                <w:webHidden/>
              </w:rPr>
              <w:tab/>
            </w:r>
            <w:r w:rsidR="00A65A59">
              <w:rPr>
                <w:noProof/>
                <w:webHidden/>
              </w:rPr>
              <w:fldChar w:fldCharType="begin"/>
            </w:r>
            <w:r w:rsidR="00A65A59">
              <w:rPr>
                <w:noProof/>
                <w:webHidden/>
              </w:rPr>
              <w:instrText xml:space="preserve"> PAGEREF _Toc83630922 \h </w:instrText>
            </w:r>
            <w:r w:rsidR="00A65A59">
              <w:rPr>
                <w:noProof/>
                <w:webHidden/>
              </w:rPr>
            </w:r>
            <w:r w:rsidR="00A65A59">
              <w:rPr>
                <w:noProof/>
                <w:webHidden/>
              </w:rPr>
              <w:fldChar w:fldCharType="separate"/>
            </w:r>
            <w:r w:rsidR="000D1E20">
              <w:rPr>
                <w:noProof/>
                <w:webHidden/>
              </w:rPr>
              <w:t>69</w:t>
            </w:r>
            <w:r w:rsidR="00A65A59">
              <w:rPr>
                <w:noProof/>
                <w:webHidden/>
              </w:rPr>
              <w:fldChar w:fldCharType="end"/>
            </w:r>
          </w:hyperlink>
        </w:p>
        <w:p w14:paraId="01F904E6" w14:textId="04353C6E" w:rsidR="00A65A59" w:rsidRDefault="003801F2">
          <w:pPr>
            <w:pStyle w:val="TOC3"/>
            <w:rPr>
              <w:rFonts w:eastAsiaTheme="minorEastAsia" w:cstheme="minorBidi"/>
              <w:i w:val="0"/>
              <w:iCs w:val="0"/>
              <w:noProof/>
              <w:sz w:val="22"/>
              <w:szCs w:val="22"/>
              <w:lang w:val="hr-HR" w:eastAsia="hr-HR"/>
            </w:rPr>
          </w:pPr>
          <w:hyperlink w:anchor="_Toc83630923" w:history="1">
            <w:r w:rsidR="00A65A59" w:rsidRPr="0053518F">
              <w:rPr>
                <w:rStyle w:val="Hyperlink"/>
                <w:rFonts w:eastAsia="Calibri"/>
                <w:noProof/>
                <w:lang w:val="en-GB" w:eastAsia="en-US"/>
                <w14:scene3d>
                  <w14:camera w14:prst="orthographicFront"/>
                  <w14:lightRig w14:rig="threePt" w14:dir="t">
                    <w14:rot w14:lat="0" w14:lon="0" w14:rev="0"/>
                  </w14:lightRig>
                </w14:scene3d>
              </w:rPr>
              <w:t>2.4.1</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Relevantni pritisci i uticaji</w:t>
            </w:r>
            <w:r w:rsidR="00A65A59">
              <w:rPr>
                <w:noProof/>
                <w:webHidden/>
              </w:rPr>
              <w:tab/>
            </w:r>
            <w:r w:rsidR="00A65A59">
              <w:rPr>
                <w:noProof/>
                <w:webHidden/>
              </w:rPr>
              <w:fldChar w:fldCharType="begin"/>
            </w:r>
            <w:r w:rsidR="00A65A59">
              <w:rPr>
                <w:noProof/>
                <w:webHidden/>
              </w:rPr>
              <w:instrText xml:space="preserve"> PAGEREF _Toc83630923 \h </w:instrText>
            </w:r>
            <w:r w:rsidR="00A65A59">
              <w:rPr>
                <w:noProof/>
                <w:webHidden/>
              </w:rPr>
            </w:r>
            <w:r w:rsidR="00A65A59">
              <w:rPr>
                <w:noProof/>
                <w:webHidden/>
              </w:rPr>
              <w:fldChar w:fldCharType="separate"/>
            </w:r>
            <w:r w:rsidR="000D1E20">
              <w:rPr>
                <w:noProof/>
                <w:webHidden/>
              </w:rPr>
              <w:t>69</w:t>
            </w:r>
            <w:r w:rsidR="00A65A59">
              <w:rPr>
                <w:noProof/>
                <w:webHidden/>
              </w:rPr>
              <w:fldChar w:fldCharType="end"/>
            </w:r>
          </w:hyperlink>
        </w:p>
        <w:p w14:paraId="493DAC11" w14:textId="0346D105" w:rsidR="00A65A59" w:rsidRDefault="003801F2">
          <w:pPr>
            <w:pStyle w:val="TOC3"/>
            <w:rPr>
              <w:rFonts w:eastAsiaTheme="minorEastAsia" w:cstheme="minorBidi"/>
              <w:i w:val="0"/>
              <w:iCs w:val="0"/>
              <w:noProof/>
              <w:sz w:val="22"/>
              <w:szCs w:val="22"/>
              <w:lang w:val="hr-HR" w:eastAsia="hr-HR"/>
            </w:rPr>
          </w:pPr>
          <w:hyperlink w:anchor="_Toc83630924" w:history="1">
            <w:r w:rsidR="00A65A59" w:rsidRPr="0053518F">
              <w:rPr>
                <w:rStyle w:val="Hyperlink"/>
                <w:rFonts w:eastAsia="Calibri"/>
                <w:noProof/>
                <w:lang w:val="en-GB" w:eastAsia="en-US"/>
                <w14:scene3d>
                  <w14:camera w14:prst="orthographicFront"/>
                  <w14:lightRig w14:rig="threePt" w14:dir="t">
                    <w14:rot w14:lat="0" w14:lon="0" w14:rev="0"/>
                  </w14:lightRig>
                </w14:scene3d>
              </w:rPr>
              <w:t>2.4.2</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Zakonodavni  - nacionalni i međunarodni</w:t>
            </w:r>
            <w:r w:rsidR="00A65A59">
              <w:rPr>
                <w:noProof/>
                <w:webHidden/>
              </w:rPr>
              <w:tab/>
            </w:r>
            <w:r w:rsidR="00A65A59">
              <w:rPr>
                <w:noProof/>
                <w:webHidden/>
              </w:rPr>
              <w:fldChar w:fldCharType="begin"/>
            </w:r>
            <w:r w:rsidR="00A65A59">
              <w:rPr>
                <w:noProof/>
                <w:webHidden/>
              </w:rPr>
              <w:instrText xml:space="preserve"> PAGEREF _Toc83630924 \h </w:instrText>
            </w:r>
            <w:r w:rsidR="00A65A59">
              <w:rPr>
                <w:noProof/>
                <w:webHidden/>
              </w:rPr>
            </w:r>
            <w:r w:rsidR="00A65A59">
              <w:rPr>
                <w:noProof/>
                <w:webHidden/>
              </w:rPr>
              <w:fldChar w:fldCharType="separate"/>
            </w:r>
            <w:r w:rsidR="000D1E20">
              <w:rPr>
                <w:noProof/>
                <w:webHidden/>
              </w:rPr>
              <w:t>69</w:t>
            </w:r>
            <w:r w:rsidR="00A65A59">
              <w:rPr>
                <w:noProof/>
                <w:webHidden/>
              </w:rPr>
              <w:fldChar w:fldCharType="end"/>
            </w:r>
          </w:hyperlink>
        </w:p>
        <w:p w14:paraId="5DFEF114" w14:textId="2721A770" w:rsidR="00A65A59" w:rsidRDefault="003801F2">
          <w:pPr>
            <w:pStyle w:val="TOC3"/>
            <w:rPr>
              <w:rFonts w:eastAsiaTheme="minorEastAsia" w:cstheme="minorBidi"/>
              <w:i w:val="0"/>
              <w:iCs w:val="0"/>
              <w:noProof/>
              <w:sz w:val="22"/>
              <w:szCs w:val="22"/>
              <w:lang w:val="hr-HR" w:eastAsia="hr-HR"/>
            </w:rPr>
          </w:pPr>
          <w:hyperlink w:anchor="_Toc83630925" w:history="1">
            <w:r w:rsidR="00A65A59" w:rsidRPr="0053518F">
              <w:rPr>
                <w:rStyle w:val="Hyperlink"/>
                <w:rFonts w:eastAsia="Calibri"/>
                <w:noProof/>
                <w:lang w:val="en-GB"/>
                <w14:scene3d>
                  <w14:camera w14:prst="orthographicFront"/>
                  <w14:lightRig w14:rig="threePt" w14:dir="t">
                    <w14:rot w14:lat="0" w14:lon="0" w14:rev="0"/>
                  </w14:lightRig>
                </w14:scene3d>
              </w:rPr>
              <w:t>2.4.3</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Odabir kriterijuma za procjenu GES-a</w:t>
            </w:r>
            <w:r w:rsidR="00A65A59">
              <w:rPr>
                <w:noProof/>
                <w:webHidden/>
              </w:rPr>
              <w:tab/>
            </w:r>
            <w:r w:rsidR="00A65A59">
              <w:rPr>
                <w:noProof/>
                <w:webHidden/>
              </w:rPr>
              <w:fldChar w:fldCharType="begin"/>
            </w:r>
            <w:r w:rsidR="00A65A59">
              <w:rPr>
                <w:noProof/>
                <w:webHidden/>
              </w:rPr>
              <w:instrText xml:space="preserve"> PAGEREF _Toc83630925 \h </w:instrText>
            </w:r>
            <w:r w:rsidR="00A65A59">
              <w:rPr>
                <w:noProof/>
                <w:webHidden/>
              </w:rPr>
            </w:r>
            <w:r w:rsidR="00A65A59">
              <w:rPr>
                <w:noProof/>
                <w:webHidden/>
              </w:rPr>
              <w:fldChar w:fldCharType="separate"/>
            </w:r>
            <w:r w:rsidR="000D1E20">
              <w:rPr>
                <w:noProof/>
                <w:webHidden/>
              </w:rPr>
              <w:t>70</w:t>
            </w:r>
            <w:r w:rsidR="00A65A59">
              <w:rPr>
                <w:noProof/>
                <w:webHidden/>
              </w:rPr>
              <w:fldChar w:fldCharType="end"/>
            </w:r>
          </w:hyperlink>
        </w:p>
        <w:p w14:paraId="18736223" w14:textId="1B7B1F05" w:rsidR="00A65A59" w:rsidRDefault="003801F2">
          <w:pPr>
            <w:pStyle w:val="TOC3"/>
            <w:rPr>
              <w:rFonts w:eastAsiaTheme="minorEastAsia" w:cstheme="minorBidi"/>
              <w:i w:val="0"/>
              <w:iCs w:val="0"/>
              <w:noProof/>
              <w:sz w:val="22"/>
              <w:szCs w:val="22"/>
              <w:lang w:val="hr-HR" w:eastAsia="hr-HR"/>
            </w:rPr>
          </w:pPr>
          <w:hyperlink w:anchor="_Toc83630926" w:history="1">
            <w:r w:rsidR="00A65A59" w:rsidRPr="0053518F">
              <w:rPr>
                <w:rStyle w:val="Hyperlink"/>
                <w:rFonts w:eastAsia="Calibri"/>
                <w:noProof/>
                <w:w w:val="105"/>
                <w:lang w:val="en-GB" w:eastAsia="en-US"/>
                <w14:scene3d>
                  <w14:camera w14:prst="orthographicFront"/>
                  <w14:lightRig w14:rig="threePt" w14:dir="t">
                    <w14:rot w14:lat="0" w14:lon="0" w14:rev="0"/>
                  </w14:lightRig>
                </w14:scene3d>
              </w:rPr>
              <w:t>2.4.4</w:t>
            </w:r>
            <w:r w:rsidR="00A65A59">
              <w:rPr>
                <w:rFonts w:eastAsiaTheme="minorEastAsia" w:cstheme="minorBidi"/>
                <w:i w:val="0"/>
                <w:iCs w:val="0"/>
                <w:noProof/>
                <w:sz w:val="22"/>
                <w:szCs w:val="22"/>
                <w:lang w:val="hr-HR" w:eastAsia="hr-HR"/>
              </w:rPr>
              <w:tab/>
            </w:r>
            <w:r w:rsidR="00A65A59" w:rsidRPr="0053518F">
              <w:rPr>
                <w:rStyle w:val="Hyperlink"/>
                <w:rFonts w:eastAsia="Calibri" w:cs="Calibri"/>
                <w:noProof/>
                <w:lang w:val="en-GB" w:eastAsia="en-US"/>
              </w:rPr>
              <w:t>Rezime stanja D7 na osnovu Početne procjene</w:t>
            </w:r>
            <w:r w:rsidR="00A65A59">
              <w:rPr>
                <w:noProof/>
                <w:webHidden/>
              </w:rPr>
              <w:tab/>
            </w:r>
            <w:r w:rsidR="00A65A59">
              <w:rPr>
                <w:noProof/>
                <w:webHidden/>
              </w:rPr>
              <w:fldChar w:fldCharType="begin"/>
            </w:r>
            <w:r w:rsidR="00A65A59">
              <w:rPr>
                <w:noProof/>
                <w:webHidden/>
              </w:rPr>
              <w:instrText xml:space="preserve"> PAGEREF _Toc83630926 \h </w:instrText>
            </w:r>
            <w:r w:rsidR="00A65A59">
              <w:rPr>
                <w:noProof/>
                <w:webHidden/>
              </w:rPr>
            </w:r>
            <w:r w:rsidR="00A65A59">
              <w:rPr>
                <w:noProof/>
                <w:webHidden/>
              </w:rPr>
              <w:fldChar w:fldCharType="separate"/>
            </w:r>
            <w:r w:rsidR="000D1E20">
              <w:rPr>
                <w:noProof/>
                <w:webHidden/>
              </w:rPr>
              <w:t>71</w:t>
            </w:r>
            <w:r w:rsidR="00A65A59">
              <w:rPr>
                <w:noProof/>
                <w:webHidden/>
              </w:rPr>
              <w:fldChar w:fldCharType="end"/>
            </w:r>
          </w:hyperlink>
        </w:p>
        <w:p w14:paraId="1D889256" w14:textId="547B601E" w:rsidR="00A65A59" w:rsidRDefault="003801F2">
          <w:pPr>
            <w:pStyle w:val="TOC3"/>
            <w:rPr>
              <w:rFonts w:eastAsiaTheme="minorEastAsia" w:cstheme="minorBidi"/>
              <w:i w:val="0"/>
              <w:iCs w:val="0"/>
              <w:noProof/>
              <w:sz w:val="22"/>
              <w:szCs w:val="22"/>
              <w:lang w:val="hr-HR" w:eastAsia="hr-HR"/>
            </w:rPr>
          </w:pPr>
          <w:hyperlink w:anchor="_Toc83630927" w:history="1">
            <w:r w:rsidR="00A65A59" w:rsidRPr="0053518F">
              <w:rPr>
                <w:rStyle w:val="Hyperlink"/>
                <w:rFonts w:eastAsia="Calibri"/>
                <w:noProof/>
                <w:lang w:val="en-GB" w:eastAsia="en-US"/>
                <w14:scene3d>
                  <w14:camera w14:prst="orthographicFront"/>
                  <w14:lightRig w14:rig="threePt" w14:dir="t">
                    <w14:rot w14:lat="0" w14:lon="0" w14:rev="0"/>
                  </w14:lightRig>
                </w14:scene3d>
              </w:rPr>
              <w:t>2.4.5</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Pristup procjeni GES-a</w:t>
            </w:r>
            <w:r w:rsidR="00A65A59">
              <w:rPr>
                <w:noProof/>
                <w:webHidden/>
              </w:rPr>
              <w:tab/>
            </w:r>
            <w:r w:rsidR="00A65A59">
              <w:rPr>
                <w:noProof/>
                <w:webHidden/>
              </w:rPr>
              <w:fldChar w:fldCharType="begin"/>
            </w:r>
            <w:r w:rsidR="00A65A59">
              <w:rPr>
                <w:noProof/>
                <w:webHidden/>
              </w:rPr>
              <w:instrText xml:space="preserve"> PAGEREF _Toc83630927 \h </w:instrText>
            </w:r>
            <w:r w:rsidR="00A65A59">
              <w:rPr>
                <w:noProof/>
                <w:webHidden/>
              </w:rPr>
            </w:r>
            <w:r w:rsidR="00A65A59">
              <w:rPr>
                <w:noProof/>
                <w:webHidden/>
              </w:rPr>
              <w:fldChar w:fldCharType="separate"/>
            </w:r>
            <w:r w:rsidR="000D1E20">
              <w:rPr>
                <w:noProof/>
                <w:webHidden/>
              </w:rPr>
              <w:t>73</w:t>
            </w:r>
            <w:r w:rsidR="00A65A59">
              <w:rPr>
                <w:noProof/>
                <w:webHidden/>
              </w:rPr>
              <w:fldChar w:fldCharType="end"/>
            </w:r>
          </w:hyperlink>
        </w:p>
        <w:p w14:paraId="1B62BADF" w14:textId="05BDC4ED" w:rsidR="00A65A59" w:rsidRDefault="003801F2">
          <w:pPr>
            <w:pStyle w:val="TOC3"/>
            <w:rPr>
              <w:rFonts w:eastAsiaTheme="minorEastAsia" w:cstheme="minorBidi"/>
              <w:i w:val="0"/>
              <w:iCs w:val="0"/>
              <w:noProof/>
              <w:sz w:val="22"/>
              <w:szCs w:val="22"/>
              <w:lang w:val="hr-HR" w:eastAsia="hr-HR"/>
            </w:rPr>
          </w:pPr>
          <w:hyperlink w:anchor="_Toc83630928" w:history="1">
            <w:r w:rsidR="00A65A59" w:rsidRPr="0053518F">
              <w:rPr>
                <w:rStyle w:val="Hyperlink"/>
                <w:rFonts w:eastAsia="Calibri"/>
                <w:noProof/>
                <w:lang w:val="en-GB" w:eastAsia="en-US"/>
                <w14:scene3d>
                  <w14:camera w14:prst="orthographicFront"/>
                  <w14:lightRig w14:rig="threePt" w14:dir="t">
                    <w14:rot w14:lat="0" w14:lon="0" w14:rev="0"/>
                  </w14:lightRig>
                </w14:scene3d>
              </w:rPr>
              <w:t>2.4.6</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Postizanje GES-a</w:t>
            </w:r>
            <w:r w:rsidR="00A65A59">
              <w:rPr>
                <w:noProof/>
                <w:webHidden/>
              </w:rPr>
              <w:tab/>
            </w:r>
            <w:r w:rsidR="00A65A59">
              <w:rPr>
                <w:noProof/>
                <w:webHidden/>
              </w:rPr>
              <w:fldChar w:fldCharType="begin"/>
            </w:r>
            <w:r w:rsidR="00A65A59">
              <w:rPr>
                <w:noProof/>
                <w:webHidden/>
              </w:rPr>
              <w:instrText xml:space="preserve"> PAGEREF _Toc83630928 \h </w:instrText>
            </w:r>
            <w:r w:rsidR="00A65A59">
              <w:rPr>
                <w:noProof/>
                <w:webHidden/>
              </w:rPr>
            </w:r>
            <w:r w:rsidR="00A65A59">
              <w:rPr>
                <w:noProof/>
                <w:webHidden/>
              </w:rPr>
              <w:fldChar w:fldCharType="separate"/>
            </w:r>
            <w:r w:rsidR="000D1E20">
              <w:rPr>
                <w:noProof/>
                <w:webHidden/>
              </w:rPr>
              <w:t>74</w:t>
            </w:r>
            <w:r w:rsidR="00A65A59">
              <w:rPr>
                <w:noProof/>
                <w:webHidden/>
              </w:rPr>
              <w:fldChar w:fldCharType="end"/>
            </w:r>
          </w:hyperlink>
        </w:p>
        <w:p w14:paraId="35A7B762" w14:textId="3C623A4F" w:rsidR="00A65A59" w:rsidRDefault="003801F2">
          <w:pPr>
            <w:pStyle w:val="TOC3"/>
            <w:rPr>
              <w:rFonts w:eastAsiaTheme="minorEastAsia" w:cstheme="minorBidi"/>
              <w:i w:val="0"/>
              <w:iCs w:val="0"/>
              <w:noProof/>
              <w:sz w:val="22"/>
              <w:szCs w:val="22"/>
              <w:lang w:val="hr-HR" w:eastAsia="hr-HR"/>
            </w:rPr>
          </w:pPr>
          <w:hyperlink w:anchor="_Toc83630929" w:history="1">
            <w:r w:rsidR="00A65A59" w:rsidRPr="0053518F">
              <w:rPr>
                <w:rStyle w:val="Hyperlink"/>
                <w:rFonts w:eastAsia="Calibri" w:cs="ArialMT"/>
                <w:noProof/>
                <w:lang w:val="en-GB" w:eastAsia="en-US"/>
                <w14:scene3d>
                  <w14:camera w14:prst="orthographicFront"/>
                  <w14:lightRig w14:rig="threePt" w14:dir="t">
                    <w14:rot w14:lat="0" w14:lon="0" w14:rev="0"/>
                  </w14:lightRig>
                </w14:scene3d>
              </w:rPr>
              <w:t>2.4.7</w:t>
            </w:r>
            <w:r w:rsidR="00A65A59">
              <w:rPr>
                <w:rFonts w:eastAsiaTheme="minorEastAsia" w:cstheme="minorBidi"/>
                <w:i w:val="0"/>
                <w:iCs w:val="0"/>
                <w:noProof/>
                <w:sz w:val="22"/>
                <w:szCs w:val="22"/>
                <w:lang w:val="hr-HR" w:eastAsia="hr-HR"/>
              </w:rPr>
              <w:tab/>
            </w:r>
            <w:r w:rsidR="00A65A59" w:rsidRPr="0053518F">
              <w:rPr>
                <w:rStyle w:val="Hyperlink"/>
                <w:rFonts w:eastAsia="Calibri" w:cs="ArialMT"/>
                <w:noProof/>
                <w:lang w:val="en-GB" w:eastAsia="en-US"/>
              </w:rPr>
              <w:t>Pristup definisanju ciljeva za ostvarivanje/održavanje GES-a za D7</w:t>
            </w:r>
            <w:r w:rsidR="00A65A59">
              <w:rPr>
                <w:noProof/>
                <w:webHidden/>
              </w:rPr>
              <w:tab/>
            </w:r>
            <w:r w:rsidR="00A65A59">
              <w:rPr>
                <w:noProof/>
                <w:webHidden/>
              </w:rPr>
              <w:fldChar w:fldCharType="begin"/>
            </w:r>
            <w:r w:rsidR="00A65A59">
              <w:rPr>
                <w:noProof/>
                <w:webHidden/>
              </w:rPr>
              <w:instrText xml:space="preserve"> PAGEREF _Toc83630929 \h </w:instrText>
            </w:r>
            <w:r w:rsidR="00A65A59">
              <w:rPr>
                <w:noProof/>
                <w:webHidden/>
              </w:rPr>
            </w:r>
            <w:r w:rsidR="00A65A59">
              <w:rPr>
                <w:noProof/>
                <w:webHidden/>
              </w:rPr>
              <w:fldChar w:fldCharType="separate"/>
            </w:r>
            <w:r w:rsidR="000D1E20">
              <w:rPr>
                <w:noProof/>
                <w:webHidden/>
              </w:rPr>
              <w:t>74</w:t>
            </w:r>
            <w:r w:rsidR="00A65A59">
              <w:rPr>
                <w:noProof/>
                <w:webHidden/>
              </w:rPr>
              <w:fldChar w:fldCharType="end"/>
            </w:r>
          </w:hyperlink>
        </w:p>
        <w:p w14:paraId="7E32F12E" w14:textId="1B325A57" w:rsidR="00A65A59" w:rsidRDefault="003801F2">
          <w:pPr>
            <w:pStyle w:val="TOC3"/>
            <w:rPr>
              <w:rFonts w:eastAsiaTheme="minorEastAsia" w:cstheme="minorBidi"/>
              <w:i w:val="0"/>
              <w:iCs w:val="0"/>
              <w:noProof/>
              <w:sz w:val="22"/>
              <w:szCs w:val="22"/>
              <w:lang w:val="hr-HR" w:eastAsia="hr-HR"/>
            </w:rPr>
          </w:pPr>
          <w:hyperlink w:anchor="_Toc83630930" w:history="1">
            <w:r w:rsidR="00A65A59" w:rsidRPr="0053518F">
              <w:rPr>
                <w:rStyle w:val="Hyperlink"/>
                <w:rFonts w:eastAsia="Calibri"/>
                <w:noProof/>
                <w:lang w:val="en-GB" w:eastAsia="en-US"/>
                <w14:scene3d>
                  <w14:camera w14:prst="orthographicFront"/>
                  <w14:lightRig w14:rig="threePt" w14:dir="t">
                    <w14:rot w14:lat="0" w14:lon="0" w14:rev="0"/>
                  </w14:lightRig>
                </w14:scene3d>
              </w:rPr>
              <w:t>2.4.8</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Povezanost sa ostalim Deskriptorima</w:t>
            </w:r>
            <w:r w:rsidR="00A65A59">
              <w:rPr>
                <w:noProof/>
                <w:webHidden/>
              </w:rPr>
              <w:tab/>
            </w:r>
            <w:r w:rsidR="00A65A59">
              <w:rPr>
                <w:noProof/>
                <w:webHidden/>
              </w:rPr>
              <w:fldChar w:fldCharType="begin"/>
            </w:r>
            <w:r w:rsidR="00A65A59">
              <w:rPr>
                <w:noProof/>
                <w:webHidden/>
              </w:rPr>
              <w:instrText xml:space="preserve"> PAGEREF _Toc83630930 \h </w:instrText>
            </w:r>
            <w:r w:rsidR="00A65A59">
              <w:rPr>
                <w:noProof/>
                <w:webHidden/>
              </w:rPr>
            </w:r>
            <w:r w:rsidR="00A65A59">
              <w:rPr>
                <w:noProof/>
                <w:webHidden/>
              </w:rPr>
              <w:fldChar w:fldCharType="separate"/>
            </w:r>
            <w:r w:rsidR="000D1E20">
              <w:rPr>
                <w:noProof/>
                <w:webHidden/>
              </w:rPr>
              <w:t>75</w:t>
            </w:r>
            <w:r w:rsidR="00A65A59">
              <w:rPr>
                <w:noProof/>
                <w:webHidden/>
              </w:rPr>
              <w:fldChar w:fldCharType="end"/>
            </w:r>
          </w:hyperlink>
        </w:p>
        <w:p w14:paraId="035B75F7" w14:textId="1A8C49B1" w:rsidR="00A65A59" w:rsidRDefault="003801F2">
          <w:pPr>
            <w:pStyle w:val="TOC3"/>
            <w:rPr>
              <w:rFonts w:eastAsiaTheme="minorEastAsia" w:cstheme="minorBidi"/>
              <w:i w:val="0"/>
              <w:iCs w:val="0"/>
              <w:noProof/>
              <w:sz w:val="22"/>
              <w:szCs w:val="22"/>
              <w:lang w:val="hr-HR" w:eastAsia="hr-HR"/>
            </w:rPr>
          </w:pPr>
          <w:hyperlink w:anchor="_Toc83630931" w:history="1">
            <w:r w:rsidR="00A65A59" w:rsidRPr="0053518F">
              <w:rPr>
                <w:rStyle w:val="Hyperlink"/>
                <w:rFonts w:eastAsia="Calibri"/>
                <w:noProof/>
                <w:lang w:val="en-GB" w:eastAsia="en-US"/>
                <w14:scene3d>
                  <w14:camera w14:prst="orthographicFront"/>
                  <w14:lightRig w14:rig="threePt" w14:dir="t">
                    <w14:rot w14:lat="0" w14:lon="0" w14:rev="0"/>
                  </w14:lightRig>
                </w14:scene3d>
              </w:rPr>
              <w:t>2.4.9</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Nedostaci i potrebe za unapređenjem</w:t>
            </w:r>
            <w:r w:rsidR="00A65A59">
              <w:rPr>
                <w:noProof/>
                <w:webHidden/>
              </w:rPr>
              <w:tab/>
            </w:r>
            <w:r w:rsidR="00A65A59">
              <w:rPr>
                <w:noProof/>
                <w:webHidden/>
              </w:rPr>
              <w:fldChar w:fldCharType="begin"/>
            </w:r>
            <w:r w:rsidR="00A65A59">
              <w:rPr>
                <w:noProof/>
                <w:webHidden/>
              </w:rPr>
              <w:instrText xml:space="preserve"> PAGEREF _Toc83630931 \h </w:instrText>
            </w:r>
            <w:r w:rsidR="00A65A59">
              <w:rPr>
                <w:noProof/>
                <w:webHidden/>
              </w:rPr>
            </w:r>
            <w:r w:rsidR="00A65A59">
              <w:rPr>
                <w:noProof/>
                <w:webHidden/>
              </w:rPr>
              <w:fldChar w:fldCharType="separate"/>
            </w:r>
            <w:r w:rsidR="000D1E20">
              <w:rPr>
                <w:noProof/>
                <w:webHidden/>
              </w:rPr>
              <w:t>76</w:t>
            </w:r>
            <w:r w:rsidR="00A65A59">
              <w:rPr>
                <w:noProof/>
                <w:webHidden/>
              </w:rPr>
              <w:fldChar w:fldCharType="end"/>
            </w:r>
          </w:hyperlink>
        </w:p>
        <w:p w14:paraId="66C928C5" w14:textId="10C7825F" w:rsidR="00A65A59" w:rsidRDefault="003801F2">
          <w:pPr>
            <w:pStyle w:val="TOC2"/>
            <w:rPr>
              <w:rFonts w:eastAsiaTheme="minorEastAsia" w:cstheme="minorBidi"/>
              <w:smallCaps w:val="0"/>
              <w:noProof/>
              <w:sz w:val="22"/>
              <w:szCs w:val="22"/>
              <w:lang w:val="hr-HR" w:eastAsia="hr-HR"/>
            </w:rPr>
          </w:pPr>
          <w:hyperlink w:anchor="_Toc83630932" w:history="1">
            <w:r w:rsidR="00A65A59" w:rsidRPr="0053518F">
              <w:rPr>
                <w:rStyle w:val="Hyperlink"/>
                <w:rFonts w:eastAsia="Calibri"/>
                <w:noProof/>
                <w:lang w:val="en-GB" w:eastAsia="en-US"/>
              </w:rPr>
              <w:t>2.5</w:t>
            </w:r>
            <w:r w:rsidR="00A65A59">
              <w:rPr>
                <w:rFonts w:eastAsiaTheme="minorEastAsia" w:cstheme="minorBidi"/>
                <w:smallCaps w:val="0"/>
                <w:noProof/>
                <w:sz w:val="22"/>
                <w:szCs w:val="22"/>
                <w:lang w:val="hr-HR" w:eastAsia="hr-HR"/>
              </w:rPr>
              <w:tab/>
            </w:r>
            <w:r w:rsidR="00A65A59" w:rsidRPr="0053518F">
              <w:rPr>
                <w:rStyle w:val="Hyperlink"/>
                <w:rFonts w:eastAsia="Calibri"/>
                <w:noProof/>
                <w:lang w:val="en-GB"/>
              </w:rPr>
              <w:t>KONCENTRACIJE ZAGAĐUJUĆIH MATERIJA (KONTAMINANTA) (DESKRIPTOR 8)</w:t>
            </w:r>
            <w:r w:rsidR="00A65A59">
              <w:rPr>
                <w:noProof/>
                <w:webHidden/>
              </w:rPr>
              <w:tab/>
            </w:r>
            <w:r w:rsidR="00A65A59">
              <w:rPr>
                <w:noProof/>
                <w:webHidden/>
              </w:rPr>
              <w:fldChar w:fldCharType="begin"/>
            </w:r>
            <w:r w:rsidR="00A65A59">
              <w:rPr>
                <w:noProof/>
                <w:webHidden/>
              </w:rPr>
              <w:instrText xml:space="preserve"> PAGEREF _Toc83630932 \h </w:instrText>
            </w:r>
            <w:r w:rsidR="00A65A59">
              <w:rPr>
                <w:noProof/>
                <w:webHidden/>
              </w:rPr>
            </w:r>
            <w:r w:rsidR="00A65A59">
              <w:rPr>
                <w:noProof/>
                <w:webHidden/>
              </w:rPr>
              <w:fldChar w:fldCharType="separate"/>
            </w:r>
            <w:r w:rsidR="000D1E20">
              <w:rPr>
                <w:noProof/>
                <w:webHidden/>
              </w:rPr>
              <w:t>77</w:t>
            </w:r>
            <w:r w:rsidR="00A65A59">
              <w:rPr>
                <w:noProof/>
                <w:webHidden/>
              </w:rPr>
              <w:fldChar w:fldCharType="end"/>
            </w:r>
          </w:hyperlink>
        </w:p>
        <w:p w14:paraId="4E2DF591" w14:textId="253B75F0" w:rsidR="00A65A59" w:rsidRDefault="003801F2">
          <w:pPr>
            <w:pStyle w:val="TOC3"/>
            <w:rPr>
              <w:rFonts w:eastAsiaTheme="minorEastAsia" w:cstheme="minorBidi"/>
              <w:i w:val="0"/>
              <w:iCs w:val="0"/>
              <w:noProof/>
              <w:sz w:val="22"/>
              <w:szCs w:val="22"/>
              <w:lang w:val="hr-HR" w:eastAsia="hr-HR"/>
            </w:rPr>
          </w:pPr>
          <w:hyperlink w:anchor="_Toc83630933" w:history="1">
            <w:r w:rsidR="00A65A59" w:rsidRPr="0053518F">
              <w:rPr>
                <w:rStyle w:val="Hyperlink"/>
                <w:noProof/>
                <w:lang w:val="en-GB" w:eastAsia="en-US"/>
                <w14:scene3d>
                  <w14:camera w14:prst="orthographicFront"/>
                  <w14:lightRig w14:rig="threePt" w14:dir="t">
                    <w14:rot w14:lat="0" w14:lon="0" w14:rev="0"/>
                  </w14:lightRig>
                </w14:scene3d>
              </w:rPr>
              <w:t>2.5.1</w:t>
            </w:r>
            <w:r w:rsidR="00A65A59">
              <w:rPr>
                <w:rFonts w:eastAsiaTheme="minorEastAsia" w:cstheme="minorBidi"/>
                <w:i w:val="0"/>
                <w:iCs w:val="0"/>
                <w:noProof/>
                <w:sz w:val="22"/>
                <w:szCs w:val="22"/>
                <w:lang w:val="hr-HR" w:eastAsia="hr-HR"/>
              </w:rPr>
              <w:tab/>
            </w:r>
            <w:r w:rsidR="00A65A59" w:rsidRPr="0053518F">
              <w:rPr>
                <w:rStyle w:val="Hyperlink"/>
                <w:noProof/>
                <w:lang w:val="en-GB"/>
              </w:rPr>
              <w:t>Relevantni pritisci i uticaji</w:t>
            </w:r>
            <w:r w:rsidR="00A65A59">
              <w:rPr>
                <w:noProof/>
                <w:webHidden/>
              </w:rPr>
              <w:tab/>
            </w:r>
            <w:r w:rsidR="00A65A59">
              <w:rPr>
                <w:noProof/>
                <w:webHidden/>
              </w:rPr>
              <w:fldChar w:fldCharType="begin"/>
            </w:r>
            <w:r w:rsidR="00A65A59">
              <w:rPr>
                <w:noProof/>
                <w:webHidden/>
              </w:rPr>
              <w:instrText xml:space="preserve"> PAGEREF _Toc83630933 \h </w:instrText>
            </w:r>
            <w:r w:rsidR="00A65A59">
              <w:rPr>
                <w:noProof/>
                <w:webHidden/>
              </w:rPr>
            </w:r>
            <w:r w:rsidR="00A65A59">
              <w:rPr>
                <w:noProof/>
                <w:webHidden/>
              </w:rPr>
              <w:fldChar w:fldCharType="separate"/>
            </w:r>
            <w:r w:rsidR="000D1E20">
              <w:rPr>
                <w:noProof/>
                <w:webHidden/>
              </w:rPr>
              <w:t>78</w:t>
            </w:r>
            <w:r w:rsidR="00A65A59">
              <w:rPr>
                <w:noProof/>
                <w:webHidden/>
              </w:rPr>
              <w:fldChar w:fldCharType="end"/>
            </w:r>
          </w:hyperlink>
        </w:p>
        <w:p w14:paraId="54329A02" w14:textId="07FDD7DD" w:rsidR="00A65A59" w:rsidRDefault="003801F2">
          <w:pPr>
            <w:pStyle w:val="TOC3"/>
            <w:rPr>
              <w:rFonts w:eastAsiaTheme="minorEastAsia" w:cstheme="minorBidi"/>
              <w:i w:val="0"/>
              <w:iCs w:val="0"/>
              <w:noProof/>
              <w:sz w:val="22"/>
              <w:szCs w:val="22"/>
              <w:lang w:val="hr-HR" w:eastAsia="hr-HR"/>
            </w:rPr>
          </w:pPr>
          <w:hyperlink w:anchor="_Toc83630934" w:history="1">
            <w:r w:rsidR="00A65A59" w:rsidRPr="0053518F">
              <w:rPr>
                <w:rStyle w:val="Hyperlink"/>
                <w:rFonts w:eastAsia="Calibri"/>
                <w:noProof/>
                <w:lang w:val="en-GB" w:eastAsia="en-US"/>
                <w14:scene3d>
                  <w14:camera w14:prst="orthographicFront"/>
                  <w14:lightRig w14:rig="threePt" w14:dir="t">
                    <w14:rot w14:lat="0" w14:lon="0" w14:rev="0"/>
                  </w14:lightRig>
                </w14:scene3d>
              </w:rPr>
              <w:t>2.5.2</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Zakonodavni okvir – nacionalni i međunarodni</w:t>
            </w:r>
            <w:r w:rsidR="00A65A59">
              <w:rPr>
                <w:noProof/>
                <w:webHidden/>
              </w:rPr>
              <w:tab/>
            </w:r>
            <w:r w:rsidR="00A65A59">
              <w:rPr>
                <w:noProof/>
                <w:webHidden/>
              </w:rPr>
              <w:fldChar w:fldCharType="begin"/>
            </w:r>
            <w:r w:rsidR="00A65A59">
              <w:rPr>
                <w:noProof/>
                <w:webHidden/>
              </w:rPr>
              <w:instrText xml:space="preserve"> PAGEREF _Toc83630934 \h </w:instrText>
            </w:r>
            <w:r w:rsidR="00A65A59">
              <w:rPr>
                <w:noProof/>
                <w:webHidden/>
              </w:rPr>
            </w:r>
            <w:r w:rsidR="00A65A59">
              <w:rPr>
                <w:noProof/>
                <w:webHidden/>
              </w:rPr>
              <w:fldChar w:fldCharType="separate"/>
            </w:r>
            <w:r w:rsidR="000D1E20">
              <w:rPr>
                <w:noProof/>
                <w:webHidden/>
              </w:rPr>
              <w:t>79</w:t>
            </w:r>
            <w:r w:rsidR="00A65A59">
              <w:rPr>
                <w:noProof/>
                <w:webHidden/>
              </w:rPr>
              <w:fldChar w:fldCharType="end"/>
            </w:r>
          </w:hyperlink>
        </w:p>
        <w:p w14:paraId="344B32DE" w14:textId="4BDE64A4" w:rsidR="00A65A59" w:rsidRDefault="003801F2">
          <w:pPr>
            <w:pStyle w:val="TOC3"/>
            <w:rPr>
              <w:rFonts w:eastAsiaTheme="minorEastAsia" w:cstheme="minorBidi"/>
              <w:i w:val="0"/>
              <w:iCs w:val="0"/>
              <w:noProof/>
              <w:sz w:val="22"/>
              <w:szCs w:val="22"/>
              <w:lang w:val="hr-HR" w:eastAsia="hr-HR"/>
            </w:rPr>
          </w:pPr>
          <w:hyperlink w:anchor="_Toc83630935" w:history="1">
            <w:r w:rsidR="00A65A59" w:rsidRPr="0053518F">
              <w:rPr>
                <w:rStyle w:val="Hyperlink"/>
                <w:rFonts w:eastAsia="Calibri"/>
                <w:noProof/>
                <w:lang w:val="en-GB"/>
                <w14:scene3d>
                  <w14:camera w14:prst="orthographicFront"/>
                  <w14:lightRig w14:rig="threePt" w14:dir="t">
                    <w14:rot w14:lat="0" w14:lon="0" w14:rev="0"/>
                  </w14:lightRig>
                </w14:scene3d>
              </w:rPr>
              <w:t>2.5.3</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Odabir kriterijuma za procjenu GES-a</w:t>
            </w:r>
            <w:r w:rsidR="00A65A59">
              <w:rPr>
                <w:noProof/>
                <w:webHidden/>
              </w:rPr>
              <w:tab/>
            </w:r>
            <w:r w:rsidR="00A65A59">
              <w:rPr>
                <w:noProof/>
                <w:webHidden/>
              </w:rPr>
              <w:fldChar w:fldCharType="begin"/>
            </w:r>
            <w:r w:rsidR="00A65A59">
              <w:rPr>
                <w:noProof/>
                <w:webHidden/>
              </w:rPr>
              <w:instrText xml:space="preserve"> PAGEREF _Toc83630935 \h </w:instrText>
            </w:r>
            <w:r w:rsidR="00A65A59">
              <w:rPr>
                <w:noProof/>
                <w:webHidden/>
              </w:rPr>
            </w:r>
            <w:r w:rsidR="00A65A59">
              <w:rPr>
                <w:noProof/>
                <w:webHidden/>
              </w:rPr>
              <w:fldChar w:fldCharType="separate"/>
            </w:r>
            <w:r w:rsidR="000D1E20">
              <w:rPr>
                <w:noProof/>
                <w:webHidden/>
              </w:rPr>
              <w:t>80</w:t>
            </w:r>
            <w:r w:rsidR="00A65A59">
              <w:rPr>
                <w:noProof/>
                <w:webHidden/>
              </w:rPr>
              <w:fldChar w:fldCharType="end"/>
            </w:r>
          </w:hyperlink>
        </w:p>
        <w:p w14:paraId="43EB36F4" w14:textId="000395D0" w:rsidR="00A65A59" w:rsidRDefault="003801F2">
          <w:pPr>
            <w:pStyle w:val="TOC3"/>
            <w:rPr>
              <w:rFonts w:eastAsiaTheme="minorEastAsia" w:cstheme="minorBidi"/>
              <w:i w:val="0"/>
              <w:iCs w:val="0"/>
              <w:noProof/>
              <w:sz w:val="22"/>
              <w:szCs w:val="22"/>
              <w:lang w:val="hr-HR" w:eastAsia="hr-HR"/>
            </w:rPr>
          </w:pPr>
          <w:hyperlink w:anchor="_Toc83630936" w:history="1">
            <w:r w:rsidR="00A65A59" w:rsidRPr="0053518F">
              <w:rPr>
                <w:rStyle w:val="Hyperlink"/>
                <w:noProof/>
                <w:lang w:val="en-GB" w:eastAsia="en-US"/>
                <w14:scene3d>
                  <w14:camera w14:prst="orthographicFront"/>
                  <w14:lightRig w14:rig="threePt" w14:dir="t">
                    <w14:rot w14:lat="0" w14:lon="0" w14:rev="0"/>
                  </w14:lightRig>
                </w14:scene3d>
              </w:rPr>
              <w:t>2.5.4</w:t>
            </w:r>
            <w:r w:rsidR="00A65A59">
              <w:rPr>
                <w:rFonts w:eastAsiaTheme="minorEastAsia" w:cstheme="minorBidi"/>
                <w:i w:val="0"/>
                <w:iCs w:val="0"/>
                <w:noProof/>
                <w:sz w:val="22"/>
                <w:szCs w:val="22"/>
                <w:lang w:val="hr-HR" w:eastAsia="hr-HR"/>
              </w:rPr>
              <w:tab/>
            </w:r>
            <w:r w:rsidR="00A65A59" w:rsidRPr="0053518F">
              <w:rPr>
                <w:rStyle w:val="Hyperlink"/>
                <w:noProof/>
                <w:lang w:val="en-GB"/>
              </w:rPr>
              <w:t>Pristup procjeni GES-a (granične vrijednosti, pragovi)</w:t>
            </w:r>
            <w:r w:rsidR="00A65A59">
              <w:rPr>
                <w:noProof/>
                <w:webHidden/>
              </w:rPr>
              <w:tab/>
            </w:r>
            <w:r w:rsidR="00A65A59">
              <w:rPr>
                <w:noProof/>
                <w:webHidden/>
              </w:rPr>
              <w:fldChar w:fldCharType="begin"/>
            </w:r>
            <w:r w:rsidR="00A65A59">
              <w:rPr>
                <w:noProof/>
                <w:webHidden/>
              </w:rPr>
              <w:instrText xml:space="preserve"> PAGEREF _Toc83630936 \h </w:instrText>
            </w:r>
            <w:r w:rsidR="00A65A59">
              <w:rPr>
                <w:noProof/>
                <w:webHidden/>
              </w:rPr>
            </w:r>
            <w:r w:rsidR="00A65A59">
              <w:rPr>
                <w:noProof/>
                <w:webHidden/>
              </w:rPr>
              <w:fldChar w:fldCharType="separate"/>
            </w:r>
            <w:r w:rsidR="000D1E20">
              <w:rPr>
                <w:noProof/>
                <w:webHidden/>
              </w:rPr>
              <w:t>81</w:t>
            </w:r>
            <w:r w:rsidR="00A65A59">
              <w:rPr>
                <w:noProof/>
                <w:webHidden/>
              </w:rPr>
              <w:fldChar w:fldCharType="end"/>
            </w:r>
          </w:hyperlink>
        </w:p>
        <w:p w14:paraId="31A81358" w14:textId="2E9019C9" w:rsidR="00A65A59" w:rsidRDefault="003801F2">
          <w:pPr>
            <w:pStyle w:val="TOC3"/>
            <w:rPr>
              <w:rFonts w:eastAsiaTheme="minorEastAsia" w:cstheme="minorBidi"/>
              <w:i w:val="0"/>
              <w:iCs w:val="0"/>
              <w:noProof/>
              <w:sz w:val="22"/>
              <w:szCs w:val="22"/>
              <w:lang w:val="hr-HR" w:eastAsia="hr-HR"/>
            </w:rPr>
          </w:pPr>
          <w:hyperlink w:anchor="_Toc83630937" w:history="1">
            <w:r w:rsidR="00A65A59" w:rsidRPr="0053518F">
              <w:rPr>
                <w:rStyle w:val="Hyperlink"/>
                <w:rFonts w:eastAsia="Calibri"/>
                <w:noProof/>
                <w:w w:val="105"/>
                <w:lang w:val="en-GB" w:eastAsia="en-US"/>
                <w14:scene3d>
                  <w14:camera w14:prst="orthographicFront"/>
                  <w14:lightRig w14:rig="threePt" w14:dir="t">
                    <w14:rot w14:lat="0" w14:lon="0" w14:rev="0"/>
                  </w14:lightRig>
                </w14:scene3d>
              </w:rPr>
              <w:t>2.5.5</w:t>
            </w:r>
            <w:r w:rsidR="00A65A59">
              <w:rPr>
                <w:rFonts w:eastAsiaTheme="minorEastAsia" w:cstheme="minorBidi"/>
                <w:i w:val="0"/>
                <w:iCs w:val="0"/>
                <w:noProof/>
                <w:sz w:val="22"/>
                <w:szCs w:val="22"/>
                <w:lang w:val="hr-HR" w:eastAsia="hr-HR"/>
              </w:rPr>
              <w:tab/>
            </w:r>
            <w:r w:rsidR="00A65A59" w:rsidRPr="0053518F">
              <w:rPr>
                <w:rStyle w:val="Hyperlink"/>
                <w:rFonts w:eastAsia="Calibri"/>
                <w:noProof/>
                <w:w w:val="105"/>
                <w:lang w:val="en-GB"/>
              </w:rPr>
              <w:t>Rezime stanja D8 na osnovu Početne procjene</w:t>
            </w:r>
            <w:r w:rsidR="00A65A59">
              <w:rPr>
                <w:noProof/>
                <w:webHidden/>
              </w:rPr>
              <w:tab/>
            </w:r>
            <w:r w:rsidR="00A65A59">
              <w:rPr>
                <w:noProof/>
                <w:webHidden/>
              </w:rPr>
              <w:fldChar w:fldCharType="begin"/>
            </w:r>
            <w:r w:rsidR="00A65A59">
              <w:rPr>
                <w:noProof/>
                <w:webHidden/>
              </w:rPr>
              <w:instrText xml:space="preserve"> PAGEREF _Toc83630937 \h </w:instrText>
            </w:r>
            <w:r w:rsidR="00A65A59">
              <w:rPr>
                <w:noProof/>
                <w:webHidden/>
              </w:rPr>
            </w:r>
            <w:r w:rsidR="00A65A59">
              <w:rPr>
                <w:noProof/>
                <w:webHidden/>
              </w:rPr>
              <w:fldChar w:fldCharType="separate"/>
            </w:r>
            <w:r w:rsidR="000D1E20">
              <w:rPr>
                <w:noProof/>
                <w:webHidden/>
              </w:rPr>
              <w:t>85</w:t>
            </w:r>
            <w:r w:rsidR="00A65A59">
              <w:rPr>
                <w:noProof/>
                <w:webHidden/>
              </w:rPr>
              <w:fldChar w:fldCharType="end"/>
            </w:r>
          </w:hyperlink>
        </w:p>
        <w:p w14:paraId="17FAF59B" w14:textId="46407CCB" w:rsidR="00A65A59" w:rsidRDefault="003801F2">
          <w:pPr>
            <w:pStyle w:val="TOC3"/>
            <w:rPr>
              <w:rFonts w:eastAsiaTheme="minorEastAsia" w:cstheme="minorBidi"/>
              <w:i w:val="0"/>
              <w:iCs w:val="0"/>
              <w:noProof/>
              <w:sz w:val="22"/>
              <w:szCs w:val="22"/>
              <w:lang w:val="hr-HR" w:eastAsia="hr-HR"/>
            </w:rPr>
          </w:pPr>
          <w:hyperlink w:anchor="_Toc83630938" w:history="1">
            <w:r w:rsidR="00A65A59" w:rsidRPr="0053518F">
              <w:rPr>
                <w:rStyle w:val="Hyperlink"/>
                <w:rFonts w:eastAsia="Calibri"/>
                <w:noProof/>
                <w:lang w:val="en-GB" w:eastAsia="en-US"/>
                <w14:scene3d>
                  <w14:camera w14:prst="orthographicFront"/>
                  <w14:lightRig w14:rig="threePt" w14:dir="t">
                    <w14:rot w14:lat="0" w14:lon="0" w14:rev="0"/>
                  </w14:lightRig>
                </w14:scene3d>
              </w:rPr>
              <w:t>2.5.6</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Procjena GES-a za Deskriptor 8</w:t>
            </w:r>
            <w:r w:rsidR="00A65A59">
              <w:rPr>
                <w:noProof/>
                <w:webHidden/>
              </w:rPr>
              <w:tab/>
            </w:r>
            <w:r w:rsidR="00A65A59">
              <w:rPr>
                <w:noProof/>
                <w:webHidden/>
              </w:rPr>
              <w:fldChar w:fldCharType="begin"/>
            </w:r>
            <w:r w:rsidR="00A65A59">
              <w:rPr>
                <w:noProof/>
                <w:webHidden/>
              </w:rPr>
              <w:instrText xml:space="preserve"> PAGEREF _Toc83630938 \h </w:instrText>
            </w:r>
            <w:r w:rsidR="00A65A59">
              <w:rPr>
                <w:noProof/>
                <w:webHidden/>
              </w:rPr>
            </w:r>
            <w:r w:rsidR="00A65A59">
              <w:rPr>
                <w:noProof/>
                <w:webHidden/>
              </w:rPr>
              <w:fldChar w:fldCharType="separate"/>
            </w:r>
            <w:r w:rsidR="000D1E20">
              <w:rPr>
                <w:noProof/>
                <w:webHidden/>
              </w:rPr>
              <w:t>97</w:t>
            </w:r>
            <w:r w:rsidR="00A65A59">
              <w:rPr>
                <w:noProof/>
                <w:webHidden/>
              </w:rPr>
              <w:fldChar w:fldCharType="end"/>
            </w:r>
          </w:hyperlink>
        </w:p>
        <w:p w14:paraId="11ACFE99" w14:textId="39E51808" w:rsidR="00A65A59" w:rsidRDefault="003801F2">
          <w:pPr>
            <w:pStyle w:val="TOC3"/>
            <w:rPr>
              <w:rFonts w:eastAsiaTheme="minorEastAsia" w:cstheme="minorBidi"/>
              <w:i w:val="0"/>
              <w:iCs w:val="0"/>
              <w:noProof/>
              <w:sz w:val="22"/>
              <w:szCs w:val="22"/>
              <w:lang w:val="hr-HR" w:eastAsia="hr-HR"/>
            </w:rPr>
          </w:pPr>
          <w:hyperlink w:anchor="_Toc83630939" w:history="1">
            <w:r w:rsidR="00A65A59" w:rsidRPr="0053518F">
              <w:rPr>
                <w:rStyle w:val="Hyperlink"/>
                <w:rFonts w:eastAsia="Calibri"/>
                <w:noProof/>
                <w:lang w:val="en-GB"/>
                <w14:scene3d>
                  <w14:camera w14:prst="orthographicFront"/>
                  <w14:lightRig w14:rig="threePt" w14:dir="t">
                    <w14:rot w14:lat="0" w14:lon="0" w14:rev="0"/>
                  </w14:lightRig>
                </w14:scene3d>
              </w:rPr>
              <w:t>2.5.7</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Pristup definisanju ciljeva za ostvarivanje/održavanje GES-a za D8</w:t>
            </w:r>
            <w:r w:rsidR="00A65A59">
              <w:rPr>
                <w:noProof/>
                <w:webHidden/>
              </w:rPr>
              <w:tab/>
            </w:r>
            <w:r w:rsidR="00A65A59">
              <w:rPr>
                <w:noProof/>
                <w:webHidden/>
              </w:rPr>
              <w:fldChar w:fldCharType="begin"/>
            </w:r>
            <w:r w:rsidR="00A65A59">
              <w:rPr>
                <w:noProof/>
                <w:webHidden/>
              </w:rPr>
              <w:instrText xml:space="preserve"> PAGEREF _Toc83630939 \h </w:instrText>
            </w:r>
            <w:r w:rsidR="00A65A59">
              <w:rPr>
                <w:noProof/>
                <w:webHidden/>
              </w:rPr>
            </w:r>
            <w:r w:rsidR="00A65A59">
              <w:rPr>
                <w:noProof/>
                <w:webHidden/>
              </w:rPr>
              <w:fldChar w:fldCharType="separate"/>
            </w:r>
            <w:r w:rsidR="000D1E20">
              <w:rPr>
                <w:noProof/>
                <w:webHidden/>
              </w:rPr>
              <w:t>98</w:t>
            </w:r>
            <w:r w:rsidR="00A65A59">
              <w:rPr>
                <w:noProof/>
                <w:webHidden/>
              </w:rPr>
              <w:fldChar w:fldCharType="end"/>
            </w:r>
          </w:hyperlink>
        </w:p>
        <w:p w14:paraId="34AFEB68" w14:textId="5103D854" w:rsidR="00A65A59" w:rsidRDefault="003801F2">
          <w:pPr>
            <w:pStyle w:val="TOC3"/>
            <w:rPr>
              <w:rFonts w:eastAsiaTheme="minorEastAsia" w:cstheme="minorBidi"/>
              <w:i w:val="0"/>
              <w:iCs w:val="0"/>
              <w:noProof/>
              <w:sz w:val="22"/>
              <w:szCs w:val="22"/>
              <w:lang w:val="hr-HR" w:eastAsia="hr-HR"/>
            </w:rPr>
          </w:pPr>
          <w:hyperlink w:anchor="_Toc83630940" w:history="1">
            <w:r w:rsidR="00A65A59" w:rsidRPr="0053518F">
              <w:rPr>
                <w:rStyle w:val="Hyperlink"/>
                <w:rFonts w:eastAsia="Calibri"/>
                <w:noProof/>
                <w:lang w:val="en-GB" w:eastAsia="en-US"/>
                <w14:scene3d>
                  <w14:camera w14:prst="orthographicFront"/>
                  <w14:lightRig w14:rig="threePt" w14:dir="t">
                    <w14:rot w14:lat="0" w14:lon="0" w14:rev="0"/>
                  </w14:lightRig>
                </w14:scene3d>
              </w:rPr>
              <w:t>2.5.8</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Veza sa drugim Deskriptorima</w:t>
            </w:r>
            <w:r w:rsidR="00A65A59">
              <w:rPr>
                <w:noProof/>
                <w:webHidden/>
              </w:rPr>
              <w:tab/>
            </w:r>
            <w:r w:rsidR="00A65A59">
              <w:rPr>
                <w:noProof/>
                <w:webHidden/>
              </w:rPr>
              <w:fldChar w:fldCharType="begin"/>
            </w:r>
            <w:r w:rsidR="00A65A59">
              <w:rPr>
                <w:noProof/>
                <w:webHidden/>
              </w:rPr>
              <w:instrText xml:space="preserve"> PAGEREF _Toc83630940 \h </w:instrText>
            </w:r>
            <w:r w:rsidR="00A65A59">
              <w:rPr>
                <w:noProof/>
                <w:webHidden/>
              </w:rPr>
            </w:r>
            <w:r w:rsidR="00A65A59">
              <w:rPr>
                <w:noProof/>
                <w:webHidden/>
              </w:rPr>
              <w:fldChar w:fldCharType="separate"/>
            </w:r>
            <w:r w:rsidR="000D1E20">
              <w:rPr>
                <w:noProof/>
                <w:webHidden/>
              </w:rPr>
              <w:t>99</w:t>
            </w:r>
            <w:r w:rsidR="00A65A59">
              <w:rPr>
                <w:noProof/>
                <w:webHidden/>
              </w:rPr>
              <w:fldChar w:fldCharType="end"/>
            </w:r>
          </w:hyperlink>
        </w:p>
        <w:p w14:paraId="5BE6B49E" w14:textId="26C50FA9" w:rsidR="00A65A59" w:rsidRDefault="003801F2">
          <w:pPr>
            <w:pStyle w:val="TOC3"/>
            <w:rPr>
              <w:rFonts w:eastAsiaTheme="minorEastAsia" w:cstheme="minorBidi"/>
              <w:i w:val="0"/>
              <w:iCs w:val="0"/>
              <w:noProof/>
              <w:sz w:val="22"/>
              <w:szCs w:val="22"/>
              <w:lang w:val="hr-HR" w:eastAsia="hr-HR"/>
            </w:rPr>
          </w:pPr>
          <w:hyperlink w:anchor="_Toc83630941" w:history="1">
            <w:r w:rsidR="00A65A59" w:rsidRPr="0053518F">
              <w:rPr>
                <w:rStyle w:val="Hyperlink"/>
                <w:rFonts w:eastAsia="Calibri"/>
                <w:noProof/>
                <w:lang w:val="en-GB"/>
                <w14:scene3d>
                  <w14:camera w14:prst="orthographicFront"/>
                  <w14:lightRig w14:rig="threePt" w14:dir="t">
                    <w14:rot w14:lat="0" w14:lon="0" w14:rev="0"/>
                  </w14:lightRig>
                </w14:scene3d>
              </w:rPr>
              <w:t>2.5.9</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Nedostaci i potrebe za unapređenjem</w:t>
            </w:r>
            <w:r w:rsidR="00A65A59">
              <w:rPr>
                <w:noProof/>
                <w:webHidden/>
              </w:rPr>
              <w:tab/>
            </w:r>
            <w:r w:rsidR="00A65A59">
              <w:rPr>
                <w:noProof/>
                <w:webHidden/>
              </w:rPr>
              <w:fldChar w:fldCharType="begin"/>
            </w:r>
            <w:r w:rsidR="00A65A59">
              <w:rPr>
                <w:noProof/>
                <w:webHidden/>
              </w:rPr>
              <w:instrText xml:space="preserve"> PAGEREF _Toc83630941 \h </w:instrText>
            </w:r>
            <w:r w:rsidR="00A65A59">
              <w:rPr>
                <w:noProof/>
                <w:webHidden/>
              </w:rPr>
            </w:r>
            <w:r w:rsidR="00A65A59">
              <w:rPr>
                <w:noProof/>
                <w:webHidden/>
              </w:rPr>
              <w:fldChar w:fldCharType="separate"/>
            </w:r>
            <w:r w:rsidR="000D1E20">
              <w:rPr>
                <w:noProof/>
                <w:webHidden/>
              </w:rPr>
              <w:t>100</w:t>
            </w:r>
            <w:r w:rsidR="00A65A59">
              <w:rPr>
                <w:noProof/>
                <w:webHidden/>
              </w:rPr>
              <w:fldChar w:fldCharType="end"/>
            </w:r>
          </w:hyperlink>
        </w:p>
        <w:p w14:paraId="3CAC084F" w14:textId="36CF8443" w:rsidR="00A65A59" w:rsidRDefault="003801F2">
          <w:pPr>
            <w:pStyle w:val="TOC2"/>
            <w:rPr>
              <w:rFonts w:eastAsiaTheme="minorEastAsia" w:cstheme="minorBidi"/>
              <w:smallCaps w:val="0"/>
              <w:noProof/>
              <w:sz w:val="22"/>
              <w:szCs w:val="22"/>
              <w:lang w:val="hr-HR" w:eastAsia="hr-HR"/>
            </w:rPr>
          </w:pPr>
          <w:hyperlink w:anchor="_Toc83630942" w:history="1">
            <w:r w:rsidR="00A65A59" w:rsidRPr="0053518F">
              <w:rPr>
                <w:rStyle w:val="Hyperlink"/>
                <w:noProof/>
                <w:lang w:val="en-GB"/>
              </w:rPr>
              <w:t>2.6</w:t>
            </w:r>
            <w:r w:rsidR="00A65A59">
              <w:rPr>
                <w:rFonts w:eastAsiaTheme="minorEastAsia" w:cstheme="minorBidi"/>
                <w:smallCaps w:val="0"/>
                <w:noProof/>
                <w:sz w:val="22"/>
                <w:szCs w:val="22"/>
                <w:lang w:val="hr-HR" w:eastAsia="hr-HR"/>
              </w:rPr>
              <w:tab/>
            </w:r>
            <w:r w:rsidR="00A65A59" w:rsidRPr="0053518F">
              <w:rPr>
                <w:rStyle w:val="Hyperlink"/>
                <w:noProof/>
                <w:lang w:val="en-GB"/>
              </w:rPr>
              <w:t>KONTAMINANTI U RIBI I DRUGIM MORSKIM ORGANIZMIMA  NAMIJENJENIM PREHRANI LJUDI (DESKRIPTOR 9)</w:t>
            </w:r>
            <w:r w:rsidR="00A65A59">
              <w:rPr>
                <w:noProof/>
                <w:webHidden/>
              </w:rPr>
              <w:tab/>
            </w:r>
            <w:r w:rsidR="00A65A59">
              <w:rPr>
                <w:noProof/>
                <w:webHidden/>
              </w:rPr>
              <w:fldChar w:fldCharType="begin"/>
            </w:r>
            <w:r w:rsidR="00A65A59">
              <w:rPr>
                <w:noProof/>
                <w:webHidden/>
              </w:rPr>
              <w:instrText xml:space="preserve"> PAGEREF _Toc83630942 \h </w:instrText>
            </w:r>
            <w:r w:rsidR="00A65A59">
              <w:rPr>
                <w:noProof/>
                <w:webHidden/>
              </w:rPr>
            </w:r>
            <w:r w:rsidR="00A65A59">
              <w:rPr>
                <w:noProof/>
                <w:webHidden/>
              </w:rPr>
              <w:fldChar w:fldCharType="separate"/>
            </w:r>
            <w:r w:rsidR="000D1E20">
              <w:rPr>
                <w:noProof/>
                <w:webHidden/>
              </w:rPr>
              <w:t>100</w:t>
            </w:r>
            <w:r w:rsidR="00A65A59">
              <w:rPr>
                <w:noProof/>
                <w:webHidden/>
              </w:rPr>
              <w:fldChar w:fldCharType="end"/>
            </w:r>
          </w:hyperlink>
        </w:p>
        <w:p w14:paraId="2EC7A2A8" w14:textId="587FB56C" w:rsidR="00A65A59" w:rsidRDefault="003801F2">
          <w:pPr>
            <w:pStyle w:val="TOC3"/>
            <w:rPr>
              <w:rFonts w:eastAsiaTheme="minorEastAsia" w:cstheme="minorBidi"/>
              <w:i w:val="0"/>
              <w:iCs w:val="0"/>
              <w:noProof/>
              <w:sz w:val="22"/>
              <w:szCs w:val="22"/>
              <w:lang w:val="hr-HR" w:eastAsia="hr-HR"/>
            </w:rPr>
          </w:pPr>
          <w:hyperlink w:anchor="_Toc83630943" w:history="1">
            <w:r w:rsidR="00A65A59" w:rsidRPr="0053518F">
              <w:rPr>
                <w:rStyle w:val="Hyperlink"/>
                <w:rFonts w:eastAsia="Calibri"/>
                <w:noProof/>
                <w:lang w:val="en-GB"/>
                <w14:scene3d>
                  <w14:camera w14:prst="orthographicFront"/>
                  <w14:lightRig w14:rig="threePt" w14:dir="t">
                    <w14:rot w14:lat="0" w14:lon="0" w14:rev="0"/>
                  </w14:lightRig>
                </w14:scene3d>
              </w:rPr>
              <w:t>2.6.1</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Odabir kriterijuma za procjenu GES-a</w:t>
            </w:r>
            <w:r w:rsidR="00A65A59">
              <w:rPr>
                <w:noProof/>
                <w:webHidden/>
              </w:rPr>
              <w:tab/>
            </w:r>
            <w:r w:rsidR="00A65A59">
              <w:rPr>
                <w:noProof/>
                <w:webHidden/>
              </w:rPr>
              <w:fldChar w:fldCharType="begin"/>
            </w:r>
            <w:r w:rsidR="00A65A59">
              <w:rPr>
                <w:noProof/>
                <w:webHidden/>
              </w:rPr>
              <w:instrText xml:space="preserve"> PAGEREF _Toc83630943 \h </w:instrText>
            </w:r>
            <w:r w:rsidR="00A65A59">
              <w:rPr>
                <w:noProof/>
                <w:webHidden/>
              </w:rPr>
            </w:r>
            <w:r w:rsidR="00A65A59">
              <w:rPr>
                <w:noProof/>
                <w:webHidden/>
              </w:rPr>
              <w:fldChar w:fldCharType="separate"/>
            </w:r>
            <w:r w:rsidR="000D1E20">
              <w:rPr>
                <w:noProof/>
                <w:webHidden/>
              </w:rPr>
              <w:t>100</w:t>
            </w:r>
            <w:r w:rsidR="00A65A59">
              <w:rPr>
                <w:noProof/>
                <w:webHidden/>
              </w:rPr>
              <w:fldChar w:fldCharType="end"/>
            </w:r>
          </w:hyperlink>
        </w:p>
        <w:p w14:paraId="3BB7C659" w14:textId="0E15C552" w:rsidR="00A65A59" w:rsidRDefault="003801F2">
          <w:pPr>
            <w:pStyle w:val="TOC3"/>
            <w:rPr>
              <w:rFonts w:eastAsiaTheme="minorEastAsia" w:cstheme="minorBidi"/>
              <w:i w:val="0"/>
              <w:iCs w:val="0"/>
              <w:noProof/>
              <w:sz w:val="22"/>
              <w:szCs w:val="22"/>
              <w:lang w:val="hr-HR" w:eastAsia="hr-HR"/>
            </w:rPr>
          </w:pPr>
          <w:hyperlink w:anchor="_Toc83630944" w:history="1">
            <w:r w:rsidR="00A65A59" w:rsidRPr="0053518F">
              <w:rPr>
                <w:rStyle w:val="Hyperlink"/>
                <w:noProof/>
                <w:lang w:val="en-GB" w:eastAsia="en-US"/>
                <w14:scene3d>
                  <w14:camera w14:prst="orthographicFront"/>
                  <w14:lightRig w14:rig="threePt" w14:dir="t">
                    <w14:rot w14:lat="0" w14:lon="0" w14:rev="0"/>
                  </w14:lightRig>
                </w14:scene3d>
              </w:rPr>
              <w:t>2.6.2</w:t>
            </w:r>
            <w:r w:rsidR="00A65A59">
              <w:rPr>
                <w:rFonts w:eastAsiaTheme="minorEastAsia" w:cstheme="minorBidi"/>
                <w:i w:val="0"/>
                <w:iCs w:val="0"/>
                <w:noProof/>
                <w:sz w:val="22"/>
                <w:szCs w:val="22"/>
                <w:lang w:val="hr-HR" w:eastAsia="hr-HR"/>
              </w:rPr>
              <w:tab/>
            </w:r>
            <w:r w:rsidR="00A65A59" w:rsidRPr="0053518F">
              <w:rPr>
                <w:rStyle w:val="Hyperlink"/>
                <w:noProof/>
                <w:lang w:val="en-GB"/>
              </w:rPr>
              <w:t>Zakonodavni okvir - nacionalni i međunarodni</w:t>
            </w:r>
            <w:r w:rsidR="00A65A59">
              <w:rPr>
                <w:noProof/>
                <w:webHidden/>
              </w:rPr>
              <w:tab/>
            </w:r>
            <w:r w:rsidR="00A65A59">
              <w:rPr>
                <w:noProof/>
                <w:webHidden/>
              </w:rPr>
              <w:fldChar w:fldCharType="begin"/>
            </w:r>
            <w:r w:rsidR="00A65A59">
              <w:rPr>
                <w:noProof/>
                <w:webHidden/>
              </w:rPr>
              <w:instrText xml:space="preserve"> PAGEREF _Toc83630944 \h </w:instrText>
            </w:r>
            <w:r w:rsidR="00A65A59">
              <w:rPr>
                <w:noProof/>
                <w:webHidden/>
              </w:rPr>
            </w:r>
            <w:r w:rsidR="00A65A59">
              <w:rPr>
                <w:noProof/>
                <w:webHidden/>
              </w:rPr>
              <w:fldChar w:fldCharType="separate"/>
            </w:r>
            <w:r w:rsidR="000D1E20">
              <w:rPr>
                <w:noProof/>
                <w:webHidden/>
              </w:rPr>
              <w:t>101</w:t>
            </w:r>
            <w:r w:rsidR="00A65A59">
              <w:rPr>
                <w:noProof/>
                <w:webHidden/>
              </w:rPr>
              <w:fldChar w:fldCharType="end"/>
            </w:r>
          </w:hyperlink>
        </w:p>
        <w:p w14:paraId="14410A78" w14:textId="1E58742D" w:rsidR="00A65A59" w:rsidRDefault="003801F2">
          <w:pPr>
            <w:pStyle w:val="TOC3"/>
            <w:rPr>
              <w:rFonts w:eastAsiaTheme="minorEastAsia" w:cstheme="minorBidi"/>
              <w:i w:val="0"/>
              <w:iCs w:val="0"/>
              <w:noProof/>
              <w:sz w:val="22"/>
              <w:szCs w:val="22"/>
              <w:lang w:val="hr-HR" w:eastAsia="hr-HR"/>
            </w:rPr>
          </w:pPr>
          <w:hyperlink w:anchor="_Toc83630945" w:history="1">
            <w:r w:rsidR="00A65A59" w:rsidRPr="0053518F">
              <w:rPr>
                <w:rStyle w:val="Hyperlink"/>
                <w:noProof/>
                <w:lang w:val="en-GB"/>
                <w14:scene3d>
                  <w14:camera w14:prst="orthographicFront"/>
                  <w14:lightRig w14:rig="threePt" w14:dir="t">
                    <w14:rot w14:lat="0" w14:lon="0" w14:rev="0"/>
                  </w14:lightRig>
                </w14:scene3d>
              </w:rPr>
              <w:t>2.6.3</w:t>
            </w:r>
            <w:r w:rsidR="00A65A59">
              <w:rPr>
                <w:rFonts w:eastAsiaTheme="minorEastAsia" w:cstheme="minorBidi"/>
                <w:i w:val="0"/>
                <w:iCs w:val="0"/>
                <w:noProof/>
                <w:sz w:val="22"/>
                <w:szCs w:val="22"/>
                <w:lang w:val="hr-HR" w:eastAsia="hr-HR"/>
              </w:rPr>
              <w:tab/>
            </w:r>
            <w:r w:rsidR="00A65A59" w:rsidRPr="0053518F">
              <w:rPr>
                <w:rStyle w:val="Hyperlink"/>
                <w:noProof/>
                <w:lang w:val="en-GB"/>
              </w:rPr>
              <w:t>Rezime stanja D9 na osnovu Početne procjene</w:t>
            </w:r>
            <w:r w:rsidR="00A65A59">
              <w:rPr>
                <w:noProof/>
                <w:webHidden/>
              </w:rPr>
              <w:tab/>
            </w:r>
            <w:r w:rsidR="00A65A59">
              <w:rPr>
                <w:noProof/>
                <w:webHidden/>
              </w:rPr>
              <w:fldChar w:fldCharType="begin"/>
            </w:r>
            <w:r w:rsidR="00A65A59">
              <w:rPr>
                <w:noProof/>
                <w:webHidden/>
              </w:rPr>
              <w:instrText xml:space="preserve"> PAGEREF _Toc83630945 \h </w:instrText>
            </w:r>
            <w:r w:rsidR="00A65A59">
              <w:rPr>
                <w:noProof/>
                <w:webHidden/>
              </w:rPr>
            </w:r>
            <w:r w:rsidR="00A65A59">
              <w:rPr>
                <w:noProof/>
                <w:webHidden/>
              </w:rPr>
              <w:fldChar w:fldCharType="separate"/>
            </w:r>
            <w:r w:rsidR="000D1E20">
              <w:rPr>
                <w:noProof/>
                <w:webHidden/>
              </w:rPr>
              <w:t>101</w:t>
            </w:r>
            <w:r w:rsidR="00A65A59">
              <w:rPr>
                <w:noProof/>
                <w:webHidden/>
              </w:rPr>
              <w:fldChar w:fldCharType="end"/>
            </w:r>
          </w:hyperlink>
        </w:p>
        <w:p w14:paraId="1E3B51AC" w14:textId="160A4F68" w:rsidR="00A65A59" w:rsidRDefault="003801F2">
          <w:pPr>
            <w:pStyle w:val="TOC3"/>
            <w:rPr>
              <w:rFonts w:eastAsiaTheme="minorEastAsia" w:cstheme="minorBidi"/>
              <w:i w:val="0"/>
              <w:iCs w:val="0"/>
              <w:noProof/>
              <w:sz w:val="22"/>
              <w:szCs w:val="22"/>
              <w:lang w:val="hr-HR" w:eastAsia="hr-HR"/>
            </w:rPr>
          </w:pPr>
          <w:hyperlink w:anchor="_Toc83630946" w:history="1">
            <w:r w:rsidR="00A65A59" w:rsidRPr="0053518F">
              <w:rPr>
                <w:rStyle w:val="Hyperlink"/>
                <w:rFonts w:eastAsia="Calibri"/>
                <w:noProof/>
                <w:lang w:val="en-GB"/>
                <w14:scene3d>
                  <w14:camera w14:prst="orthographicFront"/>
                  <w14:lightRig w14:rig="threePt" w14:dir="t">
                    <w14:rot w14:lat="0" w14:lon="0" w14:rev="0"/>
                  </w14:lightRig>
                </w14:scene3d>
              </w:rPr>
              <w:t>2.6.4</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Postizanje GES-a za Deskriptor 9</w:t>
            </w:r>
            <w:r w:rsidR="00A65A59">
              <w:rPr>
                <w:noProof/>
                <w:webHidden/>
              </w:rPr>
              <w:tab/>
            </w:r>
            <w:r w:rsidR="00A65A59">
              <w:rPr>
                <w:noProof/>
                <w:webHidden/>
              </w:rPr>
              <w:fldChar w:fldCharType="begin"/>
            </w:r>
            <w:r w:rsidR="00A65A59">
              <w:rPr>
                <w:noProof/>
                <w:webHidden/>
              </w:rPr>
              <w:instrText xml:space="preserve"> PAGEREF _Toc83630946 \h </w:instrText>
            </w:r>
            <w:r w:rsidR="00A65A59">
              <w:rPr>
                <w:noProof/>
                <w:webHidden/>
              </w:rPr>
            </w:r>
            <w:r w:rsidR="00A65A59">
              <w:rPr>
                <w:noProof/>
                <w:webHidden/>
              </w:rPr>
              <w:fldChar w:fldCharType="separate"/>
            </w:r>
            <w:r w:rsidR="000D1E20">
              <w:rPr>
                <w:noProof/>
                <w:webHidden/>
              </w:rPr>
              <w:t>104</w:t>
            </w:r>
            <w:r w:rsidR="00A65A59">
              <w:rPr>
                <w:noProof/>
                <w:webHidden/>
              </w:rPr>
              <w:fldChar w:fldCharType="end"/>
            </w:r>
          </w:hyperlink>
        </w:p>
        <w:p w14:paraId="64B8F02D" w14:textId="5A169C4A" w:rsidR="00A65A59" w:rsidRDefault="003801F2">
          <w:pPr>
            <w:pStyle w:val="TOC3"/>
            <w:rPr>
              <w:rFonts w:eastAsiaTheme="minorEastAsia" w:cstheme="minorBidi"/>
              <w:i w:val="0"/>
              <w:iCs w:val="0"/>
              <w:noProof/>
              <w:sz w:val="22"/>
              <w:szCs w:val="22"/>
              <w:lang w:val="hr-HR" w:eastAsia="hr-HR"/>
            </w:rPr>
          </w:pPr>
          <w:hyperlink w:anchor="_Toc83630947" w:history="1">
            <w:r w:rsidR="00A65A59" w:rsidRPr="0053518F">
              <w:rPr>
                <w:rStyle w:val="Hyperlink"/>
                <w:rFonts w:eastAsia="Calibri"/>
                <w:noProof/>
                <w:lang w:val="en-GB" w:eastAsia="en-US"/>
                <w14:scene3d>
                  <w14:camera w14:prst="orthographicFront"/>
                  <w14:lightRig w14:rig="threePt" w14:dir="t">
                    <w14:rot w14:lat="0" w14:lon="0" w14:rev="0"/>
                  </w14:lightRig>
                </w14:scene3d>
              </w:rPr>
              <w:t>2.6.5</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Pristup definisanju ciljeva za Descriptor 9</w:t>
            </w:r>
            <w:r w:rsidR="00A65A59">
              <w:rPr>
                <w:noProof/>
                <w:webHidden/>
              </w:rPr>
              <w:tab/>
            </w:r>
            <w:r w:rsidR="00A65A59">
              <w:rPr>
                <w:noProof/>
                <w:webHidden/>
              </w:rPr>
              <w:fldChar w:fldCharType="begin"/>
            </w:r>
            <w:r w:rsidR="00A65A59">
              <w:rPr>
                <w:noProof/>
                <w:webHidden/>
              </w:rPr>
              <w:instrText xml:space="preserve"> PAGEREF _Toc83630947 \h </w:instrText>
            </w:r>
            <w:r w:rsidR="00A65A59">
              <w:rPr>
                <w:noProof/>
                <w:webHidden/>
              </w:rPr>
            </w:r>
            <w:r w:rsidR="00A65A59">
              <w:rPr>
                <w:noProof/>
                <w:webHidden/>
              </w:rPr>
              <w:fldChar w:fldCharType="separate"/>
            </w:r>
            <w:r w:rsidR="000D1E20">
              <w:rPr>
                <w:noProof/>
                <w:webHidden/>
              </w:rPr>
              <w:t>105</w:t>
            </w:r>
            <w:r w:rsidR="00A65A59">
              <w:rPr>
                <w:noProof/>
                <w:webHidden/>
              </w:rPr>
              <w:fldChar w:fldCharType="end"/>
            </w:r>
          </w:hyperlink>
        </w:p>
        <w:p w14:paraId="25E2CD22" w14:textId="446CC1AD" w:rsidR="00A65A59" w:rsidRDefault="003801F2">
          <w:pPr>
            <w:pStyle w:val="TOC3"/>
            <w:rPr>
              <w:rFonts w:eastAsiaTheme="minorEastAsia" w:cstheme="minorBidi"/>
              <w:i w:val="0"/>
              <w:iCs w:val="0"/>
              <w:noProof/>
              <w:sz w:val="22"/>
              <w:szCs w:val="22"/>
              <w:lang w:val="hr-HR" w:eastAsia="hr-HR"/>
            </w:rPr>
          </w:pPr>
          <w:hyperlink w:anchor="_Toc83630948" w:history="1">
            <w:r w:rsidR="00A65A59" w:rsidRPr="0053518F">
              <w:rPr>
                <w:rStyle w:val="Hyperlink"/>
                <w:rFonts w:eastAsia="Calibri"/>
                <w:noProof/>
                <w:lang w:val="en-GB" w:eastAsia="en-US"/>
                <w14:scene3d>
                  <w14:camera w14:prst="orthographicFront"/>
                  <w14:lightRig w14:rig="threePt" w14:dir="t">
                    <w14:rot w14:lat="0" w14:lon="0" w14:rev="0"/>
                  </w14:lightRig>
                </w14:scene3d>
              </w:rPr>
              <w:t>2.6.6</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Veza sa drugim Deskriptorima</w:t>
            </w:r>
            <w:r w:rsidR="00A65A59">
              <w:rPr>
                <w:noProof/>
                <w:webHidden/>
              </w:rPr>
              <w:tab/>
            </w:r>
            <w:r w:rsidR="00A65A59">
              <w:rPr>
                <w:noProof/>
                <w:webHidden/>
              </w:rPr>
              <w:fldChar w:fldCharType="begin"/>
            </w:r>
            <w:r w:rsidR="00A65A59">
              <w:rPr>
                <w:noProof/>
                <w:webHidden/>
              </w:rPr>
              <w:instrText xml:space="preserve"> PAGEREF _Toc83630948 \h </w:instrText>
            </w:r>
            <w:r w:rsidR="00A65A59">
              <w:rPr>
                <w:noProof/>
                <w:webHidden/>
              </w:rPr>
            </w:r>
            <w:r w:rsidR="00A65A59">
              <w:rPr>
                <w:noProof/>
                <w:webHidden/>
              </w:rPr>
              <w:fldChar w:fldCharType="separate"/>
            </w:r>
            <w:r w:rsidR="000D1E20">
              <w:rPr>
                <w:noProof/>
                <w:webHidden/>
              </w:rPr>
              <w:t>106</w:t>
            </w:r>
            <w:r w:rsidR="00A65A59">
              <w:rPr>
                <w:noProof/>
                <w:webHidden/>
              </w:rPr>
              <w:fldChar w:fldCharType="end"/>
            </w:r>
          </w:hyperlink>
        </w:p>
        <w:p w14:paraId="08E46294" w14:textId="63E646AE" w:rsidR="00A65A59" w:rsidRDefault="003801F2">
          <w:pPr>
            <w:pStyle w:val="TOC3"/>
            <w:rPr>
              <w:rFonts w:eastAsiaTheme="minorEastAsia" w:cstheme="minorBidi"/>
              <w:i w:val="0"/>
              <w:iCs w:val="0"/>
              <w:noProof/>
              <w:sz w:val="22"/>
              <w:szCs w:val="22"/>
              <w:lang w:val="hr-HR" w:eastAsia="hr-HR"/>
            </w:rPr>
          </w:pPr>
          <w:hyperlink w:anchor="_Toc83630949" w:history="1">
            <w:r w:rsidR="00A65A59" w:rsidRPr="0053518F">
              <w:rPr>
                <w:rStyle w:val="Hyperlink"/>
                <w:rFonts w:eastAsia="Calibri"/>
                <w:noProof/>
                <w:lang w:val="en-GB" w:eastAsia="en-US"/>
                <w14:scene3d>
                  <w14:camera w14:prst="orthographicFront"/>
                  <w14:lightRig w14:rig="threePt" w14:dir="t">
                    <w14:rot w14:lat="0" w14:lon="0" w14:rev="0"/>
                  </w14:lightRig>
                </w14:scene3d>
              </w:rPr>
              <w:t>2.6.7</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Nedostaci i potrebe za unapređenjem</w:t>
            </w:r>
            <w:r w:rsidR="00A65A59">
              <w:rPr>
                <w:noProof/>
                <w:webHidden/>
              </w:rPr>
              <w:tab/>
            </w:r>
            <w:r w:rsidR="00A65A59">
              <w:rPr>
                <w:noProof/>
                <w:webHidden/>
              </w:rPr>
              <w:fldChar w:fldCharType="begin"/>
            </w:r>
            <w:r w:rsidR="00A65A59">
              <w:rPr>
                <w:noProof/>
                <w:webHidden/>
              </w:rPr>
              <w:instrText xml:space="preserve"> PAGEREF _Toc83630949 \h </w:instrText>
            </w:r>
            <w:r w:rsidR="00A65A59">
              <w:rPr>
                <w:noProof/>
                <w:webHidden/>
              </w:rPr>
            </w:r>
            <w:r w:rsidR="00A65A59">
              <w:rPr>
                <w:noProof/>
                <w:webHidden/>
              </w:rPr>
              <w:fldChar w:fldCharType="separate"/>
            </w:r>
            <w:r w:rsidR="000D1E20">
              <w:rPr>
                <w:noProof/>
                <w:webHidden/>
              </w:rPr>
              <w:t>106</w:t>
            </w:r>
            <w:r w:rsidR="00A65A59">
              <w:rPr>
                <w:noProof/>
                <w:webHidden/>
              </w:rPr>
              <w:fldChar w:fldCharType="end"/>
            </w:r>
          </w:hyperlink>
        </w:p>
        <w:p w14:paraId="3CA67758" w14:textId="4B9FCFA2" w:rsidR="00A65A59" w:rsidRDefault="003801F2">
          <w:pPr>
            <w:pStyle w:val="TOC2"/>
            <w:rPr>
              <w:rFonts w:eastAsiaTheme="minorEastAsia" w:cstheme="minorBidi"/>
              <w:smallCaps w:val="0"/>
              <w:noProof/>
              <w:sz w:val="22"/>
              <w:szCs w:val="22"/>
              <w:lang w:val="hr-HR" w:eastAsia="hr-HR"/>
            </w:rPr>
          </w:pPr>
          <w:hyperlink w:anchor="_Toc83630950" w:history="1">
            <w:r w:rsidR="00A65A59" w:rsidRPr="0053518F">
              <w:rPr>
                <w:rStyle w:val="Hyperlink"/>
                <w:noProof/>
                <w:lang w:val="sr-Latn-RS" w:eastAsia="en-US"/>
              </w:rPr>
              <w:t>2.7</w:t>
            </w:r>
            <w:r w:rsidR="00A65A59">
              <w:rPr>
                <w:rFonts w:eastAsiaTheme="minorEastAsia" w:cstheme="minorBidi"/>
                <w:smallCaps w:val="0"/>
                <w:noProof/>
                <w:sz w:val="22"/>
                <w:szCs w:val="22"/>
                <w:lang w:val="hr-HR" w:eastAsia="hr-HR"/>
              </w:rPr>
              <w:tab/>
            </w:r>
            <w:r w:rsidR="00A65A59" w:rsidRPr="0053518F">
              <w:rPr>
                <w:rStyle w:val="Hyperlink"/>
                <w:noProof/>
                <w:lang w:val="sr-Latn-RS" w:eastAsia="en-US"/>
              </w:rPr>
              <w:t>SVOJSTVA I KOLIČINE OTPADA U MORU (DESKRIPTOR 10)</w:t>
            </w:r>
            <w:r w:rsidR="00A65A59">
              <w:rPr>
                <w:noProof/>
                <w:webHidden/>
              </w:rPr>
              <w:tab/>
            </w:r>
            <w:r w:rsidR="00A65A59">
              <w:rPr>
                <w:noProof/>
                <w:webHidden/>
              </w:rPr>
              <w:fldChar w:fldCharType="begin"/>
            </w:r>
            <w:r w:rsidR="00A65A59">
              <w:rPr>
                <w:noProof/>
                <w:webHidden/>
              </w:rPr>
              <w:instrText xml:space="preserve"> PAGEREF _Toc83630950 \h </w:instrText>
            </w:r>
            <w:r w:rsidR="00A65A59">
              <w:rPr>
                <w:noProof/>
                <w:webHidden/>
              </w:rPr>
            </w:r>
            <w:r w:rsidR="00A65A59">
              <w:rPr>
                <w:noProof/>
                <w:webHidden/>
              </w:rPr>
              <w:fldChar w:fldCharType="separate"/>
            </w:r>
            <w:r w:rsidR="000D1E20">
              <w:rPr>
                <w:noProof/>
                <w:webHidden/>
              </w:rPr>
              <w:t>106</w:t>
            </w:r>
            <w:r w:rsidR="00A65A59">
              <w:rPr>
                <w:noProof/>
                <w:webHidden/>
              </w:rPr>
              <w:fldChar w:fldCharType="end"/>
            </w:r>
          </w:hyperlink>
        </w:p>
        <w:p w14:paraId="593D51EB" w14:textId="051631F4" w:rsidR="00A65A59" w:rsidRDefault="003801F2">
          <w:pPr>
            <w:pStyle w:val="TOC3"/>
            <w:rPr>
              <w:rFonts w:eastAsiaTheme="minorEastAsia" w:cstheme="minorBidi"/>
              <w:i w:val="0"/>
              <w:iCs w:val="0"/>
              <w:noProof/>
              <w:sz w:val="22"/>
              <w:szCs w:val="22"/>
              <w:lang w:val="hr-HR" w:eastAsia="hr-HR"/>
            </w:rPr>
          </w:pPr>
          <w:hyperlink w:anchor="_Toc83630951" w:history="1">
            <w:r w:rsidR="00A65A59" w:rsidRPr="0053518F">
              <w:rPr>
                <w:rStyle w:val="Hyperlink"/>
                <w:noProof/>
                <w:lang w:val="sr-Latn-RS" w:eastAsia="en-US"/>
                <w14:scene3d>
                  <w14:camera w14:prst="orthographicFront"/>
                  <w14:lightRig w14:rig="threePt" w14:dir="t">
                    <w14:rot w14:lat="0" w14:lon="0" w14:rev="0"/>
                  </w14:lightRig>
                </w14:scene3d>
              </w:rPr>
              <w:t>2.7.1</w:t>
            </w:r>
            <w:r w:rsidR="00A65A59">
              <w:rPr>
                <w:rFonts w:eastAsiaTheme="minorEastAsia" w:cstheme="minorBidi"/>
                <w:i w:val="0"/>
                <w:iCs w:val="0"/>
                <w:noProof/>
                <w:sz w:val="22"/>
                <w:szCs w:val="22"/>
                <w:lang w:val="hr-HR" w:eastAsia="hr-HR"/>
              </w:rPr>
              <w:tab/>
            </w:r>
            <w:r w:rsidR="00A65A59" w:rsidRPr="0053518F">
              <w:rPr>
                <w:rStyle w:val="Hyperlink"/>
                <w:noProof/>
                <w:lang w:val="sr-Latn-RS" w:eastAsia="en-US"/>
              </w:rPr>
              <w:t>Relevantni pritisci i uticaji</w:t>
            </w:r>
            <w:r w:rsidR="00A65A59">
              <w:rPr>
                <w:noProof/>
                <w:webHidden/>
              </w:rPr>
              <w:tab/>
            </w:r>
            <w:r w:rsidR="00A65A59">
              <w:rPr>
                <w:noProof/>
                <w:webHidden/>
              </w:rPr>
              <w:fldChar w:fldCharType="begin"/>
            </w:r>
            <w:r w:rsidR="00A65A59">
              <w:rPr>
                <w:noProof/>
                <w:webHidden/>
              </w:rPr>
              <w:instrText xml:space="preserve"> PAGEREF _Toc83630951 \h </w:instrText>
            </w:r>
            <w:r w:rsidR="00A65A59">
              <w:rPr>
                <w:noProof/>
                <w:webHidden/>
              </w:rPr>
            </w:r>
            <w:r w:rsidR="00A65A59">
              <w:rPr>
                <w:noProof/>
                <w:webHidden/>
              </w:rPr>
              <w:fldChar w:fldCharType="separate"/>
            </w:r>
            <w:r w:rsidR="000D1E20">
              <w:rPr>
                <w:noProof/>
                <w:webHidden/>
              </w:rPr>
              <w:t>107</w:t>
            </w:r>
            <w:r w:rsidR="00A65A59">
              <w:rPr>
                <w:noProof/>
                <w:webHidden/>
              </w:rPr>
              <w:fldChar w:fldCharType="end"/>
            </w:r>
          </w:hyperlink>
        </w:p>
        <w:p w14:paraId="207C943E" w14:textId="2D85B343" w:rsidR="00A65A59" w:rsidRDefault="003801F2">
          <w:pPr>
            <w:pStyle w:val="TOC3"/>
            <w:rPr>
              <w:rFonts w:eastAsiaTheme="minorEastAsia" w:cstheme="minorBidi"/>
              <w:i w:val="0"/>
              <w:iCs w:val="0"/>
              <w:noProof/>
              <w:sz w:val="22"/>
              <w:szCs w:val="22"/>
              <w:lang w:val="hr-HR" w:eastAsia="hr-HR"/>
            </w:rPr>
          </w:pPr>
          <w:hyperlink w:anchor="_Toc83630952" w:history="1">
            <w:r w:rsidR="00A65A59" w:rsidRPr="0053518F">
              <w:rPr>
                <w:rStyle w:val="Hyperlink"/>
                <w:noProof/>
                <w:lang w:val="sr-Latn-RS" w:eastAsia="en-US"/>
                <w14:scene3d>
                  <w14:camera w14:prst="orthographicFront"/>
                  <w14:lightRig w14:rig="threePt" w14:dir="t">
                    <w14:rot w14:lat="0" w14:lon="0" w14:rev="0"/>
                  </w14:lightRig>
                </w14:scene3d>
              </w:rPr>
              <w:t>2.7.2</w:t>
            </w:r>
            <w:r w:rsidR="00A65A59">
              <w:rPr>
                <w:rFonts w:eastAsiaTheme="minorEastAsia" w:cstheme="minorBidi"/>
                <w:i w:val="0"/>
                <w:iCs w:val="0"/>
                <w:noProof/>
                <w:sz w:val="22"/>
                <w:szCs w:val="22"/>
                <w:lang w:val="hr-HR" w:eastAsia="hr-HR"/>
              </w:rPr>
              <w:tab/>
            </w:r>
            <w:r w:rsidR="00A65A59" w:rsidRPr="0053518F">
              <w:rPr>
                <w:rStyle w:val="Hyperlink"/>
                <w:noProof/>
                <w:lang w:val="sr-Latn-RS" w:eastAsia="en-US"/>
              </w:rPr>
              <w:t>Zakonodavni okvir – nacionalni i međunarodni</w:t>
            </w:r>
            <w:r w:rsidR="00A65A59">
              <w:rPr>
                <w:noProof/>
                <w:webHidden/>
              </w:rPr>
              <w:tab/>
            </w:r>
            <w:r w:rsidR="00A65A59">
              <w:rPr>
                <w:noProof/>
                <w:webHidden/>
              </w:rPr>
              <w:fldChar w:fldCharType="begin"/>
            </w:r>
            <w:r w:rsidR="00A65A59">
              <w:rPr>
                <w:noProof/>
                <w:webHidden/>
              </w:rPr>
              <w:instrText xml:space="preserve"> PAGEREF _Toc83630952 \h </w:instrText>
            </w:r>
            <w:r w:rsidR="00A65A59">
              <w:rPr>
                <w:noProof/>
                <w:webHidden/>
              </w:rPr>
            </w:r>
            <w:r w:rsidR="00A65A59">
              <w:rPr>
                <w:noProof/>
                <w:webHidden/>
              </w:rPr>
              <w:fldChar w:fldCharType="separate"/>
            </w:r>
            <w:r w:rsidR="000D1E20">
              <w:rPr>
                <w:noProof/>
                <w:webHidden/>
              </w:rPr>
              <w:t>108</w:t>
            </w:r>
            <w:r w:rsidR="00A65A59">
              <w:rPr>
                <w:noProof/>
                <w:webHidden/>
              </w:rPr>
              <w:fldChar w:fldCharType="end"/>
            </w:r>
          </w:hyperlink>
        </w:p>
        <w:p w14:paraId="664FC944" w14:textId="6F42E84D" w:rsidR="00A65A59" w:rsidRDefault="003801F2">
          <w:pPr>
            <w:pStyle w:val="TOC3"/>
            <w:rPr>
              <w:rFonts w:eastAsiaTheme="minorEastAsia" w:cstheme="minorBidi"/>
              <w:i w:val="0"/>
              <w:iCs w:val="0"/>
              <w:noProof/>
              <w:sz w:val="22"/>
              <w:szCs w:val="22"/>
              <w:lang w:val="hr-HR" w:eastAsia="hr-HR"/>
            </w:rPr>
          </w:pPr>
          <w:hyperlink w:anchor="_Toc83630953" w:history="1">
            <w:r w:rsidR="00A65A59" w:rsidRPr="0053518F">
              <w:rPr>
                <w:rStyle w:val="Hyperlink"/>
                <w:noProof/>
                <w:lang w:val="sr-Latn-RS" w:eastAsia="en-US"/>
                <w14:scene3d>
                  <w14:camera w14:prst="orthographicFront"/>
                  <w14:lightRig w14:rig="threePt" w14:dir="t">
                    <w14:rot w14:lat="0" w14:lon="0" w14:rev="0"/>
                  </w14:lightRig>
                </w14:scene3d>
              </w:rPr>
              <w:t>2.7.3</w:t>
            </w:r>
            <w:r w:rsidR="00A65A59">
              <w:rPr>
                <w:rFonts w:eastAsiaTheme="minorEastAsia" w:cstheme="minorBidi"/>
                <w:i w:val="0"/>
                <w:iCs w:val="0"/>
                <w:noProof/>
                <w:sz w:val="22"/>
                <w:szCs w:val="22"/>
                <w:lang w:val="hr-HR" w:eastAsia="hr-HR"/>
              </w:rPr>
              <w:tab/>
            </w:r>
            <w:r w:rsidR="00A65A59" w:rsidRPr="0053518F">
              <w:rPr>
                <w:rStyle w:val="Hyperlink"/>
                <w:noProof/>
                <w:lang w:val="sr-Latn-RS" w:eastAsia="en-US"/>
              </w:rPr>
              <w:t>Odabir kriterijuma za procjenu GES-a</w:t>
            </w:r>
            <w:r w:rsidR="00A65A59">
              <w:rPr>
                <w:noProof/>
                <w:webHidden/>
              </w:rPr>
              <w:tab/>
            </w:r>
            <w:r w:rsidR="00A65A59">
              <w:rPr>
                <w:noProof/>
                <w:webHidden/>
              </w:rPr>
              <w:fldChar w:fldCharType="begin"/>
            </w:r>
            <w:r w:rsidR="00A65A59">
              <w:rPr>
                <w:noProof/>
                <w:webHidden/>
              </w:rPr>
              <w:instrText xml:space="preserve"> PAGEREF _Toc83630953 \h </w:instrText>
            </w:r>
            <w:r w:rsidR="00A65A59">
              <w:rPr>
                <w:noProof/>
                <w:webHidden/>
              </w:rPr>
            </w:r>
            <w:r w:rsidR="00A65A59">
              <w:rPr>
                <w:noProof/>
                <w:webHidden/>
              </w:rPr>
              <w:fldChar w:fldCharType="separate"/>
            </w:r>
            <w:r w:rsidR="000D1E20">
              <w:rPr>
                <w:noProof/>
                <w:webHidden/>
              </w:rPr>
              <w:t>110</w:t>
            </w:r>
            <w:r w:rsidR="00A65A59">
              <w:rPr>
                <w:noProof/>
                <w:webHidden/>
              </w:rPr>
              <w:fldChar w:fldCharType="end"/>
            </w:r>
          </w:hyperlink>
        </w:p>
        <w:p w14:paraId="1DE91F21" w14:textId="5DD2F255" w:rsidR="00A65A59" w:rsidRDefault="003801F2">
          <w:pPr>
            <w:pStyle w:val="TOC3"/>
            <w:rPr>
              <w:rFonts w:eastAsiaTheme="minorEastAsia" w:cstheme="minorBidi"/>
              <w:i w:val="0"/>
              <w:iCs w:val="0"/>
              <w:noProof/>
              <w:sz w:val="22"/>
              <w:szCs w:val="22"/>
              <w:lang w:val="hr-HR" w:eastAsia="hr-HR"/>
            </w:rPr>
          </w:pPr>
          <w:hyperlink w:anchor="_Toc83630954" w:history="1">
            <w:r w:rsidR="00A65A59" w:rsidRPr="0053518F">
              <w:rPr>
                <w:rStyle w:val="Hyperlink"/>
                <w:noProof/>
                <w:lang w:val="sr-Latn-RS" w:eastAsia="en-US"/>
                <w14:scene3d>
                  <w14:camera w14:prst="orthographicFront"/>
                  <w14:lightRig w14:rig="threePt" w14:dir="t">
                    <w14:rot w14:lat="0" w14:lon="0" w14:rev="0"/>
                  </w14:lightRig>
                </w14:scene3d>
              </w:rPr>
              <w:t>2.7.4</w:t>
            </w:r>
            <w:r w:rsidR="00A65A59">
              <w:rPr>
                <w:rFonts w:eastAsiaTheme="minorEastAsia" w:cstheme="minorBidi"/>
                <w:i w:val="0"/>
                <w:iCs w:val="0"/>
                <w:noProof/>
                <w:sz w:val="22"/>
                <w:szCs w:val="22"/>
                <w:lang w:val="hr-HR" w:eastAsia="hr-HR"/>
              </w:rPr>
              <w:tab/>
            </w:r>
            <w:r w:rsidR="00A65A59" w:rsidRPr="0053518F">
              <w:rPr>
                <w:rStyle w:val="Hyperlink"/>
                <w:noProof/>
                <w:lang w:val="sr-Latn-RS" w:eastAsia="en-US"/>
              </w:rPr>
              <w:t>Rezime stanja D10 na osnovu Početne procjene</w:t>
            </w:r>
            <w:r w:rsidR="00A65A59">
              <w:rPr>
                <w:noProof/>
                <w:webHidden/>
              </w:rPr>
              <w:tab/>
            </w:r>
            <w:r w:rsidR="00A65A59">
              <w:rPr>
                <w:noProof/>
                <w:webHidden/>
              </w:rPr>
              <w:fldChar w:fldCharType="begin"/>
            </w:r>
            <w:r w:rsidR="00A65A59">
              <w:rPr>
                <w:noProof/>
                <w:webHidden/>
              </w:rPr>
              <w:instrText xml:space="preserve"> PAGEREF _Toc83630954 \h </w:instrText>
            </w:r>
            <w:r w:rsidR="00A65A59">
              <w:rPr>
                <w:noProof/>
                <w:webHidden/>
              </w:rPr>
            </w:r>
            <w:r w:rsidR="00A65A59">
              <w:rPr>
                <w:noProof/>
                <w:webHidden/>
              </w:rPr>
              <w:fldChar w:fldCharType="separate"/>
            </w:r>
            <w:r w:rsidR="000D1E20">
              <w:rPr>
                <w:noProof/>
                <w:webHidden/>
              </w:rPr>
              <w:t>111</w:t>
            </w:r>
            <w:r w:rsidR="00A65A59">
              <w:rPr>
                <w:noProof/>
                <w:webHidden/>
              </w:rPr>
              <w:fldChar w:fldCharType="end"/>
            </w:r>
          </w:hyperlink>
        </w:p>
        <w:p w14:paraId="135BFE45" w14:textId="495B0585" w:rsidR="00A65A59" w:rsidRDefault="003801F2">
          <w:pPr>
            <w:pStyle w:val="TOC3"/>
            <w:rPr>
              <w:rFonts w:eastAsiaTheme="minorEastAsia" w:cstheme="minorBidi"/>
              <w:i w:val="0"/>
              <w:iCs w:val="0"/>
              <w:noProof/>
              <w:sz w:val="22"/>
              <w:szCs w:val="22"/>
              <w:lang w:val="hr-HR" w:eastAsia="hr-HR"/>
            </w:rPr>
          </w:pPr>
          <w:hyperlink w:anchor="_Toc83630955" w:history="1">
            <w:r w:rsidR="00A65A59" w:rsidRPr="0053518F">
              <w:rPr>
                <w:rStyle w:val="Hyperlink"/>
                <w:noProof/>
                <w:lang w:val="sr-Latn-RS" w:eastAsia="en-US"/>
                <w14:scene3d>
                  <w14:camera w14:prst="orthographicFront"/>
                  <w14:lightRig w14:rig="threePt" w14:dir="t">
                    <w14:rot w14:lat="0" w14:lon="0" w14:rev="0"/>
                  </w14:lightRig>
                </w14:scene3d>
              </w:rPr>
              <w:t>2.7.5</w:t>
            </w:r>
            <w:r w:rsidR="00A65A59">
              <w:rPr>
                <w:rFonts w:eastAsiaTheme="minorEastAsia" w:cstheme="minorBidi"/>
                <w:i w:val="0"/>
                <w:iCs w:val="0"/>
                <w:noProof/>
                <w:sz w:val="22"/>
                <w:szCs w:val="22"/>
                <w:lang w:val="hr-HR" w:eastAsia="hr-HR"/>
              </w:rPr>
              <w:tab/>
            </w:r>
            <w:r w:rsidR="00A65A59" w:rsidRPr="0053518F">
              <w:rPr>
                <w:rStyle w:val="Hyperlink"/>
                <w:noProof/>
                <w:lang w:val="sr-Latn-RS" w:eastAsia="en-US"/>
              </w:rPr>
              <w:t>Pristup procjeni GES-a (granične vrijednosti)</w:t>
            </w:r>
            <w:r w:rsidR="00A65A59">
              <w:rPr>
                <w:noProof/>
                <w:webHidden/>
              </w:rPr>
              <w:tab/>
            </w:r>
            <w:r w:rsidR="00A65A59">
              <w:rPr>
                <w:noProof/>
                <w:webHidden/>
              </w:rPr>
              <w:fldChar w:fldCharType="begin"/>
            </w:r>
            <w:r w:rsidR="00A65A59">
              <w:rPr>
                <w:noProof/>
                <w:webHidden/>
              </w:rPr>
              <w:instrText xml:space="preserve"> PAGEREF _Toc83630955 \h </w:instrText>
            </w:r>
            <w:r w:rsidR="00A65A59">
              <w:rPr>
                <w:noProof/>
                <w:webHidden/>
              </w:rPr>
            </w:r>
            <w:r w:rsidR="00A65A59">
              <w:rPr>
                <w:noProof/>
                <w:webHidden/>
              </w:rPr>
              <w:fldChar w:fldCharType="separate"/>
            </w:r>
            <w:r w:rsidR="000D1E20">
              <w:rPr>
                <w:noProof/>
                <w:webHidden/>
              </w:rPr>
              <w:t>112</w:t>
            </w:r>
            <w:r w:rsidR="00A65A59">
              <w:rPr>
                <w:noProof/>
                <w:webHidden/>
              </w:rPr>
              <w:fldChar w:fldCharType="end"/>
            </w:r>
          </w:hyperlink>
        </w:p>
        <w:p w14:paraId="4B366945" w14:textId="070F9045" w:rsidR="00A65A59" w:rsidRDefault="003801F2">
          <w:pPr>
            <w:pStyle w:val="TOC3"/>
            <w:rPr>
              <w:rFonts w:eastAsiaTheme="minorEastAsia" w:cstheme="minorBidi"/>
              <w:i w:val="0"/>
              <w:iCs w:val="0"/>
              <w:noProof/>
              <w:sz w:val="22"/>
              <w:szCs w:val="22"/>
              <w:lang w:val="hr-HR" w:eastAsia="hr-HR"/>
            </w:rPr>
          </w:pPr>
          <w:hyperlink w:anchor="_Toc83630956" w:history="1">
            <w:r w:rsidR="00A65A59" w:rsidRPr="0053518F">
              <w:rPr>
                <w:rStyle w:val="Hyperlink"/>
                <w:noProof/>
                <w:lang w:val="sr-Latn-RS" w:eastAsia="en-US"/>
                <w14:scene3d>
                  <w14:camera w14:prst="orthographicFront"/>
                  <w14:lightRig w14:rig="threePt" w14:dir="t">
                    <w14:rot w14:lat="0" w14:lon="0" w14:rev="0"/>
                  </w14:lightRig>
                </w14:scene3d>
              </w:rPr>
              <w:t>2.7.6</w:t>
            </w:r>
            <w:r w:rsidR="00A65A59">
              <w:rPr>
                <w:rFonts w:eastAsiaTheme="minorEastAsia" w:cstheme="minorBidi"/>
                <w:i w:val="0"/>
                <w:iCs w:val="0"/>
                <w:noProof/>
                <w:sz w:val="22"/>
                <w:szCs w:val="22"/>
                <w:lang w:val="hr-HR" w:eastAsia="hr-HR"/>
              </w:rPr>
              <w:tab/>
            </w:r>
            <w:r w:rsidR="00A65A59" w:rsidRPr="0053518F">
              <w:rPr>
                <w:rStyle w:val="Hyperlink"/>
                <w:noProof/>
                <w:lang w:val="sr-Latn-RS"/>
              </w:rPr>
              <w:t>Postizanje GES-a</w:t>
            </w:r>
            <w:r w:rsidR="00A65A59">
              <w:rPr>
                <w:noProof/>
                <w:webHidden/>
              </w:rPr>
              <w:tab/>
            </w:r>
            <w:r w:rsidR="00A65A59">
              <w:rPr>
                <w:noProof/>
                <w:webHidden/>
              </w:rPr>
              <w:fldChar w:fldCharType="begin"/>
            </w:r>
            <w:r w:rsidR="00A65A59">
              <w:rPr>
                <w:noProof/>
                <w:webHidden/>
              </w:rPr>
              <w:instrText xml:space="preserve"> PAGEREF _Toc83630956 \h </w:instrText>
            </w:r>
            <w:r w:rsidR="00A65A59">
              <w:rPr>
                <w:noProof/>
                <w:webHidden/>
              </w:rPr>
            </w:r>
            <w:r w:rsidR="00A65A59">
              <w:rPr>
                <w:noProof/>
                <w:webHidden/>
              </w:rPr>
              <w:fldChar w:fldCharType="separate"/>
            </w:r>
            <w:r w:rsidR="000D1E20">
              <w:rPr>
                <w:noProof/>
                <w:webHidden/>
              </w:rPr>
              <w:t>114</w:t>
            </w:r>
            <w:r w:rsidR="00A65A59">
              <w:rPr>
                <w:noProof/>
                <w:webHidden/>
              </w:rPr>
              <w:fldChar w:fldCharType="end"/>
            </w:r>
          </w:hyperlink>
        </w:p>
        <w:p w14:paraId="01714B7F" w14:textId="1B011409" w:rsidR="00A65A59" w:rsidRDefault="003801F2">
          <w:pPr>
            <w:pStyle w:val="TOC3"/>
            <w:rPr>
              <w:rFonts w:eastAsiaTheme="minorEastAsia" w:cstheme="minorBidi"/>
              <w:i w:val="0"/>
              <w:iCs w:val="0"/>
              <w:noProof/>
              <w:sz w:val="22"/>
              <w:szCs w:val="22"/>
              <w:lang w:val="hr-HR" w:eastAsia="hr-HR"/>
            </w:rPr>
          </w:pPr>
          <w:hyperlink w:anchor="_Toc83630957" w:history="1">
            <w:r w:rsidR="00A65A59" w:rsidRPr="0053518F">
              <w:rPr>
                <w:rStyle w:val="Hyperlink"/>
                <w:noProof/>
                <w:lang w:val="sr-Latn-RS" w:eastAsia="en-US"/>
                <w14:scene3d>
                  <w14:camera w14:prst="orthographicFront"/>
                  <w14:lightRig w14:rig="threePt" w14:dir="t">
                    <w14:rot w14:lat="0" w14:lon="0" w14:rev="0"/>
                  </w14:lightRig>
                </w14:scene3d>
              </w:rPr>
              <w:t>2.7.7</w:t>
            </w:r>
            <w:r w:rsidR="00A65A59">
              <w:rPr>
                <w:rFonts w:eastAsiaTheme="minorEastAsia" w:cstheme="minorBidi"/>
                <w:i w:val="0"/>
                <w:iCs w:val="0"/>
                <w:noProof/>
                <w:sz w:val="22"/>
                <w:szCs w:val="22"/>
                <w:lang w:val="hr-HR" w:eastAsia="hr-HR"/>
              </w:rPr>
              <w:tab/>
            </w:r>
            <w:r w:rsidR="00A65A59" w:rsidRPr="0053518F">
              <w:rPr>
                <w:rStyle w:val="Hyperlink"/>
                <w:noProof/>
                <w:lang w:val="sr-Latn-RS" w:eastAsia="en-US"/>
              </w:rPr>
              <w:t>Pristup definisanju GES ciljeva za D10</w:t>
            </w:r>
            <w:r w:rsidR="00A65A59">
              <w:rPr>
                <w:noProof/>
                <w:webHidden/>
              </w:rPr>
              <w:tab/>
            </w:r>
            <w:r w:rsidR="00A65A59">
              <w:rPr>
                <w:noProof/>
                <w:webHidden/>
              </w:rPr>
              <w:fldChar w:fldCharType="begin"/>
            </w:r>
            <w:r w:rsidR="00A65A59">
              <w:rPr>
                <w:noProof/>
                <w:webHidden/>
              </w:rPr>
              <w:instrText xml:space="preserve"> PAGEREF _Toc83630957 \h </w:instrText>
            </w:r>
            <w:r w:rsidR="00A65A59">
              <w:rPr>
                <w:noProof/>
                <w:webHidden/>
              </w:rPr>
            </w:r>
            <w:r w:rsidR="00A65A59">
              <w:rPr>
                <w:noProof/>
                <w:webHidden/>
              </w:rPr>
              <w:fldChar w:fldCharType="separate"/>
            </w:r>
            <w:r w:rsidR="000D1E20">
              <w:rPr>
                <w:noProof/>
                <w:webHidden/>
              </w:rPr>
              <w:t>115</w:t>
            </w:r>
            <w:r w:rsidR="00A65A59">
              <w:rPr>
                <w:noProof/>
                <w:webHidden/>
              </w:rPr>
              <w:fldChar w:fldCharType="end"/>
            </w:r>
          </w:hyperlink>
        </w:p>
        <w:p w14:paraId="7269E8ED" w14:textId="1A3DD312" w:rsidR="00A65A59" w:rsidRDefault="003801F2">
          <w:pPr>
            <w:pStyle w:val="TOC3"/>
            <w:rPr>
              <w:rFonts w:eastAsiaTheme="minorEastAsia" w:cstheme="minorBidi"/>
              <w:i w:val="0"/>
              <w:iCs w:val="0"/>
              <w:noProof/>
              <w:sz w:val="22"/>
              <w:szCs w:val="22"/>
              <w:lang w:val="hr-HR" w:eastAsia="hr-HR"/>
            </w:rPr>
          </w:pPr>
          <w:hyperlink w:anchor="_Toc83630958" w:history="1">
            <w:r w:rsidR="00A65A59" w:rsidRPr="0053518F">
              <w:rPr>
                <w:rStyle w:val="Hyperlink"/>
                <w:noProof/>
                <w:lang w:val="sr-Latn-RS" w:eastAsia="en-US"/>
                <w14:scene3d>
                  <w14:camera w14:prst="orthographicFront"/>
                  <w14:lightRig w14:rig="threePt" w14:dir="t">
                    <w14:rot w14:lat="0" w14:lon="0" w14:rev="0"/>
                  </w14:lightRig>
                </w14:scene3d>
              </w:rPr>
              <w:t>2.7.8</w:t>
            </w:r>
            <w:r w:rsidR="00A65A59">
              <w:rPr>
                <w:rFonts w:eastAsiaTheme="minorEastAsia" w:cstheme="minorBidi"/>
                <w:i w:val="0"/>
                <w:iCs w:val="0"/>
                <w:noProof/>
                <w:sz w:val="22"/>
                <w:szCs w:val="22"/>
                <w:lang w:val="hr-HR" w:eastAsia="hr-HR"/>
              </w:rPr>
              <w:tab/>
            </w:r>
            <w:r w:rsidR="00A65A59" w:rsidRPr="0053518F">
              <w:rPr>
                <w:rStyle w:val="Hyperlink"/>
                <w:noProof/>
                <w:lang w:val="sr-Latn-RS" w:eastAsia="en-US"/>
              </w:rPr>
              <w:t>Povezanost sa drugim deskriptorima</w:t>
            </w:r>
            <w:r w:rsidR="00A65A59">
              <w:rPr>
                <w:noProof/>
                <w:webHidden/>
              </w:rPr>
              <w:tab/>
            </w:r>
            <w:r w:rsidR="00A65A59">
              <w:rPr>
                <w:noProof/>
                <w:webHidden/>
              </w:rPr>
              <w:fldChar w:fldCharType="begin"/>
            </w:r>
            <w:r w:rsidR="00A65A59">
              <w:rPr>
                <w:noProof/>
                <w:webHidden/>
              </w:rPr>
              <w:instrText xml:space="preserve"> PAGEREF _Toc83630958 \h </w:instrText>
            </w:r>
            <w:r w:rsidR="00A65A59">
              <w:rPr>
                <w:noProof/>
                <w:webHidden/>
              </w:rPr>
            </w:r>
            <w:r w:rsidR="00A65A59">
              <w:rPr>
                <w:noProof/>
                <w:webHidden/>
              </w:rPr>
              <w:fldChar w:fldCharType="separate"/>
            </w:r>
            <w:r w:rsidR="000D1E20">
              <w:rPr>
                <w:noProof/>
                <w:webHidden/>
              </w:rPr>
              <w:t>116</w:t>
            </w:r>
            <w:r w:rsidR="00A65A59">
              <w:rPr>
                <w:noProof/>
                <w:webHidden/>
              </w:rPr>
              <w:fldChar w:fldCharType="end"/>
            </w:r>
          </w:hyperlink>
        </w:p>
        <w:p w14:paraId="6419C93A" w14:textId="732B04C2" w:rsidR="00A65A59" w:rsidRDefault="003801F2">
          <w:pPr>
            <w:pStyle w:val="TOC3"/>
            <w:rPr>
              <w:rFonts w:eastAsiaTheme="minorEastAsia" w:cstheme="minorBidi"/>
              <w:i w:val="0"/>
              <w:iCs w:val="0"/>
              <w:noProof/>
              <w:sz w:val="22"/>
              <w:szCs w:val="22"/>
              <w:lang w:val="hr-HR" w:eastAsia="hr-HR"/>
            </w:rPr>
          </w:pPr>
          <w:hyperlink w:anchor="_Toc83630959" w:history="1">
            <w:r w:rsidR="00A65A59" w:rsidRPr="0053518F">
              <w:rPr>
                <w:rStyle w:val="Hyperlink"/>
                <w:noProof/>
                <w:lang w:val="sr-Latn-RS" w:eastAsia="en-US"/>
                <w14:scene3d>
                  <w14:camera w14:prst="orthographicFront"/>
                  <w14:lightRig w14:rig="threePt" w14:dir="t">
                    <w14:rot w14:lat="0" w14:lon="0" w14:rev="0"/>
                  </w14:lightRig>
                </w14:scene3d>
              </w:rPr>
              <w:t>2.7.9</w:t>
            </w:r>
            <w:r w:rsidR="00A65A59">
              <w:rPr>
                <w:rFonts w:eastAsiaTheme="minorEastAsia" w:cstheme="minorBidi"/>
                <w:i w:val="0"/>
                <w:iCs w:val="0"/>
                <w:noProof/>
                <w:sz w:val="22"/>
                <w:szCs w:val="22"/>
                <w:lang w:val="hr-HR" w:eastAsia="hr-HR"/>
              </w:rPr>
              <w:tab/>
            </w:r>
            <w:r w:rsidR="00A65A59" w:rsidRPr="0053518F">
              <w:rPr>
                <w:rStyle w:val="Hyperlink"/>
                <w:noProof/>
                <w:lang w:val="sr-Latn-RS" w:eastAsia="en-US"/>
              </w:rPr>
              <w:t>Nedostaci i potrebe za unapređenjem</w:t>
            </w:r>
            <w:r w:rsidR="00A65A59">
              <w:rPr>
                <w:noProof/>
                <w:webHidden/>
              </w:rPr>
              <w:tab/>
            </w:r>
            <w:r w:rsidR="00A65A59">
              <w:rPr>
                <w:noProof/>
                <w:webHidden/>
              </w:rPr>
              <w:fldChar w:fldCharType="begin"/>
            </w:r>
            <w:r w:rsidR="00A65A59">
              <w:rPr>
                <w:noProof/>
                <w:webHidden/>
              </w:rPr>
              <w:instrText xml:space="preserve"> PAGEREF _Toc83630959 \h </w:instrText>
            </w:r>
            <w:r w:rsidR="00A65A59">
              <w:rPr>
                <w:noProof/>
                <w:webHidden/>
              </w:rPr>
            </w:r>
            <w:r w:rsidR="00A65A59">
              <w:rPr>
                <w:noProof/>
                <w:webHidden/>
              </w:rPr>
              <w:fldChar w:fldCharType="separate"/>
            </w:r>
            <w:r w:rsidR="000D1E20">
              <w:rPr>
                <w:noProof/>
                <w:webHidden/>
              </w:rPr>
              <w:t>117</w:t>
            </w:r>
            <w:r w:rsidR="00A65A59">
              <w:rPr>
                <w:noProof/>
                <w:webHidden/>
              </w:rPr>
              <w:fldChar w:fldCharType="end"/>
            </w:r>
          </w:hyperlink>
        </w:p>
        <w:p w14:paraId="4C49A87C" w14:textId="691505A2" w:rsidR="00A65A59" w:rsidRDefault="003801F2">
          <w:pPr>
            <w:pStyle w:val="TOC2"/>
            <w:rPr>
              <w:rFonts w:eastAsiaTheme="minorEastAsia" w:cstheme="minorBidi"/>
              <w:smallCaps w:val="0"/>
              <w:noProof/>
              <w:sz w:val="22"/>
              <w:szCs w:val="22"/>
              <w:lang w:val="hr-HR" w:eastAsia="hr-HR"/>
            </w:rPr>
          </w:pPr>
          <w:hyperlink w:anchor="_Toc83630960" w:history="1">
            <w:r w:rsidR="00A65A59" w:rsidRPr="0053518F">
              <w:rPr>
                <w:rStyle w:val="Hyperlink"/>
                <w:noProof/>
                <w:lang w:val="en-GB"/>
              </w:rPr>
              <w:t>2.8</w:t>
            </w:r>
            <w:r w:rsidR="00A65A59">
              <w:rPr>
                <w:rFonts w:eastAsiaTheme="minorEastAsia" w:cstheme="minorBidi"/>
                <w:smallCaps w:val="0"/>
                <w:noProof/>
                <w:sz w:val="22"/>
                <w:szCs w:val="22"/>
                <w:lang w:val="hr-HR" w:eastAsia="hr-HR"/>
              </w:rPr>
              <w:tab/>
            </w:r>
            <w:r w:rsidR="00A65A59" w:rsidRPr="0053518F">
              <w:rPr>
                <w:rStyle w:val="Hyperlink"/>
                <w:noProof/>
                <w:lang w:val="en-GB" w:eastAsia="en-US"/>
              </w:rPr>
              <w:t>UNOS ANTROPOGENOG ZVUKA (IMPULSNI, KONTINUIRANI) (DESKRIPTOR 11)</w:t>
            </w:r>
            <w:r w:rsidR="00A65A59">
              <w:rPr>
                <w:noProof/>
                <w:webHidden/>
              </w:rPr>
              <w:tab/>
            </w:r>
            <w:r w:rsidR="00A65A59">
              <w:rPr>
                <w:noProof/>
                <w:webHidden/>
              </w:rPr>
              <w:fldChar w:fldCharType="begin"/>
            </w:r>
            <w:r w:rsidR="00A65A59">
              <w:rPr>
                <w:noProof/>
                <w:webHidden/>
              </w:rPr>
              <w:instrText xml:space="preserve"> PAGEREF _Toc83630960 \h </w:instrText>
            </w:r>
            <w:r w:rsidR="00A65A59">
              <w:rPr>
                <w:noProof/>
                <w:webHidden/>
              </w:rPr>
            </w:r>
            <w:r w:rsidR="00A65A59">
              <w:rPr>
                <w:noProof/>
                <w:webHidden/>
              </w:rPr>
              <w:fldChar w:fldCharType="separate"/>
            </w:r>
            <w:r w:rsidR="000D1E20">
              <w:rPr>
                <w:noProof/>
                <w:webHidden/>
              </w:rPr>
              <w:t>118</w:t>
            </w:r>
            <w:r w:rsidR="00A65A59">
              <w:rPr>
                <w:noProof/>
                <w:webHidden/>
              </w:rPr>
              <w:fldChar w:fldCharType="end"/>
            </w:r>
          </w:hyperlink>
        </w:p>
        <w:p w14:paraId="40D184E6" w14:textId="4C20A852" w:rsidR="00A65A59" w:rsidRDefault="003801F2">
          <w:pPr>
            <w:pStyle w:val="TOC3"/>
            <w:rPr>
              <w:rFonts w:eastAsiaTheme="minorEastAsia" w:cstheme="minorBidi"/>
              <w:i w:val="0"/>
              <w:iCs w:val="0"/>
              <w:noProof/>
              <w:sz w:val="22"/>
              <w:szCs w:val="22"/>
              <w:lang w:val="hr-HR" w:eastAsia="hr-HR"/>
            </w:rPr>
          </w:pPr>
          <w:hyperlink w:anchor="_Toc83630961" w:history="1">
            <w:r w:rsidR="00A65A59" w:rsidRPr="0053518F">
              <w:rPr>
                <w:rStyle w:val="Hyperlink"/>
                <w:rFonts w:eastAsia="Calibri"/>
                <w:noProof/>
                <w:lang w:val="en-GB" w:eastAsia="en-US"/>
                <w14:scene3d>
                  <w14:camera w14:prst="orthographicFront"/>
                  <w14:lightRig w14:rig="threePt" w14:dir="t">
                    <w14:rot w14:lat="0" w14:lon="0" w14:rev="0"/>
                  </w14:lightRig>
                </w14:scene3d>
              </w:rPr>
              <w:t>2.8.1</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Zakonodavni okvir - nacionalni i međunarodni</w:t>
            </w:r>
            <w:r w:rsidR="00A65A59">
              <w:rPr>
                <w:noProof/>
                <w:webHidden/>
              </w:rPr>
              <w:tab/>
            </w:r>
            <w:r w:rsidR="00A65A59">
              <w:rPr>
                <w:noProof/>
                <w:webHidden/>
              </w:rPr>
              <w:fldChar w:fldCharType="begin"/>
            </w:r>
            <w:r w:rsidR="00A65A59">
              <w:rPr>
                <w:noProof/>
                <w:webHidden/>
              </w:rPr>
              <w:instrText xml:space="preserve"> PAGEREF _Toc83630961 \h </w:instrText>
            </w:r>
            <w:r w:rsidR="00A65A59">
              <w:rPr>
                <w:noProof/>
                <w:webHidden/>
              </w:rPr>
            </w:r>
            <w:r w:rsidR="00A65A59">
              <w:rPr>
                <w:noProof/>
                <w:webHidden/>
              </w:rPr>
              <w:fldChar w:fldCharType="separate"/>
            </w:r>
            <w:r w:rsidR="000D1E20">
              <w:rPr>
                <w:noProof/>
                <w:webHidden/>
              </w:rPr>
              <w:t>118</w:t>
            </w:r>
            <w:r w:rsidR="00A65A59">
              <w:rPr>
                <w:noProof/>
                <w:webHidden/>
              </w:rPr>
              <w:fldChar w:fldCharType="end"/>
            </w:r>
          </w:hyperlink>
        </w:p>
        <w:p w14:paraId="40E43BF4" w14:textId="1180D44D" w:rsidR="00A65A59" w:rsidRDefault="003801F2">
          <w:pPr>
            <w:pStyle w:val="TOC3"/>
            <w:rPr>
              <w:rFonts w:eastAsiaTheme="minorEastAsia" w:cstheme="minorBidi"/>
              <w:i w:val="0"/>
              <w:iCs w:val="0"/>
              <w:noProof/>
              <w:sz w:val="22"/>
              <w:szCs w:val="22"/>
              <w:lang w:val="hr-HR" w:eastAsia="hr-HR"/>
            </w:rPr>
          </w:pPr>
          <w:hyperlink w:anchor="_Toc83630962" w:history="1">
            <w:r w:rsidR="00A65A59" w:rsidRPr="0053518F">
              <w:rPr>
                <w:rStyle w:val="Hyperlink"/>
                <w:noProof/>
                <w:lang w:val="en-GB" w:eastAsia="en-US"/>
                <w14:scene3d>
                  <w14:camera w14:prst="orthographicFront"/>
                  <w14:lightRig w14:rig="threePt" w14:dir="t">
                    <w14:rot w14:lat="0" w14:lon="0" w14:rev="0"/>
                  </w14:lightRig>
                </w14:scene3d>
              </w:rPr>
              <w:t>2.8.2</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Relevantni pritisci i uticaji</w:t>
            </w:r>
            <w:r w:rsidR="00A65A59">
              <w:rPr>
                <w:noProof/>
                <w:webHidden/>
              </w:rPr>
              <w:tab/>
            </w:r>
            <w:r w:rsidR="00A65A59">
              <w:rPr>
                <w:noProof/>
                <w:webHidden/>
              </w:rPr>
              <w:fldChar w:fldCharType="begin"/>
            </w:r>
            <w:r w:rsidR="00A65A59">
              <w:rPr>
                <w:noProof/>
                <w:webHidden/>
              </w:rPr>
              <w:instrText xml:space="preserve"> PAGEREF _Toc83630962 \h </w:instrText>
            </w:r>
            <w:r w:rsidR="00A65A59">
              <w:rPr>
                <w:noProof/>
                <w:webHidden/>
              </w:rPr>
            </w:r>
            <w:r w:rsidR="00A65A59">
              <w:rPr>
                <w:noProof/>
                <w:webHidden/>
              </w:rPr>
              <w:fldChar w:fldCharType="separate"/>
            </w:r>
            <w:r w:rsidR="000D1E20">
              <w:rPr>
                <w:noProof/>
                <w:webHidden/>
              </w:rPr>
              <w:t>118</w:t>
            </w:r>
            <w:r w:rsidR="00A65A59">
              <w:rPr>
                <w:noProof/>
                <w:webHidden/>
              </w:rPr>
              <w:fldChar w:fldCharType="end"/>
            </w:r>
          </w:hyperlink>
        </w:p>
        <w:p w14:paraId="0EDCD5A9" w14:textId="71AA23FA" w:rsidR="00A65A59" w:rsidRDefault="003801F2">
          <w:pPr>
            <w:pStyle w:val="TOC3"/>
            <w:rPr>
              <w:rFonts w:eastAsiaTheme="minorEastAsia" w:cstheme="minorBidi"/>
              <w:i w:val="0"/>
              <w:iCs w:val="0"/>
              <w:noProof/>
              <w:sz w:val="22"/>
              <w:szCs w:val="22"/>
              <w:lang w:val="hr-HR" w:eastAsia="hr-HR"/>
            </w:rPr>
          </w:pPr>
          <w:hyperlink w:anchor="_Toc83630963" w:history="1">
            <w:r w:rsidR="00A65A59" w:rsidRPr="0053518F">
              <w:rPr>
                <w:rStyle w:val="Hyperlink"/>
                <w:rFonts w:eastAsia="Calibri"/>
                <w:noProof/>
                <w:lang w:val="en-GB"/>
                <w14:scene3d>
                  <w14:camera w14:prst="orthographicFront"/>
                  <w14:lightRig w14:rig="threePt" w14:dir="t">
                    <w14:rot w14:lat="0" w14:lon="0" w14:rev="0"/>
                  </w14:lightRig>
                </w14:scene3d>
              </w:rPr>
              <w:t>2.8.3</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Odabir kriterijuma za procjenu GES-a</w:t>
            </w:r>
            <w:r w:rsidR="00A65A59">
              <w:rPr>
                <w:noProof/>
                <w:webHidden/>
              </w:rPr>
              <w:tab/>
            </w:r>
            <w:r w:rsidR="00A65A59">
              <w:rPr>
                <w:noProof/>
                <w:webHidden/>
              </w:rPr>
              <w:fldChar w:fldCharType="begin"/>
            </w:r>
            <w:r w:rsidR="00A65A59">
              <w:rPr>
                <w:noProof/>
                <w:webHidden/>
              </w:rPr>
              <w:instrText xml:space="preserve"> PAGEREF _Toc83630963 \h </w:instrText>
            </w:r>
            <w:r w:rsidR="00A65A59">
              <w:rPr>
                <w:noProof/>
                <w:webHidden/>
              </w:rPr>
            </w:r>
            <w:r w:rsidR="00A65A59">
              <w:rPr>
                <w:noProof/>
                <w:webHidden/>
              </w:rPr>
              <w:fldChar w:fldCharType="separate"/>
            </w:r>
            <w:r w:rsidR="000D1E20">
              <w:rPr>
                <w:noProof/>
                <w:webHidden/>
              </w:rPr>
              <w:t>119</w:t>
            </w:r>
            <w:r w:rsidR="00A65A59">
              <w:rPr>
                <w:noProof/>
                <w:webHidden/>
              </w:rPr>
              <w:fldChar w:fldCharType="end"/>
            </w:r>
          </w:hyperlink>
        </w:p>
        <w:p w14:paraId="48FD7BF3" w14:textId="21C4D504" w:rsidR="00A65A59" w:rsidRDefault="003801F2">
          <w:pPr>
            <w:pStyle w:val="TOC3"/>
            <w:rPr>
              <w:rFonts w:eastAsiaTheme="minorEastAsia" w:cstheme="minorBidi"/>
              <w:i w:val="0"/>
              <w:iCs w:val="0"/>
              <w:noProof/>
              <w:sz w:val="22"/>
              <w:szCs w:val="22"/>
              <w:lang w:val="hr-HR" w:eastAsia="hr-HR"/>
            </w:rPr>
          </w:pPr>
          <w:hyperlink w:anchor="_Toc83630964" w:history="1">
            <w:r w:rsidR="00A65A59" w:rsidRPr="0053518F">
              <w:rPr>
                <w:rStyle w:val="Hyperlink"/>
                <w:noProof/>
                <w:lang w:val="en-GB" w:eastAsia="en-US"/>
                <w14:scene3d>
                  <w14:camera w14:prst="orthographicFront"/>
                  <w14:lightRig w14:rig="threePt" w14:dir="t">
                    <w14:rot w14:lat="0" w14:lon="0" w14:rev="0"/>
                  </w14:lightRig>
                </w14:scene3d>
              </w:rPr>
              <w:t>2.8.4</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Rezime stanja D11 na osnovu Početne procene</w:t>
            </w:r>
            <w:r w:rsidR="00A65A59">
              <w:rPr>
                <w:noProof/>
                <w:webHidden/>
              </w:rPr>
              <w:tab/>
            </w:r>
            <w:r w:rsidR="00A65A59">
              <w:rPr>
                <w:noProof/>
                <w:webHidden/>
              </w:rPr>
              <w:fldChar w:fldCharType="begin"/>
            </w:r>
            <w:r w:rsidR="00A65A59">
              <w:rPr>
                <w:noProof/>
                <w:webHidden/>
              </w:rPr>
              <w:instrText xml:space="preserve"> PAGEREF _Toc83630964 \h </w:instrText>
            </w:r>
            <w:r w:rsidR="00A65A59">
              <w:rPr>
                <w:noProof/>
                <w:webHidden/>
              </w:rPr>
            </w:r>
            <w:r w:rsidR="00A65A59">
              <w:rPr>
                <w:noProof/>
                <w:webHidden/>
              </w:rPr>
              <w:fldChar w:fldCharType="separate"/>
            </w:r>
            <w:r w:rsidR="000D1E20">
              <w:rPr>
                <w:noProof/>
                <w:webHidden/>
              </w:rPr>
              <w:t>120</w:t>
            </w:r>
            <w:r w:rsidR="00A65A59">
              <w:rPr>
                <w:noProof/>
                <w:webHidden/>
              </w:rPr>
              <w:fldChar w:fldCharType="end"/>
            </w:r>
          </w:hyperlink>
        </w:p>
        <w:p w14:paraId="3F890506" w14:textId="5A83F3D5" w:rsidR="00A65A59" w:rsidRDefault="003801F2">
          <w:pPr>
            <w:pStyle w:val="TOC3"/>
            <w:rPr>
              <w:rFonts w:eastAsiaTheme="minorEastAsia" w:cstheme="minorBidi"/>
              <w:i w:val="0"/>
              <w:iCs w:val="0"/>
              <w:noProof/>
              <w:sz w:val="22"/>
              <w:szCs w:val="22"/>
              <w:lang w:val="hr-HR" w:eastAsia="hr-HR"/>
            </w:rPr>
          </w:pPr>
          <w:hyperlink w:anchor="_Toc83630965" w:history="1">
            <w:r w:rsidR="00A65A59" w:rsidRPr="0053518F">
              <w:rPr>
                <w:rStyle w:val="Hyperlink"/>
                <w:noProof/>
                <w:lang w:val="en-GB" w:eastAsia="en-US"/>
                <w14:scene3d>
                  <w14:camera w14:prst="orthographicFront"/>
                  <w14:lightRig w14:rig="threePt" w14:dir="t">
                    <w14:rot w14:lat="0" w14:lon="0" w14:rev="0"/>
                  </w14:lightRig>
                </w14:scene3d>
              </w:rPr>
              <w:t>2.8.5</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Postizanje GES-a</w:t>
            </w:r>
            <w:r w:rsidR="00A65A59">
              <w:rPr>
                <w:noProof/>
                <w:webHidden/>
              </w:rPr>
              <w:tab/>
            </w:r>
            <w:r w:rsidR="00A65A59">
              <w:rPr>
                <w:noProof/>
                <w:webHidden/>
              </w:rPr>
              <w:fldChar w:fldCharType="begin"/>
            </w:r>
            <w:r w:rsidR="00A65A59">
              <w:rPr>
                <w:noProof/>
                <w:webHidden/>
              </w:rPr>
              <w:instrText xml:space="preserve"> PAGEREF _Toc83630965 \h </w:instrText>
            </w:r>
            <w:r w:rsidR="00A65A59">
              <w:rPr>
                <w:noProof/>
                <w:webHidden/>
              </w:rPr>
            </w:r>
            <w:r w:rsidR="00A65A59">
              <w:rPr>
                <w:noProof/>
                <w:webHidden/>
              </w:rPr>
              <w:fldChar w:fldCharType="separate"/>
            </w:r>
            <w:r w:rsidR="000D1E20">
              <w:rPr>
                <w:noProof/>
                <w:webHidden/>
              </w:rPr>
              <w:t>120</w:t>
            </w:r>
            <w:r w:rsidR="00A65A59">
              <w:rPr>
                <w:noProof/>
                <w:webHidden/>
              </w:rPr>
              <w:fldChar w:fldCharType="end"/>
            </w:r>
          </w:hyperlink>
        </w:p>
        <w:p w14:paraId="069298AA" w14:textId="3E087B2A" w:rsidR="00A65A59" w:rsidRDefault="003801F2">
          <w:pPr>
            <w:pStyle w:val="TOC3"/>
            <w:rPr>
              <w:rFonts w:eastAsiaTheme="minorEastAsia" w:cstheme="minorBidi"/>
              <w:i w:val="0"/>
              <w:iCs w:val="0"/>
              <w:noProof/>
              <w:sz w:val="22"/>
              <w:szCs w:val="22"/>
              <w:lang w:val="hr-HR" w:eastAsia="hr-HR"/>
            </w:rPr>
          </w:pPr>
          <w:hyperlink w:anchor="_Toc83630966" w:history="1">
            <w:r w:rsidR="00A65A59" w:rsidRPr="0053518F">
              <w:rPr>
                <w:rStyle w:val="Hyperlink"/>
                <w:noProof/>
                <w:lang w:val="en-GB"/>
                <w14:scene3d>
                  <w14:camera w14:prst="orthographicFront"/>
                  <w14:lightRig w14:rig="threePt" w14:dir="t">
                    <w14:rot w14:lat="0" w14:lon="0" w14:rev="0"/>
                  </w14:lightRig>
                </w14:scene3d>
              </w:rPr>
              <w:t>2.8.6</w:t>
            </w:r>
            <w:r w:rsidR="00A65A59">
              <w:rPr>
                <w:rFonts w:eastAsiaTheme="minorEastAsia" w:cstheme="minorBidi"/>
                <w:i w:val="0"/>
                <w:iCs w:val="0"/>
                <w:noProof/>
                <w:sz w:val="22"/>
                <w:szCs w:val="22"/>
                <w:lang w:val="hr-HR" w:eastAsia="hr-HR"/>
              </w:rPr>
              <w:tab/>
            </w:r>
            <w:r w:rsidR="00A65A59" w:rsidRPr="0053518F">
              <w:rPr>
                <w:rStyle w:val="Hyperlink"/>
                <w:noProof/>
                <w:lang w:val="en-GB"/>
              </w:rPr>
              <w:t>Pristup definisanju ciljeva za D11</w:t>
            </w:r>
            <w:r w:rsidR="00A65A59">
              <w:rPr>
                <w:noProof/>
                <w:webHidden/>
              </w:rPr>
              <w:tab/>
            </w:r>
            <w:r w:rsidR="00A65A59">
              <w:rPr>
                <w:noProof/>
                <w:webHidden/>
              </w:rPr>
              <w:fldChar w:fldCharType="begin"/>
            </w:r>
            <w:r w:rsidR="00A65A59">
              <w:rPr>
                <w:noProof/>
                <w:webHidden/>
              </w:rPr>
              <w:instrText xml:space="preserve"> PAGEREF _Toc83630966 \h </w:instrText>
            </w:r>
            <w:r w:rsidR="00A65A59">
              <w:rPr>
                <w:noProof/>
                <w:webHidden/>
              </w:rPr>
            </w:r>
            <w:r w:rsidR="00A65A59">
              <w:rPr>
                <w:noProof/>
                <w:webHidden/>
              </w:rPr>
              <w:fldChar w:fldCharType="separate"/>
            </w:r>
            <w:r w:rsidR="000D1E20">
              <w:rPr>
                <w:noProof/>
                <w:webHidden/>
              </w:rPr>
              <w:t>121</w:t>
            </w:r>
            <w:r w:rsidR="00A65A59">
              <w:rPr>
                <w:noProof/>
                <w:webHidden/>
              </w:rPr>
              <w:fldChar w:fldCharType="end"/>
            </w:r>
          </w:hyperlink>
        </w:p>
        <w:p w14:paraId="40F7714C" w14:textId="7C4B5200" w:rsidR="00A65A59" w:rsidRDefault="003801F2">
          <w:pPr>
            <w:pStyle w:val="TOC3"/>
            <w:rPr>
              <w:rFonts w:eastAsiaTheme="minorEastAsia" w:cstheme="minorBidi"/>
              <w:i w:val="0"/>
              <w:iCs w:val="0"/>
              <w:noProof/>
              <w:sz w:val="22"/>
              <w:szCs w:val="22"/>
              <w:lang w:val="hr-HR" w:eastAsia="hr-HR"/>
            </w:rPr>
          </w:pPr>
          <w:hyperlink w:anchor="_Toc83630967" w:history="1">
            <w:r w:rsidR="00A65A59" w:rsidRPr="0053518F">
              <w:rPr>
                <w:rStyle w:val="Hyperlink"/>
                <w:noProof/>
                <w:lang w:val="en-GB" w:eastAsia="en-US"/>
                <w14:scene3d>
                  <w14:camera w14:prst="orthographicFront"/>
                  <w14:lightRig w14:rig="threePt" w14:dir="t">
                    <w14:rot w14:lat="0" w14:lon="0" w14:rev="0"/>
                  </w14:lightRig>
                </w14:scene3d>
              </w:rPr>
              <w:t>2.8.7</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Povezanost sa drugim deskriptorima</w:t>
            </w:r>
            <w:r w:rsidR="00A65A59">
              <w:rPr>
                <w:noProof/>
                <w:webHidden/>
              </w:rPr>
              <w:tab/>
            </w:r>
            <w:r w:rsidR="00A65A59">
              <w:rPr>
                <w:noProof/>
                <w:webHidden/>
              </w:rPr>
              <w:fldChar w:fldCharType="begin"/>
            </w:r>
            <w:r w:rsidR="00A65A59">
              <w:rPr>
                <w:noProof/>
                <w:webHidden/>
              </w:rPr>
              <w:instrText xml:space="preserve"> PAGEREF _Toc83630967 \h </w:instrText>
            </w:r>
            <w:r w:rsidR="00A65A59">
              <w:rPr>
                <w:noProof/>
                <w:webHidden/>
              </w:rPr>
            </w:r>
            <w:r w:rsidR="00A65A59">
              <w:rPr>
                <w:noProof/>
                <w:webHidden/>
              </w:rPr>
              <w:fldChar w:fldCharType="separate"/>
            </w:r>
            <w:r w:rsidR="000D1E20">
              <w:rPr>
                <w:noProof/>
                <w:webHidden/>
              </w:rPr>
              <w:t>122</w:t>
            </w:r>
            <w:r w:rsidR="00A65A59">
              <w:rPr>
                <w:noProof/>
                <w:webHidden/>
              </w:rPr>
              <w:fldChar w:fldCharType="end"/>
            </w:r>
          </w:hyperlink>
        </w:p>
        <w:p w14:paraId="6FC24BA5" w14:textId="0166BEA9" w:rsidR="00A65A59" w:rsidRDefault="003801F2">
          <w:pPr>
            <w:pStyle w:val="TOC3"/>
            <w:rPr>
              <w:rFonts w:eastAsiaTheme="minorEastAsia" w:cstheme="minorBidi"/>
              <w:i w:val="0"/>
              <w:iCs w:val="0"/>
              <w:noProof/>
              <w:sz w:val="22"/>
              <w:szCs w:val="22"/>
              <w:lang w:val="hr-HR" w:eastAsia="hr-HR"/>
            </w:rPr>
          </w:pPr>
          <w:hyperlink w:anchor="_Toc83630968" w:history="1">
            <w:r w:rsidR="00A65A59" w:rsidRPr="0053518F">
              <w:rPr>
                <w:rStyle w:val="Hyperlink"/>
                <w:noProof/>
                <w:lang w:val="en-GB" w:eastAsia="en-US"/>
                <w14:scene3d>
                  <w14:camera w14:prst="orthographicFront"/>
                  <w14:lightRig w14:rig="threePt" w14:dir="t">
                    <w14:rot w14:lat="0" w14:lon="0" w14:rev="0"/>
                  </w14:lightRig>
                </w14:scene3d>
              </w:rPr>
              <w:t>2.8.8</w:t>
            </w:r>
            <w:r w:rsidR="00A65A59">
              <w:rPr>
                <w:rFonts w:eastAsiaTheme="minorEastAsia" w:cstheme="minorBidi"/>
                <w:i w:val="0"/>
                <w:iCs w:val="0"/>
                <w:noProof/>
                <w:sz w:val="22"/>
                <w:szCs w:val="22"/>
                <w:lang w:val="hr-HR" w:eastAsia="hr-HR"/>
              </w:rPr>
              <w:tab/>
            </w:r>
            <w:r w:rsidR="00A65A59" w:rsidRPr="0053518F">
              <w:rPr>
                <w:rStyle w:val="Hyperlink"/>
                <w:noProof/>
                <w:lang w:val="en-GB" w:eastAsia="en-US"/>
              </w:rPr>
              <w:t>Nedostaci i potrebe za unapređenjem</w:t>
            </w:r>
            <w:r w:rsidR="00A65A59">
              <w:rPr>
                <w:noProof/>
                <w:webHidden/>
              </w:rPr>
              <w:tab/>
            </w:r>
            <w:r w:rsidR="00A65A59">
              <w:rPr>
                <w:noProof/>
                <w:webHidden/>
              </w:rPr>
              <w:fldChar w:fldCharType="begin"/>
            </w:r>
            <w:r w:rsidR="00A65A59">
              <w:rPr>
                <w:noProof/>
                <w:webHidden/>
              </w:rPr>
              <w:instrText xml:space="preserve"> PAGEREF _Toc83630968 \h </w:instrText>
            </w:r>
            <w:r w:rsidR="00A65A59">
              <w:rPr>
                <w:noProof/>
                <w:webHidden/>
              </w:rPr>
            </w:r>
            <w:r w:rsidR="00A65A59">
              <w:rPr>
                <w:noProof/>
                <w:webHidden/>
              </w:rPr>
              <w:fldChar w:fldCharType="separate"/>
            </w:r>
            <w:r w:rsidR="000D1E20">
              <w:rPr>
                <w:noProof/>
                <w:webHidden/>
              </w:rPr>
              <w:t>122</w:t>
            </w:r>
            <w:r w:rsidR="00A65A59">
              <w:rPr>
                <w:noProof/>
                <w:webHidden/>
              </w:rPr>
              <w:fldChar w:fldCharType="end"/>
            </w:r>
          </w:hyperlink>
        </w:p>
        <w:p w14:paraId="0BDCED62" w14:textId="502337BE" w:rsidR="00A65A59" w:rsidRDefault="003801F2">
          <w:pPr>
            <w:pStyle w:val="TOC1"/>
            <w:tabs>
              <w:tab w:val="left" w:pos="440"/>
              <w:tab w:val="right" w:leader="dot" w:pos="9347"/>
            </w:tabs>
            <w:rPr>
              <w:rFonts w:eastAsiaTheme="minorEastAsia" w:cstheme="minorBidi"/>
              <w:b w:val="0"/>
              <w:bCs w:val="0"/>
              <w:caps w:val="0"/>
              <w:noProof/>
              <w:sz w:val="22"/>
              <w:szCs w:val="22"/>
              <w:lang w:val="hr-HR" w:eastAsia="hr-HR"/>
            </w:rPr>
          </w:pPr>
          <w:hyperlink w:anchor="_Toc83630969" w:history="1">
            <w:r w:rsidR="00A65A59" w:rsidRPr="0053518F">
              <w:rPr>
                <w:rStyle w:val="Hyperlink"/>
                <w:noProof/>
                <w:lang w:val="en-GB"/>
              </w:rPr>
              <w:t>3</w:t>
            </w:r>
            <w:r w:rsidR="00A65A59">
              <w:rPr>
                <w:rFonts w:eastAsiaTheme="minorEastAsia" w:cstheme="minorBidi"/>
                <w:b w:val="0"/>
                <w:bCs w:val="0"/>
                <w:caps w:val="0"/>
                <w:noProof/>
                <w:sz w:val="22"/>
                <w:szCs w:val="22"/>
                <w:lang w:val="hr-HR" w:eastAsia="hr-HR"/>
              </w:rPr>
              <w:tab/>
            </w:r>
            <w:r w:rsidR="00A65A59" w:rsidRPr="0053518F">
              <w:rPr>
                <w:rStyle w:val="Hyperlink"/>
                <w:noProof/>
                <w:lang w:val="en-GB"/>
              </w:rPr>
              <w:t>DESKRIPTORI POVEZANI SA ODGOVARAJUĆIM ELEMENTIMA EKOSISTEMA</w:t>
            </w:r>
            <w:r w:rsidR="00A65A59">
              <w:rPr>
                <w:noProof/>
                <w:webHidden/>
              </w:rPr>
              <w:tab/>
            </w:r>
            <w:r w:rsidR="00A65A59">
              <w:rPr>
                <w:noProof/>
                <w:webHidden/>
              </w:rPr>
              <w:fldChar w:fldCharType="begin"/>
            </w:r>
            <w:r w:rsidR="00A65A59">
              <w:rPr>
                <w:noProof/>
                <w:webHidden/>
              </w:rPr>
              <w:instrText xml:space="preserve"> PAGEREF _Toc83630969 \h </w:instrText>
            </w:r>
            <w:r w:rsidR="00A65A59">
              <w:rPr>
                <w:noProof/>
                <w:webHidden/>
              </w:rPr>
            </w:r>
            <w:r w:rsidR="00A65A59">
              <w:rPr>
                <w:noProof/>
                <w:webHidden/>
              </w:rPr>
              <w:fldChar w:fldCharType="separate"/>
            </w:r>
            <w:r w:rsidR="000D1E20">
              <w:rPr>
                <w:noProof/>
                <w:webHidden/>
              </w:rPr>
              <w:t>125</w:t>
            </w:r>
            <w:r w:rsidR="00A65A59">
              <w:rPr>
                <w:noProof/>
                <w:webHidden/>
              </w:rPr>
              <w:fldChar w:fldCharType="end"/>
            </w:r>
          </w:hyperlink>
        </w:p>
        <w:p w14:paraId="358B8691" w14:textId="1544AAD3" w:rsidR="00A65A59" w:rsidRDefault="003801F2">
          <w:pPr>
            <w:pStyle w:val="TOC2"/>
            <w:rPr>
              <w:rFonts w:eastAsiaTheme="minorEastAsia" w:cstheme="minorBidi"/>
              <w:smallCaps w:val="0"/>
              <w:noProof/>
              <w:sz w:val="22"/>
              <w:szCs w:val="22"/>
              <w:lang w:val="hr-HR" w:eastAsia="hr-HR"/>
            </w:rPr>
          </w:pPr>
          <w:hyperlink w:anchor="_Toc83630970" w:history="1">
            <w:r w:rsidR="00A65A59" w:rsidRPr="0053518F">
              <w:rPr>
                <w:rStyle w:val="Hyperlink"/>
                <w:noProof/>
                <w:lang w:val="en-GB" w:eastAsia="en-US"/>
              </w:rPr>
              <w:t>3.1</w:t>
            </w:r>
            <w:r w:rsidR="00A65A59">
              <w:rPr>
                <w:rFonts w:eastAsiaTheme="minorEastAsia" w:cstheme="minorBidi"/>
                <w:smallCaps w:val="0"/>
                <w:noProof/>
                <w:sz w:val="22"/>
                <w:szCs w:val="22"/>
                <w:lang w:val="hr-HR" w:eastAsia="hr-HR"/>
              </w:rPr>
              <w:tab/>
            </w:r>
            <w:r w:rsidR="00A65A59" w:rsidRPr="0053518F">
              <w:rPr>
                <w:rStyle w:val="Hyperlink"/>
                <w:noProof/>
                <w:lang w:val="en-GB" w:eastAsia="en-US"/>
              </w:rPr>
              <w:t>GRUPE VRSTA (DESKRIPTOR 1)</w:t>
            </w:r>
            <w:r w:rsidR="00A65A59">
              <w:rPr>
                <w:noProof/>
                <w:webHidden/>
              </w:rPr>
              <w:tab/>
            </w:r>
            <w:r w:rsidR="00A65A59">
              <w:rPr>
                <w:noProof/>
                <w:webHidden/>
              </w:rPr>
              <w:fldChar w:fldCharType="begin"/>
            </w:r>
            <w:r w:rsidR="00A65A59">
              <w:rPr>
                <w:noProof/>
                <w:webHidden/>
              </w:rPr>
              <w:instrText xml:space="preserve"> PAGEREF _Toc83630970 \h </w:instrText>
            </w:r>
            <w:r w:rsidR="00A65A59">
              <w:rPr>
                <w:noProof/>
                <w:webHidden/>
              </w:rPr>
            </w:r>
            <w:r w:rsidR="00A65A59">
              <w:rPr>
                <w:noProof/>
                <w:webHidden/>
              </w:rPr>
              <w:fldChar w:fldCharType="separate"/>
            </w:r>
            <w:r w:rsidR="000D1E20">
              <w:rPr>
                <w:noProof/>
                <w:webHidden/>
              </w:rPr>
              <w:t>126</w:t>
            </w:r>
            <w:r w:rsidR="00A65A59">
              <w:rPr>
                <w:noProof/>
                <w:webHidden/>
              </w:rPr>
              <w:fldChar w:fldCharType="end"/>
            </w:r>
          </w:hyperlink>
        </w:p>
        <w:p w14:paraId="44B64AD5" w14:textId="1EE63A0E" w:rsidR="00A65A59" w:rsidRDefault="003801F2">
          <w:pPr>
            <w:pStyle w:val="TOC3"/>
            <w:rPr>
              <w:rFonts w:eastAsiaTheme="minorEastAsia" w:cstheme="minorBidi"/>
              <w:i w:val="0"/>
              <w:iCs w:val="0"/>
              <w:noProof/>
              <w:sz w:val="22"/>
              <w:szCs w:val="22"/>
              <w:lang w:val="hr-HR" w:eastAsia="hr-HR"/>
            </w:rPr>
          </w:pPr>
          <w:hyperlink w:anchor="_Toc83630971" w:history="1">
            <w:r w:rsidR="00A65A59" w:rsidRPr="0053518F">
              <w:rPr>
                <w:rStyle w:val="Hyperlink"/>
                <w:noProof/>
                <w:lang w:val="en-GB" w:eastAsia="en-US"/>
                <w14:scene3d>
                  <w14:camera w14:prst="orthographicFront"/>
                  <w14:lightRig w14:rig="threePt" w14:dir="t">
                    <w14:rot w14:lat="0" w14:lon="0" w14:rev="0"/>
                  </w14:lightRig>
                </w14:scene3d>
              </w:rPr>
              <w:t>3.1.1</w:t>
            </w:r>
            <w:r w:rsidR="00A65A59">
              <w:rPr>
                <w:rFonts w:eastAsiaTheme="minorEastAsia" w:cstheme="minorBidi"/>
                <w:i w:val="0"/>
                <w:iCs w:val="0"/>
                <w:noProof/>
                <w:sz w:val="22"/>
                <w:szCs w:val="22"/>
                <w:lang w:val="hr-HR" w:eastAsia="hr-HR"/>
              </w:rPr>
              <w:tab/>
            </w:r>
            <w:r w:rsidR="00A65A59" w:rsidRPr="0053518F">
              <w:rPr>
                <w:rStyle w:val="Hyperlink"/>
                <w:noProof/>
                <w:lang w:val="en-GB"/>
              </w:rPr>
              <w:t>Morske ptice</w:t>
            </w:r>
            <w:r w:rsidR="00A65A59">
              <w:rPr>
                <w:noProof/>
                <w:webHidden/>
              </w:rPr>
              <w:tab/>
            </w:r>
            <w:r w:rsidR="00A65A59">
              <w:rPr>
                <w:noProof/>
                <w:webHidden/>
              </w:rPr>
              <w:fldChar w:fldCharType="begin"/>
            </w:r>
            <w:r w:rsidR="00A65A59">
              <w:rPr>
                <w:noProof/>
                <w:webHidden/>
              </w:rPr>
              <w:instrText xml:space="preserve"> PAGEREF _Toc83630971 \h </w:instrText>
            </w:r>
            <w:r w:rsidR="00A65A59">
              <w:rPr>
                <w:noProof/>
                <w:webHidden/>
              </w:rPr>
            </w:r>
            <w:r w:rsidR="00A65A59">
              <w:rPr>
                <w:noProof/>
                <w:webHidden/>
              </w:rPr>
              <w:fldChar w:fldCharType="separate"/>
            </w:r>
            <w:r w:rsidR="000D1E20">
              <w:rPr>
                <w:noProof/>
                <w:webHidden/>
              </w:rPr>
              <w:t>127</w:t>
            </w:r>
            <w:r w:rsidR="00A65A59">
              <w:rPr>
                <w:noProof/>
                <w:webHidden/>
              </w:rPr>
              <w:fldChar w:fldCharType="end"/>
            </w:r>
          </w:hyperlink>
        </w:p>
        <w:p w14:paraId="2061A546" w14:textId="36D1E23C" w:rsidR="00A65A59" w:rsidRDefault="003801F2">
          <w:pPr>
            <w:pStyle w:val="TOC3"/>
            <w:rPr>
              <w:rFonts w:eastAsiaTheme="minorEastAsia" w:cstheme="minorBidi"/>
              <w:i w:val="0"/>
              <w:iCs w:val="0"/>
              <w:noProof/>
              <w:sz w:val="22"/>
              <w:szCs w:val="22"/>
              <w:lang w:val="hr-HR" w:eastAsia="hr-HR"/>
            </w:rPr>
          </w:pPr>
          <w:hyperlink w:anchor="_Toc83630972" w:history="1">
            <w:r w:rsidR="00A65A59" w:rsidRPr="0053518F">
              <w:rPr>
                <w:rStyle w:val="Hyperlink"/>
                <w:noProof/>
                <w:lang w:val="en-GB"/>
                <w14:scene3d>
                  <w14:camera w14:prst="orthographicFront"/>
                  <w14:lightRig w14:rig="threePt" w14:dir="t">
                    <w14:rot w14:lat="0" w14:lon="0" w14:rev="0"/>
                  </w14:lightRig>
                </w14:scene3d>
              </w:rPr>
              <w:t>3.1.2</w:t>
            </w:r>
            <w:r w:rsidR="00A65A59">
              <w:rPr>
                <w:rFonts w:eastAsiaTheme="minorEastAsia" w:cstheme="minorBidi"/>
                <w:i w:val="0"/>
                <w:iCs w:val="0"/>
                <w:noProof/>
                <w:sz w:val="22"/>
                <w:szCs w:val="22"/>
                <w:lang w:val="hr-HR" w:eastAsia="hr-HR"/>
              </w:rPr>
              <w:tab/>
            </w:r>
            <w:r w:rsidR="00A65A59" w:rsidRPr="0053518F">
              <w:rPr>
                <w:rStyle w:val="Hyperlink"/>
                <w:noProof/>
                <w:lang w:val="en-GB"/>
              </w:rPr>
              <w:t>Morski sisari (Cetacea)</w:t>
            </w:r>
            <w:r w:rsidR="00A65A59">
              <w:rPr>
                <w:noProof/>
                <w:webHidden/>
              </w:rPr>
              <w:tab/>
            </w:r>
            <w:r w:rsidR="00A65A59">
              <w:rPr>
                <w:noProof/>
                <w:webHidden/>
              </w:rPr>
              <w:fldChar w:fldCharType="begin"/>
            </w:r>
            <w:r w:rsidR="00A65A59">
              <w:rPr>
                <w:noProof/>
                <w:webHidden/>
              </w:rPr>
              <w:instrText xml:space="preserve"> PAGEREF _Toc83630972 \h </w:instrText>
            </w:r>
            <w:r w:rsidR="00A65A59">
              <w:rPr>
                <w:noProof/>
                <w:webHidden/>
              </w:rPr>
            </w:r>
            <w:r w:rsidR="00A65A59">
              <w:rPr>
                <w:noProof/>
                <w:webHidden/>
              </w:rPr>
              <w:fldChar w:fldCharType="separate"/>
            </w:r>
            <w:r w:rsidR="000D1E20">
              <w:rPr>
                <w:noProof/>
                <w:webHidden/>
              </w:rPr>
              <w:t>133</w:t>
            </w:r>
            <w:r w:rsidR="00A65A59">
              <w:rPr>
                <w:noProof/>
                <w:webHidden/>
              </w:rPr>
              <w:fldChar w:fldCharType="end"/>
            </w:r>
          </w:hyperlink>
        </w:p>
        <w:p w14:paraId="5D0E2460" w14:textId="3DC8D0DB" w:rsidR="00A65A59" w:rsidRDefault="003801F2">
          <w:pPr>
            <w:pStyle w:val="TOC3"/>
            <w:rPr>
              <w:rFonts w:eastAsiaTheme="minorEastAsia" w:cstheme="minorBidi"/>
              <w:i w:val="0"/>
              <w:iCs w:val="0"/>
              <w:noProof/>
              <w:sz w:val="22"/>
              <w:szCs w:val="22"/>
              <w:lang w:val="hr-HR" w:eastAsia="hr-HR"/>
            </w:rPr>
          </w:pPr>
          <w:hyperlink w:anchor="_Toc83630973" w:history="1">
            <w:r w:rsidR="00A65A59" w:rsidRPr="0053518F">
              <w:rPr>
                <w:rStyle w:val="Hyperlink"/>
                <w:rFonts w:eastAsia="Calibri"/>
                <w:noProof/>
                <w:lang w:val="en-GB"/>
                <w14:scene3d>
                  <w14:camera w14:prst="orthographicFront"/>
                  <w14:lightRig w14:rig="threePt" w14:dir="t">
                    <w14:rot w14:lat="0" w14:lon="0" w14:rev="0"/>
                  </w14:lightRig>
                </w14:scene3d>
              </w:rPr>
              <w:t>3.1.3</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rPr>
              <w:t>Morske kornjače (Morski gmizavci)</w:t>
            </w:r>
            <w:r w:rsidR="00A65A59">
              <w:rPr>
                <w:noProof/>
                <w:webHidden/>
              </w:rPr>
              <w:tab/>
            </w:r>
            <w:r w:rsidR="00A65A59">
              <w:rPr>
                <w:noProof/>
                <w:webHidden/>
              </w:rPr>
              <w:fldChar w:fldCharType="begin"/>
            </w:r>
            <w:r w:rsidR="00A65A59">
              <w:rPr>
                <w:noProof/>
                <w:webHidden/>
              </w:rPr>
              <w:instrText xml:space="preserve"> PAGEREF _Toc83630973 \h </w:instrText>
            </w:r>
            <w:r w:rsidR="00A65A59">
              <w:rPr>
                <w:noProof/>
                <w:webHidden/>
              </w:rPr>
            </w:r>
            <w:r w:rsidR="00A65A59">
              <w:rPr>
                <w:noProof/>
                <w:webHidden/>
              </w:rPr>
              <w:fldChar w:fldCharType="separate"/>
            </w:r>
            <w:r w:rsidR="000D1E20">
              <w:rPr>
                <w:noProof/>
                <w:webHidden/>
              </w:rPr>
              <w:t>136</w:t>
            </w:r>
            <w:r w:rsidR="00A65A59">
              <w:rPr>
                <w:noProof/>
                <w:webHidden/>
              </w:rPr>
              <w:fldChar w:fldCharType="end"/>
            </w:r>
          </w:hyperlink>
        </w:p>
        <w:p w14:paraId="02966EB0" w14:textId="4483A124" w:rsidR="00A65A59" w:rsidRDefault="003801F2">
          <w:pPr>
            <w:pStyle w:val="TOC3"/>
            <w:rPr>
              <w:rFonts w:eastAsiaTheme="minorEastAsia" w:cstheme="minorBidi"/>
              <w:i w:val="0"/>
              <w:iCs w:val="0"/>
              <w:noProof/>
              <w:sz w:val="22"/>
              <w:szCs w:val="22"/>
              <w:lang w:val="hr-HR" w:eastAsia="hr-HR"/>
            </w:rPr>
          </w:pPr>
          <w:hyperlink w:anchor="_Toc83630974" w:history="1">
            <w:r w:rsidR="00A65A59" w:rsidRPr="0053518F">
              <w:rPr>
                <w:rStyle w:val="Hyperlink"/>
                <w:rFonts w:eastAsia="Calibri"/>
                <w:noProof/>
                <w:lang w:val="en-GB" w:eastAsia="en-US"/>
                <w14:scene3d>
                  <w14:camera w14:prst="orthographicFront"/>
                  <w14:lightRig w14:rig="threePt" w14:dir="t">
                    <w14:rot w14:lat="0" w14:lon="0" w14:rev="0"/>
                  </w14:lightRig>
                </w14:scene3d>
              </w:rPr>
              <w:t>3.1.4</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Ribe</w:t>
            </w:r>
            <w:r w:rsidR="00A65A59">
              <w:rPr>
                <w:noProof/>
                <w:webHidden/>
              </w:rPr>
              <w:tab/>
            </w:r>
            <w:r w:rsidR="00A65A59">
              <w:rPr>
                <w:noProof/>
                <w:webHidden/>
              </w:rPr>
              <w:fldChar w:fldCharType="begin"/>
            </w:r>
            <w:r w:rsidR="00A65A59">
              <w:rPr>
                <w:noProof/>
                <w:webHidden/>
              </w:rPr>
              <w:instrText xml:space="preserve"> PAGEREF _Toc83630974 \h </w:instrText>
            </w:r>
            <w:r w:rsidR="00A65A59">
              <w:rPr>
                <w:noProof/>
                <w:webHidden/>
              </w:rPr>
            </w:r>
            <w:r w:rsidR="00A65A59">
              <w:rPr>
                <w:noProof/>
                <w:webHidden/>
              </w:rPr>
              <w:fldChar w:fldCharType="separate"/>
            </w:r>
            <w:r w:rsidR="000D1E20">
              <w:rPr>
                <w:noProof/>
                <w:webHidden/>
              </w:rPr>
              <w:t>140</w:t>
            </w:r>
            <w:r w:rsidR="00A65A59">
              <w:rPr>
                <w:noProof/>
                <w:webHidden/>
              </w:rPr>
              <w:fldChar w:fldCharType="end"/>
            </w:r>
          </w:hyperlink>
        </w:p>
        <w:p w14:paraId="60211A6C" w14:textId="26369F74" w:rsidR="00A65A59" w:rsidRDefault="003801F2">
          <w:pPr>
            <w:pStyle w:val="TOC2"/>
            <w:rPr>
              <w:rFonts w:eastAsiaTheme="minorEastAsia" w:cstheme="minorBidi"/>
              <w:smallCaps w:val="0"/>
              <w:noProof/>
              <w:sz w:val="22"/>
              <w:szCs w:val="22"/>
              <w:lang w:val="hr-HR" w:eastAsia="hr-HR"/>
            </w:rPr>
          </w:pPr>
          <w:hyperlink w:anchor="_Toc83630975" w:history="1">
            <w:r w:rsidR="00A65A59" w:rsidRPr="0053518F">
              <w:rPr>
                <w:rStyle w:val="Hyperlink"/>
                <w:noProof/>
                <w:lang w:val="en-GB" w:eastAsia="en-US"/>
              </w:rPr>
              <w:t>3.2</w:t>
            </w:r>
            <w:r w:rsidR="00A65A59">
              <w:rPr>
                <w:rFonts w:eastAsiaTheme="minorEastAsia" w:cstheme="minorBidi"/>
                <w:smallCaps w:val="0"/>
                <w:noProof/>
                <w:sz w:val="22"/>
                <w:szCs w:val="22"/>
                <w:lang w:val="hr-HR" w:eastAsia="hr-HR"/>
              </w:rPr>
              <w:tab/>
            </w:r>
            <w:r w:rsidR="00A65A59" w:rsidRPr="0053518F">
              <w:rPr>
                <w:rStyle w:val="Hyperlink"/>
                <w:noProof/>
                <w:lang w:val="en-GB" w:eastAsia="en-US"/>
              </w:rPr>
              <w:t>PELAGIČNA STANIŠTA (DESKRIPTOR 1)</w:t>
            </w:r>
            <w:r w:rsidR="00A65A59">
              <w:rPr>
                <w:noProof/>
                <w:webHidden/>
              </w:rPr>
              <w:tab/>
            </w:r>
            <w:r w:rsidR="00A65A59">
              <w:rPr>
                <w:noProof/>
                <w:webHidden/>
              </w:rPr>
              <w:fldChar w:fldCharType="begin"/>
            </w:r>
            <w:r w:rsidR="00A65A59">
              <w:rPr>
                <w:noProof/>
                <w:webHidden/>
              </w:rPr>
              <w:instrText xml:space="preserve"> PAGEREF _Toc83630975 \h </w:instrText>
            </w:r>
            <w:r w:rsidR="00A65A59">
              <w:rPr>
                <w:noProof/>
                <w:webHidden/>
              </w:rPr>
            </w:r>
            <w:r w:rsidR="00A65A59">
              <w:rPr>
                <w:noProof/>
                <w:webHidden/>
              </w:rPr>
              <w:fldChar w:fldCharType="separate"/>
            </w:r>
            <w:r w:rsidR="000D1E20">
              <w:rPr>
                <w:noProof/>
                <w:webHidden/>
              </w:rPr>
              <w:t>142</w:t>
            </w:r>
            <w:r w:rsidR="00A65A59">
              <w:rPr>
                <w:noProof/>
                <w:webHidden/>
              </w:rPr>
              <w:fldChar w:fldCharType="end"/>
            </w:r>
          </w:hyperlink>
        </w:p>
        <w:p w14:paraId="70FF7BD3" w14:textId="66D18D51" w:rsidR="00A65A59" w:rsidRDefault="003801F2">
          <w:pPr>
            <w:pStyle w:val="TOC3"/>
            <w:rPr>
              <w:rFonts w:eastAsiaTheme="minorEastAsia" w:cstheme="minorBidi"/>
              <w:i w:val="0"/>
              <w:iCs w:val="0"/>
              <w:noProof/>
              <w:sz w:val="22"/>
              <w:szCs w:val="22"/>
              <w:lang w:val="hr-HR" w:eastAsia="hr-HR"/>
            </w:rPr>
          </w:pPr>
          <w:hyperlink w:anchor="_Toc83630976" w:history="1">
            <w:r w:rsidR="00A65A59" w:rsidRPr="0053518F">
              <w:rPr>
                <w:rStyle w:val="Hyperlink"/>
                <w:rFonts w:eastAsia="Calibri"/>
                <w:noProof/>
                <w:lang w:val="en-GB" w:eastAsia="en-US"/>
                <w14:scene3d>
                  <w14:camera w14:prst="orthographicFront"/>
                  <w14:lightRig w14:rig="threePt" w14:dir="t">
                    <w14:rot w14:lat="0" w14:lon="0" w14:rev="0"/>
                  </w14:lightRig>
                </w14:scene3d>
              </w:rPr>
              <w:t>3.2.1</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Relevantni pritisci i uticaji</w:t>
            </w:r>
            <w:r w:rsidR="00A65A59">
              <w:rPr>
                <w:noProof/>
                <w:webHidden/>
              </w:rPr>
              <w:tab/>
            </w:r>
            <w:r w:rsidR="00A65A59">
              <w:rPr>
                <w:noProof/>
                <w:webHidden/>
              </w:rPr>
              <w:fldChar w:fldCharType="begin"/>
            </w:r>
            <w:r w:rsidR="00A65A59">
              <w:rPr>
                <w:noProof/>
                <w:webHidden/>
              </w:rPr>
              <w:instrText xml:space="preserve"> PAGEREF _Toc83630976 \h </w:instrText>
            </w:r>
            <w:r w:rsidR="00A65A59">
              <w:rPr>
                <w:noProof/>
                <w:webHidden/>
              </w:rPr>
            </w:r>
            <w:r w:rsidR="00A65A59">
              <w:rPr>
                <w:noProof/>
                <w:webHidden/>
              </w:rPr>
              <w:fldChar w:fldCharType="separate"/>
            </w:r>
            <w:r w:rsidR="000D1E20">
              <w:rPr>
                <w:noProof/>
                <w:webHidden/>
              </w:rPr>
              <w:t>143</w:t>
            </w:r>
            <w:r w:rsidR="00A65A59">
              <w:rPr>
                <w:noProof/>
                <w:webHidden/>
              </w:rPr>
              <w:fldChar w:fldCharType="end"/>
            </w:r>
          </w:hyperlink>
        </w:p>
        <w:p w14:paraId="143E2F49" w14:textId="28863549" w:rsidR="00A65A59" w:rsidRDefault="003801F2">
          <w:pPr>
            <w:pStyle w:val="TOC3"/>
            <w:rPr>
              <w:rFonts w:eastAsiaTheme="minorEastAsia" w:cstheme="minorBidi"/>
              <w:i w:val="0"/>
              <w:iCs w:val="0"/>
              <w:noProof/>
              <w:sz w:val="22"/>
              <w:szCs w:val="22"/>
              <w:lang w:val="hr-HR" w:eastAsia="hr-HR"/>
            </w:rPr>
          </w:pPr>
          <w:hyperlink w:anchor="_Toc83630977" w:history="1">
            <w:r w:rsidR="00A65A59" w:rsidRPr="0053518F">
              <w:rPr>
                <w:rStyle w:val="Hyperlink"/>
                <w:rFonts w:eastAsia="Calibri"/>
                <w:noProof/>
                <w:lang w:val="en-GB" w:eastAsia="en-US"/>
                <w14:scene3d>
                  <w14:camera w14:prst="orthographicFront"/>
                  <w14:lightRig w14:rig="threePt" w14:dir="t">
                    <w14:rot w14:lat="0" w14:lon="0" w14:rev="0"/>
                  </w14:lightRig>
                </w14:scene3d>
              </w:rPr>
              <w:t>3.2.2</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Odabir kriterijuma za procjenu GES-a</w:t>
            </w:r>
            <w:r w:rsidR="00A65A59">
              <w:rPr>
                <w:noProof/>
                <w:webHidden/>
              </w:rPr>
              <w:tab/>
            </w:r>
            <w:r w:rsidR="00A65A59">
              <w:rPr>
                <w:noProof/>
                <w:webHidden/>
              </w:rPr>
              <w:fldChar w:fldCharType="begin"/>
            </w:r>
            <w:r w:rsidR="00A65A59">
              <w:rPr>
                <w:noProof/>
                <w:webHidden/>
              </w:rPr>
              <w:instrText xml:space="preserve"> PAGEREF _Toc83630977 \h </w:instrText>
            </w:r>
            <w:r w:rsidR="00A65A59">
              <w:rPr>
                <w:noProof/>
                <w:webHidden/>
              </w:rPr>
            </w:r>
            <w:r w:rsidR="00A65A59">
              <w:rPr>
                <w:noProof/>
                <w:webHidden/>
              </w:rPr>
              <w:fldChar w:fldCharType="separate"/>
            </w:r>
            <w:r w:rsidR="000D1E20">
              <w:rPr>
                <w:noProof/>
                <w:webHidden/>
              </w:rPr>
              <w:t>143</w:t>
            </w:r>
            <w:r w:rsidR="00A65A59">
              <w:rPr>
                <w:noProof/>
                <w:webHidden/>
              </w:rPr>
              <w:fldChar w:fldCharType="end"/>
            </w:r>
          </w:hyperlink>
        </w:p>
        <w:p w14:paraId="30A8D112" w14:textId="392A2A24" w:rsidR="00A65A59" w:rsidRDefault="003801F2">
          <w:pPr>
            <w:pStyle w:val="TOC3"/>
            <w:rPr>
              <w:rFonts w:eastAsiaTheme="minorEastAsia" w:cstheme="minorBidi"/>
              <w:i w:val="0"/>
              <w:iCs w:val="0"/>
              <w:noProof/>
              <w:sz w:val="22"/>
              <w:szCs w:val="22"/>
              <w:lang w:val="hr-HR" w:eastAsia="hr-HR"/>
            </w:rPr>
          </w:pPr>
          <w:hyperlink w:anchor="_Toc83630978" w:history="1">
            <w:r w:rsidR="00A65A59" w:rsidRPr="0053518F">
              <w:rPr>
                <w:rStyle w:val="Hyperlink"/>
                <w:rFonts w:eastAsia="Calibri"/>
                <w:noProof/>
                <w:lang w:val="en-GB" w:eastAsia="en-US"/>
                <w14:scene3d>
                  <w14:camera w14:prst="orthographicFront"/>
                  <w14:lightRig w14:rig="threePt" w14:dir="t">
                    <w14:rot w14:lat="0" w14:lon="0" w14:rev="0"/>
                  </w14:lightRig>
                </w14:scene3d>
              </w:rPr>
              <w:t>3.2.3</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Rezime stanja pelagičnih staništa na osnovu Početne procjene</w:t>
            </w:r>
            <w:r w:rsidR="00A65A59">
              <w:rPr>
                <w:noProof/>
                <w:webHidden/>
              </w:rPr>
              <w:tab/>
            </w:r>
            <w:r w:rsidR="00A65A59">
              <w:rPr>
                <w:noProof/>
                <w:webHidden/>
              </w:rPr>
              <w:fldChar w:fldCharType="begin"/>
            </w:r>
            <w:r w:rsidR="00A65A59">
              <w:rPr>
                <w:noProof/>
                <w:webHidden/>
              </w:rPr>
              <w:instrText xml:space="preserve"> PAGEREF _Toc83630978 \h </w:instrText>
            </w:r>
            <w:r w:rsidR="00A65A59">
              <w:rPr>
                <w:noProof/>
                <w:webHidden/>
              </w:rPr>
            </w:r>
            <w:r w:rsidR="00A65A59">
              <w:rPr>
                <w:noProof/>
                <w:webHidden/>
              </w:rPr>
              <w:fldChar w:fldCharType="separate"/>
            </w:r>
            <w:r w:rsidR="000D1E20">
              <w:rPr>
                <w:noProof/>
                <w:webHidden/>
              </w:rPr>
              <w:t>144</w:t>
            </w:r>
            <w:r w:rsidR="00A65A59">
              <w:rPr>
                <w:noProof/>
                <w:webHidden/>
              </w:rPr>
              <w:fldChar w:fldCharType="end"/>
            </w:r>
          </w:hyperlink>
        </w:p>
        <w:p w14:paraId="5769794D" w14:textId="6D8E76B5" w:rsidR="00A65A59" w:rsidRDefault="003801F2">
          <w:pPr>
            <w:pStyle w:val="TOC3"/>
            <w:rPr>
              <w:rFonts w:eastAsiaTheme="minorEastAsia" w:cstheme="minorBidi"/>
              <w:i w:val="0"/>
              <w:iCs w:val="0"/>
              <w:noProof/>
              <w:sz w:val="22"/>
              <w:szCs w:val="22"/>
              <w:lang w:val="hr-HR" w:eastAsia="hr-HR"/>
            </w:rPr>
          </w:pPr>
          <w:hyperlink w:anchor="_Toc83630979" w:history="1">
            <w:r w:rsidR="00A65A59" w:rsidRPr="0053518F">
              <w:rPr>
                <w:rStyle w:val="Hyperlink"/>
                <w:rFonts w:eastAsia="Calibri"/>
                <w:noProof/>
                <w:lang w:val="en-GB" w:eastAsia="en-US"/>
                <w14:scene3d>
                  <w14:camera w14:prst="orthographicFront"/>
                  <w14:lightRig w14:rig="threePt" w14:dir="t">
                    <w14:rot w14:lat="0" w14:lon="0" w14:rev="0"/>
                  </w14:lightRig>
                </w14:scene3d>
              </w:rPr>
              <w:t>3.2.4</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Pristup procjeni GES-a</w:t>
            </w:r>
            <w:r w:rsidR="00A65A59">
              <w:rPr>
                <w:noProof/>
                <w:webHidden/>
              </w:rPr>
              <w:tab/>
            </w:r>
            <w:r w:rsidR="00A65A59">
              <w:rPr>
                <w:noProof/>
                <w:webHidden/>
              </w:rPr>
              <w:fldChar w:fldCharType="begin"/>
            </w:r>
            <w:r w:rsidR="00A65A59">
              <w:rPr>
                <w:noProof/>
                <w:webHidden/>
              </w:rPr>
              <w:instrText xml:space="preserve"> PAGEREF _Toc83630979 \h </w:instrText>
            </w:r>
            <w:r w:rsidR="00A65A59">
              <w:rPr>
                <w:noProof/>
                <w:webHidden/>
              </w:rPr>
            </w:r>
            <w:r w:rsidR="00A65A59">
              <w:rPr>
                <w:noProof/>
                <w:webHidden/>
              </w:rPr>
              <w:fldChar w:fldCharType="separate"/>
            </w:r>
            <w:r w:rsidR="000D1E20">
              <w:rPr>
                <w:noProof/>
                <w:webHidden/>
              </w:rPr>
              <w:t>148</w:t>
            </w:r>
            <w:r w:rsidR="00A65A59">
              <w:rPr>
                <w:noProof/>
                <w:webHidden/>
              </w:rPr>
              <w:fldChar w:fldCharType="end"/>
            </w:r>
          </w:hyperlink>
        </w:p>
        <w:p w14:paraId="045F700B" w14:textId="0848466E" w:rsidR="00A65A59" w:rsidRDefault="003801F2">
          <w:pPr>
            <w:pStyle w:val="TOC3"/>
            <w:rPr>
              <w:rFonts w:eastAsiaTheme="minorEastAsia" w:cstheme="minorBidi"/>
              <w:i w:val="0"/>
              <w:iCs w:val="0"/>
              <w:noProof/>
              <w:sz w:val="22"/>
              <w:szCs w:val="22"/>
              <w:lang w:val="hr-HR" w:eastAsia="hr-HR"/>
            </w:rPr>
          </w:pPr>
          <w:hyperlink w:anchor="_Toc83630980" w:history="1">
            <w:r w:rsidR="00A65A59" w:rsidRPr="0053518F">
              <w:rPr>
                <w:rStyle w:val="Hyperlink"/>
                <w:rFonts w:eastAsia="Calibri"/>
                <w:noProof/>
                <w:lang w:val="en-GB" w:eastAsia="en-US"/>
                <w14:scene3d>
                  <w14:camera w14:prst="orthographicFront"/>
                  <w14:lightRig w14:rig="threePt" w14:dir="t">
                    <w14:rot w14:lat="0" w14:lon="0" w14:rev="0"/>
                  </w14:lightRig>
                </w14:scene3d>
              </w:rPr>
              <w:t>3.2.5</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Postizanje GES-a</w:t>
            </w:r>
            <w:r w:rsidR="00A65A59">
              <w:rPr>
                <w:noProof/>
                <w:webHidden/>
              </w:rPr>
              <w:tab/>
            </w:r>
            <w:r w:rsidR="00A65A59">
              <w:rPr>
                <w:noProof/>
                <w:webHidden/>
              </w:rPr>
              <w:fldChar w:fldCharType="begin"/>
            </w:r>
            <w:r w:rsidR="00A65A59">
              <w:rPr>
                <w:noProof/>
                <w:webHidden/>
              </w:rPr>
              <w:instrText xml:space="preserve"> PAGEREF _Toc83630980 \h </w:instrText>
            </w:r>
            <w:r w:rsidR="00A65A59">
              <w:rPr>
                <w:noProof/>
                <w:webHidden/>
              </w:rPr>
            </w:r>
            <w:r w:rsidR="00A65A59">
              <w:rPr>
                <w:noProof/>
                <w:webHidden/>
              </w:rPr>
              <w:fldChar w:fldCharType="separate"/>
            </w:r>
            <w:r w:rsidR="000D1E20">
              <w:rPr>
                <w:noProof/>
                <w:webHidden/>
              </w:rPr>
              <w:t>150</w:t>
            </w:r>
            <w:r w:rsidR="00A65A59">
              <w:rPr>
                <w:noProof/>
                <w:webHidden/>
              </w:rPr>
              <w:fldChar w:fldCharType="end"/>
            </w:r>
          </w:hyperlink>
        </w:p>
        <w:p w14:paraId="5C5A0D24" w14:textId="690EC738" w:rsidR="00A65A59" w:rsidRDefault="003801F2">
          <w:pPr>
            <w:pStyle w:val="TOC3"/>
            <w:rPr>
              <w:rFonts w:eastAsiaTheme="minorEastAsia" w:cstheme="minorBidi"/>
              <w:i w:val="0"/>
              <w:iCs w:val="0"/>
              <w:noProof/>
              <w:sz w:val="22"/>
              <w:szCs w:val="22"/>
              <w:lang w:val="hr-HR" w:eastAsia="hr-HR"/>
            </w:rPr>
          </w:pPr>
          <w:hyperlink w:anchor="_Toc83630981" w:history="1">
            <w:r w:rsidR="00A65A59" w:rsidRPr="0053518F">
              <w:rPr>
                <w:rStyle w:val="Hyperlink"/>
                <w:rFonts w:eastAsia="Calibri"/>
                <w:noProof/>
                <w:lang w:val="en-GB" w:eastAsia="en-US"/>
                <w14:scene3d>
                  <w14:camera w14:prst="orthographicFront"/>
                  <w14:lightRig w14:rig="threePt" w14:dir="t">
                    <w14:rot w14:lat="0" w14:lon="0" w14:rev="0"/>
                  </w14:lightRig>
                </w14:scene3d>
              </w:rPr>
              <w:t>3.2.6</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Pristup definisanju ciljeva za ostvarivanje/održavanje GES- a za Pelgična staništa</w:t>
            </w:r>
            <w:r w:rsidR="00A65A59">
              <w:rPr>
                <w:noProof/>
                <w:webHidden/>
              </w:rPr>
              <w:tab/>
            </w:r>
            <w:r w:rsidR="00A65A59">
              <w:rPr>
                <w:noProof/>
                <w:webHidden/>
              </w:rPr>
              <w:fldChar w:fldCharType="begin"/>
            </w:r>
            <w:r w:rsidR="00A65A59">
              <w:rPr>
                <w:noProof/>
                <w:webHidden/>
              </w:rPr>
              <w:instrText xml:space="preserve"> PAGEREF _Toc83630981 \h </w:instrText>
            </w:r>
            <w:r w:rsidR="00A65A59">
              <w:rPr>
                <w:noProof/>
                <w:webHidden/>
              </w:rPr>
            </w:r>
            <w:r w:rsidR="00A65A59">
              <w:rPr>
                <w:noProof/>
                <w:webHidden/>
              </w:rPr>
              <w:fldChar w:fldCharType="separate"/>
            </w:r>
            <w:r w:rsidR="000D1E20">
              <w:rPr>
                <w:noProof/>
                <w:webHidden/>
              </w:rPr>
              <w:t>151</w:t>
            </w:r>
            <w:r w:rsidR="00A65A59">
              <w:rPr>
                <w:noProof/>
                <w:webHidden/>
              </w:rPr>
              <w:fldChar w:fldCharType="end"/>
            </w:r>
          </w:hyperlink>
        </w:p>
        <w:p w14:paraId="05B7124C" w14:textId="163A6664" w:rsidR="00A65A59" w:rsidRDefault="003801F2">
          <w:pPr>
            <w:pStyle w:val="TOC3"/>
            <w:rPr>
              <w:rFonts w:eastAsiaTheme="minorEastAsia" w:cstheme="minorBidi"/>
              <w:i w:val="0"/>
              <w:iCs w:val="0"/>
              <w:noProof/>
              <w:sz w:val="22"/>
              <w:szCs w:val="22"/>
              <w:lang w:val="hr-HR" w:eastAsia="hr-HR"/>
            </w:rPr>
          </w:pPr>
          <w:hyperlink w:anchor="_Toc83630982" w:history="1">
            <w:r w:rsidR="00A65A59" w:rsidRPr="0053518F">
              <w:rPr>
                <w:rStyle w:val="Hyperlink"/>
                <w:rFonts w:eastAsia="Calibri"/>
                <w:noProof/>
                <w:lang w:val="en-GB" w:eastAsia="en-US"/>
                <w14:scene3d>
                  <w14:camera w14:prst="orthographicFront"/>
                  <w14:lightRig w14:rig="threePt" w14:dir="t">
                    <w14:rot w14:lat="0" w14:lon="0" w14:rev="0"/>
                  </w14:lightRig>
                </w14:scene3d>
              </w:rPr>
              <w:t>3.2.7</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Nedostaci i potrebe za unapređenjem</w:t>
            </w:r>
            <w:r w:rsidR="00A65A59">
              <w:rPr>
                <w:noProof/>
                <w:webHidden/>
              </w:rPr>
              <w:tab/>
            </w:r>
            <w:r w:rsidR="00A65A59">
              <w:rPr>
                <w:noProof/>
                <w:webHidden/>
              </w:rPr>
              <w:fldChar w:fldCharType="begin"/>
            </w:r>
            <w:r w:rsidR="00A65A59">
              <w:rPr>
                <w:noProof/>
                <w:webHidden/>
              </w:rPr>
              <w:instrText xml:space="preserve"> PAGEREF _Toc83630982 \h </w:instrText>
            </w:r>
            <w:r w:rsidR="00A65A59">
              <w:rPr>
                <w:noProof/>
                <w:webHidden/>
              </w:rPr>
            </w:r>
            <w:r w:rsidR="00A65A59">
              <w:rPr>
                <w:noProof/>
                <w:webHidden/>
              </w:rPr>
              <w:fldChar w:fldCharType="separate"/>
            </w:r>
            <w:r w:rsidR="000D1E20">
              <w:rPr>
                <w:noProof/>
                <w:webHidden/>
              </w:rPr>
              <w:t>152</w:t>
            </w:r>
            <w:r w:rsidR="00A65A59">
              <w:rPr>
                <w:noProof/>
                <w:webHidden/>
              </w:rPr>
              <w:fldChar w:fldCharType="end"/>
            </w:r>
          </w:hyperlink>
        </w:p>
        <w:p w14:paraId="5B459685" w14:textId="6A84CCA3" w:rsidR="00A65A59" w:rsidRDefault="003801F2">
          <w:pPr>
            <w:pStyle w:val="TOC2"/>
            <w:rPr>
              <w:rFonts w:eastAsiaTheme="minorEastAsia" w:cstheme="minorBidi"/>
              <w:smallCaps w:val="0"/>
              <w:noProof/>
              <w:sz w:val="22"/>
              <w:szCs w:val="22"/>
              <w:lang w:val="hr-HR" w:eastAsia="hr-HR"/>
            </w:rPr>
          </w:pPr>
          <w:hyperlink w:anchor="_Toc83630983" w:history="1">
            <w:r w:rsidR="00A65A59" w:rsidRPr="0053518F">
              <w:rPr>
                <w:rStyle w:val="Hyperlink"/>
                <w:rFonts w:eastAsia="Calibri"/>
                <w:noProof/>
                <w:lang w:val="en-GB" w:eastAsia="en-US"/>
              </w:rPr>
              <w:t>3.3</w:t>
            </w:r>
            <w:r w:rsidR="00A65A59">
              <w:rPr>
                <w:rFonts w:eastAsiaTheme="minorEastAsia" w:cstheme="minorBidi"/>
                <w:smallCaps w:val="0"/>
                <w:noProof/>
                <w:sz w:val="22"/>
                <w:szCs w:val="22"/>
                <w:lang w:val="hr-HR" w:eastAsia="hr-HR"/>
              </w:rPr>
              <w:tab/>
            </w:r>
            <w:r w:rsidR="00A65A59" w:rsidRPr="0053518F">
              <w:rPr>
                <w:rStyle w:val="Hyperlink"/>
                <w:rFonts w:eastAsia="Calibri"/>
                <w:noProof/>
                <w:lang w:val="en-GB" w:eastAsia="en-US"/>
              </w:rPr>
              <w:t>BENTOSKA STANIŠTA – DESKRIPTORI 1 I 6</w:t>
            </w:r>
            <w:r w:rsidR="00A65A59">
              <w:rPr>
                <w:noProof/>
                <w:webHidden/>
              </w:rPr>
              <w:tab/>
            </w:r>
            <w:r w:rsidR="00A65A59">
              <w:rPr>
                <w:noProof/>
                <w:webHidden/>
              </w:rPr>
              <w:fldChar w:fldCharType="begin"/>
            </w:r>
            <w:r w:rsidR="00A65A59">
              <w:rPr>
                <w:noProof/>
                <w:webHidden/>
              </w:rPr>
              <w:instrText xml:space="preserve"> PAGEREF _Toc83630983 \h </w:instrText>
            </w:r>
            <w:r w:rsidR="00A65A59">
              <w:rPr>
                <w:noProof/>
                <w:webHidden/>
              </w:rPr>
            </w:r>
            <w:r w:rsidR="00A65A59">
              <w:rPr>
                <w:noProof/>
                <w:webHidden/>
              </w:rPr>
              <w:fldChar w:fldCharType="separate"/>
            </w:r>
            <w:r w:rsidR="000D1E20">
              <w:rPr>
                <w:noProof/>
                <w:webHidden/>
              </w:rPr>
              <w:t>153</w:t>
            </w:r>
            <w:r w:rsidR="00A65A59">
              <w:rPr>
                <w:noProof/>
                <w:webHidden/>
              </w:rPr>
              <w:fldChar w:fldCharType="end"/>
            </w:r>
          </w:hyperlink>
        </w:p>
        <w:p w14:paraId="17AC4CE7" w14:textId="5F1E1CA5" w:rsidR="00A65A59" w:rsidRDefault="003801F2">
          <w:pPr>
            <w:pStyle w:val="TOC3"/>
            <w:rPr>
              <w:rFonts w:eastAsiaTheme="minorEastAsia" w:cstheme="minorBidi"/>
              <w:i w:val="0"/>
              <w:iCs w:val="0"/>
              <w:noProof/>
              <w:sz w:val="22"/>
              <w:szCs w:val="22"/>
              <w:lang w:val="hr-HR" w:eastAsia="hr-HR"/>
            </w:rPr>
          </w:pPr>
          <w:hyperlink w:anchor="_Toc83630984" w:history="1">
            <w:r w:rsidR="00A65A59" w:rsidRPr="0053518F">
              <w:rPr>
                <w:rStyle w:val="Hyperlink"/>
                <w:rFonts w:eastAsia="Calibri"/>
                <w:noProof/>
                <w:lang w:val="en-GB" w:eastAsia="en-US"/>
                <w14:scene3d>
                  <w14:camera w14:prst="orthographicFront"/>
                  <w14:lightRig w14:rig="threePt" w14:dir="t">
                    <w14:rot w14:lat="0" w14:lon="0" w14:rev="0"/>
                  </w14:lightRig>
                </w14:scene3d>
              </w:rPr>
              <w:t>3.3.1</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Relevantni pritisci i uticaji</w:t>
            </w:r>
            <w:r w:rsidR="00A65A59">
              <w:rPr>
                <w:noProof/>
                <w:webHidden/>
              </w:rPr>
              <w:tab/>
            </w:r>
            <w:r w:rsidR="00A65A59">
              <w:rPr>
                <w:noProof/>
                <w:webHidden/>
              </w:rPr>
              <w:fldChar w:fldCharType="begin"/>
            </w:r>
            <w:r w:rsidR="00A65A59">
              <w:rPr>
                <w:noProof/>
                <w:webHidden/>
              </w:rPr>
              <w:instrText xml:space="preserve"> PAGEREF _Toc83630984 \h </w:instrText>
            </w:r>
            <w:r w:rsidR="00A65A59">
              <w:rPr>
                <w:noProof/>
                <w:webHidden/>
              </w:rPr>
            </w:r>
            <w:r w:rsidR="00A65A59">
              <w:rPr>
                <w:noProof/>
                <w:webHidden/>
              </w:rPr>
              <w:fldChar w:fldCharType="separate"/>
            </w:r>
            <w:r w:rsidR="000D1E20">
              <w:rPr>
                <w:noProof/>
                <w:webHidden/>
              </w:rPr>
              <w:t>154</w:t>
            </w:r>
            <w:r w:rsidR="00A65A59">
              <w:rPr>
                <w:noProof/>
                <w:webHidden/>
              </w:rPr>
              <w:fldChar w:fldCharType="end"/>
            </w:r>
          </w:hyperlink>
        </w:p>
        <w:p w14:paraId="480EF290" w14:textId="1A67E88C" w:rsidR="00A65A59" w:rsidRDefault="003801F2">
          <w:pPr>
            <w:pStyle w:val="TOC3"/>
            <w:rPr>
              <w:rFonts w:eastAsiaTheme="minorEastAsia" w:cstheme="minorBidi"/>
              <w:i w:val="0"/>
              <w:iCs w:val="0"/>
              <w:noProof/>
              <w:sz w:val="22"/>
              <w:szCs w:val="22"/>
              <w:lang w:val="hr-HR" w:eastAsia="hr-HR"/>
            </w:rPr>
          </w:pPr>
          <w:hyperlink w:anchor="_Toc83630985" w:history="1">
            <w:r w:rsidR="00A65A59" w:rsidRPr="0053518F">
              <w:rPr>
                <w:rStyle w:val="Hyperlink"/>
                <w:rFonts w:eastAsia="Calibri"/>
                <w:noProof/>
                <w:lang w:val="en-GB" w:eastAsia="en-US"/>
                <w14:scene3d>
                  <w14:camera w14:prst="orthographicFront"/>
                  <w14:lightRig w14:rig="threePt" w14:dir="t">
                    <w14:rot w14:lat="0" w14:lon="0" w14:rev="0"/>
                  </w14:lightRig>
                </w14:scene3d>
              </w:rPr>
              <w:t>3.3.2</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Rezime stanja bentoskih staništa na osnovu Početne procjene</w:t>
            </w:r>
            <w:r w:rsidR="00A65A59">
              <w:rPr>
                <w:noProof/>
                <w:webHidden/>
              </w:rPr>
              <w:tab/>
            </w:r>
            <w:r w:rsidR="00A65A59">
              <w:rPr>
                <w:noProof/>
                <w:webHidden/>
              </w:rPr>
              <w:fldChar w:fldCharType="begin"/>
            </w:r>
            <w:r w:rsidR="00A65A59">
              <w:rPr>
                <w:noProof/>
                <w:webHidden/>
              </w:rPr>
              <w:instrText xml:space="preserve"> PAGEREF _Toc83630985 \h </w:instrText>
            </w:r>
            <w:r w:rsidR="00A65A59">
              <w:rPr>
                <w:noProof/>
                <w:webHidden/>
              </w:rPr>
            </w:r>
            <w:r w:rsidR="00A65A59">
              <w:rPr>
                <w:noProof/>
                <w:webHidden/>
              </w:rPr>
              <w:fldChar w:fldCharType="separate"/>
            </w:r>
            <w:r w:rsidR="000D1E20">
              <w:rPr>
                <w:noProof/>
                <w:webHidden/>
              </w:rPr>
              <w:t>154</w:t>
            </w:r>
            <w:r w:rsidR="00A65A59">
              <w:rPr>
                <w:noProof/>
                <w:webHidden/>
              </w:rPr>
              <w:fldChar w:fldCharType="end"/>
            </w:r>
          </w:hyperlink>
        </w:p>
        <w:p w14:paraId="007C6472" w14:textId="3A3AC767" w:rsidR="00A65A59" w:rsidRDefault="003801F2">
          <w:pPr>
            <w:pStyle w:val="TOC3"/>
            <w:rPr>
              <w:rFonts w:eastAsiaTheme="minorEastAsia" w:cstheme="minorBidi"/>
              <w:i w:val="0"/>
              <w:iCs w:val="0"/>
              <w:noProof/>
              <w:sz w:val="22"/>
              <w:szCs w:val="22"/>
              <w:lang w:val="hr-HR" w:eastAsia="hr-HR"/>
            </w:rPr>
          </w:pPr>
          <w:hyperlink w:anchor="_Toc83630986" w:history="1">
            <w:r w:rsidR="00A65A59" w:rsidRPr="0053518F">
              <w:rPr>
                <w:rStyle w:val="Hyperlink"/>
                <w:rFonts w:eastAsia="Calibri"/>
                <w:noProof/>
                <w:lang w:val="en-GB" w:eastAsia="en-US"/>
                <w14:scene3d>
                  <w14:camera w14:prst="orthographicFront"/>
                  <w14:lightRig w14:rig="threePt" w14:dir="t">
                    <w14:rot w14:lat="0" w14:lon="0" w14:rev="0"/>
                  </w14:lightRig>
                </w14:scene3d>
              </w:rPr>
              <w:t>3.3.3</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Pristup procjeni GES-a</w:t>
            </w:r>
            <w:r w:rsidR="00A65A59">
              <w:rPr>
                <w:noProof/>
                <w:webHidden/>
              </w:rPr>
              <w:tab/>
            </w:r>
            <w:r w:rsidR="00A65A59">
              <w:rPr>
                <w:noProof/>
                <w:webHidden/>
              </w:rPr>
              <w:fldChar w:fldCharType="begin"/>
            </w:r>
            <w:r w:rsidR="00A65A59">
              <w:rPr>
                <w:noProof/>
                <w:webHidden/>
              </w:rPr>
              <w:instrText xml:space="preserve"> PAGEREF _Toc83630986 \h </w:instrText>
            </w:r>
            <w:r w:rsidR="00A65A59">
              <w:rPr>
                <w:noProof/>
                <w:webHidden/>
              </w:rPr>
            </w:r>
            <w:r w:rsidR="00A65A59">
              <w:rPr>
                <w:noProof/>
                <w:webHidden/>
              </w:rPr>
              <w:fldChar w:fldCharType="separate"/>
            </w:r>
            <w:r w:rsidR="000D1E20">
              <w:rPr>
                <w:noProof/>
                <w:webHidden/>
              </w:rPr>
              <w:t>159</w:t>
            </w:r>
            <w:r w:rsidR="00A65A59">
              <w:rPr>
                <w:noProof/>
                <w:webHidden/>
              </w:rPr>
              <w:fldChar w:fldCharType="end"/>
            </w:r>
          </w:hyperlink>
        </w:p>
        <w:p w14:paraId="3F260CA1" w14:textId="20987891" w:rsidR="00A65A59" w:rsidRDefault="003801F2">
          <w:pPr>
            <w:pStyle w:val="TOC3"/>
            <w:rPr>
              <w:rFonts w:eastAsiaTheme="minorEastAsia" w:cstheme="minorBidi"/>
              <w:i w:val="0"/>
              <w:iCs w:val="0"/>
              <w:noProof/>
              <w:sz w:val="22"/>
              <w:szCs w:val="22"/>
              <w:lang w:val="hr-HR" w:eastAsia="hr-HR"/>
            </w:rPr>
          </w:pPr>
          <w:hyperlink w:anchor="_Toc83630987" w:history="1">
            <w:r w:rsidR="00A65A59" w:rsidRPr="0053518F">
              <w:rPr>
                <w:rStyle w:val="Hyperlink"/>
                <w:rFonts w:eastAsia="Calibri"/>
                <w:noProof/>
                <w:lang w:val="en-GB" w:eastAsia="en-US"/>
                <w14:scene3d>
                  <w14:camera w14:prst="orthographicFront"/>
                  <w14:lightRig w14:rig="threePt" w14:dir="t">
                    <w14:rot w14:lat="0" w14:lon="0" w14:rev="0"/>
                  </w14:lightRig>
                </w14:scene3d>
              </w:rPr>
              <w:t>3.3.4</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Postizanje GES-a</w:t>
            </w:r>
            <w:r w:rsidR="00A65A59">
              <w:rPr>
                <w:noProof/>
                <w:webHidden/>
              </w:rPr>
              <w:tab/>
            </w:r>
            <w:r w:rsidR="00A65A59">
              <w:rPr>
                <w:noProof/>
                <w:webHidden/>
              </w:rPr>
              <w:fldChar w:fldCharType="begin"/>
            </w:r>
            <w:r w:rsidR="00A65A59">
              <w:rPr>
                <w:noProof/>
                <w:webHidden/>
              </w:rPr>
              <w:instrText xml:space="preserve"> PAGEREF _Toc83630987 \h </w:instrText>
            </w:r>
            <w:r w:rsidR="00A65A59">
              <w:rPr>
                <w:noProof/>
                <w:webHidden/>
              </w:rPr>
            </w:r>
            <w:r w:rsidR="00A65A59">
              <w:rPr>
                <w:noProof/>
                <w:webHidden/>
              </w:rPr>
              <w:fldChar w:fldCharType="separate"/>
            </w:r>
            <w:r w:rsidR="000D1E20">
              <w:rPr>
                <w:noProof/>
                <w:webHidden/>
              </w:rPr>
              <w:t>161</w:t>
            </w:r>
            <w:r w:rsidR="00A65A59">
              <w:rPr>
                <w:noProof/>
                <w:webHidden/>
              </w:rPr>
              <w:fldChar w:fldCharType="end"/>
            </w:r>
          </w:hyperlink>
        </w:p>
        <w:p w14:paraId="31BF6491" w14:textId="6DCC5B08" w:rsidR="00A65A59" w:rsidRDefault="003801F2">
          <w:pPr>
            <w:pStyle w:val="TOC3"/>
            <w:rPr>
              <w:rFonts w:eastAsiaTheme="minorEastAsia" w:cstheme="minorBidi"/>
              <w:i w:val="0"/>
              <w:iCs w:val="0"/>
              <w:noProof/>
              <w:sz w:val="22"/>
              <w:szCs w:val="22"/>
              <w:lang w:val="hr-HR" w:eastAsia="hr-HR"/>
            </w:rPr>
          </w:pPr>
          <w:hyperlink w:anchor="_Toc83630988" w:history="1">
            <w:r w:rsidR="00A65A59" w:rsidRPr="0053518F">
              <w:rPr>
                <w:rStyle w:val="Hyperlink"/>
                <w:rFonts w:eastAsia="Calibri"/>
                <w:noProof/>
                <w:lang w:val="en-GB" w:eastAsia="en-US"/>
                <w14:scene3d>
                  <w14:camera w14:prst="orthographicFront"/>
                  <w14:lightRig w14:rig="threePt" w14:dir="t">
                    <w14:rot w14:lat="0" w14:lon="0" w14:rev="0"/>
                  </w14:lightRig>
                </w14:scene3d>
              </w:rPr>
              <w:t>3.3.5</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Pristup definisanju ciljeva za postizanje/održavane GES-a    bentoskih staništa</w:t>
            </w:r>
            <w:r w:rsidR="00A65A59">
              <w:rPr>
                <w:noProof/>
                <w:webHidden/>
              </w:rPr>
              <w:tab/>
            </w:r>
            <w:r w:rsidR="00A65A59">
              <w:rPr>
                <w:noProof/>
                <w:webHidden/>
              </w:rPr>
              <w:fldChar w:fldCharType="begin"/>
            </w:r>
            <w:r w:rsidR="00A65A59">
              <w:rPr>
                <w:noProof/>
                <w:webHidden/>
              </w:rPr>
              <w:instrText xml:space="preserve"> PAGEREF _Toc83630988 \h </w:instrText>
            </w:r>
            <w:r w:rsidR="00A65A59">
              <w:rPr>
                <w:noProof/>
                <w:webHidden/>
              </w:rPr>
            </w:r>
            <w:r w:rsidR="00A65A59">
              <w:rPr>
                <w:noProof/>
                <w:webHidden/>
              </w:rPr>
              <w:fldChar w:fldCharType="separate"/>
            </w:r>
            <w:r w:rsidR="000D1E20">
              <w:rPr>
                <w:noProof/>
                <w:webHidden/>
              </w:rPr>
              <w:t>162</w:t>
            </w:r>
            <w:r w:rsidR="00A65A59">
              <w:rPr>
                <w:noProof/>
                <w:webHidden/>
              </w:rPr>
              <w:fldChar w:fldCharType="end"/>
            </w:r>
          </w:hyperlink>
        </w:p>
        <w:p w14:paraId="1681D915" w14:textId="21C309B0" w:rsidR="00A65A59" w:rsidRDefault="003801F2">
          <w:pPr>
            <w:pStyle w:val="TOC3"/>
            <w:rPr>
              <w:rFonts w:eastAsiaTheme="minorEastAsia" w:cstheme="minorBidi"/>
              <w:i w:val="0"/>
              <w:iCs w:val="0"/>
              <w:noProof/>
              <w:sz w:val="22"/>
              <w:szCs w:val="22"/>
              <w:lang w:val="hr-HR" w:eastAsia="hr-HR"/>
            </w:rPr>
          </w:pPr>
          <w:hyperlink w:anchor="_Toc83630989" w:history="1">
            <w:r w:rsidR="00A65A59" w:rsidRPr="0053518F">
              <w:rPr>
                <w:rStyle w:val="Hyperlink"/>
                <w:rFonts w:eastAsia="Calibri"/>
                <w:noProof/>
                <w:lang w:val="en-GB" w:eastAsia="en-US"/>
                <w14:scene3d>
                  <w14:camera w14:prst="orthographicFront"/>
                  <w14:lightRig w14:rig="threePt" w14:dir="t">
                    <w14:rot w14:lat="0" w14:lon="0" w14:rev="0"/>
                  </w14:lightRig>
                </w14:scene3d>
              </w:rPr>
              <w:t>3.3.6</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Veza sa drugim deskriptorima</w:t>
            </w:r>
            <w:r w:rsidR="00A65A59">
              <w:rPr>
                <w:noProof/>
                <w:webHidden/>
              </w:rPr>
              <w:tab/>
            </w:r>
            <w:r w:rsidR="00A65A59">
              <w:rPr>
                <w:noProof/>
                <w:webHidden/>
              </w:rPr>
              <w:fldChar w:fldCharType="begin"/>
            </w:r>
            <w:r w:rsidR="00A65A59">
              <w:rPr>
                <w:noProof/>
                <w:webHidden/>
              </w:rPr>
              <w:instrText xml:space="preserve"> PAGEREF _Toc83630989 \h </w:instrText>
            </w:r>
            <w:r w:rsidR="00A65A59">
              <w:rPr>
                <w:noProof/>
                <w:webHidden/>
              </w:rPr>
            </w:r>
            <w:r w:rsidR="00A65A59">
              <w:rPr>
                <w:noProof/>
                <w:webHidden/>
              </w:rPr>
              <w:fldChar w:fldCharType="separate"/>
            </w:r>
            <w:r w:rsidR="000D1E20">
              <w:rPr>
                <w:noProof/>
                <w:webHidden/>
              </w:rPr>
              <w:t>163</w:t>
            </w:r>
            <w:r w:rsidR="00A65A59">
              <w:rPr>
                <w:noProof/>
                <w:webHidden/>
              </w:rPr>
              <w:fldChar w:fldCharType="end"/>
            </w:r>
          </w:hyperlink>
        </w:p>
        <w:p w14:paraId="0E71BC45" w14:textId="5F02DBB5" w:rsidR="00A65A59" w:rsidRDefault="003801F2">
          <w:pPr>
            <w:pStyle w:val="TOC3"/>
            <w:rPr>
              <w:rFonts w:eastAsiaTheme="minorEastAsia" w:cstheme="minorBidi"/>
              <w:i w:val="0"/>
              <w:iCs w:val="0"/>
              <w:noProof/>
              <w:sz w:val="22"/>
              <w:szCs w:val="22"/>
              <w:lang w:val="hr-HR" w:eastAsia="hr-HR"/>
            </w:rPr>
          </w:pPr>
          <w:hyperlink w:anchor="_Toc83630990" w:history="1">
            <w:r w:rsidR="00A65A59" w:rsidRPr="0053518F">
              <w:rPr>
                <w:rStyle w:val="Hyperlink"/>
                <w:noProof/>
                <w:lang w:val="en-GB"/>
                <w14:scene3d>
                  <w14:camera w14:prst="orthographicFront"/>
                  <w14:lightRig w14:rig="threePt" w14:dir="t">
                    <w14:rot w14:lat="0" w14:lon="0" w14:rev="0"/>
                  </w14:lightRig>
                </w14:scene3d>
              </w:rPr>
              <w:t>3.3.7</w:t>
            </w:r>
            <w:r w:rsidR="00A65A59">
              <w:rPr>
                <w:rFonts w:eastAsiaTheme="minorEastAsia" w:cstheme="minorBidi"/>
                <w:i w:val="0"/>
                <w:iCs w:val="0"/>
                <w:noProof/>
                <w:sz w:val="22"/>
                <w:szCs w:val="22"/>
                <w:lang w:val="hr-HR" w:eastAsia="hr-HR"/>
              </w:rPr>
              <w:tab/>
            </w:r>
            <w:r w:rsidR="00A65A59" w:rsidRPr="0053518F">
              <w:rPr>
                <w:rStyle w:val="Hyperlink"/>
                <w:noProof/>
                <w:lang w:val="en-GB"/>
              </w:rPr>
              <w:t>Nedostaci i potrebe za unapređenjem</w:t>
            </w:r>
            <w:r w:rsidR="00A65A59">
              <w:rPr>
                <w:noProof/>
                <w:webHidden/>
              </w:rPr>
              <w:tab/>
            </w:r>
            <w:r w:rsidR="00A65A59">
              <w:rPr>
                <w:noProof/>
                <w:webHidden/>
              </w:rPr>
              <w:fldChar w:fldCharType="begin"/>
            </w:r>
            <w:r w:rsidR="00A65A59">
              <w:rPr>
                <w:noProof/>
                <w:webHidden/>
              </w:rPr>
              <w:instrText xml:space="preserve"> PAGEREF _Toc83630990 \h </w:instrText>
            </w:r>
            <w:r w:rsidR="00A65A59">
              <w:rPr>
                <w:noProof/>
                <w:webHidden/>
              </w:rPr>
            </w:r>
            <w:r w:rsidR="00A65A59">
              <w:rPr>
                <w:noProof/>
                <w:webHidden/>
              </w:rPr>
              <w:fldChar w:fldCharType="separate"/>
            </w:r>
            <w:r w:rsidR="000D1E20">
              <w:rPr>
                <w:noProof/>
                <w:webHidden/>
              </w:rPr>
              <w:t>164</w:t>
            </w:r>
            <w:r w:rsidR="00A65A59">
              <w:rPr>
                <w:noProof/>
                <w:webHidden/>
              </w:rPr>
              <w:fldChar w:fldCharType="end"/>
            </w:r>
          </w:hyperlink>
        </w:p>
        <w:p w14:paraId="3C505B0A" w14:textId="33B696D2" w:rsidR="00A65A59" w:rsidRDefault="003801F2">
          <w:pPr>
            <w:pStyle w:val="TOC2"/>
            <w:rPr>
              <w:rFonts w:eastAsiaTheme="minorEastAsia" w:cstheme="minorBidi"/>
              <w:smallCaps w:val="0"/>
              <w:noProof/>
              <w:sz w:val="22"/>
              <w:szCs w:val="22"/>
              <w:lang w:val="hr-HR" w:eastAsia="hr-HR"/>
            </w:rPr>
          </w:pPr>
          <w:hyperlink w:anchor="_Toc83630991" w:history="1">
            <w:r w:rsidR="00A65A59" w:rsidRPr="0053518F">
              <w:rPr>
                <w:rStyle w:val="Hyperlink"/>
                <w:rFonts w:eastAsia="Calibri"/>
                <w:noProof/>
                <w:lang w:val="en-GB" w:eastAsia="en-US"/>
              </w:rPr>
              <w:t>3.4</w:t>
            </w:r>
            <w:r w:rsidR="00A65A59">
              <w:rPr>
                <w:rFonts w:eastAsiaTheme="minorEastAsia" w:cstheme="minorBidi"/>
                <w:smallCaps w:val="0"/>
                <w:noProof/>
                <w:sz w:val="22"/>
                <w:szCs w:val="22"/>
                <w:lang w:val="hr-HR" w:eastAsia="hr-HR"/>
              </w:rPr>
              <w:tab/>
            </w:r>
            <w:r w:rsidR="00A65A59" w:rsidRPr="0053518F">
              <w:rPr>
                <w:rStyle w:val="Hyperlink"/>
                <w:rFonts w:eastAsia="Calibri"/>
                <w:noProof/>
                <w:lang w:val="en-GB" w:eastAsia="en-US"/>
              </w:rPr>
              <w:t>PREHRAMBENE MREŽE (DESKRIPTOR 4)</w:t>
            </w:r>
            <w:r w:rsidR="00A65A59">
              <w:rPr>
                <w:noProof/>
                <w:webHidden/>
              </w:rPr>
              <w:tab/>
            </w:r>
            <w:r w:rsidR="00A65A59">
              <w:rPr>
                <w:noProof/>
                <w:webHidden/>
              </w:rPr>
              <w:fldChar w:fldCharType="begin"/>
            </w:r>
            <w:r w:rsidR="00A65A59">
              <w:rPr>
                <w:noProof/>
                <w:webHidden/>
              </w:rPr>
              <w:instrText xml:space="preserve"> PAGEREF _Toc83630991 \h </w:instrText>
            </w:r>
            <w:r w:rsidR="00A65A59">
              <w:rPr>
                <w:noProof/>
                <w:webHidden/>
              </w:rPr>
            </w:r>
            <w:r w:rsidR="00A65A59">
              <w:rPr>
                <w:noProof/>
                <w:webHidden/>
              </w:rPr>
              <w:fldChar w:fldCharType="separate"/>
            </w:r>
            <w:r w:rsidR="000D1E20">
              <w:rPr>
                <w:noProof/>
                <w:webHidden/>
              </w:rPr>
              <w:t>164</w:t>
            </w:r>
            <w:r w:rsidR="00A65A59">
              <w:rPr>
                <w:noProof/>
                <w:webHidden/>
              </w:rPr>
              <w:fldChar w:fldCharType="end"/>
            </w:r>
          </w:hyperlink>
        </w:p>
        <w:p w14:paraId="71C15C68" w14:textId="4A6DC4A7" w:rsidR="00A65A59" w:rsidRDefault="003801F2">
          <w:pPr>
            <w:pStyle w:val="TOC3"/>
            <w:rPr>
              <w:rFonts w:eastAsiaTheme="minorEastAsia" w:cstheme="minorBidi"/>
              <w:i w:val="0"/>
              <w:iCs w:val="0"/>
              <w:noProof/>
              <w:sz w:val="22"/>
              <w:szCs w:val="22"/>
              <w:lang w:val="hr-HR" w:eastAsia="hr-HR"/>
            </w:rPr>
          </w:pPr>
          <w:hyperlink w:anchor="_Toc83630992" w:history="1">
            <w:r w:rsidR="00A65A59" w:rsidRPr="0053518F">
              <w:rPr>
                <w:rStyle w:val="Hyperlink"/>
                <w:noProof/>
                <w:lang w:val="en-GB"/>
                <w14:scene3d>
                  <w14:camera w14:prst="orthographicFront"/>
                  <w14:lightRig w14:rig="threePt" w14:dir="t">
                    <w14:rot w14:lat="0" w14:lon="0" w14:rev="0"/>
                  </w14:lightRig>
                </w14:scene3d>
              </w:rPr>
              <w:t>3.4.1</w:t>
            </w:r>
            <w:r w:rsidR="00A65A59">
              <w:rPr>
                <w:rFonts w:eastAsiaTheme="minorEastAsia" w:cstheme="minorBidi"/>
                <w:i w:val="0"/>
                <w:iCs w:val="0"/>
                <w:noProof/>
                <w:sz w:val="22"/>
                <w:szCs w:val="22"/>
                <w:lang w:val="hr-HR" w:eastAsia="hr-HR"/>
              </w:rPr>
              <w:tab/>
            </w:r>
            <w:r w:rsidR="00A65A59" w:rsidRPr="0053518F">
              <w:rPr>
                <w:rStyle w:val="Hyperlink"/>
                <w:noProof/>
                <w:lang w:val="en-GB"/>
              </w:rPr>
              <w:t>Rezime karakteristika izabranih elemenata D4</w:t>
            </w:r>
            <w:r w:rsidR="00A65A59">
              <w:rPr>
                <w:noProof/>
                <w:webHidden/>
              </w:rPr>
              <w:tab/>
            </w:r>
            <w:r w:rsidR="00A65A59">
              <w:rPr>
                <w:noProof/>
                <w:webHidden/>
              </w:rPr>
              <w:fldChar w:fldCharType="begin"/>
            </w:r>
            <w:r w:rsidR="00A65A59">
              <w:rPr>
                <w:noProof/>
                <w:webHidden/>
              </w:rPr>
              <w:instrText xml:space="preserve"> PAGEREF _Toc83630992 \h </w:instrText>
            </w:r>
            <w:r w:rsidR="00A65A59">
              <w:rPr>
                <w:noProof/>
                <w:webHidden/>
              </w:rPr>
            </w:r>
            <w:r w:rsidR="00A65A59">
              <w:rPr>
                <w:noProof/>
                <w:webHidden/>
              </w:rPr>
              <w:fldChar w:fldCharType="separate"/>
            </w:r>
            <w:r w:rsidR="000D1E20">
              <w:rPr>
                <w:noProof/>
                <w:webHidden/>
              </w:rPr>
              <w:t>166</w:t>
            </w:r>
            <w:r w:rsidR="00A65A59">
              <w:rPr>
                <w:noProof/>
                <w:webHidden/>
              </w:rPr>
              <w:fldChar w:fldCharType="end"/>
            </w:r>
          </w:hyperlink>
        </w:p>
        <w:p w14:paraId="2202F074" w14:textId="6763A94A" w:rsidR="00A65A59" w:rsidRDefault="003801F2">
          <w:pPr>
            <w:pStyle w:val="TOC3"/>
            <w:rPr>
              <w:rFonts w:eastAsiaTheme="minorEastAsia" w:cstheme="minorBidi"/>
              <w:i w:val="0"/>
              <w:iCs w:val="0"/>
              <w:noProof/>
              <w:sz w:val="22"/>
              <w:szCs w:val="22"/>
              <w:lang w:val="hr-HR" w:eastAsia="hr-HR"/>
            </w:rPr>
          </w:pPr>
          <w:hyperlink w:anchor="_Toc83630993" w:history="1">
            <w:r w:rsidR="00A65A59" w:rsidRPr="0053518F">
              <w:rPr>
                <w:rStyle w:val="Hyperlink"/>
                <w:noProof/>
                <w:lang w:val="en-GB"/>
                <w14:scene3d>
                  <w14:camera w14:prst="orthographicFront"/>
                  <w14:lightRig w14:rig="threePt" w14:dir="t">
                    <w14:rot w14:lat="0" w14:lon="0" w14:rev="0"/>
                  </w14:lightRig>
                </w14:scene3d>
              </w:rPr>
              <w:t>3.4.2</w:t>
            </w:r>
            <w:r w:rsidR="00A65A59">
              <w:rPr>
                <w:rFonts w:eastAsiaTheme="minorEastAsia" w:cstheme="minorBidi"/>
                <w:i w:val="0"/>
                <w:iCs w:val="0"/>
                <w:noProof/>
                <w:sz w:val="22"/>
                <w:szCs w:val="22"/>
                <w:lang w:val="hr-HR" w:eastAsia="hr-HR"/>
              </w:rPr>
              <w:tab/>
            </w:r>
            <w:r w:rsidR="00A65A59" w:rsidRPr="0053518F">
              <w:rPr>
                <w:rStyle w:val="Hyperlink"/>
                <w:noProof/>
                <w:lang w:val="en-GB"/>
              </w:rPr>
              <w:t>Pristup procjeni GES-a</w:t>
            </w:r>
            <w:r w:rsidR="00A65A59">
              <w:rPr>
                <w:noProof/>
                <w:webHidden/>
              </w:rPr>
              <w:tab/>
            </w:r>
            <w:r w:rsidR="00A65A59">
              <w:rPr>
                <w:noProof/>
                <w:webHidden/>
              </w:rPr>
              <w:fldChar w:fldCharType="begin"/>
            </w:r>
            <w:r w:rsidR="00A65A59">
              <w:rPr>
                <w:noProof/>
                <w:webHidden/>
              </w:rPr>
              <w:instrText xml:space="preserve"> PAGEREF _Toc83630993 \h </w:instrText>
            </w:r>
            <w:r w:rsidR="00A65A59">
              <w:rPr>
                <w:noProof/>
                <w:webHidden/>
              </w:rPr>
            </w:r>
            <w:r w:rsidR="00A65A59">
              <w:rPr>
                <w:noProof/>
                <w:webHidden/>
              </w:rPr>
              <w:fldChar w:fldCharType="separate"/>
            </w:r>
            <w:r w:rsidR="000D1E20">
              <w:rPr>
                <w:noProof/>
                <w:webHidden/>
              </w:rPr>
              <w:t>169</w:t>
            </w:r>
            <w:r w:rsidR="00A65A59">
              <w:rPr>
                <w:noProof/>
                <w:webHidden/>
              </w:rPr>
              <w:fldChar w:fldCharType="end"/>
            </w:r>
          </w:hyperlink>
        </w:p>
        <w:p w14:paraId="65CF508E" w14:textId="7EC77E18" w:rsidR="00A65A59" w:rsidRDefault="003801F2">
          <w:pPr>
            <w:pStyle w:val="TOC3"/>
            <w:rPr>
              <w:rFonts w:eastAsiaTheme="minorEastAsia" w:cstheme="minorBidi"/>
              <w:i w:val="0"/>
              <w:iCs w:val="0"/>
              <w:noProof/>
              <w:sz w:val="22"/>
              <w:szCs w:val="22"/>
              <w:lang w:val="hr-HR" w:eastAsia="hr-HR"/>
            </w:rPr>
          </w:pPr>
          <w:hyperlink w:anchor="_Toc83630994" w:history="1">
            <w:r w:rsidR="00A65A59" w:rsidRPr="0053518F">
              <w:rPr>
                <w:rStyle w:val="Hyperlink"/>
                <w:noProof/>
                <w14:scene3d>
                  <w14:camera w14:prst="orthographicFront"/>
                  <w14:lightRig w14:rig="threePt" w14:dir="t">
                    <w14:rot w14:lat="0" w14:lon="0" w14:rev="0"/>
                  </w14:lightRig>
                </w14:scene3d>
              </w:rPr>
              <w:t>3.4.3</w:t>
            </w:r>
            <w:r w:rsidR="00A65A59">
              <w:rPr>
                <w:rFonts w:eastAsiaTheme="minorEastAsia" w:cstheme="minorBidi"/>
                <w:i w:val="0"/>
                <w:iCs w:val="0"/>
                <w:noProof/>
                <w:sz w:val="22"/>
                <w:szCs w:val="22"/>
                <w:lang w:val="hr-HR" w:eastAsia="hr-HR"/>
              </w:rPr>
              <w:tab/>
            </w:r>
            <w:r w:rsidR="00A65A59" w:rsidRPr="0053518F">
              <w:rPr>
                <w:rStyle w:val="Hyperlink"/>
                <w:noProof/>
              </w:rPr>
              <w:t>Postizanje GES-a</w:t>
            </w:r>
            <w:r w:rsidR="00A65A59">
              <w:rPr>
                <w:noProof/>
                <w:webHidden/>
              </w:rPr>
              <w:tab/>
            </w:r>
            <w:r w:rsidR="00A65A59">
              <w:rPr>
                <w:noProof/>
                <w:webHidden/>
              </w:rPr>
              <w:fldChar w:fldCharType="begin"/>
            </w:r>
            <w:r w:rsidR="00A65A59">
              <w:rPr>
                <w:noProof/>
                <w:webHidden/>
              </w:rPr>
              <w:instrText xml:space="preserve"> PAGEREF _Toc83630994 \h </w:instrText>
            </w:r>
            <w:r w:rsidR="00A65A59">
              <w:rPr>
                <w:noProof/>
                <w:webHidden/>
              </w:rPr>
            </w:r>
            <w:r w:rsidR="00A65A59">
              <w:rPr>
                <w:noProof/>
                <w:webHidden/>
              </w:rPr>
              <w:fldChar w:fldCharType="separate"/>
            </w:r>
            <w:r w:rsidR="000D1E20">
              <w:rPr>
                <w:noProof/>
                <w:webHidden/>
              </w:rPr>
              <w:t>170</w:t>
            </w:r>
            <w:r w:rsidR="00A65A59">
              <w:rPr>
                <w:noProof/>
                <w:webHidden/>
              </w:rPr>
              <w:fldChar w:fldCharType="end"/>
            </w:r>
          </w:hyperlink>
        </w:p>
        <w:p w14:paraId="5D523D30" w14:textId="637FFC13" w:rsidR="00A65A59" w:rsidRDefault="003801F2">
          <w:pPr>
            <w:pStyle w:val="TOC3"/>
            <w:rPr>
              <w:rFonts w:eastAsiaTheme="minorEastAsia" w:cstheme="minorBidi"/>
              <w:i w:val="0"/>
              <w:iCs w:val="0"/>
              <w:noProof/>
              <w:sz w:val="22"/>
              <w:szCs w:val="22"/>
              <w:lang w:val="hr-HR" w:eastAsia="hr-HR"/>
            </w:rPr>
          </w:pPr>
          <w:hyperlink w:anchor="_Toc83630995" w:history="1">
            <w:r w:rsidR="00A65A59" w:rsidRPr="0053518F">
              <w:rPr>
                <w:rStyle w:val="Hyperlink"/>
                <w:rFonts w:eastAsia="Calibri"/>
                <w:noProof/>
                <w:lang w:val="en-GB" w:eastAsia="en-US"/>
                <w14:scene3d>
                  <w14:camera w14:prst="orthographicFront"/>
                  <w14:lightRig w14:rig="threePt" w14:dir="t">
                    <w14:rot w14:lat="0" w14:lon="0" w14:rev="0"/>
                  </w14:lightRig>
                </w14:scene3d>
              </w:rPr>
              <w:t>3.4.4</w:t>
            </w:r>
            <w:r w:rsidR="00A65A59">
              <w:rPr>
                <w:rFonts w:eastAsiaTheme="minorEastAsia" w:cstheme="minorBidi"/>
                <w:i w:val="0"/>
                <w:iCs w:val="0"/>
                <w:noProof/>
                <w:sz w:val="22"/>
                <w:szCs w:val="22"/>
                <w:lang w:val="hr-HR" w:eastAsia="hr-HR"/>
              </w:rPr>
              <w:tab/>
            </w:r>
            <w:r w:rsidR="00A65A59" w:rsidRPr="0053518F">
              <w:rPr>
                <w:rStyle w:val="Hyperlink"/>
                <w:rFonts w:eastAsia="Calibri"/>
                <w:noProof/>
                <w:lang w:val="en-GB" w:eastAsia="en-US"/>
              </w:rPr>
              <w:t>Pristup definisanju ciljeva za ostvarivanje/održavanje GES-a za D4</w:t>
            </w:r>
            <w:r w:rsidR="00A65A59">
              <w:rPr>
                <w:noProof/>
                <w:webHidden/>
              </w:rPr>
              <w:tab/>
            </w:r>
            <w:r w:rsidR="00A65A59">
              <w:rPr>
                <w:noProof/>
                <w:webHidden/>
              </w:rPr>
              <w:fldChar w:fldCharType="begin"/>
            </w:r>
            <w:r w:rsidR="00A65A59">
              <w:rPr>
                <w:noProof/>
                <w:webHidden/>
              </w:rPr>
              <w:instrText xml:space="preserve"> PAGEREF _Toc83630995 \h </w:instrText>
            </w:r>
            <w:r w:rsidR="00A65A59">
              <w:rPr>
                <w:noProof/>
                <w:webHidden/>
              </w:rPr>
            </w:r>
            <w:r w:rsidR="00A65A59">
              <w:rPr>
                <w:noProof/>
                <w:webHidden/>
              </w:rPr>
              <w:fldChar w:fldCharType="separate"/>
            </w:r>
            <w:r w:rsidR="000D1E20">
              <w:rPr>
                <w:noProof/>
                <w:webHidden/>
              </w:rPr>
              <w:t>171</w:t>
            </w:r>
            <w:r w:rsidR="00A65A59">
              <w:rPr>
                <w:noProof/>
                <w:webHidden/>
              </w:rPr>
              <w:fldChar w:fldCharType="end"/>
            </w:r>
          </w:hyperlink>
        </w:p>
        <w:p w14:paraId="37023FF7" w14:textId="56B5DC79" w:rsidR="00A65A59" w:rsidRDefault="003801F2">
          <w:pPr>
            <w:pStyle w:val="TOC3"/>
            <w:rPr>
              <w:rFonts w:eastAsiaTheme="minorEastAsia" w:cstheme="minorBidi"/>
              <w:i w:val="0"/>
              <w:iCs w:val="0"/>
              <w:noProof/>
              <w:sz w:val="22"/>
              <w:szCs w:val="22"/>
              <w:lang w:val="hr-HR" w:eastAsia="hr-HR"/>
            </w:rPr>
          </w:pPr>
          <w:hyperlink w:anchor="_Toc83630996" w:history="1">
            <w:r w:rsidR="00A65A59" w:rsidRPr="0053518F">
              <w:rPr>
                <w:rStyle w:val="Hyperlink"/>
                <w:rFonts w:eastAsia="Arial Unicode MS"/>
                <w:noProof/>
                <w:lang w:val="en-GB"/>
                <w14:scene3d>
                  <w14:camera w14:prst="orthographicFront"/>
                  <w14:lightRig w14:rig="threePt" w14:dir="t">
                    <w14:rot w14:lat="0" w14:lon="0" w14:rev="0"/>
                  </w14:lightRig>
                </w14:scene3d>
              </w:rPr>
              <w:t>3.4.5</w:t>
            </w:r>
            <w:r w:rsidR="00A65A59">
              <w:rPr>
                <w:rFonts w:eastAsiaTheme="minorEastAsia" w:cstheme="minorBidi"/>
                <w:i w:val="0"/>
                <w:iCs w:val="0"/>
                <w:noProof/>
                <w:sz w:val="22"/>
                <w:szCs w:val="22"/>
                <w:lang w:val="hr-HR" w:eastAsia="hr-HR"/>
              </w:rPr>
              <w:tab/>
            </w:r>
            <w:r w:rsidR="00A65A59" w:rsidRPr="0053518F">
              <w:rPr>
                <w:rStyle w:val="Hyperlink"/>
                <w:rFonts w:eastAsia="Arial Unicode MS"/>
                <w:noProof/>
                <w:lang w:val="en-GB"/>
              </w:rPr>
              <w:t>Nedostaci i potrebe</w:t>
            </w:r>
            <w:r w:rsidR="00A65A59">
              <w:rPr>
                <w:rStyle w:val="Hyperlink"/>
                <w:rFonts w:eastAsia="Arial Unicode MS"/>
                <w:noProof/>
                <w:lang w:val="en-GB"/>
              </w:rPr>
              <w:t xml:space="preserve"> za unapređenjem</w:t>
            </w:r>
            <w:r w:rsidR="00A65A59">
              <w:rPr>
                <w:noProof/>
                <w:webHidden/>
              </w:rPr>
              <w:tab/>
            </w:r>
            <w:r w:rsidR="00A65A59">
              <w:rPr>
                <w:noProof/>
                <w:webHidden/>
              </w:rPr>
              <w:fldChar w:fldCharType="begin"/>
            </w:r>
            <w:r w:rsidR="00A65A59">
              <w:rPr>
                <w:noProof/>
                <w:webHidden/>
              </w:rPr>
              <w:instrText xml:space="preserve"> PAGEREF _Toc83630996 \h </w:instrText>
            </w:r>
            <w:r w:rsidR="00A65A59">
              <w:rPr>
                <w:noProof/>
                <w:webHidden/>
              </w:rPr>
            </w:r>
            <w:r w:rsidR="00A65A59">
              <w:rPr>
                <w:noProof/>
                <w:webHidden/>
              </w:rPr>
              <w:fldChar w:fldCharType="separate"/>
            </w:r>
            <w:r w:rsidR="000D1E20">
              <w:rPr>
                <w:noProof/>
                <w:webHidden/>
              </w:rPr>
              <w:t>171</w:t>
            </w:r>
            <w:r w:rsidR="00A65A59">
              <w:rPr>
                <w:noProof/>
                <w:webHidden/>
              </w:rPr>
              <w:fldChar w:fldCharType="end"/>
            </w:r>
          </w:hyperlink>
        </w:p>
        <w:p w14:paraId="6C5CC54A" w14:textId="6B028F0E" w:rsidR="00A65A59" w:rsidRDefault="003801F2">
          <w:pPr>
            <w:pStyle w:val="TOC1"/>
            <w:tabs>
              <w:tab w:val="left" w:pos="440"/>
              <w:tab w:val="right" w:leader="dot" w:pos="9347"/>
            </w:tabs>
            <w:rPr>
              <w:rFonts w:eastAsiaTheme="minorEastAsia" w:cstheme="minorBidi"/>
              <w:b w:val="0"/>
              <w:bCs w:val="0"/>
              <w:caps w:val="0"/>
              <w:noProof/>
              <w:sz w:val="22"/>
              <w:szCs w:val="22"/>
              <w:lang w:val="hr-HR" w:eastAsia="hr-HR"/>
            </w:rPr>
          </w:pPr>
          <w:hyperlink w:anchor="_Toc83630997" w:history="1">
            <w:r w:rsidR="00A65A59" w:rsidRPr="0053518F">
              <w:rPr>
                <w:rStyle w:val="Hyperlink"/>
                <w:noProof/>
                <w:lang w:val="en-GB" w:eastAsia="en-US"/>
              </w:rPr>
              <w:t>4</w:t>
            </w:r>
            <w:r w:rsidR="00A65A59">
              <w:rPr>
                <w:rFonts w:eastAsiaTheme="minorEastAsia" w:cstheme="minorBidi"/>
                <w:b w:val="0"/>
                <w:bCs w:val="0"/>
                <w:caps w:val="0"/>
                <w:noProof/>
                <w:sz w:val="22"/>
                <w:szCs w:val="22"/>
                <w:lang w:val="hr-HR" w:eastAsia="hr-HR"/>
              </w:rPr>
              <w:tab/>
            </w:r>
            <w:r w:rsidR="00A65A59" w:rsidRPr="0053518F">
              <w:rPr>
                <w:rStyle w:val="Hyperlink"/>
                <w:noProof/>
                <w:lang w:val="en-GB" w:eastAsia="en-US"/>
              </w:rPr>
              <w:t>REFERENCE</w:t>
            </w:r>
            <w:r w:rsidR="00A65A59">
              <w:rPr>
                <w:noProof/>
                <w:webHidden/>
              </w:rPr>
              <w:tab/>
            </w:r>
            <w:r w:rsidR="00A65A59">
              <w:rPr>
                <w:noProof/>
                <w:webHidden/>
              </w:rPr>
              <w:fldChar w:fldCharType="begin"/>
            </w:r>
            <w:r w:rsidR="00A65A59">
              <w:rPr>
                <w:noProof/>
                <w:webHidden/>
              </w:rPr>
              <w:instrText xml:space="preserve"> PAGEREF _Toc83630997 \h </w:instrText>
            </w:r>
            <w:r w:rsidR="00A65A59">
              <w:rPr>
                <w:noProof/>
                <w:webHidden/>
              </w:rPr>
            </w:r>
            <w:r w:rsidR="00A65A59">
              <w:rPr>
                <w:noProof/>
                <w:webHidden/>
              </w:rPr>
              <w:fldChar w:fldCharType="separate"/>
            </w:r>
            <w:r w:rsidR="000D1E20">
              <w:rPr>
                <w:noProof/>
                <w:webHidden/>
              </w:rPr>
              <w:t>173</w:t>
            </w:r>
            <w:r w:rsidR="00A65A59">
              <w:rPr>
                <w:noProof/>
                <w:webHidden/>
              </w:rPr>
              <w:fldChar w:fldCharType="end"/>
            </w:r>
          </w:hyperlink>
        </w:p>
        <w:p w14:paraId="4DB5E93A" w14:textId="2F6FBDDA" w:rsidR="00A83D79" w:rsidRPr="00D932B6" w:rsidRDefault="00A83D79" w:rsidP="0018166F">
          <w:pPr>
            <w:spacing w:line="360" w:lineRule="auto"/>
            <w:rPr>
              <w:b/>
              <w:bCs/>
              <w:lang w:val="en-GB"/>
            </w:rPr>
          </w:pPr>
          <w:r w:rsidRPr="001C6CCA">
            <w:rPr>
              <w:b/>
              <w:bCs/>
              <w:lang w:val="en-GB"/>
            </w:rPr>
            <w:fldChar w:fldCharType="end"/>
          </w:r>
        </w:p>
      </w:sdtContent>
    </w:sdt>
    <w:p w14:paraId="484E882B" w14:textId="5C101C1F" w:rsidR="00DC2D79" w:rsidRDefault="00DC2D79" w:rsidP="00D932B6">
      <w:pPr>
        <w:keepNext/>
        <w:spacing w:before="480" w:after="480"/>
        <w:outlineLvl w:val="0"/>
        <w:rPr>
          <w:b/>
          <w:bCs/>
          <w:caps/>
          <w:color w:val="17365D" w:themeColor="text2" w:themeShade="BF"/>
          <w:kern w:val="32"/>
          <w:sz w:val="32"/>
          <w:szCs w:val="32"/>
          <w:lang w:val="en-GB"/>
        </w:rPr>
      </w:pPr>
    </w:p>
    <w:p w14:paraId="262D6A6B" w14:textId="592AF53A" w:rsidR="00F05590" w:rsidRDefault="00F05590" w:rsidP="00D932B6">
      <w:pPr>
        <w:keepNext/>
        <w:spacing w:before="480" w:after="480"/>
        <w:outlineLvl w:val="0"/>
        <w:rPr>
          <w:b/>
          <w:bCs/>
          <w:caps/>
          <w:color w:val="17365D" w:themeColor="text2" w:themeShade="BF"/>
          <w:kern w:val="32"/>
          <w:sz w:val="32"/>
          <w:szCs w:val="32"/>
          <w:lang w:val="en-GB"/>
        </w:rPr>
      </w:pPr>
    </w:p>
    <w:p w14:paraId="600E9DBE" w14:textId="2BC65C8A" w:rsidR="008B25AD" w:rsidRDefault="008B25AD" w:rsidP="00D932B6">
      <w:pPr>
        <w:keepNext/>
        <w:spacing w:before="480" w:after="480"/>
        <w:outlineLvl w:val="0"/>
        <w:rPr>
          <w:b/>
          <w:bCs/>
          <w:caps/>
          <w:color w:val="17365D" w:themeColor="text2" w:themeShade="BF"/>
          <w:kern w:val="32"/>
          <w:sz w:val="32"/>
          <w:szCs w:val="32"/>
          <w:lang w:val="en-GB"/>
        </w:rPr>
      </w:pPr>
    </w:p>
    <w:p w14:paraId="73D8DDCA" w14:textId="77777777" w:rsidR="008B25AD" w:rsidRDefault="008B25AD" w:rsidP="00D932B6">
      <w:pPr>
        <w:keepNext/>
        <w:spacing w:before="480" w:after="480"/>
        <w:outlineLvl w:val="0"/>
        <w:rPr>
          <w:b/>
          <w:bCs/>
          <w:caps/>
          <w:color w:val="17365D" w:themeColor="text2" w:themeShade="BF"/>
          <w:kern w:val="32"/>
          <w:sz w:val="32"/>
          <w:szCs w:val="32"/>
          <w:lang w:val="en-GB"/>
        </w:rPr>
      </w:pPr>
    </w:p>
    <w:p w14:paraId="3E330C27" w14:textId="77777777" w:rsidR="0044188E" w:rsidRDefault="0044188E">
      <w:pPr>
        <w:pStyle w:val="TableofFigures"/>
        <w:tabs>
          <w:tab w:val="right" w:leader="dot" w:pos="9347"/>
        </w:tabs>
        <w:rPr>
          <w:rFonts w:asciiTheme="minorHAnsi" w:hAnsiTheme="minorHAnsi" w:cstheme="minorHAnsi"/>
          <w:szCs w:val="20"/>
        </w:rPr>
      </w:pPr>
    </w:p>
    <w:p w14:paraId="476608D6" w14:textId="77777777" w:rsidR="0044188E" w:rsidRDefault="0044188E">
      <w:pPr>
        <w:pStyle w:val="TableofFigures"/>
        <w:tabs>
          <w:tab w:val="right" w:leader="dot" w:pos="9347"/>
        </w:tabs>
        <w:rPr>
          <w:rFonts w:asciiTheme="minorHAnsi" w:hAnsiTheme="minorHAnsi" w:cstheme="minorHAnsi"/>
          <w:szCs w:val="20"/>
        </w:rPr>
      </w:pPr>
    </w:p>
    <w:p w14:paraId="306DDD53" w14:textId="77777777" w:rsidR="0044188E" w:rsidRDefault="0044188E">
      <w:pPr>
        <w:pStyle w:val="TableofFigures"/>
        <w:tabs>
          <w:tab w:val="right" w:leader="dot" w:pos="9347"/>
        </w:tabs>
        <w:rPr>
          <w:rFonts w:asciiTheme="minorHAnsi" w:hAnsiTheme="minorHAnsi" w:cstheme="minorHAnsi"/>
          <w:szCs w:val="20"/>
        </w:rPr>
      </w:pPr>
    </w:p>
    <w:p w14:paraId="01D07BFE" w14:textId="77777777" w:rsidR="0044188E" w:rsidRDefault="0044188E">
      <w:pPr>
        <w:pStyle w:val="TableofFigures"/>
        <w:tabs>
          <w:tab w:val="right" w:leader="dot" w:pos="9347"/>
        </w:tabs>
        <w:rPr>
          <w:rFonts w:asciiTheme="minorHAnsi" w:hAnsiTheme="minorHAnsi" w:cstheme="minorHAnsi"/>
          <w:szCs w:val="20"/>
        </w:rPr>
      </w:pPr>
    </w:p>
    <w:p w14:paraId="363173A6" w14:textId="77777777" w:rsidR="0044188E" w:rsidRDefault="0044188E">
      <w:pPr>
        <w:pStyle w:val="TableofFigures"/>
        <w:tabs>
          <w:tab w:val="right" w:leader="dot" w:pos="9347"/>
        </w:tabs>
        <w:rPr>
          <w:rFonts w:asciiTheme="minorHAnsi" w:hAnsiTheme="minorHAnsi" w:cstheme="minorHAnsi"/>
          <w:szCs w:val="20"/>
        </w:rPr>
      </w:pPr>
    </w:p>
    <w:p w14:paraId="7F871DDB" w14:textId="77777777" w:rsidR="0044188E" w:rsidRDefault="0044188E">
      <w:pPr>
        <w:pStyle w:val="TableofFigures"/>
        <w:tabs>
          <w:tab w:val="right" w:leader="dot" w:pos="9347"/>
        </w:tabs>
        <w:rPr>
          <w:rFonts w:asciiTheme="minorHAnsi" w:hAnsiTheme="minorHAnsi" w:cstheme="minorHAnsi"/>
          <w:szCs w:val="20"/>
        </w:rPr>
      </w:pPr>
    </w:p>
    <w:p w14:paraId="7D915FED" w14:textId="77777777" w:rsidR="0044188E" w:rsidRDefault="0044188E">
      <w:pPr>
        <w:pStyle w:val="TableofFigures"/>
        <w:tabs>
          <w:tab w:val="right" w:leader="dot" w:pos="9347"/>
        </w:tabs>
        <w:rPr>
          <w:rFonts w:asciiTheme="minorHAnsi" w:hAnsiTheme="minorHAnsi" w:cstheme="minorHAnsi"/>
          <w:szCs w:val="20"/>
        </w:rPr>
      </w:pPr>
    </w:p>
    <w:p w14:paraId="0C21C74A" w14:textId="77777777" w:rsidR="00BB3EF5" w:rsidRPr="00BB3EF5" w:rsidRDefault="00BB3EF5" w:rsidP="00BB3EF5">
      <w:pPr>
        <w:rPr>
          <w:lang w:val="en-GB" w:eastAsia="en-US"/>
        </w:rPr>
      </w:pPr>
    </w:p>
    <w:p w14:paraId="4D1A1396" w14:textId="77777777" w:rsidR="0044188E" w:rsidRDefault="0044188E">
      <w:pPr>
        <w:pStyle w:val="TableofFigures"/>
        <w:tabs>
          <w:tab w:val="right" w:leader="dot" w:pos="9347"/>
        </w:tabs>
        <w:rPr>
          <w:rFonts w:asciiTheme="minorHAnsi" w:hAnsiTheme="minorHAnsi" w:cstheme="minorHAnsi"/>
          <w:szCs w:val="20"/>
        </w:rPr>
      </w:pPr>
    </w:p>
    <w:p w14:paraId="7C6E5182" w14:textId="77777777" w:rsidR="0044188E" w:rsidRPr="00BC1494" w:rsidRDefault="0044188E" w:rsidP="0044188E">
      <w:pPr>
        <w:keepNext/>
        <w:spacing w:before="480" w:after="480"/>
        <w:outlineLvl w:val="0"/>
        <w:rPr>
          <w:b/>
          <w:bCs/>
          <w:caps/>
          <w:color w:val="17365D" w:themeColor="text2" w:themeShade="BF"/>
          <w:kern w:val="32"/>
          <w:sz w:val="32"/>
          <w:szCs w:val="32"/>
          <w:lang w:val="en-GB"/>
        </w:rPr>
      </w:pPr>
      <w:bookmarkStart w:id="10" w:name="_Toc83630887"/>
      <w:r>
        <w:rPr>
          <w:b/>
          <w:bCs/>
          <w:caps/>
          <w:color w:val="17365D" w:themeColor="text2" w:themeShade="BF"/>
          <w:kern w:val="32"/>
          <w:sz w:val="32"/>
          <w:szCs w:val="32"/>
          <w:lang w:val="en-GB"/>
        </w:rPr>
        <w:lastRenderedPageBreak/>
        <w:t>SPISAK SLIKA</w:t>
      </w:r>
      <w:bookmarkEnd w:id="10"/>
    </w:p>
    <w:p w14:paraId="713301BD" w14:textId="77777777" w:rsidR="00166CB3" w:rsidRPr="0044188E" w:rsidRDefault="00C8184F">
      <w:pPr>
        <w:pStyle w:val="TableofFigures"/>
        <w:tabs>
          <w:tab w:val="right" w:leader="dot" w:pos="9347"/>
        </w:tabs>
        <w:rPr>
          <w:rFonts w:asciiTheme="minorHAnsi" w:eastAsiaTheme="minorEastAsia" w:hAnsiTheme="minorHAnsi" w:cstheme="minorBidi"/>
          <w:noProof/>
          <w:sz w:val="22"/>
          <w:lang w:val="en-US"/>
        </w:rPr>
      </w:pPr>
      <w:r w:rsidRPr="0044188E">
        <w:rPr>
          <w:rFonts w:asciiTheme="minorHAnsi" w:hAnsiTheme="minorHAnsi" w:cstheme="minorHAnsi"/>
          <w:szCs w:val="20"/>
        </w:rPr>
        <w:fldChar w:fldCharType="begin"/>
      </w:r>
      <w:r w:rsidRPr="0044188E">
        <w:rPr>
          <w:rFonts w:asciiTheme="minorHAnsi" w:hAnsiTheme="minorHAnsi" w:cstheme="minorHAnsi"/>
          <w:szCs w:val="20"/>
        </w:rPr>
        <w:instrText xml:space="preserve"> TOC \h \z \c "Figure" </w:instrText>
      </w:r>
      <w:r w:rsidRPr="0044188E">
        <w:rPr>
          <w:rFonts w:asciiTheme="minorHAnsi" w:hAnsiTheme="minorHAnsi" w:cstheme="minorHAnsi"/>
          <w:szCs w:val="20"/>
        </w:rPr>
        <w:fldChar w:fldCharType="separate"/>
      </w:r>
      <w:hyperlink w:anchor="_Toc83636892" w:history="1">
        <w:r w:rsidR="00166CB3" w:rsidRPr="0044188E">
          <w:rPr>
            <w:rStyle w:val="Hyperlink"/>
            <w:noProof/>
          </w:rPr>
          <w:t xml:space="preserve">Slika 1.1.  </w:t>
        </w:r>
        <w:r w:rsidR="00166CB3" w:rsidRPr="0044188E">
          <w:rPr>
            <w:rStyle w:val="Hyperlink"/>
            <w:rFonts w:eastAsia="Calibri" w:cs="Calibri"/>
            <w:iCs/>
            <w:noProof/>
          </w:rPr>
          <w:t>Konceptualni model koji pokazuje kako je povezano 11 deskriptora. Pune linije označavaju jake veze, isprekidane linije označavaju slabije veze (preuzeto od Borja i sar., 2010)</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_Toc83636892 \h </w:instrText>
        </w:r>
        <w:r w:rsidR="00166CB3" w:rsidRPr="0044188E">
          <w:rPr>
            <w:noProof/>
            <w:webHidden/>
          </w:rPr>
        </w:r>
        <w:r w:rsidR="00166CB3" w:rsidRPr="0044188E">
          <w:rPr>
            <w:noProof/>
            <w:webHidden/>
          </w:rPr>
          <w:fldChar w:fldCharType="separate"/>
        </w:r>
        <w:r w:rsidR="000D1E20">
          <w:rPr>
            <w:noProof/>
            <w:webHidden/>
          </w:rPr>
          <w:t>25</w:t>
        </w:r>
        <w:r w:rsidR="00166CB3" w:rsidRPr="0044188E">
          <w:rPr>
            <w:noProof/>
            <w:webHidden/>
          </w:rPr>
          <w:fldChar w:fldCharType="end"/>
        </w:r>
      </w:hyperlink>
    </w:p>
    <w:p w14:paraId="4CD6AD3D"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893" w:history="1">
        <w:r w:rsidR="00166CB3" w:rsidRPr="0044188E">
          <w:rPr>
            <w:rStyle w:val="Hyperlink"/>
            <w:rFonts w:eastAsia="Calibri" w:cs="Calibri"/>
            <w:iCs/>
            <w:noProof/>
          </w:rPr>
          <w:t>Slika</w:t>
        </w:r>
        <w:r w:rsidR="00166CB3" w:rsidRPr="0044188E">
          <w:rPr>
            <w:rStyle w:val="Hyperlink"/>
            <w:noProof/>
          </w:rPr>
          <w:t xml:space="preserve"> 1.2</w:t>
        </w:r>
        <w:r w:rsidR="00166CB3" w:rsidRPr="0044188E">
          <w:rPr>
            <w:rStyle w:val="Hyperlink"/>
            <w:rFonts w:eastAsia="Arial Unicode MS" w:cs="Arial Unicode MS"/>
            <w:noProof/>
            <w:lang w:val="sq-AL"/>
          </w:rPr>
          <w:t xml:space="preserve">: Dio Jadranskog mora pod suverenitetom </w:t>
        </w:r>
        <w:r w:rsidR="00166CB3" w:rsidRPr="0044188E">
          <w:rPr>
            <w:rStyle w:val="Hyperlink"/>
            <w:rFonts w:eastAsia="Calibri" w:cs="Calibri"/>
            <w:noProof/>
            <w:lang w:val="sq-AL"/>
          </w:rPr>
          <w:t>Crne Gore</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_Toc83636893 \h </w:instrText>
        </w:r>
        <w:r w:rsidR="00166CB3" w:rsidRPr="0044188E">
          <w:rPr>
            <w:noProof/>
            <w:webHidden/>
          </w:rPr>
        </w:r>
        <w:r w:rsidR="00166CB3" w:rsidRPr="0044188E">
          <w:rPr>
            <w:noProof/>
            <w:webHidden/>
          </w:rPr>
          <w:fldChar w:fldCharType="separate"/>
        </w:r>
        <w:r w:rsidR="000D1E20">
          <w:rPr>
            <w:noProof/>
            <w:webHidden/>
          </w:rPr>
          <w:t>27</w:t>
        </w:r>
        <w:r w:rsidR="00166CB3" w:rsidRPr="0044188E">
          <w:rPr>
            <w:noProof/>
            <w:webHidden/>
          </w:rPr>
          <w:fldChar w:fldCharType="end"/>
        </w:r>
      </w:hyperlink>
    </w:p>
    <w:p w14:paraId="62C0E77B"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894" w:history="1">
        <w:r w:rsidR="00166CB3" w:rsidRPr="0044188E">
          <w:rPr>
            <w:rStyle w:val="Hyperlink"/>
            <w:rFonts w:eastAsia="Calibri" w:cs="Calibri"/>
            <w:iCs/>
            <w:noProof/>
          </w:rPr>
          <w:t>Slika 1.3</w:t>
        </w:r>
        <w:r w:rsidR="00166CB3" w:rsidRPr="0044188E">
          <w:rPr>
            <w:rStyle w:val="Hyperlink"/>
            <w:noProof/>
          </w:rPr>
          <w:t xml:space="preserve">. </w:t>
        </w:r>
        <w:r w:rsidR="00166CB3" w:rsidRPr="0044188E">
          <w:rPr>
            <w:rStyle w:val="Hyperlink"/>
            <w:rFonts w:eastAsia="Calibri" w:cs="Calibri"/>
            <w:iCs/>
            <w:noProof/>
          </w:rPr>
          <w:t>Mapa geografskih pod-područja (GSA) prema Generalnoj komisiji za ribarstvo Mediterana (GFCM)</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_Toc83636894 \h </w:instrText>
        </w:r>
        <w:r w:rsidR="00166CB3" w:rsidRPr="0044188E">
          <w:rPr>
            <w:noProof/>
            <w:webHidden/>
          </w:rPr>
        </w:r>
        <w:r w:rsidR="00166CB3" w:rsidRPr="0044188E">
          <w:rPr>
            <w:noProof/>
            <w:webHidden/>
          </w:rPr>
          <w:fldChar w:fldCharType="separate"/>
        </w:r>
        <w:r w:rsidR="000D1E20">
          <w:rPr>
            <w:noProof/>
            <w:webHidden/>
          </w:rPr>
          <w:t>28</w:t>
        </w:r>
        <w:r w:rsidR="00166CB3" w:rsidRPr="0044188E">
          <w:rPr>
            <w:noProof/>
            <w:webHidden/>
          </w:rPr>
          <w:fldChar w:fldCharType="end"/>
        </w:r>
      </w:hyperlink>
    </w:p>
    <w:p w14:paraId="1D7D5039"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895" w:history="1">
        <w:r w:rsidR="00166CB3" w:rsidRPr="0044188E">
          <w:rPr>
            <w:rStyle w:val="Hyperlink"/>
            <w:rFonts w:eastAsia="Calibri" w:cs="Calibri"/>
            <w:iCs/>
            <w:noProof/>
          </w:rPr>
          <w:t>Slika 1.4</w:t>
        </w:r>
        <w:r w:rsidR="00166CB3" w:rsidRPr="0044188E">
          <w:rPr>
            <w:rStyle w:val="Hyperlink"/>
            <w:noProof/>
          </w:rPr>
          <w:t xml:space="preserve">. </w:t>
        </w:r>
        <w:r w:rsidR="00166CB3" w:rsidRPr="0044188E">
          <w:rPr>
            <w:rStyle w:val="Hyperlink"/>
            <w:iCs/>
            <w:noProof/>
          </w:rPr>
          <w:t xml:space="preserve">Orijentaciona karta pomorske jurisdikcije unutar Jadranskog mora. </w:t>
        </w:r>
        <w:r w:rsidR="00166CB3" w:rsidRPr="0044188E">
          <w:rPr>
            <w:rStyle w:val="Hyperlink"/>
            <w:i/>
            <w:iCs/>
            <w:noProof/>
          </w:rPr>
          <w:t>Izvor: UNCLOS.</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_Toc83636895 \h </w:instrText>
        </w:r>
        <w:r w:rsidR="00166CB3" w:rsidRPr="0044188E">
          <w:rPr>
            <w:noProof/>
            <w:webHidden/>
          </w:rPr>
        </w:r>
        <w:r w:rsidR="00166CB3" w:rsidRPr="0044188E">
          <w:rPr>
            <w:noProof/>
            <w:webHidden/>
          </w:rPr>
          <w:fldChar w:fldCharType="separate"/>
        </w:r>
        <w:r w:rsidR="000D1E20">
          <w:rPr>
            <w:noProof/>
            <w:webHidden/>
          </w:rPr>
          <w:t>29</w:t>
        </w:r>
        <w:r w:rsidR="00166CB3" w:rsidRPr="0044188E">
          <w:rPr>
            <w:noProof/>
            <w:webHidden/>
          </w:rPr>
          <w:fldChar w:fldCharType="end"/>
        </w:r>
      </w:hyperlink>
    </w:p>
    <w:p w14:paraId="6B7B5BD1"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896" w:history="1">
        <w:r w:rsidR="00166CB3" w:rsidRPr="0044188E">
          <w:rPr>
            <w:rStyle w:val="Hyperlink"/>
            <w:rFonts w:eastAsia="Calibri" w:cs="Calibri"/>
            <w:iCs/>
            <w:noProof/>
            <w:lang w:val="sr-Latn-ME"/>
          </w:rPr>
          <w:t>Slika 2.1</w:t>
        </w:r>
        <w:r w:rsidR="00166CB3" w:rsidRPr="0044188E">
          <w:rPr>
            <w:rStyle w:val="Hyperlink"/>
            <w:noProof/>
            <w:lang w:val="sr-Latn-ME"/>
          </w:rPr>
          <w:t>. Srednja dužina barbuna, u ulovima i MEDITS-u.</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_Toc83636896 \h </w:instrText>
        </w:r>
        <w:r w:rsidR="00166CB3" w:rsidRPr="0044188E">
          <w:rPr>
            <w:noProof/>
            <w:webHidden/>
          </w:rPr>
        </w:r>
        <w:r w:rsidR="00166CB3" w:rsidRPr="0044188E">
          <w:rPr>
            <w:noProof/>
            <w:webHidden/>
          </w:rPr>
          <w:fldChar w:fldCharType="separate"/>
        </w:r>
        <w:r w:rsidR="000D1E20">
          <w:rPr>
            <w:noProof/>
            <w:webHidden/>
          </w:rPr>
          <w:t>43</w:t>
        </w:r>
        <w:r w:rsidR="00166CB3" w:rsidRPr="0044188E">
          <w:rPr>
            <w:noProof/>
            <w:webHidden/>
          </w:rPr>
          <w:fldChar w:fldCharType="end"/>
        </w:r>
      </w:hyperlink>
    </w:p>
    <w:p w14:paraId="767E5B35"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897" w:history="1">
        <w:r w:rsidR="00166CB3" w:rsidRPr="0044188E">
          <w:rPr>
            <w:rStyle w:val="Hyperlink"/>
            <w:rFonts w:eastAsia="Calibri" w:cs="Calibri"/>
            <w:iCs/>
            <w:noProof/>
            <w:lang w:val="sr-Latn-ME"/>
          </w:rPr>
          <w:t>Slika 2.2</w:t>
        </w:r>
        <w:r w:rsidR="00166CB3" w:rsidRPr="0044188E">
          <w:rPr>
            <w:rStyle w:val="Hyperlink"/>
            <w:noProof/>
            <w:lang w:val="sr-Latn-ME"/>
          </w:rPr>
          <w:t>.</w:t>
        </w:r>
        <w:r w:rsidR="00166CB3" w:rsidRPr="0044188E">
          <w:rPr>
            <w:rStyle w:val="Hyperlink"/>
            <w:rFonts w:eastAsia="Calibri" w:cs="Calibri"/>
            <w:noProof/>
            <w:lang w:val="sr-Latn-ME"/>
          </w:rPr>
          <w:t xml:space="preserve"> Proporcija jedinki barbuna preko 95% percentila distribucije dužina, u ulovima i MEDITS-u.</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_Toc83636897 \h </w:instrText>
        </w:r>
        <w:r w:rsidR="00166CB3" w:rsidRPr="0044188E">
          <w:rPr>
            <w:noProof/>
            <w:webHidden/>
          </w:rPr>
        </w:r>
        <w:r w:rsidR="00166CB3" w:rsidRPr="0044188E">
          <w:rPr>
            <w:noProof/>
            <w:webHidden/>
          </w:rPr>
          <w:fldChar w:fldCharType="separate"/>
        </w:r>
        <w:r w:rsidR="000D1E20">
          <w:rPr>
            <w:noProof/>
            <w:webHidden/>
          </w:rPr>
          <w:t>44</w:t>
        </w:r>
        <w:r w:rsidR="00166CB3" w:rsidRPr="0044188E">
          <w:rPr>
            <w:noProof/>
            <w:webHidden/>
          </w:rPr>
          <w:fldChar w:fldCharType="end"/>
        </w:r>
      </w:hyperlink>
    </w:p>
    <w:p w14:paraId="687DEAE0" w14:textId="50D5245D"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898" w:history="1">
        <w:r w:rsidR="00166CB3" w:rsidRPr="0044188E">
          <w:rPr>
            <w:rStyle w:val="Hyperlink"/>
            <w:rFonts w:cs="Calibri"/>
            <w:bCs/>
            <w:noProof/>
            <w:lang w:val="sr-Latn-ME"/>
          </w:rPr>
          <w:t xml:space="preserve">Slika </w:t>
        </w:r>
        <w:r w:rsidR="00166CB3" w:rsidRPr="0044188E">
          <w:rPr>
            <w:rStyle w:val="Hyperlink"/>
            <w:rFonts w:eastAsia="Calibri" w:cs="Calibri"/>
            <w:iCs/>
            <w:noProof/>
            <w:lang w:val="sr-Latn-ME"/>
          </w:rPr>
          <w:t>2.3</w:t>
        </w:r>
        <w:r w:rsidR="00166CB3" w:rsidRPr="0044188E">
          <w:rPr>
            <w:rStyle w:val="Hyperlink"/>
            <w:noProof/>
            <w:lang w:val="sr-Latn-ME"/>
          </w:rPr>
          <w:t>.</w:t>
        </w:r>
        <w:r w:rsidR="00166CB3" w:rsidRPr="0044188E">
          <w:rPr>
            <w:rStyle w:val="Hyperlink"/>
            <w:rFonts w:eastAsia="Calibri" w:cs="Calibri"/>
            <w:noProof/>
            <w:lang w:val="sr-Latn-ME"/>
          </w:rPr>
          <w:t xml:space="preserve"> Srednje dužine oslića, u ulovima i MEDITS-u.</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_Toc83636898 \h </w:instrText>
        </w:r>
        <w:r w:rsidR="00166CB3" w:rsidRPr="0044188E">
          <w:rPr>
            <w:noProof/>
            <w:webHidden/>
          </w:rPr>
        </w:r>
        <w:r w:rsidR="00166CB3" w:rsidRPr="0044188E">
          <w:rPr>
            <w:noProof/>
            <w:webHidden/>
          </w:rPr>
          <w:fldChar w:fldCharType="separate"/>
        </w:r>
        <w:r w:rsidR="000D1E20">
          <w:rPr>
            <w:noProof/>
            <w:webHidden/>
          </w:rPr>
          <w:t>44</w:t>
        </w:r>
        <w:r w:rsidR="00166CB3" w:rsidRPr="0044188E">
          <w:rPr>
            <w:noProof/>
            <w:webHidden/>
          </w:rPr>
          <w:fldChar w:fldCharType="end"/>
        </w:r>
      </w:hyperlink>
    </w:p>
    <w:p w14:paraId="41A87F7F"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899" w:history="1">
        <w:r w:rsidR="00166CB3" w:rsidRPr="0044188E">
          <w:rPr>
            <w:rStyle w:val="Hyperlink"/>
            <w:rFonts w:eastAsia="Calibri" w:cs="Calibri"/>
            <w:bCs/>
            <w:noProof/>
            <w:lang w:val="sr-Latn-ME"/>
          </w:rPr>
          <w:t xml:space="preserve">Slika </w:t>
        </w:r>
        <w:r w:rsidR="00166CB3" w:rsidRPr="0044188E">
          <w:rPr>
            <w:rStyle w:val="Hyperlink"/>
            <w:rFonts w:eastAsia="Calibri" w:cs="Calibri"/>
            <w:iCs/>
            <w:noProof/>
            <w:lang w:val="sr-Latn-ME"/>
          </w:rPr>
          <w:t>2.4</w:t>
        </w:r>
        <w:r w:rsidR="00166CB3" w:rsidRPr="0044188E">
          <w:rPr>
            <w:rStyle w:val="Hyperlink"/>
            <w:noProof/>
            <w:lang w:val="sr-Latn-ME"/>
          </w:rPr>
          <w:t>.</w:t>
        </w:r>
        <w:r w:rsidR="00166CB3" w:rsidRPr="0044188E">
          <w:rPr>
            <w:rStyle w:val="Hyperlink"/>
            <w:rFonts w:eastAsia="Calibri" w:cs="Calibri"/>
            <w:noProof/>
            <w:lang w:val="sr-Latn-ME"/>
          </w:rPr>
          <w:t xml:space="preserve"> Proporcija jedinki preko 95% percentila, u ulovima i MEDITS-u.</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_Toc83636899 \h </w:instrText>
        </w:r>
        <w:r w:rsidR="00166CB3" w:rsidRPr="0044188E">
          <w:rPr>
            <w:noProof/>
            <w:webHidden/>
          </w:rPr>
        </w:r>
        <w:r w:rsidR="00166CB3" w:rsidRPr="0044188E">
          <w:rPr>
            <w:noProof/>
            <w:webHidden/>
          </w:rPr>
          <w:fldChar w:fldCharType="separate"/>
        </w:r>
        <w:r w:rsidR="000D1E20">
          <w:rPr>
            <w:noProof/>
            <w:webHidden/>
          </w:rPr>
          <w:t>45</w:t>
        </w:r>
        <w:r w:rsidR="00166CB3" w:rsidRPr="0044188E">
          <w:rPr>
            <w:noProof/>
            <w:webHidden/>
          </w:rPr>
          <w:fldChar w:fldCharType="end"/>
        </w:r>
      </w:hyperlink>
    </w:p>
    <w:p w14:paraId="78300918"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00" w:history="1">
        <w:r w:rsidR="00166CB3" w:rsidRPr="0044188E">
          <w:rPr>
            <w:rStyle w:val="Hyperlink"/>
            <w:rFonts w:cs="Calibri"/>
            <w:bCs/>
            <w:noProof/>
            <w:lang w:val="sr-Latn-ME"/>
          </w:rPr>
          <w:t xml:space="preserve">Slika </w:t>
        </w:r>
        <w:r w:rsidR="00166CB3" w:rsidRPr="0044188E">
          <w:rPr>
            <w:rStyle w:val="Hyperlink"/>
            <w:rFonts w:eastAsia="Calibri" w:cs="Calibri"/>
            <w:iCs/>
            <w:noProof/>
            <w:lang w:val="sr-Latn-ME"/>
          </w:rPr>
          <w:t>2.5</w:t>
        </w:r>
        <w:r w:rsidR="00166CB3" w:rsidRPr="0044188E">
          <w:rPr>
            <w:rStyle w:val="Hyperlink"/>
            <w:noProof/>
            <w:lang w:val="sr-Latn-ME"/>
          </w:rPr>
          <w:t>.</w:t>
        </w:r>
        <w:r w:rsidR="00166CB3" w:rsidRPr="0044188E">
          <w:rPr>
            <w:rStyle w:val="Hyperlink"/>
            <w:rFonts w:eastAsia="Calibri" w:cs="Calibri"/>
            <w:noProof/>
            <w:lang w:val="sr-Latn-ME"/>
          </w:rPr>
          <w:t xml:space="preserve"> Srednje dužine kozice, u ulovima i MEDITS-u.</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_Toc83636900 \h </w:instrText>
        </w:r>
        <w:r w:rsidR="00166CB3" w:rsidRPr="0044188E">
          <w:rPr>
            <w:noProof/>
            <w:webHidden/>
          </w:rPr>
        </w:r>
        <w:r w:rsidR="00166CB3" w:rsidRPr="0044188E">
          <w:rPr>
            <w:noProof/>
            <w:webHidden/>
          </w:rPr>
          <w:fldChar w:fldCharType="separate"/>
        </w:r>
        <w:r w:rsidR="000D1E20">
          <w:rPr>
            <w:noProof/>
            <w:webHidden/>
          </w:rPr>
          <w:t>45</w:t>
        </w:r>
        <w:r w:rsidR="00166CB3" w:rsidRPr="0044188E">
          <w:rPr>
            <w:noProof/>
            <w:webHidden/>
          </w:rPr>
          <w:fldChar w:fldCharType="end"/>
        </w:r>
      </w:hyperlink>
    </w:p>
    <w:p w14:paraId="65D9D561"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01" w:history="1">
        <w:r w:rsidR="00166CB3" w:rsidRPr="0044188E">
          <w:rPr>
            <w:rStyle w:val="Hyperlink"/>
            <w:rFonts w:eastAsia="Calibri" w:cs="Calibri"/>
            <w:bCs/>
            <w:noProof/>
            <w:lang w:val="sr-Latn-ME"/>
          </w:rPr>
          <w:t xml:space="preserve">Slika </w:t>
        </w:r>
        <w:r w:rsidR="00166CB3" w:rsidRPr="0044188E">
          <w:rPr>
            <w:rStyle w:val="Hyperlink"/>
            <w:rFonts w:eastAsia="Calibri" w:cs="Calibri"/>
            <w:iCs/>
            <w:noProof/>
            <w:lang w:val="sr-Latn-ME"/>
          </w:rPr>
          <w:t>2.6</w:t>
        </w:r>
        <w:r w:rsidR="00166CB3" w:rsidRPr="0044188E">
          <w:rPr>
            <w:rStyle w:val="Hyperlink"/>
            <w:noProof/>
            <w:lang w:val="sr-Latn-ME"/>
          </w:rPr>
          <w:t>.</w:t>
        </w:r>
        <w:r w:rsidR="00166CB3" w:rsidRPr="0044188E">
          <w:rPr>
            <w:rStyle w:val="Hyperlink"/>
            <w:rFonts w:eastAsia="Calibri" w:cs="Calibri"/>
            <w:noProof/>
            <w:lang w:val="sr-Latn-ME"/>
          </w:rPr>
          <w:t xml:space="preserve"> Proporcija jedinki kozice preko 95% percentila, u ulovima i MEDITS-u.</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_Toc83636901 \h </w:instrText>
        </w:r>
        <w:r w:rsidR="00166CB3" w:rsidRPr="0044188E">
          <w:rPr>
            <w:noProof/>
            <w:webHidden/>
          </w:rPr>
        </w:r>
        <w:r w:rsidR="00166CB3" w:rsidRPr="0044188E">
          <w:rPr>
            <w:noProof/>
            <w:webHidden/>
          </w:rPr>
          <w:fldChar w:fldCharType="separate"/>
        </w:r>
        <w:r w:rsidR="000D1E20">
          <w:rPr>
            <w:noProof/>
            <w:webHidden/>
          </w:rPr>
          <w:t>46</w:t>
        </w:r>
        <w:r w:rsidR="00166CB3" w:rsidRPr="0044188E">
          <w:rPr>
            <w:noProof/>
            <w:webHidden/>
          </w:rPr>
          <w:fldChar w:fldCharType="end"/>
        </w:r>
      </w:hyperlink>
    </w:p>
    <w:p w14:paraId="70DBC739"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02" w:history="1">
        <w:r w:rsidR="00166CB3" w:rsidRPr="0044188E">
          <w:rPr>
            <w:rStyle w:val="Hyperlink"/>
            <w:rFonts w:cs="Calibri"/>
            <w:noProof/>
            <w:lang w:val="sr-Latn-ME"/>
          </w:rPr>
          <w:t>Slika</w:t>
        </w:r>
        <w:r w:rsidR="00166CB3" w:rsidRPr="0044188E">
          <w:rPr>
            <w:rStyle w:val="Hyperlink"/>
            <w:rFonts w:eastAsia="Calibri" w:cs="Calibri"/>
            <w:bCs/>
            <w:noProof/>
            <w:lang w:val="sr-Latn-ME"/>
          </w:rPr>
          <w:t xml:space="preserve"> </w:t>
        </w:r>
        <w:r w:rsidR="00166CB3" w:rsidRPr="0044188E">
          <w:rPr>
            <w:rStyle w:val="Hyperlink"/>
            <w:rFonts w:eastAsia="Calibri" w:cs="Calibri"/>
            <w:iCs/>
            <w:noProof/>
            <w:lang w:val="sr-Latn-ME"/>
          </w:rPr>
          <w:t>2.7</w:t>
        </w:r>
        <w:r w:rsidR="00166CB3" w:rsidRPr="0044188E">
          <w:rPr>
            <w:rStyle w:val="Hyperlink"/>
            <w:noProof/>
            <w:lang w:val="sr-Latn-ME"/>
          </w:rPr>
          <w:t>.</w:t>
        </w:r>
        <w:r w:rsidR="00166CB3" w:rsidRPr="0044188E">
          <w:rPr>
            <w:rStyle w:val="Hyperlink"/>
            <w:rFonts w:eastAsia="Calibri" w:cs="Calibri"/>
            <w:noProof/>
            <w:lang w:val="sr-Latn-ME"/>
          </w:rPr>
          <w:t xml:space="preserve"> Rezultati SAM modela za srdelu: SSB, F i procjena podmlatka.</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_Toc83636902 \h </w:instrText>
        </w:r>
        <w:r w:rsidR="00166CB3" w:rsidRPr="0044188E">
          <w:rPr>
            <w:noProof/>
            <w:webHidden/>
          </w:rPr>
        </w:r>
        <w:r w:rsidR="00166CB3" w:rsidRPr="0044188E">
          <w:rPr>
            <w:noProof/>
            <w:webHidden/>
          </w:rPr>
          <w:fldChar w:fldCharType="separate"/>
        </w:r>
        <w:r w:rsidR="000D1E20">
          <w:rPr>
            <w:noProof/>
            <w:webHidden/>
          </w:rPr>
          <w:t>47</w:t>
        </w:r>
        <w:r w:rsidR="00166CB3" w:rsidRPr="0044188E">
          <w:rPr>
            <w:noProof/>
            <w:webHidden/>
          </w:rPr>
          <w:fldChar w:fldCharType="end"/>
        </w:r>
      </w:hyperlink>
    </w:p>
    <w:p w14:paraId="3A76BF82"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03" w:history="1">
        <w:r w:rsidR="00166CB3" w:rsidRPr="0044188E">
          <w:rPr>
            <w:rStyle w:val="Hyperlink"/>
            <w:rFonts w:cs="Calibri"/>
            <w:noProof/>
            <w:lang w:val="sr-Latn-ME"/>
          </w:rPr>
          <w:t>Slika</w:t>
        </w:r>
        <w:r w:rsidR="00166CB3" w:rsidRPr="0044188E">
          <w:rPr>
            <w:rStyle w:val="Hyperlink"/>
            <w:rFonts w:eastAsia="Calibri" w:cs="Calibri"/>
            <w:bCs/>
            <w:noProof/>
            <w:lang w:val="sr-Latn-ME"/>
          </w:rPr>
          <w:t xml:space="preserve"> </w:t>
        </w:r>
        <w:r w:rsidR="00166CB3" w:rsidRPr="0044188E">
          <w:rPr>
            <w:rStyle w:val="Hyperlink"/>
            <w:rFonts w:eastAsia="Calibri" w:cs="Calibri"/>
            <w:iCs/>
            <w:noProof/>
            <w:lang w:val="sr-Latn-ME"/>
          </w:rPr>
          <w:t>2.8</w:t>
        </w:r>
        <w:r w:rsidR="00166CB3" w:rsidRPr="0044188E">
          <w:rPr>
            <w:rStyle w:val="Hyperlink"/>
            <w:noProof/>
            <w:lang w:val="sr-Latn-ME"/>
          </w:rPr>
          <w:t>.</w:t>
        </w:r>
        <w:r w:rsidR="00166CB3" w:rsidRPr="0044188E">
          <w:rPr>
            <w:rStyle w:val="Hyperlink"/>
            <w:rFonts w:eastAsia="Calibri" w:cs="Calibri"/>
            <w:noProof/>
            <w:lang w:val="sr-Latn-ME"/>
          </w:rPr>
          <w:t xml:space="preserve"> Rezultati SAM modela za inćuna: SSB, F i procjena podmlatka.</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_Toc83636903 \h </w:instrText>
        </w:r>
        <w:r w:rsidR="00166CB3" w:rsidRPr="0044188E">
          <w:rPr>
            <w:noProof/>
            <w:webHidden/>
          </w:rPr>
        </w:r>
        <w:r w:rsidR="00166CB3" w:rsidRPr="0044188E">
          <w:rPr>
            <w:noProof/>
            <w:webHidden/>
          </w:rPr>
          <w:fldChar w:fldCharType="separate"/>
        </w:r>
        <w:r w:rsidR="000D1E20">
          <w:rPr>
            <w:noProof/>
            <w:webHidden/>
          </w:rPr>
          <w:t>47</w:t>
        </w:r>
        <w:r w:rsidR="00166CB3" w:rsidRPr="0044188E">
          <w:rPr>
            <w:noProof/>
            <w:webHidden/>
          </w:rPr>
          <w:fldChar w:fldCharType="end"/>
        </w:r>
      </w:hyperlink>
    </w:p>
    <w:p w14:paraId="789DA3FB"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04" w:history="1">
        <w:r w:rsidR="00166CB3" w:rsidRPr="0044188E">
          <w:rPr>
            <w:rStyle w:val="Hyperlink"/>
            <w:rFonts w:cs="Calibri"/>
            <w:noProof/>
            <w:lang w:val="sr-Latn-ME"/>
          </w:rPr>
          <w:t>Slika</w:t>
        </w:r>
        <w:r w:rsidR="00166CB3" w:rsidRPr="0044188E">
          <w:rPr>
            <w:rStyle w:val="Hyperlink"/>
            <w:rFonts w:eastAsia="Calibri" w:cs="Calibri"/>
            <w:bCs/>
            <w:noProof/>
            <w:lang w:val="sr-Latn-ME"/>
          </w:rPr>
          <w:t xml:space="preserve"> </w:t>
        </w:r>
        <w:r w:rsidR="00166CB3" w:rsidRPr="0044188E">
          <w:rPr>
            <w:rStyle w:val="Hyperlink"/>
            <w:rFonts w:eastAsia="Calibri" w:cs="Calibri"/>
            <w:iCs/>
            <w:noProof/>
            <w:lang w:val="sr-Latn-ME"/>
          </w:rPr>
          <w:t>2.9</w:t>
        </w:r>
        <w:r w:rsidR="00166CB3" w:rsidRPr="0044188E">
          <w:rPr>
            <w:rStyle w:val="Hyperlink"/>
            <w:noProof/>
            <w:lang w:val="sr-Latn-ME"/>
          </w:rPr>
          <w:t>.</w:t>
        </w:r>
        <w:r w:rsidR="00166CB3" w:rsidRPr="0044188E">
          <w:rPr>
            <w:rStyle w:val="Hyperlink"/>
            <w:rFonts w:eastAsia="Calibri" w:cs="Calibri"/>
            <w:noProof/>
            <w:lang w:val="sr-Latn-ME"/>
          </w:rPr>
          <w:t xml:space="preserve"> Srednja dužina srdele u ulovima i MEDIAS-u.</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_Toc83636904 \h </w:instrText>
        </w:r>
        <w:r w:rsidR="00166CB3" w:rsidRPr="0044188E">
          <w:rPr>
            <w:noProof/>
            <w:webHidden/>
          </w:rPr>
        </w:r>
        <w:r w:rsidR="00166CB3" w:rsidRPr="0044188E">
          <w:rPr>
            <w:noProof/>
            <w:webHidden/>
          </w:rPr>
          <w:fldChar w:fldCharType="separate"/>
        </w:r>
        <w:r w:rsidR="000D1E20">
          <w:rPr>
            <w:noProof/>
            <w:webHidden/>
          </w:rPr>
          <w:t>48</w:t>
        </w:r>
        <w:r w:rsidR="00166CB3" w:rsidRPr="0044188E">
          <w:rPr>
            <w:noProof/>
            <w:webHidden/>
          </w:rPr>
          <w:fldChar w:fldCharType="end"/>
        </w:r>
      </w:hyperlink>
    </w:p>
    <w:p w14:paraId="52A8D882"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05" w:history="1">
        <w:r w:rsidR="00166CB3" w:rsidRPr="0044188E">
          <w:rPr>
            <w:rStyle w:val="Hyperlink"/>
            <w:rFonts w:cs="Calibri"/>
            <w:noProof/>
            <w:lang w:val="sr-Latn-ME"/>
          </w:rPr>
          <w:t>Slika</w:t>
        </w:r>
        <w:r w:rsidR="00166CB3" w:rsidRPr="0044188E">
          <w:rPr>
            <w:rStyle w:val="Hyperlink"/>
            <w:rFonts w:eastAsia="Calibri" w:cs="Calibri"/>
            <w:bCs/>
            <w:noProof/>
            <w:lang w:val="sr-Latn-ME"/>
          </w:rPr>
          <w:t xml:space="preserve"> </w:t>
        </w:r>
        <w:r w:rsidR="00166CB3" w:rsidRPr="0044188E">
          <w:rPr>
            <w:rStyle w:val="Hyperlink"/>
            <w:rFonts w:eastAsia="Calibri" w:cs="Calibri"/>
            <w:iCs/>
            <w:noProof/>
            <w:lang w:val="sr-Latn-ME"/>
          </w:rPr>
          <w:t>2.10</w:t>
        </w:r>
        <w:r w:rsidR="00166CB3" w:rsidRPr="0044188E">
          <w:rPr>
            <w:rStyle w:val="Hyperlink"/>
            <w:noProof/>
            <w:lang w:val="sr-Latn-ME"/>
          </w:rPr>
          <w:t>.</w:t>
        </w:r>
        <w:r w:rsidR="00166CB3" w:rsidRPr="0044188E">
          <w:rPr>
            <w:rStyle w:val="Hyperlink"/>
            <w:rFonts w:eastAsia="Calibri" w:cs="Calibri"/>
            <w:noProof/>
            <w:lang w:val="sr-Latn-ME"/>
          </w:rPr>
          <w:t xml:space="preserve"> Udio jedinki srdela sa dužinom preko L50.</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_Toc83636905 \h </w:instrText>
        </w:r>
        <w:r w:rsidR="00166CB3" w:rsidRPr="0044188E">
          <w:rPr>
            <w:noProof/>
            <w:webHidden/>
          </w:rPr>
        </w:r>
        <w:r w:rsidR="00166CB3" w:rsidRPr="0044188E">
          <w:rPr>
            <w:noProof/>
            <w:webHidden/>
          </w:rPr>
          <w:fldChar w:fldCharType="separate"/>
        </w:r>
        <w:r w:rsidR="000D1E20">
          <w:rPr>
            <w:noProof/>
            <w:webHidden/>
          </w:rPr>
          <w:t>49</w:t>
        </w:r>
        <w:r w:rsidR="00166CB3" w:rsidRPr="0044188E">
          <w:rPr>
            <w:noProof/>
            <w:webHidden/>
          </w:rPr>
          <w:fldChar w:fldCharType="end"/>
        </w:r>
      </w:hyperlink>
    </w:p>
    <w:p w14:paraId="3286C4AD"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06" w:history="1">
        <w:r w:rsidR="00166CB3" w:rsidRPr="0044188E">
          <w:rPr>
            <w:rStyle w:val="Hyperlink"/>
            <w:rFonts w:cs="Calibri"/>
            <w:noProof/>
            <w:lang w:val="sr-Latn-ME"/>
          </w:rPr>
          <w:t xml:space="preserve">Slika </w:t>
        </w:r>
        <w:r w:rsidR="00166CB3" w:rsidRPr="0044188E">
          <w:rPr>
            <w:rStyle w:val="Hyperlink"/>
            <w:rFonts w:eastAsia="Calibri" w:cs="Calibri"/>
            <w:iCs/>
            <w:noProof/>
            <w:lang w:val="sr-Latn-ME"/>
          </w:rPr>
          <w:t>2.11</w:t>
        </w:r>
        <w:r w:rsidR="00166CB3" w:rsidRPr="0044188E">
          <w:rPr>
            <w:rStyle w:val="Hyperlink"/>
            <w:noProof/>
            <w:lang w:val="sr-Latn-ME"/>
          </w:rPr>
          <w:t>.</w:t>
        </w:r>
        <w:r w:rsidR="00166CB3" w:rsidRPr="0044188E">
          <w:rPr>
            <w:rStyle w:val="Hyperlink"/>
            <w:rFonts w:eastAsia="Calibri" w:cs="Calibri"/>
            <w:noProof/>
            <w:lang w:val="sr-Latn-ME"/>
          </w:rPr>
          <w:t xml:space="preserve"> Srednja dužina inćuna u ulovima i MEDIAS-u.</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_Toc83636906 \h </w:instrText>
        </w:r>
        <w:r w:rsidR="00166CB3" w:rsidRPr="0044188E">
          <w:rPr>
            <w:noProof/>
            <w:webHidden/>
          </w:rPr>
        </w:r>
        <w:r w:rsidR="00166CB3" w:rsidRPr="0044188E">
          <w:rPr>
            <w:noProof/>
            <w:webHidden/>
          </w:rPr>
          <w:fldChar w:fldCharType="separate"/>
        </w:r>
        <w:r w:rsidR="000D1E20">
          <w:rPr>
            <w:noProof/>
            <w:webHidden/>
          </w:rPr>
          <w:t>49</w:t>
        </w:r>
        <w:r w:rsidR="00166CB3" w:rsidRPr="0044188E">
          <w:rPr>
            <w:noProof/>
            <w:webHidden/>
          </w:rPr>
          <w:fldChar w:fldCharType="end"/>
        </w:r>
      </w:hyperlink>
    </w:p>
    <w:p w14:paraId="7733E554"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07" w:history="1">
        <w:r w:rsidR="00166CB3" w:rsidRPr="0044188E">
          <w:rPr>
            <w:rStyle w:val="Hyperlink"/>
            <w:rFonts w:cs="Calibri"/>
            <w:noProof/>
            <w:lang w:val="sr-Latn-ME"/>
          </w:rPr>
          <w:t>Slika</w:t>
        </w:r>
        <w:r w:rsidR="00166CB3" w:rsidRPr="0044188E">
          <w:rPr>
            <w:rStyle w:val="Hyperlink"/>
            <w:rFonts w:eastAsia="Calibri" w:cs="Calibri"/>
            <w:bCs/>
            <w:noProof/>
            <w:lang w:val="sr-Latn-ME"/>
          </w:rPr>
          <w:t xml:space="preserve"> </w:t>
        </w:r>
        <w:r w:rsidR="00166CB3" w:rsidRPr="0044188E">
          <w:rPr>
            <w:rStyle w:val="Hyperlink"/>
            <w:rFonts w:eastAsia="Calibri" w:cs="Calibri"/>
            <w:iCs/>
            <w:noProof/>
            <w:lang w:val="sr-Latn-ME"/>
          </w:rPr>
          <w:t>2.12</w:t>
        </w:r>
        <w:r w:rsidR="00166CB3" w:rsidRPr="0044188E">
          <w:rPr>
            <w:rStyle w:val="Hyperlink"/>
            <w:noProof/>
            <w:lang w:val="sr-Latn-ME"/>
          </w:rPr>
          <w:t>.</w:t>
        </w:r>
        <w:r w:rsidR="00166CB3" w:rsidRPr="0044188E">
          <w:rPr>
            <w:rStyle w:val="Hyperlink"/>
            <w:rFonts w:eastAsia="Calibri" w:cs="Calibri"/>
            <w:noProof/>
            <w:lang w:val="sr-Latn-ME"/>
          </w:rPr>
          <w:t xml:space="preserve"> Udio jedinki inćuna sa dužinom preko L50.</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_Toc83636907 \h </w:instrText>
        </w:r>
        <w:r w:rsidR="00166CB3" w:rsidRPr="0044188E">
          <w:rPr>
            <w:noProof/>
            <w:webHidden/>
          </w:rPr>
        </w:r>
        <w:r w:rsidR="00166CB3" w:rsidRPr="0044188E">
          <w:rPr>
            <w:noProof/>
            <w:webHidden/>
          </w:rPr>
          <w:fldChar w:fldCharType="separate"/>
        </w:r>
        <w:r w:rsidR="000D1E20">
          <w:rPr>
            <w:noProof/>
            <w:webHidden/>
          </w:rPr>
          <w:t>49</w:t>
        </w:r>
        <w:r w:rsidR="00166CB3" w:rsidRPr="0044188E">
          <w:rPr>
            <w:noProof/>
            <w:webHidden/>
          </w:rPr>
          <w:fldChar w:fldCharType="end"/>
        </w:r>
      </w:hyperlink>
    </w:p>
    <w:p w14:paraId="1CF1C878"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08" w:history="1">
        <w:r w:rsidR="00166CB3" w:rsidRPr="0044188E">
          <w:rPr>
            <w:rStyle w:val="Hyperlink"/>
            <w:rFonts w:eastAsia="Calibri"/>
            <w:noProof/>
          </w:rPr>
          <w:t>Slika</w:t>
        </w:r>
        <w:r w:rsidR="00166CB3" w:rsidRPr="0044188E">
          <w:rPr>
            <w:rStyle w:val="Hyperlink"/>
            <w:rFonts w:eastAsia="Calibri" w:cs="Calibri"/>
            <w:bCs/>
            <w:noProof/>
          </w:rPr>
          <w:t xml:space="preserve"> </w:t>
        </w:r>
        <w:r w:rsidR="00166CB3" w:rsidRPr="0044188E">
          <w:rPr>
            <w:rStyle w:val="Hyperlink"/>
            <w:rFonts w:eastAsia="Calibri" w:cs="Calibri"/>
            <w:iCs/>
            <w:noProof/>
          </w:rPr>
          <w:t>2.13</w:t>
        </w:r>
        <w:r w:rsidR="00166CB3" w:rsidRPr="0044188E">
          <w:rPr>
            <w:rStyle w:val="Hyperlink"/>
            <w:noProof/>
          </w:rPr>
          <w:t>.</w:t>
        </w:r>
        <w:r w:rsidR="00166CB3" w:rsidRPr="0044188E">
          <w:rPr>
            <w:rStyle w:val="Hyperlink"/>
            <w:rFonts w:eastAsia="Calibri" w:cs="Calibri"/>
            <w:noProof/>
          </w:rPr>
          <w:t xml:space="preserve">  </w:t>
        </w:r>
        <w:r w:rsidR="00166CB3" w:rsidRPr="0044188E">
          <w:rPr>
            <w:rStyle w:val="Hyperlink"/>
            <w:rFonts w:eastAsia="Calibri"/>
            <w:noProof/>
          </w:rPr>
          <w:t>Mapa sa istraživanim lokacijama</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_Toc83636908 \h </w:instrText>
        </w:r>
        <w:r w:rsidR="00166CB3" w:rsidRPr="0044188E">
          <w:rPr>
            <w:noProof/>
            <w:webHidden/>
          </w:rPr>
        </w:r>
        <w:r w:rsidR="00166CB3" w:rsidRPr="0044188E">
          <w:rPr>
            <w:noProof/>
            <w:webHidden/>
          </w:rPr>
          <w:fldChar w:fldCharType="separate"/>
        </w:r>
        <w:r w:rsidR="000D1E20">
          <w:rPr>
            <w:noProof/>
            <w:webHidden/>
          </w:rPr>
          <w:t>60</w:t>
        </w:r>
        <w:r w:rsidR="00166CB3" w:rsidRPr="0044188E">
          <w:rPr>
            <w:noProof/>
            <w:webHidden/>
          </w:rPr>
          <w:fldChar w:fldCharType="end"/>
        </w:r>
      </w:hyperlink>
    </w:p>
    <w:p w14:paraId="02A46E4D"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09" w:history="1">
        <w:r w:rsidR="00166CB3" w:rsidRPr="0044188E">
          <w:rPr>
            <w:rStyle w:val="Hyperlink"/>
            <w:rFonts w:eastAsia="Calibri" w:cs="Calibri"/>
            <w:noProof/>
          </w:rPr>
          <w:t xml:space="preserve">Slika </w:t>
        </w:r>
        <w:r w:rsidR="00166CB3" w:rsidRPr="0044188E">
          <w:rPr>
            <w:rStyle w:val="Hyperlink"/>
            <w:rFonts w:eastAsia="Calibri" w:cs="Calibri"/>
            <w:iCs/>
            <w:noProof/>
          </w:rPr>
          <w:t>2.18</w:t>
        </w:r>
        <w:r w:rsidR="00166CB3" w:rsidRPr="0044188E">
          <w:rPr>
            <w:rStyle w:val="Hyperlink"/>
            <w:noProof/>
          </w:rPr>
          <w:t>.</w:t>
        </w:r>
        <w:r w:rsidR="00166CB3" w:rsidRPr="0044188E">
          <w:rPr>
            <w:rStyle w:val="Hyperlink"/>
            <w:rFonts w:eastAsia="Calibri" w:cs="Calibri"/>
            <w:noProof/>
          </w:rPr>
          <w:t xml:space="preserve">  Srednji godišnji ciklus SST za odabrane stanice duž crnogorske obale</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_Toc83636909 \h </w:instrText>
        </w:r>
        <w:r w:rsidR="00166CB3" w:rsidRPr="0044188E">
          <w:rPr>
            <w:noProof/>
            <w:webHidden/>
          </w:rPr>
        </w:r>
        <w:r w:rsidR="00166CB3" w:rsidRPr="0044188E">
          <w:rPr>
            <w:noProof/>
            <w:webHidden/>
          </w:rPr>
          <w:fldChar w:fldCharType="separate"/>
        </w:r>
        <w:r w:rsidR="000D1E20">
          <w:rPr>
            <w:noProof/>
            <w:webHidden/>
          </w:rPr>
          <w:t>72</w:t>
        </w:r>
        <w:r w:rsidR="00166CB3" w:rsidRPr="0044188E">
          <w:rPr>
            <w:noProof/>
            <w:webHidden/>
          </w:rPr>
          <w:fldChar w:fldCharType="end"/>
        </w:r>
      </w:hyperlink>
    </w:p>
    <w:p w14:paraId="7928371E"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10" w:history="1">
        <w:r w:rsidR="00166CB3" w:rsidRPr="0044188E">
          <w:rPr>
            <w:rStyle w:val="Hyperlink"/>
            <w:rFonts w:eastAsia="Calibri" w:cs="Calibri"/>
            <w:noProof/>
          </w:rPr>
          <w:t xml:space="preserve">Slika </w:t>
        </w:r>
        <w:r w:rsidR="00166CB3" w:rsidRPr="0044188E">
          <w:rPr>
            <w:rStyle w:val="Hyperlink"/>
            <w:rFonts w:eastAsia="Calibri" w:cs="Calibri"/>
            <w:iCs/>
            <w:noProof/>
          </w:rPr>
          <w:t>2.19</w:t>
        </w:r>
        <w:r w:rsidR="00166CB3" w:rsidRPr="0044188E">
          <w:rPr>
            <w:rStyle w:val="Hyperlink"/>
            <w:noProof/>
          </w:rPr>
          <w:t>.</w:t>
        </w:r>
        <w:r w:rsidR="00166CB3" w:rsidRPr="0044188E">
          <w:rPr>
            <w:rStyle w:val="Hyperlink"/>
            <w:rFonts w:eastAsia="Calibri" w:cs="Calibri"/>
            <w:noProof/>
          </w:rPr>
          <w:t xml:space="preserve">  Dugoročni trend SST za odabrane stanice duž crnogorske obale</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_Toc83636910 \h </w:instrText>
        </w:r>
        <w:r w:rsidR="00166CB3" w:rsidRPr="0044188E">
          <w:rPr>
            <w:noProof/>
            <w:webHidden/>
          </w:rPr>
        </w:r>
        <w:r w:rsidR="00166CB3" w:rsidRPr="0044188E">
          <w:rPr>
            <w:noProof/>
            <w:webHidden/>
          </w:rPr>
          <w:fldChar w:fldCharType="separate"/>
        </w:r>
        <w:r w:rsidR="000D1E20">
          <w:rPr>
            <w:noProof/>
            <w:webHidden/>
          </w:rPr>
          <w:t>72</w:t>
        </w:r>
        <w:r w:rsidR="00166CB3" w:rsidRPr="0044188E">
          <w:rPr>
            <w:noProof/>
            <w:webHidden/>
          </w:rPr>
          <w:fldChar w:fldCharType="end"/>
        </w:r>
      </w:hyperlink>
    </w:p>
    <w:p w14:paraId="16D76E1E"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11" w:history="1">
        <w:r w:rsidR="00166CB3" w:rsidRPr="0044188E">
          <w:rPr>
            <w:rStyle w:val="Hyperlink"/>
            <w:rFonts w:eastAsia="Calibri" w:cs="Calibri"/>
            <w:noProof/>
          </w:rPr>
          <w:t xml:space="preserve">Slika </w:t>
        </w:r>
        <w:r w:rsidR="00166CB3" w:rsidRPr="0044188E">
          <w:rPr>
            <w:rStyle w:val="Hyperlink"/>
            <w:rFonts w:eastAsia="Calibri" w:cs="Calibri"/>
            <w:iCs/>
            <w:noProof/>
          </w:rPr>
          <w:t>2.20</w:t>
        </w:r>
        <w:r w:rsidR="00166CB3" w:rsidRPr="0044188E">
          <w:rPr>
            <w:rStyle w:val="Hyperlink"/>
            <w:noProof/>
          </w:rPr>
          <w:t>.</w:t>
        </w:r>
        <w:r w:rsidR="00166CB3" w:rsidRPr="0044188E">
          <w:rPr>
            <w:rStyle w:val="Hyperlink"/>
            <w:rFonts w:eastAsia="Calibri" w:cs="Calibri"/>
            <w:noProof/>
          </w:rPr>
          <w:t xml:space="preserve"> Ukupno zagađenje/stepen ugroženosti mora (maksimalna vrijednost).</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_Toc83636911 \h </w:instrText>
        </w:r>
        <w:r w:rsidR="00166CB3" w:rsidRPr="0044188E">
          <w:rPr>
            <w:noProof/>
            <w:webHidden/>
          </w:rPr>
        </w:r>
        <w:r w:rsidR="00166CB3" w:rsidRPr="0044188E">
          <w:rPr>
            <w:noProof/>
            <w:webHidden/>
          </w:rPr>
          <w:fldChar w:fldCharType="separate"/>
        </w:r>
        <w:r w:rsidR="000D1E20">
          <w:rPr>
            <w:noProof/>
            <w:webHidden/>
          </w:rPr>
          <w:t>79</w:t>
        </w:r>
        <w:r w:rsidR="00166CB3" w:rsidRPr="0044188E">
          <w:rPr>
            <w:noProof/>
            <w:webHidden/>
          </w:rPr>
          <w:fldChar w:fldCharType="end"/>
        </w:r>
      </w:hyperlink>
    </w:p>
    <w:p w14:paraId="61A834CF"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12" w:history="1">
        <w:r w:rsidR="00166CB3" w:rsidRPr="0044188E">
          <w:rPr>
            <w:rStyle w:val="Hyperlink"/>
            <w:iCs/>
            <w:noProof/>
          </w:rPr>
          <w:t>Slika</w:t>
        </w:r>
        <w:r w:rsidR="00166CB3" w:rsidRPr="0044188E">
          <w:rPr>
            <w:rStyle w:val="Hyperlink"/>
            <w:rFonts w:cs="Calibri"/>
            <w:bCs/>
            <w:noProof/>
          </w:rPr>
          <w:t xml:space="preserve"> </w:t>
        </w:r>
        <w:r w:rsidR="00166CB3" w:rsidRPr="0044188E">
          <w:rPr>
            <w:rStyle w:val="Hyperlink"/>
            <w:rFonts w:cs="Calibri"/>
            <w:iCs/>
            <w:noProof/>
          </w:rPr>
          <w:t>2.21</w:t>
        </w:r>
        <w:r w:rsidR="00166CB3" w:rsidRPr="0044188E">
          <w:rPr>
            <w:rStyle w:val="Hyperlink"/>
            <w:noProof/>
          </w:rPr>
          <w:t>.</w:t>
        </w:r>
        <w:r w:rsidR="00166CB3" w:rsidRPr="0044188E">
          <w:rPr>
            <w:rStyle w:val="Hyperlink"/>
            <w:rFonts w:cs="Calibri"/>
            <w:noProof/>
          </w:rPr>
          <w:t xml:space="preserve">  </w:t>
        </w:r>
        <w:r w:rsidR="00166CB3" w:rsidRPr="0044188E">
          <w:rPr>
            <w:rStyle w:val="Hyperlink"/>
            <w:iCs/>
            <w:noProof/>
          </w:rPr>
          <w:t>Predložene tranzicione tačke za PAH i PCB u sedimentu i bioti i metale u sedimentu</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_Toc83636912 \h </w:instrText>
        </w:r>
        <w:r w:rsidR="00166CB3" w:rsidRPr="0044188E">
          <w:rPr>
            <w:noProof/>
            <w:webHidden/>
          </w:rPr>
        </w:r>
        <w:r w:rsidR="00166CB3" w:rsidRPr="0044188E">
          <w:rPr>
            <w:noProof/>
            <w:webHidden/>
          </w:rPr>
          <w:fldChar w:fldCharType="separate"/>
        </w:r>
        <w:r w:rsidR="000D1E20">
          <w:rPr>
            <w:noProof/>
            <w:webHidden/>
          </w:rPr>
          <w:t>84</w:t>
        </w:r>
        <w:r w:rsidR="00166CB3" w:rsidRPr="0044188E">
          <w:rPr>
            <w:noProof/>
            <w:webHidden/>
          </w:rPr>
          <w:fldChar w:fldCharType="end"/>
        </w:r>
      </w:hyperlink>
    </w:p>
    <w:p w14:paraId="0CFEE715"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13" w:history="1">
        <w:r w:rsidR="00166CB3" w:rsidRPr="0044188E">
          <w:rPr>
            <w:rStyle w:val="Hyperlink"/>
            <w:iCs/>
            <w:noProof/>
          </w:rPr>
          <w:t>Slika</w:t>
        </w:r>
        <w:r w:rsidR="00166CB3" w:rsidRPr="0044188E">
          <w:rPr>
            <w:rStyle w:val="Hyperlink"/>
            <w:rFonts w:cs="Calibri"/>
            <w:bCs/>
            <w:noProof/>
          </w:rPr>
          <w:t xml:space="preserve"> </w:t>
        </w:r>
        <w:r w:rsidR="00166CB3" w:rsidRPr="0044188E">
          <w:rPr>
            <w:rStyle w:val="Hyperlink"/>
            <w:rFonts w:cs="Calibri"/>
            <w:iCs/>
            <w:noProof/>
          </w:rPr>
          <w:t>2.22</w:t>
        </w:r>
        <w:r w:rsidR="00166CB3" w:rsidRPr="0044188E">
          <w:rPr>
            <w:rStyle w:val="Hyperlink"/>
            <w:noProof/>
          </w:rPr>
          <w:t>.</w:t>
        </w:r>
        <w:r w:rsidR="00166CB3" w:rsidRPr="0044188E">
          <w:rPr>
            <w:rStyle w:val="Hyperlink"/>
            <w:rFonts w:cs="Calibri"/>
            <w:noProof/>
          </w:rPr>
          <w:t xml:space="preserve">  </w:t>
        </w:r>
        <w:r w:rsidR="00166CB3" w:rsidRPr="0044188E">
          <w:rPr>
            <w:rStyle w:val="Hyperlink"/>
            <w:iCs/>
            <w:noProof/>
          </w:rPr>
          <w:t>Predložene tranzicione tačke za metale u bioti</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_Toc83636913 \h </w:instrText>
        </w:r>
        <w:r w:rsidR="00166CB3" w:rsidRPr="0044188E">
          <w:rPr>
            <w:noProof/>
            <w:webHidden/>
          </w:rPr>
        </w:r>
        <w:r w:rsidR="00166CB3" w:rsidRPr="0044188E">
          <w:rPr>
            <w:noProof/>
            <w:webHidden/>
          </w:rPr>
          <w:fldChar w:fldCharType="separate"/>
        </w:r>
        <w:r w:rsidR="000D1E20">
          <w:rPr>
            <w:noProof/>
            <w:webHidden/>
          </w:rPr>
          <w:t>84</w:t>
        </w:r>
        <w:r w:rsidR="00166CB3" w:rsidRPr="0044188E">
          <w:rPr>
            <w:noProof/>
            <w:webHidden/>
          </w:rPr>
          <w:fldChar w:fldCharType="end"/>
        </w:r>
      </w:hyperlink>
    </w:p>
    <w:p w14:paraId="29F3CA1A"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14" w:history="1">
        <w:r w:rsidR="00166CB3" w:rsidRPr="0044188E">
          <w:rPr>
            <w:rStyle w:val="Hyperlink"/>
            <w:rFonts w:eastAsia="Calibri" w:cs="Calibri"/>
            <w:noProof/>
          </w:rPr>
          <w:t xml:space="preserve">Slika </w:t>
        </w:r>
        <w:r w:rsidR="00166CB3" w:rsidRPr="0044188E">
          <w:rPr>
            <w:rStyle w:val="Hyperlink"/>
            <w:rFonts w:cs="Calibri"/>
            <w:iCs/>
            <w:noProof/>
          </w:rPr>
          <w:t>2.23</w:t>
        </w:r>
        <w:r w:rsidR="00166CB3" w:rsidRPr="0044188E">
          <w:rPr>
            <w:rStyle w:val="Hyperlink"/>
            <w:noProof/>
          </w:rPr>
          <w:t>.</w:t>
        </w:r>
        <w:r w:rsidR="00166CB3" w:rsidRPr="0044188E">
          <w:rPr>
            <w:rStyle w:val="Hyperlink"/>
            <w:rFonts w:cs="Calibri"/>
            <w:noProof/>
          </w:rPr>
          <w:t xml:space="preserve"> </w:t>
        </w:r>
        <w:r w:rsidR="00166CB3" w:rsidRPr="0044188E">
          <w:rPr>
            <w:rStyle w:val="Hyperlink"/>
            <w:rFonts w:eastAsia="Calibri" w:cs="Calibri"/>
            <w:noProof/>
          </w:rPr>
          <w:t>Mapa lokacija uzorkovanja sedimenta za ispitivanje kontaminanata</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_Toc83636914 \h </w:instrText>
        </w:r>
        <w:r w:rsidR="00166CB3" w:rsidRPr="0044188E">
          <w:rPr>
            <w:noProof/>
            <w:webHidden/>
          </w:rPr>
        </w:r>
        <w:r w:rsidR="00166CB3" w:rsidRPr="0044188E">
          <w:rPr>
            <w:noProof/>
            <w:webHidden/>
          </w:rPr>
          <w:fldChar w:fldCharType="separate"/>
        </w:r>
        <w:r w:rsidR="000D1E20">
          <w:rPr>
            <w:noProof/>
            <w:webHidden/>
          </w:rPr>
          <w:t>86</w:t>
        </w:r>
        <w:r w:rsidR="00166CB3" w:rsidRPr="0044188E">
          <w:rPr>
            <w:noProof/>
            <w:webHidden/>
          </w:rPr>
          <w:fldChar w:fldCharType="end"/>
        </w:r>
      </w:hyperlink>
    </w:p>
    <w:p w14:paraId="089D0723"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15" w:history="1">
        <w:r w:rsidR="00166CB3" w:rsidRPr="0044188E">
          <w:rPr>
            <w:rStyle w:val="Hyperlink"/>
            <w:noProof/>
          </w:rPr>
          <w:t xml:space="preserve">Slika </w:t>
        </w:r>
        <w:r w:rsidR="00166CB3" w:rsidRPr="0044188E">
          <w:rPr>
            <w:rStyle w:val="Hyperlink"/>
            <w:rFonts w:eastAsia="Calibri" w:cs="Calibri"/>
            <w:iCs/>
            <w:noProof/>
          </w:rPr>
          <w:t>2.24</w:t>
        </w:r>
        <w:r w:rsidR="00166CB3" w:rsidRPr="0044188E">
          <w:rPr>
            <w:rStyle w:val="Hyperlink"/>
            <w:noProof/>
          </w:rPr>
          <w:t>.</w:t>
        </w:r>
        <w:r w:rsidR="00166CB3" w:rsidRPr="0044188E">
          <w:rPr>
            <w:rStyle w:val="Hyperlink"/>
            <w:rFonts w:eastAsia="Calibri" w:cs="Calibri"/>
            <w:noProof/>
          </w:rPr>
          <w:t xml:space="preserve">  Mapa lokacija uzorkovanja školjki duž crnogorske obale</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_Toc83636915 \h </w:instrText>
        </w:r>
        <w:r w:rsidR="00166CB3" w:rsidRPr="0044188E">
          <w:rPr>
            <w:noProof/>
            <w:webHidden/>
          </w:rPr>
        </w:r>
        <w:r w:rsidR="00166CB3" w:rsidRPr="0044188E">
          <w:rPr>
            <w:noProof/>
            <w:webHidden/>
          </w:rPr>
          <w:fldChar w:fldCharType="separate"/>
        </w:r>
        <w:r w:rsidR="000D1E20">
          <w:rPr>
            <w:noProof/>
            <w:webHidden/>
          </w:rPr>
          <w:t>86</w:t>
        </w:r>
        <w:r w:rsidR="00166CB3" w:rsidRPr="0044188E">
          <w:rPr>
            <w:noProof/>
            <w:webHidden/>
          </w:rPr>
          <w:fldChar w:fldCharType="end"/>
        </w:r>
      </w:hyperlink>
    </w:p>
    <w:p w14:paraId="0B278C54"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16" w:history="1">
        <w:r w:rsidR="00166CB3" w:rsidRPr="0044188E">
          <w:rPr>
            <w:rStyle w:val="Hyperlink"/>
            <w:rFonts w:eastAsia="Calibri" w:cs="Calibri"/>
            <w:noProof/>
          </w:rPr>
          <w:t xml:space="preserve">Slika </w:t>
        </w:r>
        <w:r w:rsidR="00166CB3" w:rsidRPr="0044188E">
          <w:rPr>
            <w:rStyle w:val="Hyperlink"/>
            <w:rFonts w:eastAsia="Calibri" w:cs="Calibri"/>
            <w:iCs/>
            <w:noProof/>
          </w:rPr>
          <w:t>2.25</w:t>
        </w:r>
        <w:r w:rsidR="00166CB3" w:rsidRPr="0044188E">
          <w:rPr>
            <w:rStyle w:val="Hyperlink"/>
            <w:noProof/>
          </w:rPr>
          <w:t>.</w:t>
        </w:r>
        <w:r w:rsidR="00166CB3" w:rsidRPr="0044188E">
          <w:rPr>
            <w:rStyle w:val="Hyperlink"/>
            <w:rFonts w:eastAsia="Calibri" w:cs="Calibri"/>
            <w:noProof/>
          </w:rPr>
          <w:t xml:space="preserve"> Procenat nivoa pojedinačnih i ukupnih metala i PAH u sedimentu tokom perioda ispitivanja</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_Toc83636916 \h </w:instrText>
        </w:r>
        <w:r w:rsidR="00166CB3" w:rsidRPr="0044188E">
          <w:rPr>
            <w:noProof/>
            <w:webHidden/>
          </w:rPr>
        </w:r>
        <w:r w:rsidR="00166CB3" w:rsidRPr="0044188E">
          <w:rPr>
            <w:noProof/>
            <w:webHidden/>
          </w:rPr>
          <w:fldChar w:fldCharType="separate"/>
        </w:r>
        <w:r w:rsidR="000D1E20">
          <w:rPr>
            <w:noProof/>
            <w:webHidden/>
          </w:rPr>
          <w:t>93</w:t>
        </w:r>
        <w:r w:rsidR="00166CB3" w:rsidRPr="0044188E">
          <w:rPr>
            <w:noProof/>
            <w:webHidden/>
          </w:rPr>
          <w:fldChar w:fldCharType="end"/>
        </w:r>
      </w:hyperlink>
    </w:p>
    <w:p w14:paraId="073F385A"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17" w:history="1">
        <w:r w:rsidR="00166CB3" w:rsidRPr="0044188E">
          <w:rPr>
            <w:rStyle w:val="Hyperlink"/>
            <w:rFonts w:eastAsia="Calibri" w:cs="Calibri"/>
            <w:noProof/>
          </w:rPr>
          <w:t xml:space="preserve">Slika </w:t>
        </w:r>
        <w:r w:rsidR="00166CB3" w:rsidRPr="0044188E">
          <w:rPr>
            <w:rStyle w:val="Hyperlink"/>
            <w:rFonts w:eastAsia="Calibri" w:cs="Calibri"/>
            <w:iCs/>
            <w:noProof/>
          </w:rPr>
          <w:t>2.26</w:t>
        </w:r>
        <w:r w:rsidR="00166CB3" w:rsidRPr="0044188E">
          <w:rPr>
            <w:rStyle w:val="Hyperlink"/>
            <w:noProof/>
          </w:rPr>
          <w:t>.</w:t>
        </w:r>
        <w:r w:rsidR="00166CB3" w:rsidRPr="0044188E">
          <w:rPr>
            <w:rStyle w:val="Hyperlink"/>
            <w:rFonts w:eastAsia="Calibri" w:cs="Calibri"/>
            <w:noProof/>
          </w:rPr>
          <w:t xml:space="preserve"> Procentni nivoi pojedinačnih i ukupnih PCB i OCl u sedimentu tokom perioda ispitivanja</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_Toc83636917 \h </w:instrText>
        </w:r>
        <w:r w:rsidR="00166CB3" w:rsidRPr="0044188E">
          <w:rPr>
            <w:noProof/>
            <w:webHidden/>
          </w:rPr>
        </w:r>
        <w:r w:rsidR="00166CB3" w:rsidRPr="0044188E">
          <w:rPr>
            <w:noProof/>
            <w:webHidden/>
          </w:rPr>
          <w:fldChar w:fldCharType="separate"/>
        </w:r>
        <w:r w:rsidR="000D1E20">
          <w:rPr>
            <w:noProof/>
            <w:webHidden/>
          </w:rPr>
          <w:t>94</w:t>
        </w:r>
        <w:r w:rsidR="00166CB3" w:rsidRPr="0044188E">
          <w:rPr>
            <w:noProof/>
            <w:webHidden/>
          </w:rPr>
          <w:fldChar w:fldCharType="end"/>
        </w:r>
      </w:hyperlink>
    </w:p>
    <w:p w14:paraId="1F619343"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18" w:history="1">
        <w:r w:rsidR="00166CB3" w:rsidRPr="0044188E">
          <w:rPr>
            <w:rStyle w:val="Hyperlink"/>
            <w:rFonts w:eastAsia="Calibri"/>
            <w:iCs/>
            <w:noProof/>
          </w:rPr>
          <w:t xml:space="preserve">Slika </w:t>
        </w:r>
        <w:r w:rsidR="00166CB3" w:rsidRPr="0044188E">
          <w:rPr>
            <w:rStyle w:val="Hyperlink"/>
            <w:rFonts w:eastAsia="Calibri" w:cs="Calibri"/>
            <w:iCs/>
            <w:noProof/>
          </w:rPr>
          <w:t>2.27</w:t>
        </w:r>
        <w:r w:rsidR="00166CB3" w:rsidRPr="0044188E">
          <w:rPr>
            <w:rStyle w:val="Hyperlink"/>
            <w:noProof/>
          </w:rPr>
          <w:t>.</w:t>
        </w:r>
        <w:r w:rsidR="00166CB3" w:rsidRPr="0044188E">
          <w:rPr>
            <w:rStyle w:val="Hyperlink"/>
            <w:rFonts w:eastAsia="Calibri" w:cs="Calibri"/>
            <w:noProof/>
          </w:rPr>
          <w:t xml:space="preserve">  </w:t>
        </w:r>
        <w:r w:rsidR="00166CB3" w:rsidRPr="0044188E">
          <w:rPr>
            <w:rStyle w:val="Hyperlink"/>
            <w:rFonts w:eastAsia="Calibri"/>
            <w:iCs/>
            <w:noProof/>
          </w:rPr>
          <w:t>Procentni nivoi pojedinačnih i ukupnih metala i PAH-ova u bioti tokom cijelog perioda istraživanja morske sredine Crne Gore</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_Toc83636918 \h </w:instrText>
        </w:r>
        <w:r w:rsidR="00166CB3" w:rsidRPr="0044188E">
          <w:rPr>
            <w:noProof/>
            <w:webHidden/>
          </w:rPr>
        </w:r>
        <w:r w:rsidR="00166CB3" w:rsidRPr="0044188E">
          <w:rPr>
            <w:noProof/>
            <w:webHidden/>
          </w:rPr>
          <w:fldChar w:fldCharType="separate"/>
        </w:r>
        <w:r w:rsidR="000D1E20">
          <w:rPr>
            <w:noProof/>
            <w:webHidden/>
          </w:rPr>
          <w:t>95</w:t>
        </w:r>
        <w:r w:rsidR="00166CB3" w:rsidRPr="0044188E">
          <w:rPr>
            <w:noProof/>
            <w:webHidden/>
          </w:rPr>
          <w:fldChar w:fldCharType="end"/>
        </w:r>
      </w:hyperlink>
    </w:p>
    <w:p w14:paraId="7D5B3E83"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19" w:history="1">
        <w:r w:rsidR="00166CB3" w:rsidRPr="0044188E">
          <w:rPr>
            <w:rStyle w:val="Hyperlink"/>
            <w:rFonts w:eastAsia="Calibri"/>
            <w:iCs/>
            <w:noProof/>
          </w:rPr>
          <w:t xml:space="preserve">Slika </w:t>
        </w:r>
        <w:r w:rsidR="00166CB3" w:rsidRPr="0044188E">
          <w:rPr>
            <w:rStyle w:val="Hyperlink"/>
            <w:rFonts w:eastAsia="Calibri" w:cs="Calibri"/>
            <w:iCs/>
            <w:noProof/>
          </w:rPr>
          <w:t>2.28</w:t>
        </w:r>
        <w:r w:rsidR="00166CB3" w:rsidRPr="0044188E">
          <w:rPr>
            <w:rStyle w:val="Hyperlink"/>
            <w:noProof/>
          </w:rPr>
          <w:t>.</w:t>
        </w:r>
        <w:r w:rsidR="00166CB3" w:rsidRPr="0044188E">
          <w:rPr>
            <w:rStyle w:val="Hyperlink"/>
            <w:rFonts w:eastAsia="Calibri" w:cs="Calibri"/>
            <w:noProof/>
          </w:rPr>
          <w:t xml:space="preserve">  </w:t>
        </w:r>
        <w:r w:rsidR="00166CB3" w:rsidRPr="0044188E">
          <w:rPr>
            <w:rStyle w:val="Hyperlink"/>
            <w:rFonts w:eastAsia="Calibri"/>
            <w:iCs/>
            <w:noProof/>
          </w:rPr>
          <w:t>Procentni nivoi sadržaja pojedinačnih i ukupnih PCB-a, TBT i OCL u bioti tokom perioda istraživanja morske sredine Crne Gore</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_Toc83636919 \h </w:instrText>
        </w:r>
        <w:r w:rsidR="00166CB3" w:rsidRPr="0044188E">
          <w:rPr>
            <w:noProof/>
            <w:webHidden/>
          </w:rPr>
        </w:r>
        <w:r w:rsidR="00166CB3" w:rsidRPr="0044188E">
          <w:rPr>
            <w:noProof/>
            <w:webHidden/>
          </w:rPr>
          <w:fldChar w:fldCharType="separate"/>
        </w:r>
        <w:r w:rsidR="000D1E20">
          <w:rPr>
            <w:noProof/>
            <w:webHidden/>
          </w:rPr>
          <w:t>96</w:t>
        </w:r>
        <w:r w:rsidR="00166CB3" w:rsidRPr="0044188E">
          <w:rPr>
            <w:noProof/>
            <w:webHidden/>
          </w:rPr>
          <w:fldChar w:fldCharType="end"/>
        </w:r>
      </w:hyperlink>
    </w:p>
    <w:p w14:paraId="307A2B3D"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20" w:history="1">
        <w:r w:rsidR="00166CB3" w:rsidRPr="0044188E">
          <w:rPr>
            <w:rStyle w:val="Hyperlink"/>
            <w:rFonts w:eastAsia="Calibri"/>
            <w:iCs/>
            <w:noProof/>
          </w:rPr>
          <w:t xml:space="preserve">Slika </w:t>
        </w:r>
        <w:r w:rsidR="00166CB3" w:rsidRPr="0044188E">
          <w:rPr>
            <w:rStyle w:val="Hyperlink"/>
            <w:rFonts w:eastAsia="Calibri" w:cs="Calibri"/>
            <w:iCs/>
            <w:noProof/>
          </w:rPr>
          <w:t>2.29</w:t>
        </w:r>
        <w:r w:rsidR="00166CB3" w:rsidRPr="0044188E">
          <w:rPr>
            <w:rStyle w:val="Hyperlink"/>
            <w:noProof/>
          </w:rPr>
          <w:t>.</w:t>
        </w:r>
        <w:r w:rsidR="00166CB3" w:rsidRPr="0044188E">
          <w:rPr>
            <w:rStyle w:val="Hyperlink"/>
            <w:rFonts w:eastAsia="Calibri" w:cs="Calibri"/>
            <w:noProof/>
          </w:rPr>
          <w:t xml:space="preserve">  Mapa lokacija uzorkovanja školjki na proizvodnim područjima za uzgoj školjki</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_Toc83636920 \h </w:instrText>
        </w:r>
        <w:r w:rsidR="00166CB3" w:rsidRPr="0044188E">
          <w:rPr>
            <w:noProof/>
            <w:webHidden/>
          </w:rPr>
        </w:r>
        <w:r w:rsidR="00166CB3" w:rsidRPr="0044188E">
          <w:rPr>
            <w:noProof/>
            <w:webHidden/>
          </w:rPr>
          <w:fldChar w:fldCharType="separate"/>
        </w:r>
        <w:r w:rsidR="000D1E20">
          <w:rPr>
            <w:noProof/>
            <w:webHidden/>
          </w:rPr>
          <w:t>102</w:t>
        </w:r>
        <w:r w:rsidR="00166CB3" w:rsidRPr="0044188E">
          <w:rPr>
            <w:noProof/>
            <w:webHidden/>
          </w:rPr>
          <w:fldChar w:fldCharType="end"/>
        </w:r>
      </w:hyperlink>
    </w:p>
    <w:p w14:paraId="59D9A28B"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21" w:history="1">
        <w:r w:rsidR="00166CB3" w:rsidRPr="0044188E">
          <w:rPr>
            <w:rStyle w:val="Hyperlink"/>
            <w:noProof/>
          </w:rPr>
          <w:t xml:space="preserve">Slika </w:t>
        </w:r>
        <w:r w:rsidR="00166CB3" w:rsidRPr="0044188E">
          <w:rPr>
            <w:rStyle w:val="Hyperlink"/>
            <w:rFonts w:cs="Calibri"/>
            <w:iCs/>
            <w:noProof/>
          </w:rPr>
          <w:t>2.30</w:t>
        </w:r>
        <w:r w:rsidR="00166CB3" w:rsidRPr="0044188E">
          <w:rPr>
            <w:rStyle w:val="Hyperlink"/>
            <w:noProof/>
          </w:rPr>
          <w:t>.</w:t>
        </w:r>
        <w:r w:rsidR="00166CB3" w:rsidRPr="0044188E">
          <w:rPr>
            <w:rStyle w:val="Hyperlink"/>
            <w:rFonts w:cs="Calibri"/>
            <w:noProof/>
          </w:rPr>
          <w:t xml:space="preserve">  </w:t>
        </w:r>
        <w:r w:rsidR="00166CB3" w:rsidRPr="0044188E">
          <w:rPr>
            <w:rStyle w:val="Hyperlink"/>
            <w:noProof/>
          </w:rPr>
          <w:t>Masena koncentracija Pb u školjkama po lokacijama uzorkovanja u odnosu na odgovarajući ML</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_Toc83636921 \h </w:instrText>
        </w:r>
        <w:r w:rsidR="00166CB3" w:rsidRPr="0044188E">
          <w:rPr>
            <w:noProof/>
            <w:webHidden/>
          </w:rPr>
        </w:r>
        <w:r w:rsidR="00166CB3" w:rsidRPr="0044188E">
          <w:rPr>
            <w:noProof/>
            <w:webHidden/>
          </w:rPr>
          <w:fldChar w:fldCharType="separate"/>
        </w:r>
        <w:r w:rsidR="000D1E20">
          <w:rPr>
            <w:noProof/>
            <w:webHidden/>
          </w:rPr>
          <w:t>102</w:t>
        </w:r>
        <w:r w:rsidR="00166CB3" w:rsidRPr="0044188E">
          <w:rPr>
            <w:noProof/>
            <w:webHidden/>
          </w:rPr>
          <w:fldChar w:fldCharType="end"/>
        </w:r>
      </w:hyperlink>
    </w:p>
    <w:p w14:paraId="0D3D911B"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22" w:history="1">
        <w:r w:rsidR="00166CB3" w:rsidRPr="0044188E">
          <w:rPr>
            <w:rStyle w:val="Hyperlink"/>
            <w:iCs/>
            <w:noProof/>
          </w:rPr>
          <w:t xml:space="preserve">Slika </w:t>
        </w:r>
        <w:r w:rsidR="00166CB3" w:rsidRPr="0044188E">
          <w:rPr>
            <w:rStyle w:val="Hyperlink"/>
            <w:rFonts w:cs="Calibri"/>
            <w:iCs/>
            <w:noProof/>
          </w:rPr>
          <w:t>2.31</w:t>
        </w:r>
        <w:r w:rsidR="00166CB3" w:rsidRPr="0044188E">
          <w:rPr>
            <w:rStyle w:val="Hyperlink"/>
            <w:noProof/>
          </w:rPr>
          <w:t>.</w:t>
        </w:r>
        <w:r w:rsidR="00166CB3" w:rsidRPr="0044188E">
          <w:rPr>
            <w:rStyle w:val="Hyperlink"/>
            <w:rFonts w:cs="Calibri"/>
            <w:noProof/>
          </w:rPr>
          <w:t xml:space="preserve">  </w:t>
        </w:r>
        <w:r w:rsidR="00166CB3" w:rsidRPr="0044188E">
          <w:rPr>
            <w:rStyle w:val="Hyperlink"/>
            <w:noProof/>
          </w:rPr>
          <w:t>Masena koncentracija Cd u školjkama po lokacijama uzorkovanja u odnosu na odgovarajući ML</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_Toc83636922 \h </w:instrText>
        </w:r>
        <w:r w:rsidR="00166CB3" w:rsidRPr="0044188E">
          <w:rPr>
            <w:noProof/>
            <w:webHidden/>
          </w:rPr>
        </w:r>
        <w:r w:rsidR="00166CB3" w:rsidRPr="0044188E">
          <w:rPr>
            <w:noProof/>
            <w:webHidden/>
          </w:rPr>
          <w:fldChar w:fldCharType="separate"/>
        </w:r>
        <w:r w:rsidR="000D1E20">
          <w:rPr>
            <w:noProof/>
            <w:webHidden/>
          </w:rPr>
          <w:t>102</w:t>
        </w:r>
        <w:r w:rsidR="00166CB3" w:rsidRPr="0044188E">
          <w:rPr>
            <w:noProof/>
            <w:webHidden/>
          </w:rPr>
          <w:fldChar w:fldCharType="end"/>
        </w:r>
      </w:hyperlink>
    </w:p>
    <w:p w14:paraId="0DF46DC9"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23" w:history="1">
        <w:r w:rsidR="00166CB3" w:rsidRPr="0044188E">
          <w:rPr>
            <w:rStyle w:val="Hyperlink"/>
            <w:iCs/>
            <w:noProof/>
          </w:rPr>
          <w:t xml:space="preserve">Slika </w:t>
        </w:r>
        <w:r w:rsidR="00166CB3" w:rsidRPr="0044188E">
          <w:rPr>
            <w:rStyle w:val="Hyperlink"/>
            <w:rFonts w:cs="Calibri"/>
            <w:iCs/>
            <w:noProof/>
          </w:rPr>
          <w:t>2.32</w:t>
        </w:r>
        <w:r w:rsidR="00166CB3" w:rsidRPr="0044188E">
          <w:rPr>
            <w:rStyle w:val="Hyperlink"/>
            <w:noProof/>
          </w:rPr>
          <w:t>.</w:t>
        </w:r>
        <w:r w:rsidR="00166CB3" w:rsidRPr="0044188E">
          <w:rPr>
            <w:rStyle w:val="Hyperlink"/>
            <w:rFonts w:cs="Calibri"/>
            <w:noProof/>
          </w:rPr>
          <w:t xml:space="preserve">  </w:t>
        </w:r>
        <w:r w:rsidR="00166CB3" w:rsidRPr="0044188E">
          <w:rPr>
            <w:rStyle w:val="Hyperlink"/>
            <w:noProof/>
          </w:rPr>
          <w:t>Masena koncentracija Hg u školjkama po lokacijama uzorkovanja u odnosu ML</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_Toc83636923 \h </w:instrText>
        </w:r>
        <w:r w:rsidR="00166CB3" w:rsidRPr="0044188E">
          <w:rPr>
            <w:noProof/>
            <w:webHidden/>
          </w:rPr>
        </w:r>
        <w:r w:rsidR="00166CB3" w:rsidRPr="0044188E">
          <w:rPr>
            <w:noProof/>
            <w:webHidden/>
          </w:rPr>
          <w:fldChar w:fldCharType="separate"/>
        </w:r>
        <w:r w:rsidR="000D1E20">
          <w:rPr>
            <w:noProof/>
            <w:webHidden/>
          </w:rPr>
          <w:t>103</w:t>
        </w:r>
        <w:r w:rsidR="00166CB3" w:rsidRPr="0044188E">
          <w:rPr>
            <w:noProof/>
            <w:webHidden/>
          </w:rPr>
          <w:fldChar w:fldCharType="end"/>
        </w:r>
      </w:hyperlink>
    </w:p>
    <w:p w14:paraId="75247B9A"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24" w:history="1">
        <w:r w:rsidR="00166CB3" w:rsidRPr="0044188E">
          <w:rPr>
            <w:rStyle w:val="Hyperlink"/>
            <w:iCs/>
            <w:noProof/>
          </w:rPr>
          <w:t xml:space="preserve">Slika </w:t>
        </w:r>
        <w:r w:rsidR="00166CB3" w:rsidRPr="0044188E">
          <w:rPr>
            <w:rStyle w:val="Hyperlink"/>
            <w:rFonts w:cs="Calibri"/>
            <w:iCs/>
            <w:noProof/>
          </w:rPr>
          <w:t>2.33</w:t>
        </w:r>
        <w:r w:rsidR="00166CB3" w:rsidRPr="0044188E">
          <w:rPr>
            <w:rStyle w:val="Hyperlink"/>
            <w:noProof/>
          </w:rPr>
          <w:t>.</w:t>
        </w:r>
        <w:r w:rsidR="00166CB3" w:rsidRPr="0044188E">
          <w:rPr>
            <w:rStyle w:val="Hyperlink"/>
            <w:rFonts w:cs="Calibri"/>
            <w:noProof/>
          </w:rPr>
          <w:t xml:space="preserve">  </w:t>
        </w:r>
        <w:r w:rsidR="00166CB3" w:rsidRPr="0044188E">
          <w:rPr>
            <w:rStyle w:val="Hyperlink"/>
            <w:noProof/>
          </w:rPr>
          <w:t>Masena koncentracija As u školjkama</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_Toc83636924 \h </w:instrText>
        </w:r>
        <w:r w:rsidR="00166CB3" w:rsidRPr="0044188E">
          <w:rPr>
            <w:noProof/>
            <w:webHidden/>
          </w:rPr>
        </w:r>
        <w:r w:rsidR="00166CB3" w:rsidRPr="0044188E">
          <w:rPr>
            <w:noProof/>
            <w:webHidden/>
          </w:rPr>
          <w:fldChar w:fldCharType="separate"/>
        </w:r>
        <w:r w:rsidR="000D1E20">
          <w:rPr>
            <w:noProof/>
            <w:webHidden/>
          </w:rPr>
          <w:t>103</w:t>
        </w:r>
        <w:r w:rsidR="00166CB3" w:rsidRPr="0044188E">
          <w:rPr>
            <w:noProof/>
            <w:webHidden/>
          </w:rPr>
          <w:fldChar w:fldCharType="end"/>
        </w:r>
      </w:hyperlink>
    </w:p>
    <w:p w14:paraId="13A6BD02"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25" w:history="1">
        <w:r w:rsidR="00166CB3" w:rsidRPr="0044188E">
          <w:rPr>
            <w:rStyle w:val="Hyperlink"/>
            <w:iCs/>
            <w:noProof/>
          </w:rPr>
          <w:t xml:space="preserve">Slika </w:t>
        </w:r>
        <w:r w:rsidR="00166CB3" w:rsidRPr="0044188E">
          <w:rPr>
            <w:rStyle w:val="Hyperlink"/>
            <w:rFonts w:cs="Calibri"/>
            <w:iCs/>
            <w:noProof/>
          </w:rPr>
          <w:t>2.34</w:t>
        </w:r>
        <w:r w:rsidR="00166CB3" w:rsidRPr="0044188E">
          <w:rPr>
            <w:rStyle w:val="Hyperlink"/>
            <w:noProof/>
          </w:rPr>
          <w:t xml:space="preserve">. Masena koncentracija </w:t>
        </w:r>
        <w:r w:rsidR="00166CB3" w:rsidRPr="0044188E">
          <w:rPr>
            <w:rStyle w:val="Hyperlink"/>
            <w:iCs/>
            <w:noProof/>
          </w:rPr>
          <w:t>benzo(a)pirena</w:t>
        </w:r>
        <w:r w:rsidR="00166CB3" w:rsidRPr="0044188E">
          <w:rPr>
            <w:rStyle w:val="Hyperlink"/>
            <w:noProof/>
          </w:rPr>
          <w:t xml:space="preserve"> u školjkama po lokacijama uzorkovanja u odnosu ML</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_Toc83636925 \h </w:instrText>
        </w:r>
        <w:r w:rsidR="00166CB3" w:rsidRPr="0044188E">
          <w:rPr>
            <w:noProof/>
            <w:webHidden/>
          </w:rPr>
        </w:r>
        <w:r w:rsidR="00166CB3" w:rsidRPr="0044188E">
          <w:rPr>
            <w:noProof/>
            <w:webHidden/>
          </w:rPr>
          <w:fldChar w:fldCharType="separate"/>
        </w:r>
        <w:r w:rsidR="000D1E20">
          <w:rPr>
            <w:noProof/>
            <w:webHidden/>
          </w:rPr>
          <w:t>103</w:t>
        </w:r>
        <w:r w:rsidR="00166CB3" w:rsidRPr="0044188E">
          <w:rPr>
            <w:noProof/>
            <w:webHidden/>
          </w:rPr>
          <w:fldChar w:fldCharType="end"/>
        </w:r>
      </w:hyperlink>
    </w:p>
    <w:p w14:paraId="7EADA527"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26" w:history="1">
        <w:r w:rsidR="00166CB3" w:rsidRPr="0044188E">
          <w:rPr>
            <w:rStyle w:val="Hyperlink"/>
            <w:noProof/>
          </w:rPr>
          <w:t xml:space="preserve">Slika </w:t>
        </w:r>
        <w:r w:rsidR="00166CB3" w:rsidRPr="0044188E">
          <w:rPr>
            <w:rStyle w:val="Hyperlink"/>
            <w:rFonts w:cs="Calibri"/>
            <w:iCs/>
            <w:noProof/>
          </w:rPr>
          <w:t>2.35</w:t>
        </w:r>
        <w:r w:rsidR="00166CB3" w:rsidRPr="0044188E">
          <w:rPr>
            <w:rStyle w:val="Hyperlink"/>
            <w:noProof/>
          </w:rPr>
          <w:t>.</w:t>
        </w:r>
        <w:r w:rsidR="00166CB3" w:rsidRPr="0044188E">
          <w:rPr>
            <w:rStyle w:val="Hyperlink"/>
            <w:rFonts w:cs="Calibri"/>
            <w:noProof/>
          </w:rPr>
          <w:t xml:space="preserve">  </w:t>
        </w:r>
        <w:r w:rsidR="00166CB3" w:rsidRPr="0044188E">
          <w:rPr>
            <w:rStyle w:val="Hyperlink"/>
            <w:noProof/>
          </w:rPr>
          <w:t xml:space="preserve">Masena koncentracija </w:t>
        </w:r>
        <w:r w:rsidR="00166CB3" w:rsidRPr="0044188E">
          <w:rPr>
            <w:rStyle w:val="Hyperlink"/>
            <w:iCs/>
            <w:noProof/>
          </w:rPr>
          <w:t>sume 4 PAH-a</w:t>
        </w:r>
        <w:r w:rsidR="00166CB3" w:rsidRPr="0044188E">
          <w:rPr>
            <w:rStyle w:val="Hyperlink"/>
            <w:noProof/>
          </w:rPr>
          <w:t xml:space="preserve"> u školjkama po lokacijama uzorkovanja u odnosu ML</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_Toc83636926 \h </w:instrText>
        </w:r>
        <w:r w:rsidR="00166CB3" w:rsidRPr="0044188E">
          <w:rPr>
            <w:noProof/>
            <w:webHidden/>
          </w:rPr>
        </w:r>
        <w:r w:rsidR="00166CB3" w:rsidRPr="0044188E">
          <w:rPr>
            <w:noProof/>
            <w:webHidden/>
          </w:rPr>
          <w:fldChar w:fldCharType="separate"/>
        </w:r>
        <w:r w:rsidR="000D1E20">
          <w:rPr>
            <w:noProof/>
            <w:webHidden/>
          </w:rPr>
          <w:t>103</w:t>
        </w:r>
        <w:r w:rsidR="00166CB3" w:rsidRPr="0044188E">
          <w:rPr>
            <w:noProof/>
            <w:webHidden/>
          </w:rPr>
          <w:fldChar w:fldCharType="end"/>
        </w:r>
      </w:hyperlink>
    </w:p>
    <w:p w14:paraId="66A5C88B"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27" w:history="1">
        <w:r w:rsidR="00166CB3" w:rsidRPr="0044188E">
          <w:rPr>
            <w:rStyle w:val="Hyperlink"/>
            <w:rFonts w:eastAsia="Calibri"/>
            <w:iCs/>
            <w:noProof/>
          </w:rPr>
          <w:t xml:space="preserve">Slika </w:t>
        </w:r>
        <w:r w:rsidR="00166CB3" w:rsidRPr="0044188E">
          <w:rPr>
            <w:rStyle w:val="Hyperlink"/>
            <w:rFonts w:eastAsia="Calibri" w:cs="Calibri"/>
            <w:iCs/>
            <w:noProof/>
          </w:rPr>
          <w:t>2.36</w:t>
        </w:r>
        <w:r w:rsidR="00166CB3" w:rsidRPr="0044188E">
          <w:rPr>
            <w:rStyle w:val="Hyperlink"/>
            <w:noProof/>
          </w:rPr>
          <w:t>.</w:t>
        </w:r>
        <w:r w:rsidR="00166CB3" w:rsidRPr="0044188E">
          <w:rPr>
            <w:rStyle w:val="Hyperlink"/>
            <w:rFonts w:eastAsia="Calibri" w:cs="Calibri"/>
            <w:noProof/>
          </w:rPr>
          <w:t xml:space="preserve">  </w:t>
        </w:r>
        <w:r w:rsidR="00166CB3" w:rsidRPr="0044188E">
          <w:rPr>
            <w:rStyle w:val="Hyperlink"/>
            <w:rFonts w:eastAsia="Calibri"/>
            <w:iCs/>
            <w:noProof/>
          </w:rPr>
          <w:t>Procentni nivo kontaminanata u morskim organizmima tokom perioda istraživanja</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_Toc83636927 \h </w:instrText>
        </w:r>
        <w:r w:rsidR="00166CB3" w:rsidRPr="0044188E">
          <w:rPr>
            <w:noProof/>
            <w:webHidden/>
          </w:rPr>
        </w:r>
        <w:r w:rsidR="00166CB3" w:rsidRPr="0044188E">
          <w:rPr>
            <w:noProof/>
            <w:webHidden/>
          </w:rPr>
          <w:fldChar w:fldCharType="separate"/>
        </w:r>
        <w:r w:rsidR="000D1E20">
          <w:rPr>
            <w:noProof/>
            <w:webHidden/>
          </w:rPr>
          <w:t>104</w:t>
        </w:r>
        <w:r w:rsidR="00166CB3" w:rsidRPr="0044188E">
          <w:rPr>
            <w:noProof/>
            <w:webHidden/>
          </w:rPr>
          <w:fldChar w:fldCharType="end"/>
        </w:r>
      </w:hyperlink>
    </w:p>
    <w:p w14:paraId="010B749C"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28" w:history="1">
        <w:r w:rsidR="00166CB3" w:rsidRPr="0044188E">
          <w:rPr>
            <w:rStyle w:val="Hyperlink"/>
            <w:rFonts w:eastAsia="Calibri" w:cs="Calibri"/>
            <w:noProof/>
          </w:rPr>
          <w:t xml:space="preserve">Slika </w:t>
        </w:r>
        <w:r w:rsidR="00166CB3" w:rsidRPr="0044188E">
          <w:rPr>
            <w:rStyle w:val="Hyperlink"/>
            <w:rFonts w:eastAsia="Calibri" w:cs="Calibri"/>
            <w:iCs/>
            <w:noProof/>
          </w:rPr>
          <w:t>3.1</w:t>
        </w:r>
        <w:r w:rsidR="00166CB3" w:rsidRPr="0044188E">
          <w:rPr>
            <w:rStyle w:val="Hyperlink"/>
            <w:noProof/>
          </w:rPr>
          <w:t>.</w:t>
        </w:r>
        <w:r w:rsidR="00166CB3" w:rsidRPr="0044188E">
          <w:rPr>
            <w:rStyle w:val="Hyperlink"/>
            <w:rFonts w:eastAsia="Calibri" w:cs="Calibri"/>
            <w:noProof/>
          </w:rPr>
          <w:t xml:space="preserve">  </w:t>
        </w:r>
        <w:r w:rsidR="00166CB3" w:rsidRPr="0044188E">
          <w:rPr>
            <w:rStyle w:val="Hyperlink"/>
            <w:rFonts w:eastAsia="Calibri"/>
            <w:noProof/>
          </w:rPr>
          <w:t>Doprinos taksonomskih grupa mikroplanktona u ukupnoj brojnosti fitoplanktona na lokacijama u zalivskom i priobalnom području otvorenog mora u periodu 2009-2019</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_Toc83636928 \h </w:instrText>
        </w:r>
        <w:r w:rsidR="00166CB3" w:rsidRPr="0044188E">
          <w:rPr>
            <w:noProof/>
            <w:webHidden/>
          </w:rPr>
        </w:r>
        <w:r w:rsidR="00166CB3" w:rsidRPr="0044188E">
          <w:rPr>
            <w:noProof/>
            <w:webHidden/>
          </w:rPr>
          <w:fldChar w:fldCharType="separate"/>
        </w:r>
        <w:r w:rsidR="000D1E20">
          <w:rPr>
            <w:noProof/>
            <w:webHidden/>
          </w:rPr>
          <w:t>144</w:t>
        </w:r>
        <w:r w:rsidR="00166CB3" w:rsidRPr="0044188E">
          <w:rPr>
            <w:noProof/>
            <w:webHidden/>
          </w:rPr>
          <w:fldChar w:fldCharType="end"/>
        </w:r>
      </w:hyperlink>
    </w:p>
    <w:p w14:paraId="2F853EAB"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29" w:history="1">
        <w:r w:rsidR="00166CB3" w:rsidRPr="0044188E">
          <w:rPr>
            <w:rStyle w:val="Hyperlink"/>
            <w:rFonts w:eastAsia="Calibri" w:cs="Calibri"/>
            <w:noProof/>
          </w:rPr>
          <w:t xml:space="preserve">Slika </w:t>
        </w:r>
        <w:r w:rsidR="00166CB3" w:rsidRPr="0044188E">
          <w:rPr>
            <w:rStyle w:val="Hyperlink"/>
            <w:rFonts w:eastAsia="Calibri" w:cs="Calibri"/>
            <w:iCs/>
            <w:noProof/>
          </w:rPr>
          <w:t>3.2</w:t>
        </w:r>
        <w:r w:rsidR="00166CB3" w:rsidRPr="0044188E">
          <w:rPr>
            <w:rStyle w:val="Hyperlink"/>
            <w:noProof/>
          </w:rPr>
          <w:t>.</w:t>
        </w:r>
        <w:r w:rsidR="00166CB3" w:rsidRPr="0044188E">
          <w:rPr>
            <w:rStyle w:val="Hyperlink"/>
            <w:rFonts w:eastAsia="Calibri" w:cs="Calibri"/>
            <w:noProof/>
          </w:rPr>
          <w:t xml:space="preserve"> </w:t>
        </w:r>
        <w:r w:rsidR="00166CB3" w:rsidRPr="0044188E">
          <w:rPr>
            <w:rStyle w:val="Hyperlink"/>
            <w:rFonts w:eastAsia="Calibri"/>
            <w:noProof/>
          </w:rPr>
          <w:t>Prikaz box- wiskler dijagramom prostorne varijabilnosti indeksa biodiverziteta (Margalef-ov I Shannon –Wiener-ov) lijevo- Bokokotorski zaliv; desno – priobalno otvoreno more</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_Toc83636929 \h </w:instrText>
        </w:r>
        <w:r w:rsidR="00166CB3" w:rsidRPr="0044188E">
          <w:rPr>
            <w:noProof/>
            <w:webHidden/>
          </w:rPr>
        </w:r>
        <w:r w:rsidR="00166CB3" w:rsidRPr="0044188E">
          <w:rPr>
            <w:noProof/>
            <w:webHidden/>
          </w:rPr>
          <w:fldChar w:fldCharType="separate"/>
        </w:r>
        <w:r w:rsidR="000D1E20">
          <w:rPr>
            <w:noProof/>
            <w:webHidden/>
          </w:rPr>
          <w:t>146</w:t>
        </w:r>
        <w:r w:rsidR="00166CB3" w:rsidRPr="0044188E">
          <w:rPr>
            <w:noProof/>
            <w:webHidden/>
          </w:rPr>
          <w:fldChar w:fldCharType="end"/>
        </w:r>
      </w:hyperlink>
    </w:p>
    <w:p w14:paraId="25C1F03A" w14:textId="77777777" w:rsidR="00166CB3" w:rsidRPr="0044188E" w:rsidRDefault="003801F2">
      <w:pPr>
        <w:pStyle w:val="TableofFigures"/>
        <w:tabs>
          <w:tab w:val="right" w:leader="dot" w:pos="9347"/>
        </w:tabs>
        <w:rPr>
          <w:rFonts w:asciiTheme="minorHAnsi" w:eastAsiaTheme="minorEastAsia" w:hAnsiTheme="minorHAnsi" w:cstheme="minorBidi"/>
          <w:noProof/>
          <w:sz w:val="22"/>
          <w:lang w:val="en-US"/>
        </w:rPr>
      </w:pPr>
      <w:hyperlink w:anchor="_Toc83636930" w:history="1">
        <w:r w:rsidR="00166CB3" w:rsidRPr="0044188E">
          <w:rPr>
            <w:rStyle w:val="Hyperlink"/>
            <w:rFonts w:eastAsia="Calibri" w:cs="Calibri"/>
            <w:bCs/>
            <w:noProof/>
          </w:rPr>
          <w:t xml:space="preserve">Slika </w:t>
        </w:r>
        <w:r w:rsidR="00166CB3" w:rsidRPr="0044188E">
          <w:rPr>
            <w:rStyle w:val="Hyperlink"/>
            <w:rFonts w:eastAsia="Calibri" w:cs="Calibri"/>
            <w:iCs/>
            <w:noProof/>
          </w:rPr>
          <w:t>3.4</w:t>
        </w:r>
        <w:r w:rsidR="00166CB3" w:rsidRPr="0044188E">
          <w:rPr>
            <w:rStyle w:val="Hyperlink"/>
            <w:rFonts w:eastAsia="Calibri" w:cs="Calibri"/>
            <w:noProof/>
            <w:lang w:val="sr-Latn-ME"/>
          </w:rPr>
          <w:t>.</w:t>
        </w:r>
        <w:r w:rsidR="00166CB3" w:rsidRPr="0044188E">
          <w:rPr>
            <w:rStyle w:val="Hyperlink"/>
            <w:rFonts w:eastAsia="Calibri" w:cs="Calibri"/>
            <w:noProof/>
          </w:rPr>
          <w:t xml:space="preserve">  </w:t>
        </w:r>
        <w:r w:rsidR="00166CB3" w:rsidRPr="0044188E">
          <w:rPr>
            <w:rStyle w:val="Hyperlink"/>
            <w:rFonts w:eastAsia="Calibri" w:cs="Calibri"/>
            <w:bCs/>
            <w:noProof/>
          </w:rPr>
          <w:t>Lokacije na kojima je istraživano koraligeno stanište</w:t>
        </w:r>
        <w:r w:rsidR="00166CB3" w:rsidRPr="0044188E">
          <w:rPr>
            <w:noProof/>
            <w:webHidden/>
          </w:rPr>
          <w:tab/>
        </w:r>
        <w:r w:rsidR="00166CB3" w:rsidRPr="0044188E">
          <w:rPr>
            <w:noProof/>
            <w:webHidden/>
          </w:rPr>
          <w:fldChar w:fldCharType="begin"/>
        </w:r>
        <w:r w:rsidR="00166CB3" w:rsidRPr="0044188E">
          <w:rPr>
            <w:noProof/>
            <w:webHidden/>
          </w:rPr>
          <w:instrText xml:space="preserve"> PAGEREF _Toc83636930 \h </w:instrText>
        </w:r>
        <w:r w:rsidR="00166CB3" w:rsidRPr="0044188E">
          <w:rPr>
            <w:noProof/>
            <w:webHidden/>
          </w:rPr>
        </w:r>
        <w:r w:rsidR="00166CB3" w:rsidRPr="0044188E">
          <w:rPr>
            <w:noProof/>
            <w:webHidden/>
          </w:rPr>
          <w:fldChar w:fldCharType="separate"/>
        </w:r>
        <w:r w:rsidR="000D1E20">
          <w:rPr>
            <w:noProof/>
            <w:webHidden/>
          </w:rPr>
          <w:t>159</w:t>
        </w:r>
        <w:r w:rsidR="00166CB3" w:rsidRPr="0044188E">
          <w:rPr>
            <w:noProof/>
            <w:webHidden/>
          </w:rPr>
          <w:fldChar w:fldCharType="end"/>
        </w:r>
      </w:hyperlink>
    </w:p>
    <w:p w14:paraId="5177481F" w14:textId="1D77E8BF" w:rsidR="00621EB7" w:rsidRPr="0044188E" w:rsidRDefault="00C8184F" w:rsidP="00F65CFF">
      <w:pPr>
        <w:spacing w:after="0"/>
        <w:rPr>
          <w:rFonts w:asciiTheme="minorHAnsi" w:hAnsiTheme="minorHAnsi" w:cstheme="minorHAnsi"/>
          <w:sz w:val="20"/>
          <w:szCs w:val="20"/>
          <w:lang w:val="en-GB" w:eastAsia="en-US"/>
        </w:rPr>
      </w:pPr>
      <w:r w:rsidRPr="0044188E">
        <w:rPr>
          <w:rFonts w:asciiTheme="minorHAnsi" w:hAnsiTheme="minorHAnsi" w:cstheme="minorHAnsi"/>
          <w:sz w:val="20"/>
          <w:szCs w:val="20"/>
          <w:lang w:val="en-GB" w:eastAsia="en-US"/>
        </w:rPr>
        <w:fldChar w:fldCharType="end"/>
      </w:r>
    </w:p>
    <w:p w14:paraId="5B916355" w14:textId="3EB1A3B7" w:rsidR="00D932B6" w:rsidRPr="00BC1494" w:rsidRDefault="000A2FFC" w:rsidP="00D932B6">
      <w:pPr>
        <w:keepNext/>
        <w:spacing w:before="480" w:after="480"/>
        <w:outlineLvl w:val="0"/>
        <w:rPr>
          <w:b/>
          <w:bCs/>
          <w:caps/>
          <w:color w:val="17365D" w:themeColor="text2" w:themeShade="BF"/>
          <w:kern w:val="32"/>
          <w:sz w:val="32"/>
          <w:szCs w:val="32"/>
          <w:lang w:val="en-GB"/>
        </w:rPr>
      </w:pPr>
      <w:bookmarkStart w:id="11" w:name="_Toc83630888"/>
      <w:r>
        <w:rPr>
          <w:b/>
          <w:bCs/>
          <w:caps/>
          <w:color w:val="17365D" w:themeColor="text2" w:themeShade="BF"/>
          <w:kern w:val="32"/>
          <w:sz w:val="32"/>
          <w:szCs w:val="32"/>
          <w:lang w:val="en-GB"/>
        </w:rPr>
        <w:lastRenderedPageBreak/>
        <w:t>SPISAK TABELA</w:t>
      </w:r>
      <w:bookmarkEnd w:id="11"/>
    </w:p>
    <w:p w14:paraId="52DCA0F6" w14:textId="77777777" w:rsidR="004F6944" w:rsidRPr="004F6944" w:rsidRDefault="00952C6E">
      <w:pPr>
        <w:pStyle w:val="TableofFigures"/>
        <w:tabs>
          <w:tab w:val="right" w:leader="dot" w:pos="9347"/>
        </w:tabs>
        <w:rPr>
          <w:rFonts w:asciiTheme="minorHAnsi" w:eastAsiaTheme="minorEastAsia" w:hAnsiTheme="minorHAnsi" w:cstheme="minorBidi"/>
          <w:noProof/>
          <w:sz w:val="22"/>
          <w:lang w:val="en-US"/>
        </w:rPr>
      </w:pPr>
      <w:r w:rsidRPr="000A2FFC">
        <w:rPr>
          <w:szCs w:val="20"/>
        </w:rPr>
        <w:fldChar w:fldCharType="begin"/>
      </w:r>
      <w:r w:rsidRPr="000A2FFC">
        <w:rPr>
          <w:szCs w:val="20"/>
        </w:rPr>
        <w:instrText xml:space="preserve"> TOC \h \z \c "Table" </w:instrText>
      </w:r>
      <w:r w:rsidRPr="000A2FFC">
        <w:rPr>
          <w:szCs w:val="20"/>
        </w:rPr>
        <w:fldChar w:fldCharType="separate"/>
      </w:r>
      <w:hyperlink w:anchor="_Toc83643159" w:history="1">
        <w:r w:rsidR="004F6944" w:rsidRPr="004F6944">
          <w:rPr>
            <w:rStyle w:val="Hyperlink"/>
            <w:rFonts w:eastAsia="Arial Unicode MS" w:cs="Arial Unicode MS"/>
            <w:noProof/>
          </w:rPr>
          <w:t xml:space="preserve">Tabela 2.1. Postojeći i projektovani pritisci za Deskriptor 2 u CG dijelu Jadranskog mora prema podacima iz početne procjene </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_Toc83643159 \h </w:instrText>
        </w:r>
        <w:r w:rsidR="004F6944" w:rsidRPr="004F6944">
          <w:rPr>
            <w:noProof/>
            <w:webHidden/>
          </w:rPr>
        </w:r>
        <w:r w:rsidR="004F6944" w:rsidRPr="004F6944">
          <w:rPr>
            <w:noProof/>
            <w:webHidden/>
          </w:rPr>
          <w:fldChar w:fldCharType="separate"/>
        </w:r>
        <w:r w:rsidR="000D1E20">
          <w:rPr>
            <w:noProof/>
            <w:webHidden/>
          </w:rPr>
          <w:t>32</w:t>
        </w:r>
        <w:r w:rsidR="004F6944" w:rsidRPr="004F6944">
          <w:rPr>
            <w:noProof/>
            <w:webHidden/>
          </w:rPr>
          <w:fldChar w:fldCharType="end"/>
        </w:r>
      </w:hyperlink>
    </w:p>
    <w:p w14:paraId="7517E451"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60" w:history="1">
        <w:r w:rsidR="004F6944" w:rsidRPr="004F6944">
          <w:rPr>
            <w:rStyle w:val="Hyperlink"/>
            <w:rFonts w:eastAsia="Calibri" w:cs="Calibri"/>
            <w:noProof/>
            <w:lang w:val="sr-Latn-ME"/>
          </w:rPr>
          <w:t xml:space="preserve">Tabela </w:t>
        </w:r>
        <w:r w:rsidR="004F6944" w:rsidRPr="004F6944">
          <w:rPr>
            <w:rStyle w:val="Hyperlink"/>
            <w:noProof/>
            <w:lang w:val="sr-Latn-ME"/>
          </w:rPr>
          <w:t>2.5</w:t>
        </w:r>
        <w:r w:rsidR="004F6944" w:rsidRPr="004F6944">
          <w:rPr>
            <w:rStyle w:val="Hyperlink"/>
            <w:rFonts w:eastAsia="Calibri" w:cs="Calibri"/>
            <w:noProof/>
            <w:lang w:val="sr-Latn-ME"/>
          </w:rPr>
          <w:t xml:space="preserve"> </w:t>
        </w:r>
        <w:r w:rsidR="004F6944" w:rsidRPr="004F6944">
          <w:rPr>
            <w:rStyle w:val="Hyperlink"/>
            <w:rFonts w:eastAsia="Calibri"/>
            <w:noProof/>
          </w:rPr>
          <w:t>. Pregled odabranih kriterijuma za procjenu GES-a za Deskriptor 3 prema Odluci Komisije 2017/848/EU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_Toc83643160 \h </w:instrText>
        </w:r>
        <w:r w:rsidR="004F6944" w:rsidRPr="004F6944">
          <w:rPr>
            <w:noProof/>
            <w:webHidden/>
          </w:rPr>
        </w:r>
        <w:r w:rsidR="004F6944" w:rsidRPr="004F6944">
          <w:rPr>
            <w:noProof/>
            <w:webHidden/>
          </w:rPr>
          <w:fldChar w:fldCharType="separate"/>
        </w:r>
        <w:r w:rsidR="000D1E20">
          <w:rPr>
            <w:noProof/>
            <w:webHidden/>
          </w:rPr>
          <w:t>41</w:t>
        </w:r>
        <w:r w:rsidR="004F6944" w:rsidRPr="004F6944">
          <w:rPr>
            <w:noProof/>
            <w:webHidden/>
          </w:rPr>
          <w:fldChar w:fldCharType="end"/>
        </w:r>
      </w:hyperlink>
    </w:p>
    <w:p w14:paraId="309EE74C"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61" w:history="1">
        <w:r w:rsidR="004F6944" w:rsidRPr="004F6944">
          <w:rPr>
            <w:rStyle w:val="Hyperlink"/>
            <w:rFonts w:eastAsia="Calibri" w:cs="Calibri"/>
            <w:noProof/>
            <w:lang w:val="sr-Latn-ME"/>
          </w:rPr>
          <w:t xml:space="preserve">Tabela </w:t>
        </w:r>
        <w:r w:rsidR="004F6944" w:rsidRPr="004F6944">
          <w:rPr>
            <w:rStyle w:val="Hyperlink"/>
            <w:noProof/>
            <w:lang w:val="sr-Latn-ME"/>
          </w:rPr>
          <w:t>2.6.</w:t>
        </w:r>
        <w:r w:rsidR="004F6944" w:rsidRPr="004F6944">
          <w:rPr>
            <w:rStyle w:val="Hyperlink"/>
            <w:rFonts w:eastAsia="Calibri" w:cs="Calibri"/>
            <w:noProof/>
            <w:lang w:val="sr-Latn-ME"/>
          </w:rPr>
          <w:t xml:space="preserve">  Status odabranih demerzalnih vrsta baziran na ribolovnoj smrtnosti (F).</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_Toc83643161 \h </w:instrText>
        </w:r>
        <w:r w:rsidR="004F6944" w:rsidRPr="004F6944">
          <w:rPr>
            <w:noProof/>
            <w:webHidden/>
          </w:rPr>
        </w:r>
        <w:r w:rsidR="004F6944" w:rsidRPr="004F6944">
          <w:rPr>
            <w:noProof/>
            <w:webHidden/>
          </w:rPr>
          <w:fldChar w:fldCharType="separate"/>
        </w:r>
        <w:r w:rsidR="000D1E20">
          <w:rPr>
            <w:noProof/>
            <w:webHidden/>
          </w:rPr>
          <w:t>52</w:t>
        </w:r>
        <w:r w:rsidR="004F6944" w:rsidRPr="004F6944">
          <w:rPr>
            <w:noProof/>
            <w:webHidden/>
          </w:rPr>
          <w:fldChar w:fldCharType="end"/>
        </w:r>
      </w:hyperlink>
    </w:p>
    <w:p w14:paraId="5B1C096D"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62" w:history="1">
        <w:r w:rsidR="004F6944" w:rsidRPr="004F6944">
          <w:rPr>
            <w:rStyle w:val="Hyperlink"/>
            <w:rFonts w:eastAsia="Calibri" w:cs="Calibri"/>
            <w:noProof/>
            <w:lang w:val="sr-Latn-ME"/>
          </w:rPr>
          <w:t xml:space="preserve">Tabela </w:t>
        </w:r>
        <w:r w:rsidR="004F6944" w:rsidRPr="004F6944">
          <w:rPr>
            <w:rStyle w:val="Hyperlink"/>
            <w:noProof/>
            <w:lang w:val="sr-Latn-ME"/>
          </w:rPr>
          <w:t>2.7.</w:t>
        </w:r>
        <w:r w:rsidR="004F6944" w:rsidRPr="004F6944">
          <w:rPr>
            <w:rStyle w:val="Hyperlink"/>
            <w:rFonts w:eastAsia="Calibri" w:cs="Calibri"/>
            <w:noProof/>
            <w:lang w:val="sr-Latn-ME"/>
          </w:rPr>
          <w:t xml:space="preserve">  Status odabranih pelagičnih vrsta po primarnim kriterijumima.</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_Toc83643162 \h </w:instrText>
        </w:r>
        <w:r w:rsidR="004F6944" w:rsidRPr="004F6944">
          <w:rPr>
            <w:noProof/>
            <w:webHidden/>
          </w:rPr>
        </w:r>
        <w:r w:rsidR="004F6944" w:rsidRPr="004F6944">
          <w:rPr>
            <w:noProof/>
            <w:webHidden/>
          </w:rPr>
          <w:fldChar w:fldCharType="separate"/>
        </w:r>
        <w:r w:rsidR="000D1E20">
          <w:rPr>
            <w:noProof/>
            <w:webHidden/>
          </w:rPr>
          <w:t>52</w:t>
        </w:r>
        <w:r w:rsidR="004F6944" w:rsidRPr="004F6944">
          <w:rPr>
            <w:noProof/>
            <w:webHidden/>
          </w:rPr>
          <w:fldChar w:fldCharType="end"/>
        </w:r>
      </w:hyperlink>
    </w:p>
    <w:p w14:paraId="5DA28AFD"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63" w:history="1">
        <w:r w:rsidR="004F6944" w:rsidRPr="004F6944">
          <w:rPr>
            <w:rStyle w:val="Hyperlink"/>
            <w:rFonts w:cs="Calibri"/>
            <w:noProof/>
            <w:lang w:val="sr-Latn-ME"/>
          </w:rPr>
          <w:t xml:space="preserve">Tabela </w:t>
        </w:r>
        <w:r w:rsidR="004F6944" w:rsidRPr="004F6944">
          <w:rPr>
            <w:rStyle w:val="Hyperlink"/>
            <w:noProof/>
            <w:lang w:val="sr-Latn-ME"/>
          </w:rPr>
          <w:t>2.8.</w:t>
        </w:r>
        <w:r w:rsidR="004F6944" w:rsidRPr="004F6944">
          <w:rPr>
            <w:rStyle w:val="Hyperlink"/>
            <w:rFonts w:eastAsia="Calibri" w:cs="Calibri"/>
            <w:noProof/>
            <w:lang w:val="sr-Latn-ME"/>
          </w:rPr>
          <w:t xml:space="preserve"> Procjena GES-a za demerzalne vrste prema kriterijumima iz Odluke Komisije 2017/845/EU</w:t>
        </w:r>
        <w:r w:rsidR="004F6944" w:rsidRPr="004F6944">
          <w:rPr>
            <w:rStyle w:val="Hyperlink"/>
            <w:rFonts w:eastAsia="Calibri" w:cs="Calibri"/>
            <w:bCs/>
            <w:noProof/>
            <w:lang w:val="sr-Latn-ME"/>
          </w:rPr>
          <w:t>.</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_Toc83643163 \h </w:instrText>
        </w:r>
        <w:r w:rsidR="004F6944" w:rsidRPr="004F6944">
          <w:rPr>
            <w:noProof/>
            <w:webHidden/>
          </w:rPr>
        </w:r>
        <w:r w:rsidR="004F6944" w:rsidRPr="004F6944">
          <w:rPr>
            <w:noProof/>
            <w:webHidden/>
          </w:rPr>
          <w:fldChar w:fldCharType="separate"/>
        </w:r>
        <w:r w:rsidR="000D1E20">
          <w:rPr>
            <w:noProof/>
            <w:webHidden/>
          </w:rPr>
          <w:t>54</w:t>
        </w:r>
        <w:r w:rsidR="004F6944" w:rsidRPr="004F6944">
          <w:rPr>
            <w:noProof/>
            <w:webHidden/>
          </w:rPr>
          <w:fldChar w:fldCharType="end"/>
        </w:r>
      </w:hyperlink>
    </w:p>
    <w:p w14:paraId="3FBAF76F"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64" w:history="1">
        <w:r w:rsidR="004F6944" w:rsidRPr="004F6944">
          <w:rPr>
            <w:rStyle w:val="Hyperlink"/>
            <w:rFonts w:cs="Calibri"/>
            <w:noProof/>
            <w:lang w:val="sr-Latn-ME"/>
          </w:rPr>
          <w:t xml:space="preserve">Tabela </w:t>
        </w:r>
        <w:r w:rsidR="004F6944" w:rsidRPr="004F6944">
          <w:rPr>
            <w:rStyle w:val="Hyperlink"/>
            <w:noProof/>
            <w:lang w:val="sr-Latn-ME"/>
          </w:rPr>
          <w:t>2.9.</w:t>
        </w:r>
        <w:r w:rsidR="004F6944" w:rsidRPr="004F6944">
          <w:rPr>
            <w:rStyle w:val="Hyperlink"/>
            <w:rFonts w:eastAsia="Calibri" w:cs="Calibri"/>
            <w:noProof/>
            <w:lang w:val="sr-Latn-ME"/>
          </w:rPr>
          <w:t xml:space="preserve"> Procjena GES-a za pelagične vrste prema kriterijumima iz Odluke Komisije 2017/845/EU</w:t>
        </w:r>
        <w:r w:rsidR="004F6944" w:rsidRPr="004F6944">
          <w:rPr>
            <w:rStyle w:val="Hyperlink"/>
            <w:rFonts w:eastAsia="Calibri" w:cs="Calibri"/>
            <w:bCs/>
            <w:noProof/>
            <w:lang w:val="sr-Latn-ME"/>
          </w:rPr>
          <w:t>.</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_Toc83643164 \h </w:instrText>
        </w:r>
        <w:r w:rsidR="004F6944" w:rsidRPr="004F6944">
          <w:rPr>
            <w:noProof/>
            <w:webHidden/>
          </w:rPr>
        </w:r>
        <w:r w:rsidR="004F6944" w:rsidRPr="004F6944">
          <w:rPr>
            <w:noProof/>
            <w:webHidden/>
          </w:rPr>
          <w:fldChar w:fldCharType="separate"/>
        </w:r>
        <w:r w:rsidR="000D1E20">
          <w:rPr>
            <w:noProof/>
            <w:webHidden/>
          </w:rPr>
          <w:t>54</w:t>
        </w:r>
        <w:r w:rsidR="004F6944" w:rsidRPr="004F6944">
          <w:rPr>
            <w:noProof/>
            <w:webHidden/>
          </w:rPr>
          <w:fldChar w:fldCharType="end"/>
        </w:r>
      </w:hyperlink>
    </w:p>
    <w:p w14:paraId="02B329E8"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65" w:history="1">
        <w:r w:rsidR="004F6944" w:rsidRPr="004F6944">
          <w:rPr>
            <w:rStyle w:val="Hyperlink"/>
            <w:rFonts w:cs="Calibri"/>
            <w:bCs/>
            <w:noProof/>
            <w:lang w:val="sr-Latn-ME"/>
          </w:rPr>
          <w:t xml:space="preserve">Tabela </w:t>
        </w:r>
        <w:r w:rsidR="004F6944" w:rsidRPr="004F6944">
          <w:rPr>
            <w:rStyle w:val="Hyperlink"/>
            <w:noProof/>
            <w:lang w:val="sr-Latn-ME"/>
          </w:rPr>
          <w:t>2.10.</w:t>
        </w:r>
        <w:r w:rsidR="004F6944" w:rsidRPr="004F6944">
          <w:rPr>
            <w:rStyle w:val="Hyperlink"/>
            <w:rFonts w:eastAsia="Calibri" w:cs="Calibri"/>
            <w:noProof/>
            <w:lang w:val="sr-Latn-ME"/>
          </w:rPr>
          <w:t xml:space="preserve">  Ciljevi koji vode ka napretku u postizanju GES-a za Deskriptor 3.</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_Toc83643165 \h </w:instrText>
        </w:r>
        <w:r w:rsidR="004F6944" w:rsidRPr="004F6944">
          <w:rPr>
            <w:noProof/>
            <w:webHidden/>
          </w:rPr>
        </w:r>
        <w:r w:rsidR="004F6944" w:rsidRPr="004F6944">
          <w:rPr>
            <w:noProof/>
            <w:webHidden/>
          </w:rPr>
          <w:fldChar w:fldCharType="separate"/>
        </w:r>
        <w:r w:rsidR="000D1E20">
          <w:rPr>
            <w:noProof/>
            <w:webHidden/>
          </w:rPr>
          <w:t>56</w:t>
        </w:r>
        <w:r w:rsidR="004F6944" w:rsidRPr="004F6944">
          <w:rPr>
            <w:noProof/>
            <w:webHidden/>
          </w:rPr>
          <w:fldChar w:fldCharType="end"/>
        </w:r>
      </w:hyperlink>
    </w:p>
    <w:p w14:paraId="2E5B4ED2"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66" w:history="1">
        <w:r w:rsidR="004F6944" w:rsidRPr="004F6944">
          <w:rPr>
            <w:rStyle w:val="Hyperlink"/>
            <w:rFonts w:eastAsia="Calibri" w:cs="Calibri"/>
            <w:noProof/>
          </w:rPr>
          <w:t xml:space="preserve">Tabela </w:t>
        </w:r>
        <w:r w:rsidR="004F6944" w:rsidRPr="004F6944">
          <w:rPr>
            <w:rStyle w:val="Hyperlink"/>
            <w:noProof/>
          </w:rPr>
          <w:t>2.20.</w:t>
        </w:r>
        <w:r w:rsidR="004F6944" w:rsidRPr="004F6944">
          <w:rPr>
            <w:rStyle w:val="Hyperlink"/>
            <w:rFonts w:eastAsia="Calibri" w:cs="Calibri"/>
            <w:noProof/>
          </w:rPr>
          <w:t xml:space="preserve">  Pregled najvažnijih pritisaka i aktivnosti koje uzrokuju trajnu promjenu hidrografskih uslova u Jadranskom moru Crne Gore</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_Toc83643166 \h </w:instrText>
        </w:r>
        <w:r w:rsidR="004F6944" w:rsidRPr="004F6944">
          <w:rPr>
            <w:noProof/>
            <w:webHidden/>
          </w:rPr>
        </w:r>
        <w:r w:rsidR="004F6944" w:rsidRPr="004F6944">
          <w:rPr>
            <w:noProof/>
            <w:webHidden/>
          </w:rPr>
          <w:fldChar w:fldCharType="separate"/>
        </w:r>
        <w:r w:rsidR="000D1E20">
          <w:rPr>
            <w:noProof/>
            <w:webHidden/>
          </w:rPr>
          <w:t>69</w:t>
        </w:r>
        <w:r w:rsidR="004F6944" w:rsidRPr="004F6944">
          <w:rPr>
            <w:noProof/>
            <w:webHidden/>
          </w:rPr>
          <w:fldChar w:fldCharType="end"/>
        </w:r>
      </w:hyperlink>
    </w:p>
    <w:p w14:paraId="7FEBA834"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67" w:history="1">
        <w:r w:rsidR="004F6944" w:rsidRPr="004F6944">
          <w:rPr>
            <w:rStyle w:val="Hyperlink"/>
            <w:rFonts w:eastAsia="Calibri" w:cs="Calibri"/>
            <w:iCs/>
            <w:noProof/>
          </w:rPr>
          <w:t xml:space="preserve">Table </w:t>
        </w:r>
        <w:r w:rsidR="004F6944" w:rsidRPr="004F6944">
          <w:rPr>
            <w:rStyle w:val="Hyperlink"/>
            <w:noProof/>
          </w:rPr>
          <w:t>2.21.</w:t>
        </w:r>
        <w:r w:rsidR="004F6944" w:rsidRPr="004F6944">
          <w:rPr>
            <w:rStyle w:val="Hyperlink"/>
            <w:rFonts w:eastAsia="Calibri" w:cs="Calibri"/>
            <w:noProof/>
          </w:rPr>
          <w:t xml:space="preserve"> </w:t>
        </w:r>
        <w:r w:rsidR="004F6944" w:rsidRPr="004F6944">
          <w:rPr>
            <w:rStyle w:val="Hyperlink"/>
            <w:rFonts w:eastAsia="Calibri"/>
            <w:noProof/>
          </w:rPr>
          <w:t>Pregled odabranih kriterijuma za procjenu GES-a za Deskriptor 7 prema Odluci Komisije 2017/848/EU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_Toc83643167 \h </w:instrText>
        </w:r>
        <w:r w:rsidR="004F6944" w:rsidRPr="004F6944">
          <w:rPr>
            <w:noProof/>
            <w:webHidden/>
          </w:rPr>
        </w:r>
        <w:r w:rsidR="004F6944" w:rsidRPr="004F6944">
          <w:rPr>
            <w:noProof/>
            <w:webHidden/>
          </w:rPr>
          <w:fldChar w:fldCharType="separate"/>
        </w:r>
        <w:r w:rsidR="000D1E20">
          <w:rPr>
            <w:noProof/>
            <w:webHidden/>
          </w:rPr>
          <w:t>70</w:t>
        </w:r>
        <w:r w:rsidR="004F6944" w:rsidRPr="004F6944">
          <w:rPr>
            <w:noProof/>
            <w:webHidden/>
          </w:rPr>
          <w:fldChar w:fldCharType="end"/>
        </w:r>
      </w:hyperlink>
    </w:p>
    <w:p w14:paraId="0EA0C28A"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68" w:history="1">
        <w:r w:rsidR="004F6944" w:rsidRPr="004F6944">
          <w:rPr>
            <w:rStyle w:val="Hyperlink"/>
            <w:rFonts w:eastAsia="Calibri"/>
            <w:noProof/>
          </w:rPr>
          <w:t xml:space="preserve">Tabela </w:t>
        </w:r>
        <w:r w:rsidR="004F6944" w:rsidRPr="004F6944">
          <w:rPr>
            <w:rStyle w:val="Hyperlink"/>
            <w:noProof/>
          </w:rPr>
          <w:t>2.22.</w:t>
        </w:r>
        <w:r w:rsidR="004F6944" w:rsidRPr="004F6944">
          <w:rPr>
            <w:rStyle w:val="Hyperlink"/>
            <w:rFonts w:eastAsia="Calibri" w:cs="Calibri"/>
            <w:noProof/>
          </w:rPr>
          <w:t xml:space="preserve"> </w:t>
        </w:r>
        <w:r w:rsidR="004F6944" w:rsidRPr="004F6944">
          <w:rPr>
            <w:rStyle w:val="Hyperlink"/>
            <w:rFonts w:eastAsia="Calibri"/>
            <w:noProof/>
          </w:rPr>
          <w:t xml:space="preserve"> Procjena GES-a za D7 prema kriterijumima iz Odluke Komisije 217/845/EU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_Toc83643168 \h </w:instrText>
        </w:r>
        <w:r w:rsidR="004F6944" w:rsidRPr="004F6944">
          <w:rPr>
            <w:noProof/>
            <w:webHidden/>
          </w:rPr>
        </w:r>
        <w:r w:rsidR="004F6944" w:rsidRPr="004F6944">
          <w:rPr>
            <w:noProof/>
            <w:webHidden/>
          </w:rPr>
          <w:fldChar w:fldCharType="separate"/>
        </w:r>
        <w:r w:rsidR="000D1E20">
          <w:rPr>
            <w:noProof/>
            <w:webHidden/>
          </w:rPr>
          <w:t>74</w:t>
        </w:r>
        <w:r w:rsidR="004F6944" w:rsidRPr="004F6944">
          <w:rPr>
            <w:noProof/>
            <w:webHidden/>
          </w:rPr>
          <w:fldChar w:fldCharType="end"/>
        </w:r>
      </w:hyperlink>
    </w:p>
    <w:p w14:paraId="4853CE1F"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69" w:history="1">
        <w:r w:rsidR="004F6944" w:rsidRPr="004F6944">
          <w:rPr>
            <w:rStyle w:val="Hyperlink"/>
            <w:rFonts w:eastAsia="Calibri" w:cs="Calibri"/>
            <w:bCs/>
            <w:noProof/>
          </w:rPr>
          <w:t xml:space="preserve">Tabela </w:t>
        </w:r>
        <w:r w:rsidR="004F6944" w:rsidRPr="004F6944">
          <w:rPr>
            <w:rStyle w:val="Hyperlink"/>
            <w:noProof/>
          </w:rPr>
          <w:t>2.23.</w:t>
        </w:r>
        <w:r w:rsidR="004F6944" w:rsidRPr="004F6944">
          <w:rPr>
            <w:rStyle w:val="Hyperlink"/>
            <w:rFonts w:eastAsia="Calibri" w:cs="Calibri"/>
            <w:noProof/>
          </w:rPr>
          <w:t xml:space="preserve"> </w:t>
        </w:r>
        <w:r w:rsidR="004F6944" w:rsidRPr="004F6944">
          <w:rPr>
            <w:rStyle w:val="Hyperlink"/>
            <w:rFonts w:eastAsia="Calibri" w:cs="Calibri"/>
            <w:noProof/>
            <w:lang w:val="sr-Latn-ME"/>
          </w:rPr>
          <w:t>Ciljevi koji vode ka napretku u postizanju GES-a za Deskriptor 7</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_Toc83643169 \h </w:instrText>
        </w:r>
        <w:r w:rsidR="004F6944" w:rsidRPr="004F6944">
          <w:rPr>
            <w:noProof/>
            <w:webHidden/>
          </w:rPr>
        </w:r>
        <w:r w:rsidR="004F6944" w:rsidRPr="004F6944">
          <w:rPr>
            <w:noProof/>
            <w:webHidden/>
          </w:rPr>
          <w:fldChar w:fldCharType="separate"/>
        </w:r>
        <w:r w:rsidR="000D1E20">
          <w:rPr>
            <w:noProof/>
            <w:webHidden/>
          </w:rPr>
          <w:t>75</w:t>
        </w:r>
        <w:r w:rsidR="004F6944" w:rsidRPr="004F6944">
          <w:rPr>
            <w:noProof/>
            <w:webHidden/>
          </w:rPr>
          <w:fldChar w:fldCharType="end"/>
        </w:r>
      </w:hyperlink>
    </w:p>
    <w:p w14:paraId="5217589F"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70" w:history="1">
        <w:r w:rsidR="004F6944" w:rsidRPr="004F6944">
          <w:rPr>
            <w:rStyle w:val="Hyperlink"/>
            <w:rFonts w:eastAsia="Calibri"/>
            <w:noProof/>
          </w:rPr>
          <w:t xml:space="preserve">Tabela </w:t>
        </w:r>
        <w:r w:rsidR="004F6944" w:rsidRPr="004F6944">
          <w:rPr>
            <w:rStyle w:val="Hyperlink"/>
            <w:noProof/>
          </w:rPr>
          <w:t>2.24.</w:t>
        </w:r>
        <w:r w:rsidR="004F6944" w:rsidRPr="004F6944">
          <w:rPr>
            <w:rStyle w:val="Hyperlink"/>
            <w:rFonts w:eastAsia="Calibri" w:cs="Calibri"/>
            <w:noProof/>
          </w:rPr>
          <w:t xml:space="preserve"> Povezanost </w:t>
        </w:r>
        <w:r w:rsidR="004F6944" w:rsidRPr="004F6944">
          <w:rPr>
            <w:rStyle w:val="Hyperlink"/>
            <w:rFonts w:eastAsia="Calibri"/>
            <w:noProof/>
          </w:rPr>
          <w:t>D7 sa ostalim deskriptorima</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_Toc83643170 \h </w:instrText>
        </w:r>
        <w:r w:rsidR="004F6944" w:rsidRPr="004F6944">
          <w:rPr>
            <w:noProof/>
            <w:webHidden/>
          </w:rPr>
        </w:r>
        <w:r w:rsidR="004F6944" w:rsidRPr="004F6944">
          <w:rPr>
            <w:noProof/>
            <w:webHidden/>
          </w:rPr>
          <w:fldChar w:fldCharType="separate"/>
        </w:r>
        <w:r w:rsidR="000D1E20">
          <w:rPr>
            <w:noProof/>
            <w:webHidden/>
          </w:rPr>
          <w:t>76</w:t>
        </w:r>
        <w:r w:rsidR="004F6944" w:rsidRPr="004F6944">
          <w:rPr>
            <w:noProof/>
            <w:webHidden/>
          </w:rPr>
          <w:fldChar w:fldCharType="end"/>
        </w:r>
      </w:hyperlink>
    </w:p>
    <w:p w14:paraId="64AFB209"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71" w:history="1">
        <w:r w:rsidR="004F6944" w:rsidRPr="004F6944">
          <w:rPr>
            <w:rStyle w:val="Hyperlink"/>
            <w:noProof/>
          </w:rPr>
          <w:t>Tabela 2.25.</w:t>
        </w:r>
        <w:r w:rsidR="004F6944" w:rsidRPr="004F6944">
          <w:rPr>
            <w:rStyle w:val="Hyperlink"/>
            <w:rFonts w:eastAsia="Calibri" w:cs="Calibri"/>
            <w:noProof/>
          </w:rPr>
          <w:t xml:space="preserve"> </w:t>
        </w:r>
        <w:r w:rsidR="004F6944" w:rsidRPr="004F6944">
          <w:rPr>
            <w:rStyle w:val="Hyperlink"/>
            <w:noProof/>
          </w:rPr>
          <w:t>Trenutni i projektovani pritisci za Deskriptor 8 u CG dijelu Jadranskog mora prema podacima iz početne procjene.</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_Toc83643171 \h </w:instrText>
        </w:r>
        <w:r w:rsidR="004F6944" w:rsidRPr="004F6944">
          <w:rPr>
            <w:noProof/>
            <w:webHidden/>
          </w:rPr>
        </w:r>
        <w:r w:rsidR="004F6944" w:rsidRPr="004F6944">
          <w:rPr>
            <w:noProof/>
            <w:webHidden/>
          </w:rPr>
          <w:fldChar w:fldCharType="separate"/>
        </w:r>
        <w:r w:rsidR="000D1E20">
          <w:rPr>
            <w:noProof/>
            <w:webHidden/>
          </w:rPr>
          <w:t>78</w:t>
        </w:r>
        <w:r w:rsidR="004F6944" w:rsidRPr="004F6944">
          <w:rPr>
            <w:noProof/>
            <w:webHidden/>
          </w:rPr>
          <w:fldChar w:fldCharType="end"/>
        </w:r>
      </w:hyperlink>
    </w:p>
    <w:p w14:paraId="434E0126"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72" w:history="1">
        <w:r w:rsidR="004F6944" w:rsidRPr="004F6944">
          <w:rPr>
            <w:rStyle w:val="Hyperlink"/>
            <w:rFonts w:eastAsia="Calibri"/>
            <w:iCs/>
            <w:noProof/>
          </w:rPr>
          <w:t xml:space="preserve">Tabela </w:t>
        </w:r>
        <w:r w:rsidR="004F6944" w:rsidRPr="004F6944">
          <w:rPr>
            <w:rStyle w:val="Hyperlink"/>
            <w:noProof/>
          </w:rPr>
          <w:t>2.26.</w:t>
        </w:r>
        <w:r w:rsidR="004F6944" w:rsidRPr="004F6944">
          <w:rPr>
            <w:rStyle w:val="Hyperlink"/>
            <w:rFonts w:eastAsia="Calibri" w:cs="Calibri"/>
            <w:noProof/>
          </w:rPr>
          <w:t xml:space="preserve"> </w:t>
        </w:r>
        <w:r w:rsidR="004F6944" w:rsidRPr="004F6944">
          <w:rPr>
            <w:rStyle w:val="Hyperlink"/>
            <w:rFonts w:eastAsia="Calibri"/>
            <w:noProof/>
          </w:rPr>
          <w:t>Pregled odabranih kriterijuma za procjenu GES-a za Deskriptor 8 prema Odluci Komisije 2017/848/EU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_Toc83643172 \h </w:instrText>
        </w:r>
        <w:r w:rsidR="004F6944" w:rsidRPr="004F6944">
          <w:rPr>
            <w:noProof/>
            <w:webHidden/>
          </w:rPr>
        </w:r>
        <w:r w:rsidR="004F6944" w:rsidRPr="004F6944">
          <w:rPr>
            <w:noProof/>
            <w:webHidden/>
          </w:rPr>
          <w:fldChar w:fldCharType="separate"/>
        </w:r>
        <w:r w:rsidR="000D1E20">
          <w:rPr>
            <w:noProof/>
            <w:webHidden/>
          </w:rPr>
          <w:t>80</w:t>
        </w:r>
        <w:r w:rsidR="004F6944" w:rsidRPr="004F6944">
          <w:rPr>
            <w:noProof/>
            <w:webHidden/>
          </w:rPr>
          <w:fldChar w:fldCharType="end"/>
        </w:r>
      </w:hyperlink>
    </w:p>
    <w:p w14:paraId="228EEEA4"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73" w:history="1">
        <w:r w:rsidR="004F6944" w:rsidRPr="004F6944">
          <w:rPr>
            <w:rStyle w:val="Hyperlink"/>
            <w:rFonts w:eastAsia="Calibri"/>
            <w:iCs/>
            <w:noProof/>
          </w:rPr>
          <w:t xml:space="preserve">Tabela </w:t>
        </w:r>
        <w:r w:rsidR="004F6944" w:rsidRPr="004F6944">
          <w:rPr>
            <w:rStyle w:val="Hyperlink"/>
            <w:noProof/>
          </w:rPr>
          <w:t>2.27.</w:t>
        </w:r>
        <w:r w:rsidR="004F6944" w:rsidRPr="004F6944">
          <w:rPr>
            <w:rStyle w:val="Hyperlink"/>
            <w:rFonts w:eastAsia="Calibri" w:cs="Calibri"/>
            <w:noProof/>
          </w:rPr>
          <w:t xml:space="preserve"> </w:t>
        </w:r>
        <w:r w:rsidR="004F6944" w:rsidRPr="004F6944">
          <w:rPr>
            <w:rStyle w:val="Hyperlink"/>
            <w:rFonts w:eastAsia="Calibri"/>
            <w:iCs/>
            <w:noProof/>
          </w:rPr>
          <w:t>UNEP/MAP i OSPAR kriterijumi za procjenu nivoa kontaminanta u sedimentu i bioti</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_Toc83643173 \h </w:instrText>
        </w:r>
        <w:r w:rsidR="004F6944" w:rsidRPr="004F6944">
          <w:rPr>
            <w:noProof/>
            <w:webHidden/>
          </w:rPr>
        </w:r>
        <w:r w:rsidR="004F6944" w:rsidRPr="004F6944">
          <w:rPr>
            <w:noProof/>
            <w:webHidden/>
          </w:rPr>
          <w:fldChar w:fldCharType="separate"/>
        </w:r>
        <w:r w:rsidR="000D1E20">
          <w:rPr>
            <w:noProof/>
            <w:webHidden/>
          </w:rPr>
          <w:t>82</w:t>
        </w:r>
        <w:r w:rsidR="004F6944" w:rsidRPr="004F6944">
          <w:rPr>
            <w:noProof/>
            <w:webHidden/>
          </w:rPr>
          <w:fldChar w:fldCharType="end"/>
        </w:r>
      </w:hyperlink>
    </w:p>
    <w:p w14:paraId="6065C944"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74" w:history="1">
        <w:r w:rsidR="004F6944" w:rsidRPr="004F6944">
          <w:rPr>
            <w:rStyle w:val="Hyperlink"/>
            <w:rFonts w:eastAsia="Calibri"/>
            <w:iCs/>
            <w:noProof/>
          </w:rPr>
          <w:t xml:space="preserve">Tabela </w:t>
        </w:r>
        <w:r w:rsidR="004F6944" w:rsidRPr="004F6944">
          <w:rPr>
            <w:rStyle w:val="Hyperlink"/>
            <w:noProof/>
          </w:rPr>
          <w:t>2.28.</w:t>
        </w:r>
        <w:r w:rsidR="004F6944" w:rsidRPr="004F6944">
          <w:rPr>
            <w:rStyle w:val="Hyperlink"/>
            <w:rFonts w:eastAsia="Calibri" w:cs="Calibri"/>
            <w:noProof/>
          </w:rPr>
          <w:t xml:space="preserve"> Opisi</w:t>
        </w:r>
        <w:r w:rsidR="004F6944" w:rsidRPr="004F6944">
          <w:rPr>
            <w:rStyle w:val="Hyperlink"/>
            <w:rFonts w:eastAsia="Calibri"/>
            <w:iCs/>
            <w:noProof/>
          </w:rPr>
          <w:t xml:space="preserve"> crvenog, zelenog, narandžastog, plavog sistema „semafora“</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_Toc83643174 \h </w:instrText>
        </w:r>
        <w:r w:rsidR="004F6944" w:rsidRPr="004F6944">
          <w:rPr>
            <w:noProof/>
            <w:webHidden/>
          </w:rPr>
        </w:r>
        <w:r w:rsidR="004F6944" w:rsidRPr="004F6944">
          <w:rPr>
            <w:noProof/>
            <w:webHidden/>
          </w:rPr>
          <w:fldChar w:fldCharType="separate"/>
        </w:r>
        <w:r w:rsidR="000D1E20">
          <w:rPr>
            <w:noProof/>
            <w:webHidden/>
          </w:rPr>
          <w:t>84</w:t>
        </w:r>
        <w:r w:rsidR="004F6944" w:rsidRPr="004F6944">
          <w:rPr>
            <w:noProof/>
            <w:webHidden/>
          </w:rPr>
          <w:fldChar w:fldCharType="end"/>
        </w:r>
      </w:hyperlink>
    </w:p>
    <w:p w14:paraId="3BE71EAE"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75" w:history="1">
        <w:r w:rsidR="004F6944" w:rsidRPr="004F6944">
          <w:rPr>
            <w:rStyle w:val="Hyperlink"/>
            <w:rFonts w:eastAsia="Calibri" w:cs="Calibri"/>
            <w:iCs/>
            <w:noProof/>
          </w:rPr>
          <w:t xml:space="preserve">Tabela </w:t>
        </w:r>
        <w:r w:rsidR="004F6944" w:rsidRPr="004F6944">
          <w:rPr>
            <w:rStyle w:val="Hyperlink"/>
            <w:noProof/>
          </w:rPr>
          <w:t>2.29.</w:t>
        </w:r>
        <w:r w:rsidR="004F6944" w:rsidRPr="004F6944">
          <w:rPr>
            <w:rStyle w:val="Hyperlink"/>
            <w:rFonts w:eastAsia="Calibri" w:cs="Calibri"/>
            <w:noProof/>
          </w:rPr>
          <w:t xml:space="preserve"> </w:t>
        </w:r>
        <w:r w:rsidR="004F6944" w:rsidRPr="004F6944">
          <w:rPr>
            <w:rStyle w:val="Hyperlink"/>
            <w:rFonts w:eastAsia="Calibri" w:cs="Calibri"/>
            <w:iCs/>
            <w:noProof/>
          </w:rPr>
          <w:t>Prikaz prosječnih vrijednosti metala u sedimentu tokom perioda istraživanja na lokacijama crnogorskog mora prema UNEP/MAP i OSPAR kriterijumima procjene</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_Toc83643175 \h </w:instrText>
        </w:r>
        <w:r w:rsidR="004F6944" w:rsidRPr="004F6944">
          <w:rPr>
            <w:noProof/>
            <w:webHidden/>
          </w:rPr>
        </w:r>
        <w:r w:rsidR="004F6944" w:rsidRPr="004F6944">
          <w:rPr>
            <w:noProof/>
            <w:webHidden/>
          </w:rPr>
          <w:fldChar w:fldCharType="separate"/>
        </w:r>
        <w:r w:rsidR="000D1E20">
          <w:rPr>
            <w:noProof/>
            <w:webHidden/>
          </w:rPr>
          <w:t>87</w:t>
        </w:r>
        <w:r w:rsidR="004F6944" w:rsidRPr="004F6944">
          <w:rPr>
            <w:noProof/>
            <w:webHidden/>
          </w:rPr>
          <w:fldChar w:fldCharType="end"/>
        </w:r>
      </w:hyperlink>
    </w:p>
    <w:p w14:paraId="2C90BF0C"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76" w:history="1">
        <w:r w:rsidR="004F6944" w:rsidRPr="004F6944">
          <w:rPr>
            <w:rStyle w:val="Hyperlink"/>
            <w:rFonts w:eastAsia="Calibri"/>
            <w:iCs/>
            <w:noProof/>
          </w:rPr>
          <w:t xml:space="preserve">Tabela </w:t>
        </w:r>
        <w:r w:rsidR="004F6944" w:rsidRPr="004F6944">
          <w:rPr>
            <w:rStyle w:val="Hyperlink"/>
            <w:noProof/>
          </w:rPr>
          <w:t>2.30.</w:t>
        </w:r>
        <w:r w:rsidR="004F6944" w:rsidRPr="004F6944">
          <w:rPr>
            <w:rStyle w:val="Hyperlink"/>
            <w:rFonts w:eastAsia="Calibri" w:cs="Calibri"/>
            <w:noProof/>
          </w:rPr>
          <w:t xml:space="preserve"> </w:t>
        </w:r>
        <w:r w:rsidR="004F6944" w:rsidRPr="004F6944">
          <w:rPr>
            <w:rStyle w:val="Hyperlink"/>
            <w:rFonts w:eastAsia="Calibri" w:cs="Calibri"/>
            <w:iCs/>
            <w:noProof/>
          </w:rPr>
          <w:t>Prikaz prosječnih vrijednosti PAH u sedimentu tokom perioda istraživanja na lokacijama crnogorskog mora prema UNEP/MAP i OSPAR kriterijumima procjene</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_Toc83643176 \h </w:instrText>
        </w:r>
        <w:r w:rsidR="004F6944" w:rsidRPr="004F6944">
          <w:rPr>
            <w:noProof/>
            <w:webHidden/>
          </w:rPr>
        </w:r>
        <w:r w:rsidR="004F6944" w:rsidRPr="004F6944">
          <w:rPr>
            <w:noProof/>
            <w:webHidden/>
          </w:rPr>
          <w:fldChar w:fldCharType="separate"/>
        </w:r>
        <w:r w:rsidR="000D1E20">
          <w:rPr>
            <w:noProof/>
            <w:webHidden/>
          </w:rPr>
          <w:t>88</w:t>
        </w:r>
        <w:r w:rsidR="004F6944" w:rsidRPr="004F6944">
          <w:rPr>
            <w:noProof/>
            <w:webHidden/>
          </w:rPr>
          <w:fldChar w:fldCharType="end"/>
        </w:r>
      </w:hyperlink>
    </w:p>
    <w:p w14:paraId="47FDEDED"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77" w:history="1">
        <w:r w:rsidR="004F6944" w:rsidRPr="004F6944">
          <w:rPr>
            <w:rStyle w:val="Hyperlink"/>
            <w:rFonts w:eastAsia="Calibri"/>
            <w:iCs/>
            <w:noProof/>
          </w:rPr>
          <w:t xml:space="preserve">Tabela </w:t>
        </w:r>
        <w:r w:rsidR="004F6944" w:rsidRPr="004F6944">
          <w:rPr>
            <w:rStyle w:val="Hyperlink"/>
            <w:noProof/>
          </w:rPr>
          <w:t>2.31.</w:t>
        </w:r>
        <w:r w:rsidR="004F6944" w:rsidRPr="004F6944">
          <w:rPr>
            <w:rStyle w:val="Hyperlink"/>
            <w:rFonts w:eastAsia="Calibri" w:cs="Calibri"/>
            <w:noProof/>
          </w:rPr>
          <w:t xml:space="preserve"> </w:t>
        </w:r>
        <w:r w:rsidR="004F6944" w:rsidRPr="004F6944">
          <w:rPr>
            <w:rStyle w:val="Hyperlink"/>
            <w:rFonts w:eastAsia="Calibri" w:cs="Calibri"/>
            <w:iCs/>
            <w:noProof/>
          </w:rPr>
          <w:t>Prikaz prosječnih vrijednosti PCB i OCl u sedimentu tokom perioda istraživanja na lokacijama crnogorskog mora prema UNEP/MAP i OSPAR kriterijumima procjene</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_Toc83643177 \h </w:instrText>
        </w:r>
        <w:r w:rsidR="004F6944" w:rsidRPr="004F6944">
          <w:rPr>
            <w:noProof/>
            <w:webHidden/>
          </w:rPr>
        </w:r>
        <w:r w:rsidR="004F6944" w:rsidRPr="004F6944">
          <w:rPr>
            <w:noProof/>
            <w:webHidden/>
          </w:rPr>
          <w:fldChar w:fldCharType="separate"/>
        </w:r>
        <w:r w:rsidR="000D1E20">
          <w:rPr>
            <w:noProof/>
            <w:webHidden/>
          </w:rPr>
          <w:t>89</w:t>
        </w:r>
        <w:r w:rsidR="004F6944" w:rsidRPr="004F6944">
          <w:rPr>
            <w:noProof/>
            <w:webHidden/>
          </w:rPr>
          <w:fldChar w:fldCharType="end"/>
        </w:r>
      </w:hyperlink>
    </w:p>
    <w:p w14:paraId="739D6A45"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78" w:history="1">
        <w:r w:rsidR="004F6944" w:rsidRPr="004F6944">
          <w:rPr>
            <w:rStyle w:val="Hyperlink"/>
            <w:rFonts w:eastAsia="Calibri"/>
            <w:iCs/>
            <w:noProof/>
          </w:rPr>
          <w:t xml:space="preserve">Tabela </w:t>
        </w:r>
        <w:r w:rsidR="004F6944" w:rsidRPr="004F6944">
          <w:rPr>
            <w:rStyle w:val="Hyperlink"/>
            <w:noProof/>
          </w:rPr>
          <w:t>2.32.</w:t>
        </w:r>
        <w:r w:rsidR="004F6944" w:rsidRPr="004F6944">
          <w:rPr>
            <w:rStyle w:val="Hyperlink"/>
            <w:rFonts w:eastAsia="Calibri" w:cs="Calibri"/>
            <w:noProof/>
          </w:rPr>
          <w:t xml:space="preserve"> P</w:t>
        </w:r>
        <w:r w:rsidR="004F6944" w:rsidRPr="004F6944">
          <w:rPr>
            <w:rStyle w:val="Hyperlink"/>
            <w:rFonts w:eastAsia="Calibri" w:cs="Calibri"/>
            <w:iCs/>
            <w:noProof/>
          </w:rPr>
          <w:t>rikaz prosječnih vrijednosti metala u bioti tokom perioda istraživanja na lokacijama crnogorskog mora prema UNEP/MAP i OSPAR kriterijumima procjene</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_Toc83643178 \h </w:instrText>
        </w:r>
        <w:r w:rsidR="004F6944" w:rsidRPr="004F6944">
          <w:rPr>
            <w:noProof/>
            <w:webHidden/>
          </w:rPr>
        </w:r>
        <w:r w:rsidR="004F6944" w:rsidRPr="004F6944">
          <w:rPr>
            <w:noProof/>
            <w:webHidden/>
          </w:rPr>
          <w:fldChar w:fldCharType="separate"/>
        </w:r>
        <w:r w:rsidR="000D1E20">
          <w:rPr>
            <w:noProof/>
            <w:webHidden/>
          </w:rPr>
          <w:t>90</w:t>
        </w:r>
        <w:r w:rsidR="004F6944" w:rsidRPr="004F6944">
          <w:rPr>
            <w:noProof/>
            <w:webHidden/>
          </w:rPr>
          <w:fldChar w:fldCharType="end"/>
        </w:r>
      </w:hyperlink>
    </w:p>
    <w:p w14:paraId="7902DCB6"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79" w:history="1">
        <w:r w:rsidR="004F6944" w:rsidRPr="004F6944">
          <w:rPr>
            <w:rStyle w:val="Hyperlink"/>
            <w:rFonts w:eastAsia="Calibri"/>
            <w:iCs/>
            <w:noProof/>
          </w:rPr>
          <w:t xml:space="preserve">Tabela </w:t>
        </w:r>
        <w:r w:rsidR="004F6944" w:rsidRPr="004F6944">
          <w:rPr>
            <w:rStyle w:val="Hyperlink"/>
            <w:noProof/>
          </w:rPr>
          <w:t>2.33.</w:t>
        </w:r>
        <w:r w:rsidR="004F6944" w:rsidRPr="004F6944">
          <w:rPr>
            <w:rStyle w:val="Hyperlink"/>
            <w:rFonts w:eastAsia="Calibri"/>
            <w:iCs/>
            <w:noProof/>
          </w:rPr>
          <w:t xml:space="preserve"> Prikaz prosječnih vrijednosti PAH-ova u bioti tokom perioda istraživanja na lokacijama crnogorskog mora prema UNEP/MAP i OSPAR kriterijumima procjene</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_Toc83643179 \h </w:instrText>
        </w:r>
        <w:r w:rsidR="004F6944" w:rsidRPr="004F6944">
          <w:rPr>
            <w:noProof/>
            <w:webHidden/>
          </w:rPr>
        </w:r>
        <w:r w:rsidR="004F6944" w:rsidRPr="004F6944">
          <w:rPr>
            <w:noProof/>
            <w:webHidden/>
          </w:rPr>
          <w:fldChar w:fldCharType="separate"/>
        </w:r>
        <w:r w:rsidR="000D1E20">
          <w:rPr>
            <w:noProof/>
            <w:webHidden/>
          </w:rPr>
          <w:t>91</w:t>
        </w:r>
        <w:r w:rsidR="004F6944" w:rsidRPr="004F6944">
          <w:rPr>
            <w:noProof/>
            <w:webHidden/>
          </w:rPr>
          <w:fldChar w:fldCharType="end"/>
        </w:r>
      </w:hyperlink>
    </w:p>
    <w:p w14:paraId="7DDA37DC"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80" w:history="1">
        <w:r w:rsidR="004F6944" w:rsidRPr="004F6944">
          <w:rPr>
            <w:rStyle w:val="Hyperlink"/>
            <w:rFonts w:eastAsia="Calibri"/>
            <w:iCs/>
            <w:noProof/>
          </w:rPr>
          <w:t xml:space="preserve">Tabela </w:t>
        </w:r>
        <w:r w:rsidR="004F6944" w:rsidRPr="004F6944">
          <w:rPr>
            <w:rStyle w:val="Hyperlink"/>
            <w:noProof/>
          </w:rPr>
          <w:t>2.34.</w:t>
        </w:r>
        <w:r w:rsidR="004F6944" w:rsidRPr="004F6944">
          <w:rPr>
            <w:rStyle w:val="Hyperlink"/>
            <w:rFonts w:eastAsia="Calibri"/>
            <w:iCs/>
            <w:noProof/>
          </w:rPr>
          <w:t xml:space="preserve"> Prikaz prosječnih vrijednosti PCB i OCl u bioti tokom perioda istraživanja na lokacijama crnogorskog mora prema UNEP/MAP i OSPAR kriterijumima procjene</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_Toc83643180 \h </w:instrText>
        </w:r>
        <w:r w:rsidR="004F6944" w:rsidRPr="004F6944">
          <w:rPr>
            <w:noProof/>
            <w:webHidden/>
          </w:rPr>
        </w:r>
        <w:r w:rsidR="004F6944" w:rsidRPr="004F6944">
          <w:rPr>
            <w:noProof/>
            <w:webHidden/>
          </w:rPr>
          <w:fldChar w:fldCharType="separate"/>
        </w:r>
        <w:r w:rsidR="000D1E20">
          <w:rPr>
            <w:noProof/>
            <w:webHidden/>
          </w:rPr>
          <w:t>92</w:t>
        </w:r>
        <w:r w:rsidR="004F6944" w:rsidRPr="004F6944">
          <w:rPr>
            <w:noProof/>
            <w:webHidden/>
          </w:rPr>
          <w:fldChar w:fldCharType="end"/>
        </w:r>
      </w:hyperlink>
    </w:p>
    <w:p w14:paraId="379DFBF7"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81" w:history="1">
        <w:r w:rsidR="004F6944" w:rsidRPr="004F6944">
          <w:rPr>
            <w:rStyle w:val="Hyperlink"/>
            <w:rFonts w:eastAsia="Calibri"/>
            <w:iCs/>
            <w:noProof/>
          </w:rPr>
          <w:t xml:space="preserve">Tabela </w:t>
        </w:r>
        <w:r w:rsidR="004F6944" w:rsidRPr="004F6944">
          <w:rPr>
            <w:rStyle w:val="Hyperlink"/>
            <w:noProof/>
          </w:rPr>
          <w:t>2.35.</w:t>
        </w:r>
        <w:r w:rsidR="004F6944" w:rsidRPr="004F6944">
          <w:rPr>
            <w:rStyle w:val="Hyperlink"/>
            <w:rFonts w:eastAsia="Calibri"/>
            <w:iCs/>
            <w:noProof/>
          </w:rPr>
          <w:t xml:space="preserve"> </w:t>
        </w:r>
        <w:r w:rsidR="004F6944" w:rsidRPr="004F6944">
          <w:rPr>
            <w:rStyle w:val="Hyperlink"/>
            <w:rFonts w:eastAsia="Calibri"/>
            <w:iCs/>
            <w:noProof/>
            <w:lang w:eastAsia="hr-HR"/>
          </w:rPr>
          <w:t>Procjena GES-a za sediment i biotu na pojedinačnim lokacijama</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_Toc83643181 \h </w:instrText>
        </w:r>
        <w:r w:rsidR="004F6944" w:rsidRPr="004F6944">
          <w:rPr>
            <w:noProof/>
            <w:webHidden/>
          </w:rPr>
        </w:r>
        <w:r w:rsidR="004F6944" w:rsidRPr="004F6944">
          <w:rPr>
            <w:noProof/>
            <w:webHidden/>
          </w:rPr>
          <w:fldChar w:fldCharType="separate"/>
        </w:r>
        <w:r w:rsidR="000D1E20">
          <w:rPr>
            <w:noProof/>
            <w:webHidden/>
          </w:rPr>
          <w:t>97</w:t>
        </w:r>
        <w:r w:rsidR="004F6944" w:rsidRPr="004F6944">
          <w:rPr>
            <w:noProof/>
            <w:webHidden/>
          </w:rPr>
          <w:fldChar w:fldCharType="end"/>
        </w:r>
      </w:hyperlink>
    </w:p>
    <w:p w14:paraId="42D8151D"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82" w:history="1">
        <w:r w:rsidR="004F6944" w:rsidRPr="004F6944">
          <w:rPr>
            <w:rStyle w:val="Hyperlink"/>
            <w:rFonts w:eastAsia="Calibri" w:cs="Calibri"/>
            <w:noProof/>
          </w:rPr>
          <w:t xml:space="preserve">Tabela </w:t>
        </w:r>
        <w:r w:rsidR="004F6944" w:rsidRPr="004F6944">
          <w:rPr>
            <w:rStyle w:val="Hyperlink"/>
            <w:noProof/>
          </w:rPr>
          <w:t>2.36.</w:t>
        </w:r>
        <w:r w:rsidR="004F6944" w:rsidRPr="004F6944">
          <w:rPr>
            <w:rStyle w:val="Hyperlink"/>
            <w:rFonts w:eastAsia="Calibri" w:cs="Calibri"/>
            <w:noProof/>
          </w:rPr>
          <w:t xml:space="preserve"> Procjena GES-a za D8 prema kriterijumima </w:t>
        </w:r>
        <w:r w:rsidR="004F6944" w:rsidRPr="004F6944">
          <w:rPr>
            <w:rStyle w:val="Hyperlink"/>
            <w:rFonts w:eastAsia="Calibri"/>
            <w:noProof/>
          </w:rPr>
          <w:t>Odluke Komisije 217/845/EU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_Toc83643182 \h </w:instrText>
        </w:r>
        <w:r w:rsidR="004F6944" w:rsidRPr="004F6944">
          <w:rPr>
            <w:noProof/>
            <w:webHidden/>
          </w:rPr>
        </w:r>
        <w:r w:rsidR="004F6944" w:rsidRPr="004F6944">
          <w:rPr>
            <w:noProof/>
            <w:webHidden/>
          </w:rPr>
          <w:fldChar w:fldCharType="separate"/>
        </w:r>
        <w:r w:rsidR="000D1E20">
          <w:rPr>
            <w:noProof/>
            <w:webHidden/>
          </w:rPr>
          <w:t>98</w:t>
        </w:r>
        <w:r w:rsidR="004F6944" w:rsidRPr="004F6944">
          <w:rPr>
            <w:noProof/>
            <w:webHidden/>
          </w:rPr>
          <w:fldChar w:fldCharType="end"/>
        </w:r>
      </w:hyperlink>
    </w:p>
    <w:p w14:paraId="76AEBFF7"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83" w:history="1">
        <w:r w:rsidR="004F6944" w:rsidRPr="004F6944">
          <w:rPr>
            <w:rStyle w:val="Hyperlink"/>
            <w:rFonts w:eastAsia="Calibri" w:cs="Calibri"/>
            <w:bCs/>
            <w:noProof/>
          </w:rPr>
          <w:t xml:space="preserve">Tabela </w:t>
        </w:r>
        <w:r w:rsidR="004F6944" w:rsidRPr="004F6944">
          <w:rPr>
            <w:rStyle w:val="Hyperlink"/>
            <w:noProof/>
          </w:rPr>
          <w:t>2.37.</w:t>
        </w:r>
        <w:r w:rsidR="004F6944" w:rsidRPr="004F6944">
          <w:rPr>
            <w:rStyle w:val="Hyperlink"/>
            <w:rFonts w:eastAsia="Calibri" w:cs="Calibri"/>
            <w:bCs/>
            <w:noProof/>
          </w:rPr>
          <w:t xml:space="preserve"> Ciljevi koji vode ka </w:t>
        </w:r>
        <w:r w:rsidR="004F6944" w:rsidRPr="004F6944">
          <w:rPr>
            <w:rStyle w:val="Hyperlink"/>
            <w:rFonts w:eastAsia="Calibri" w:cs="Calibri"/>
            <w:noProof/>
            <w:lang w:val="sr-Latn-ME"/>
          </w:rPr>
          <w:t xml:space="preserve">napretku u postizanju GES-a za Deskriptor </w:t>
        </w:r>
        <w:r w:rsidR="004F6944" w:rsidRPr="004F6944">
          <w:rPr>
            <w:rStyle w:val="Hyperlink"/>
            <w:rFonts w:eastAsia="Calibri" w:cs="Calibri"/>
            <w:bCs/>
            <w:noProof/>
          </w:rPr>
          <w:t>8.</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_Toc83643183 \h </w:instrText>
        </w:r>
        <w:r w:rsidR="004F6944" w:rsidRPr="004F6944">
          <w:rPr>
            <w:noProof/>
            <w:webHidden/>
          </w:rPr>
        </w:r>
        <w:r w:rsidR="004F6944" w:rsidRPr="004F6944">
          <w:rPr>
            <w:noProof/>
            <w:webHidden/>
          </w:rPr>
          <w:fldChar w:fldCharType="separate"/>
        </w:r>
        <w:r w:rsidR="000D1E20">
          <w:rPr>
            <w:noProof/>
            <w:webHidden/>
          </w:rPr>
          <w:t>99</w:t>
        </w:r>
        <w:r w:rsidR="004F6944" w:rsidRPr="004F6944">
          <w:rPr>
            <w:noProof/>
            <w:webHidden/>
          </w:rPr>
          <w:fldChar w:fldCharType="end"/>
        </w:r>
      </w:hyperlink>
    </w:p>
    <w:p w14:paraId="29075D0B"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84" w:history="1">
        <w:r w:rsidR="004F6944" w:rsidRPr="004F6944">
          <w:rPr>
            <w:rStyle w:val="Hyperlink"/>
            <w:rFonts w:eastAsia="Calibri"/>
            <w:iCs/>
            <w:noProof/>
          </w:rPr>
          <w:t xml:space="preserve">Tabela </w:t>
        </w:r>
        <w:r w:rsidR="004F6944" w:rsidRPr="004F6944">
          <w:rPr>
            <w:rStyle w:val="Hyperlink"/>
            <w:noProof/>
          </w:rPr>
          <w:t>2.38.</w:t>
        </w:r>
        <w:r w:rsidR="004F6944" w:rsidRPr="004F6944">
          <w:rPr>
            <w:rStyle w:val="Hyperlink"/>
            <w:rFonts w:eastAsia="Calibri" w:cs="Calibri"/>
            <w:noProof/>
          </w:rPr>
          <w:t xml:space="preserve"> K</w:t>
        </w:r>
        <w:r w:rsidR="004F6944" w:rsidRPr="004F6944">
          <w:rPr>
            <w:rStyle w:val="Hyperlink"/>
            <w:rFonts w:eastAsia="Calibri"/>
            <w:noProof/>
          </w:rPr>
          <w:t>riterijuma za procjenu GES-a za Deskriptor 9 prema Odluci Komisije 2017/848/EU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_Toc83643184 \h </w:instrText>
        </w:r>
        <w:r w:rsidR="004F6944" w:rsidRPr="004F6944">
          <w:rPr>
            <w:noProof/>
            <w:webHidden/>
          </w:rPr>
        </w:r>
        <w:r w:rsidR="004F6944" w:rsidRPr="004F6944">
          <w:rPr>
            <w:noProof/>
            <w:webHidden/>
          </w:rPr>
          <w:fldChar w:fldCharType="separate"/>
        </w:r>
        <w:r w:rsidR="000D1E20">
          <w:rPr>
            <w:noProof/>
            <w:webHidden/>
          </w:rPr>
          <w:t>101</w:t>
        </w:r>
        <w:r w:rsidR="004F6944" w:rsidRPr="004F6944">
          <w:rPr>
            <w:noProof/>
            <w:webHidden/>
          </w:rPr>
          <w:fldChar w:fldCharType="end"/>
        </w:r>
      </w:hyperlink>
    </w:p>
    <w:p w14:paraId="1A8941A5"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85" w:history="1">
        <w:r w:rsidR="004F6944" w:rsidRPr="004F6944">
          <w:rPr>
            <w:rStyle w:val="Hyperlink"/>
            <w:rFonts w:eastAsia="Calibri"/>
            <w:iCs/>
            <w:noProof/>
          </w:rPr>
          <w:t xml:space="preserve">Tabela </w:t>
        </w:r>
        <w:r w:rsidR="004F6944" w:rsidRPr="004F6944">
          <w:rPr>
            <w:rStyle w:val="Hyperlink"/>
            <w:noProof/>
          </w:rPr>
          <w:t>2.39.</w:t>
        </w:r>
        <w:r w:rsidR="004F6944" w:rsidRPr="004F6944">
          <w:rPr>
            <w:rStyle w:val="Hyperlink"/>
            <w:rFonts w:eastAsia="Calibri" w:cs="Calibri"/>
            <w:noProof/>
          </w:rPr>
          <w:t xml:space="preserve"> </w:t>
        </w:r>
        <w:r w:rsidR="004F6944" w:rsidRPr="004F6944">
          <w:rPr>
            <w:rStyle w:val="Hyperlink"/>
            <w:rFonts w:eastAsia="Calibri"/>
            <w:iCs/>
            <w:noProof/>
            <w:lang w:eastAsia="hr-HR"/>
          </w:rPr>
          <w:t>Procjena GES-a za školjke na pojedinačnim lokacijama</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_Toc83643185 \h </w:instrText>
        </w:r>
        <w:r w:rsidR="004F6944" w:rsidRPr="004F6944">
          <w:rPr>
            <w:noProof/>
            <w:webHidden/>
          </w:rPr>
        </w:r>
        <w:r w:rsidR="004F6944" w:rsidRPr="004F6944">
          <w:rPr>
            <w:noProof/>
            <w:webHidden/>
          </w:rPr>
          <w:fldChar w:fldCharType="separate"/>
        </w:r>
        <w:r w:rsidR="000D1E20">
          <w:rPr>
            <w:noProof/>
            <w:webHidden/>
          </w:rPr>
          <w:t>104</w:t>
        </w:r>
        <w:r w:rsidR="004F6944" w:rsidRPr="004F6944">
          <w:rPr>
            <w:noProof/>
            <w:webHidden/>
          </w:rPr>
          <w:fldChar w:fldCharType="end"/>
        </w:r>
      </w:hyperlink>
    </w:p>
    <w:p w14:paraId="1EA817D5"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86" w:history="1">
        <w:r w:rsidR="004F6944" w:rsidRPr="004F6944">
          <w:rPr>
            <w:rStyle w:val="Hyperlink"/>
            <w:rFonts w:eastAsia="Calibri"/>
            <w:noProof/>
          </w:rPr>
          <w:t xml:space="preserve">Tabela </w:t>
        </w:r>
        <w:r w:rsidR="004F6944" w:rsidRPr="004F6944">
          <w:rPr>
            <w:rStyle w:val="Hyperlink"/>
            <w:noProof/>
          </w:rPr>
          <w:t>2.40.</w:t>
        </w:r>
        <w:r w:rsidR="004F6944" w:rsidRPr="004F6944">
          <w:rPr>
            <w:rStyle w:val="Hyperlink"/>
            <w:rFonts w:eastAsia="Calibri" w:cs="Calibri"/>
            <w:noProof/>
          </w:rPr>
          <w:t xml:space="preserve"> Procjena GES-a za D9 u skladu sa kriterjumima iz </w:t>
        </w:r>
        <w:r w:rsidR="004F6944" w:rsidRPr="004F6944">
          <w:rPr>
            <w:rStyle w:val="Hyperlink"/>
            <w:rFonts w:eastAsia="Calibri" w:cs="Calibri"/>
            <w:noProof/>
            <w:shd w:val="clear" w:color="auto" w:fill="FFFFFF"/>
          </w:rPr>
          <w:t>Commission Decision (EU) 2017/848</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_Toc83643186 \h </w:instrText>
        </w:r>
        <w:r w:rsidR="004F6944" w:rsidRPr="004F6944">
          <w:rPr>
            <w:noProof/>
            <w:webHidden/>
          </w:rPr>
        </w:r>
        <w:r w:rsidR="004F6944" w:rsidRPr="004F6944">
          <w:rPr>
            <w:noProof/>
            <w:webHidden/>
          </w:rPr>
          <w:fldChar w:fldCharType="separate"/>
        </w:r>
        <w:r w:rsidR="000D1E20">
          <w:rPr>
            <w:noProof/>
            <w:webHidden/>
          </w:rPr>
          <w:t>105</w:t>
        </w:r>
        <w:r w:rsidR="004F6944" w:rsidRPr="004F6944">
          <w:rPr>
            <w:noProof/>
            <w:webHidden/>
          </w:rPr>
          <w:fldChar w:fldCharType="end"/>
        </w:r>
      </w:hyperlink>
    </w:p>
    <w:p w14:paraId="31A70565"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87" w:history="1">
        <w:r w:rsidR="004F6944" w:rsidRPr="004F6944">
          <w:rPr>
            <w:rStyle w:val="Hyperlink"/>
            <w:rFonts w:cs="Calibri"/>
            <w:noProof/>
          </w:rPr>
          <w:t xml:space="preserve">Tabela </w:t>
        </w:r>
        <w:r w:rsidR="004F6944" w:rsidRPr="004F6944">
          <w:rPr>
            <w:rStyle w:val="Hyperlink"/>
            <w:noProof/>
          </w:rPr>
          <w:t>2.41.</w:t>
        </w:r>
        <w:r w:rsidR="004F6944" w:rsidRPr="004F6944">
          <w:rPr>
            <w:rStyle w:val="Hyperlink"/>
            <w:rFonts w:eastAsia="Calibri" w:cs="Calibri"/>
            <w:noProof/>
          </w:rPr>
          <w:t xml:space="preserve"> C</w:t>
        </w:r>
        <w:r w:rsidR="004F6944" w:rsidRPr="004F6944">
          <w:rPr>
            <w:rStyle w:val="Hyperlink"/>
            <w:rFonts w:eastAsia="Calibri" w:cs="Calibri"/>
            <w:bCs/>
            <w:noProof/>
          </w:rPr>
          <w:t>iljevi koji vode ka napretku u postizanju GES-a za Descriptor 9.</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_Toc83643187 \h </w:instrText>
        </w:r>
        <w:r w:rsidR="004F6944" w:rsidRPr="004F6944">
          <w:rPr>
            <w:noProof/>
            <w:webHidden/>
          </w:rPr>
        </w:r>
        <w:r w:rsidR="004F6944" w:rsidRPr="004F6944">
          <w:rPr>
            <w:noProof/>
            <w:webHidden/>
          </w:rPr>
          <w:fldChar w:fldCharType="separate"/>
        </w:r>
        <w:r w:rsidR="000D1E20">
          <w:rPr>
            <w:noProof/>
            <w:webHidden/>
          </w:rPr>
          <w:t>105</w:t>
        </w:r>
        <w:r w:rsidR="004F6944" w:rsidRPr="004F6944">
          <w:rPr>
            <w:noProof/>
            <w:webHidden/>
          </w:rPr>
          <w:fldChar w:fldCharType="end"/>
        </w:r>
      </w:hyperlink>
    </w:p>
    <w:p w14:paraId="6F86C450"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88" w:history="1">
        <w:r w:rsidR="004F6944" w:rsidRPr="004F6944">
          <w:rPr>
            <w:rStyle w:val="Hyperlink"/>
            <w:rFonts w:eastAsia="Calibri" w:cs="Calibri"/>
            <w:noProof/>
            <w:lang w:val="sr-Latn-RS"/>
          </w:rPr>
          <w:t xml:space="preserve">Tabela </w:t>
        </w:r>
        <w:r w:rsidR="004F6944" w:rsidRPr="004F6944">
          <w:rPr>
            <w:rStyle w:val="Hyperlink"/>
            <w:rFonts w:cs="Calibri"/>
            <w:noProof/>
            <w:lang w:val="sr-Latn-RS"/>
          </w:rPr>
          <w:t>2.42.</w:t>
        </w:r>
        <w:r w:rsidR="004F6944" w:rsidRPr="004F6944">
          <w:rPr>
            <w:rStyle w:val="Hyperlink"/>
            <w:rFonts w:eastAsia="Calibri" w:cs="Calibri"/>
            <w:noProof/>
            <w:lang w:val="sr-Latn-RS"/>
          </w:rPr>
          <w:t xml:space="preserve"> Postojeći i projektovani pritisci za Deskriptor 10 u crnogorskom dijelu Jadranskog mora, u skladu sa podacima predstavljenim u Inicijalnoj procjeni stanja</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_Toc83643188 \h </w:instrText>
        </w:r>
        <w:r w:rsidR="004F6944" w:rsidRPr="004F6944">
          <w:rPr>
            <w:noProof/>
            <w:webHidden/>
          </w:rPr>
        </w:r>
        <w:r w:rsidR="004F6944" w:rsidRPr="004F6944">
          <w:rPr>
            <w:noProof/>
            <w:webHidden/>
          </w:rPr>
          <w:fldChar w:fldCharType="separate"/>
        </w:r>
        <w:r w:rsidR="000D1E20">
          <w:rPr>
            <w:noProof/>
            <w:webHidden/>
          </w:rPr>
          <w:t>107</w:t>
        </w:r>
        <w:r w:rsidR="004F6944" w:rsidRPr="004F6944">
          <w:rPr>
            <w:noProof/>
            <w:webHidden/>
          </w:rPr>
          <w:fldChar w:fldCharType="end"/>
        </w:r>
      </w:hyperlink>
    </w:p>
    <w:p w14:paraId="20261BFD"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89" w:history="1">
        <w:r w:rsidR="004F6944" w:rsidRPr="004F6944">
          <w:rPr>
            <w:rStyle w:val="Hyperlink"/>
            <w:rFonts w:eastAsia="Calibri" w:cs="Calibri"/>
            <w:iCs/>
            <w:noProof/>
            <w:lang w:val="sr-Latn-RS"/>
          </w:rPr>
          <w:t xml:space="preserve">Tabela </w:t>
        </w:r>
        <w:r w:rsidR="004F6944" w:rsidRPr="004F6944">
          <w:rPr>
            <w:rStyle w:val="Hyperlink"/>
            <w:rFonts w:cs="Calibri"/>
            <w:noProof/>
            <w:lang w:val="sr-Latn-RS"/>
          </w:rPr>
          <w:t>2.43.</w:t>
        </w:r>
        <w:r w:rsidR="004F6944" w:rsidRPr="004F6944">
          <w:rPr>
            <w:rStyle w:val="Hyperlink"/>
            <w:rFonts w:eastAsia="Calibri" w:cs="Calibri"/>
            <w:noProof/>
            <w:lang w:val="sr-Latn-RS"/>
          </w:rPr>
          <w:t xml:space="preserve"> Kriterijumi, elementi kriterijuma i metodološki standardi  za procjenu GES-a za D10.</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_Toc83643189 \h </w:instrText>
        </w:r>
        <w:r w:rsidR="004F6944" w:rsidRPr="004F6944">
          <w:rPr>
            <w:noProof/>
            <w:webHidden/>
          </w:rPr>
        </w:r>
        <w:r w:rsidR="004F6944" w:rsidRPr="004F6944">
          <w:rPr>
            <w:noProof/>
            <w:webHidden/>
          </w:rPr>
          <w:fldChar w:fldCharType="separate"/>
        </w:r>
        <w:r w:rsidR="000D1E20">
          <w:rPr>
            <w:noProof/>
            <w:webHidden/>
          </w:rPr>
          <w:t>110</w:t>
        </w:r>
        <w:r w:rsidR="004F6944" w:rsidRPr="004F6944">
          <w:rPr>
            <w:noProof/>
            <w:webHidden/>
          </w:rPr>
          <w:fldChar w:fldCharType="end"/>
        </w:r>
      </w:hyperlink>
    </w:p>
    <w:p w14:paraId="710C742D"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90" w:history="1">
        <w:r w:rsidR="004F6944" w:rsidRPr="004F6944">
          <w:rPr>
            <w:rStyle w:val="Hyperlink"/>
            <w:rFonts w:cs="Calibri"/>
            <w:noProof/>
            <w:lang w:val="sr-Latn-RS"/>
          </w:rPr>
          <w:t>Tabela 2.44.</w:t>
        </w:r>
        <w:r w:rsidR="004F6944" w:rsidRPr="004F6944">
          <w:rPr>
            <w:rStyle w:val="Hyperlink"/>
            <w:rFonts w:eastAsia="Calibri" w:cs="Calibri"/>
            <w:noProof/>
            <w:lang w:val="sr-Latn-RS"/>
          </w:rPr>
          <w:t xml:space="preserve"> Srednje vrijednosti otpada u moru u različitim odjeljcima morskog ekosistema</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_Toc83643190 \h </w:instrText>
        </w:r>
        <w:r w:rsidR="004F6944" w:rsidRPr="004F6944">
          <w:rPr>
            <w:noProof/>
            <w:webHidden/>
          </w:rPr>
        </w:r>
        <w:r w:rsidR="004F6944" w:rsidRPr="004F6944">
          <w:rPr>
            <w:noProof/>
            <w:webHidden/>
          </w:rPr>
          <w:fldChar w:fldCharType="separate"/>
        </w:r>
        <w:r w:rsidR="000D1E20">
          <w:rPr>
            <w:noProof/>
            <w:webHidden/>
          </w:rPr>
          <w:t>112</w:t>
        </w:r>
        <w:r w:rsidR="004F6944" w:rsidRPr="004F6944">
          <w:rPr>
            <w:noProof/>
            <w:webHidden/>
          </w:rPr>
          <w:fldChar w:fldCharType="end"/>
        </w:r>
      </w:hyperlink>
    </w:p>
    <w:p w14:paraId="05D1D631"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91" w:history="1">
        <w:r w:rsidR="004F6944" w:rsidRPr="004F6944">
          <w:rPr>
            <w:rStyle w:val="Hyperlink"/>
            <w:rFonts w:eastAsia="Arial" w:cs="Calibri"/>
            <w:noProof/>
            <w:lang w:val="sr-Latn-RS"/>
          </w:rPr>
          <w:t xml:space="preserve">Tabela </w:t>
        </w:r>
        <w:r w:rsidR="004F6944" w:rsidRPr="004F6944">
          <w:rPr>
            <w:rStyle w:val="Hyperlink"/>
            <w:rFonts w:cs="Calibri"/>
            <w:noProof/>
            <w:lang w:val="sr-Latn-RS"/>
          </w:rPr>
          <w:t>2.45.</w:t>
        </w:r>
        <w:r w:rsidR="004F6944" w:rsidRPr="004F6944">
          <w:rPr>
            <w:rStyle w:val="Hyperlink"/>
            <w:rFonts w:eastAsia="Calibri" w:cs="Calibri"/>
            <w:noProof/>
            <w:lang w:val="sr-Latn-RS"/>
          </w:rPr>
          <w:t xml:space="preserve"> </w:t>
        </w:r>
        <w:r w:rsidR="004F6944" w:rsidRPr="004F6944">
          <w:rPr>
            <w:rStyle w:val="Hyperlink"/>
            <w:rFonts w:eastAsia="Arial" w:cs="Calibri"/>
            <w:bCs/>
            <w:noProof/>
            <w:lang w:val="sr-Latn-RS"/>
          </w:rPr>
          <w:t xml:space="preserve">Medijana, srednja vrijednost i Triprosjek objedinjenih rezultata na nivou EU. Bazične vrijednosti za FISH – otpad iz sektora ribarstva, SUP – plastika za jednokratnu upotrebu, TA – Ukupna abundanca (u skladu sa Hanke G. </w:t>
        </w:r>
        <w:r w:rsidR="004F6944" w:rsidRPr="004F6944">
          <w:rPr>
            <w:rStyle w:val="Hyperlink"/>
            <w:rFonts w:eastAsia="Arial" w:cs="Calibri"/>
            <w:bCs/>
            <w:i/>
            <w:iCs/>
            <w:noProof/>
            <w:lang w:val="sr-Latn-RS"/>
          </w:rPr>
          <w:t>et al</w:t>
        </w:r>
        <w:r w:rsidR="004F6944" w:rsidRPr="004F6944">
          <w:rPr>
            <w:rStyle w:val="Hyperlink"/>
            <w:rFonts w:eastAsia="Arial" w:cs="Calibri"/>
            <w:bCs/>
            <w:noProof/>
            <w:lang w:val="sr-Latn-RS"/>
          </w:rPr>
          <w:t>., 2019).</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_Toc83643191 \h </w:instrText>
        </w:r>
        <w:r w:rsidR="004F6944" w:rsidRPr="004F6944">
          <w:rPr>
            <w:noProof/>
            <w:webHidden/>
          </w:rPr>
        </w:r>
        <w:r w:rsidR="004F6944" w:rsidRPr="004F6944">
          <w:rPr>
            <w:noProof/>
            <w:webHidden/>
          </w:rPr>
          <w:fldChar w:fldCharType="separate"/>
        </w:r>
        <w:r w:rsidR="000D1E20">
          <w:rPr>
            <w:noProof/>
            <w:webHidden/>
          </w:rPr>
          <w:t>113</w:t>
        </w:r>
        <w:r w:rsidR="004F6944" w:rsidRPr="004F6944">
          <w:rPr>
            <w:noProof/>
            <w:webHidden/>
          </w:rPr>
          <w:fldChar w:fldCharType="end"/>
        </w:r>
      </w:hyperlink>
    </w:p>
    <w:p w14:paraId="5E12C262"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92" w:history="1">
        <w:r w:rsidR="004F6944" w:rsidRPr="004F6944">
          <w:rPr>
            <w:rStyle w:val="Hyperlink"/>
            <w:rFonts w:cs="Calibri"/>
            <w:bCs/>
            <w:noProof/>
            <w:lang w:val="sr-Latn-RS"/>
          </w:rPr>
          <w:t xml:space="preserve">Tabela </w:t>
        </w:r>
        <w:r w:rsidR="004F6944" w:rsidRPr="004F6944">
          <w:rPr>
            <w:rStyle w:val="Hyperlink"/>
            <w:rFonts w:cs="Calibri"/>
            <w:noProof/>
            <w:lang w:val="sr-Latn-RS"/>
          </w:rPr>
          <w:t>2.46.</w:t>
        </w:r>
        <w:r w:rsidR="004F6944" w:rsidRPr="004F6944">
          <w:rPr>
            <w:rStyle w:val="Hyperlink"/>
            <w:rFonts w:eastAsia="Calibri" w:cs="Calibri"/>
            <w:noProof/>
            <w:lang w:val="sr-Latn-RS"/>
          </w:rPr>
          <w:t xml:space="preserve"> </w:t>
        </w:r>
        <w:r w:rsidR="004F6944" w:rsidRPr="004F6944">
          <w:rPr>
            <w:rStyle w:val="Hyperlink"/>
            <w:rFonts w:cs="Calibri"/>
            <w:bCs/>
            <w:noProof/>
            <w:lang w:val="sr-Latn-RS"/>
          </w:rPr>
          <w:t xml:space="preserve"> </w:t>
        </w:r>
        <w:r w:rsidR="004F6944" w:rsidRPr="004F6944">
          <w:rPr>
            <w:rStyle w:val="Hyperlink"/>
            <w:rFonts w:eastAsia="Calibri" w:cs="Calibri"/>
            <w:noProof/>
            <w:lang w:val="sr-Latn-RS"/>
          </w:rPr>
          <w:t>GES procjena po kriterijumima u skladu sa odlukom Komisije 2017/845/EU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_Toc83643192 \h </w:instrText>
        </w:r>
        <w:r w:rsidR="004F6944" w:rsidRPr="004F6944">
          <w:rPr>
            <w:noProof/>
            <w:webHidden/>
          </w:rPr>
        </w:r>
        <w:r w:rsidR="004F6944" w:rsidRPr="004F6944">
          <w:rPr>
            <w:noProof/>
            <w:webHidden/>
          </w:rPr>
          <w:fldChar w:fldCharType="separate"/>
        </w:r>
        <w:r w:rsidR="000D1E20">
          <w:rPr>
            <w:noProof/>
            <w:webHidden/>
          </w:rPr>
          <w:t>115</w:t>
        </w:r>
        <w:r w:rsidR="004F6944" w:rsidRPr="004F6944">
          <w:rPr>
            <w:noProof/>
            <w:webHidden/>
          </w:rPr>
          <w:fldChar w:fldCharType="end"/>
        </w:r>
      </w:hyperlink>
    </w:p>
    <w:p w14:paraId="10B8065E"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93" w:history="1">
        <w:r w:rsidR="004F6944" w:rsidRPr="004F6944">
          <w:rPr>
            <w:rStyle w:val="Hyperlink"/>
            <w:rFonts w:cs="Calibri"/>
            <w:noProof/>
            <w:lang w:val="sr-Latn-RS"/>
          </w:rPr>
          <w:t>Tabela 2.47.</w:t>
        </w:r>
        <w:r w:rsidR="004F6944" w:rsidRPr="004F6944">
          <w:rPr>
            <w:rStyle w:val="Hyperlink"/>
            <w:rFonts w:eastAsia="Calibri" w:cs="Calibri"/>
            <w:noProof/>
            <w:lang w:val="sr-Latn-RS"/>
          </w:rPr>
          <w:t xml:space="preserve"> Ciljevi koji vode ka napretku u postizanju GES-a za D10</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_Toc83643193 \h </w:instrText>
        </w:r>
        <w:r w:rsidR="004F6944" w:rsidRPr="004F6944">
          <w:rPr>
            <w:noProof/>
            <w:webHidden/>
          </w:rPr>
        </w:r>
        <w:r w:rsidR="004F6944" w:rsidRPr="004F6944">
          <w:rPr>
            <w:noProof/>
            <w:webHidden/>
          </w:rPr>
          <w:fldChar w:fldCharType="separate"/>
        </w:r>
        <w:r w:rsidR="000D1E20">
          <w:rPr>
            <w:noProof/>
            <w:webHidden/>
          </w:rPr>
          <w:t>116</w:t>
        </w:r>
        <w:r w:rsidR="004F6944" w:rsidRPr="004F6944">
          <w:rPr>
            <w:noProof/>
            <w:webHidden/>
          </w:rPr>
          <w:fldChar w:fldCharType="end"/>
        </w:r>
      </w:hyperlink>
    </w:p>
    <w:p w14:paraId="7ED8F2AD"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94" w:history="1">
        <w:r w:rsidR="004F6944" w:rsidRPr="004F6944">
          <w:rPr>
            <w:rStyle w:val="Hyperlink"/>
            <w:rFonts w:eastAsia="Calibri" w:cs="Calibri"/>
            <w:bCs/>
            <w:noProof/>
            <w:lang w:eastAsia="hr-HR"/>
          </w:rPr>
          <w:t xml:space="preserve">Tabela </w:t>
        </w:r>
        <w:r w:rsidR="004F6944" w:rsidRPr="004F6944">
          <w:rPr>
            <w:rStyle w:val="Hyperlink"/>
            <w:noProof/>
          </w:rPr>
          <w:t>2.48.</w:t>
        </w:r>
        <w:r w:rsidR="004F6944" w:rsidRPr="004F6944">
          <w:rPr>
            <w:rStyle w:val="Hyperlink"/>
            <w:rFonts w:eastAsia="Calibri" w:cs="Calibri"/>
            <w:noProof/>
          </w:rPr>
          <w:t xml:space="preserve"> </w:t>
        </w:r>
        <w:r w:rsidR="004F6944" w:rsidRPr="004F6944">
          <w:rPr>
            <w:rStyle w:val="Hyperlink"/>
            <w:rFonts w:eastAsia="Calibri" w:cs="Calibri"/>
            <w:noProof/>
            <w:lang w:val="sr-Latn-RS"/>
          </w:rPr>
          <w:t>Kriterijumi, elementi kriterijuma i metodološki standardi  za procjenu GES-a za D11.</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_Toc83643194 \h </w:instrText>
        </w:r>
        <w:r w:rsidR="004F6944" w:rsidRPr="004F6944">
          <w:rPr>
            <w:noProof/>
            <w:webHidden/>
          </w:rPr>
        </w:r>
        <w:r w:rsidR="004F6944" w:rsidRPr="004F6944">
          <w:rPr>
            <w:noProof/>
            <w:webHidden/>
          </w:rPr>
          <w:fldChar w:fldCharType="separate"/>
        </w:r>
        <w:r w:rsidR="000D1E20">
          <w:rPr>
            <w:noProof/>
            <w:webHidden/>
          </w:rPr>
          <w:t>119</w:t>
        </w:r>
        <w:r w:rsidR="004F6944" w:rsidRPr="004F6944">
          <w:rPr>
            <w:noProof/>
            <w:webHidden/>
          </w:rPr>
          <w:fldChar w:fldCharType="end"/>
        </w:r>
      </w:hyperlink>
    </w:p>
    <w:p w14:paraId="63E2CF55"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95" w:history="1">
        <w:r w:rsidR="004F6944" w:rsidRPr="004F6944">
          <w:rPr>
            <w:rStyle w:val="Hyperlink"/>
            <w:noProof/>
          </w:rPr>
          <w:t>Tabela 2.49.</w:t>
        </w:r>
        <w:r w:rsidR="004F6944" w:rsidRPr="004F6944">
          <w:rPr>
            <w:rStyle w:val="Hyperlink"/>
            <w:rFonts w:eastAsia="Calibri" w:cs="Calibri"/>
            <w:noProof/>
          </w:rPr>
          <w:t xml:space="preserve"> Procjena GES-a za Deskriptor 11 prema kriterijumima iz Odluke Komisije </w:t>
        </w:r>
        <w:r w:rsidR="004F6944" w:rsidRPr="004F6944">
          <w:rPr>
            <w:rStyle w:val="Hyperlink"/>
            <w:rFonts w:eastAsia="Calibri"/>
            <w:noProof/>
          </w:rPr>
          <w:t>217/845/EU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_Toc83643195 \h </w:instrText>
        </w:r>
        <w:r w:rsidR="004F6944" w:rsidRPr="004F6944">
          <w:rPr>
            <w:noProof/>
            <w:webHidden/>
          </w:rPr>
        </w:r>
        <w:r w:rsidR="004F6944" w:rsidRPr="004F6944">
          <w:rPr>
            <w:noProof/>
            <w:webHidden/>
          </w:rPr>
          <w:fldChar w:fldCharType="separate"/>
        </w:r>
        <w:r w:rsidR="000D1E20">
          <w:rPr>
            <w:noProof/>
            <w:webHidden/>
          </w:rPr>
          <w:t>121</w:t>
        </w:r>
        <w:r w:rsidR="004F6944" w:rsidRPr="004F6944">
          <w:rPr>
            <w:noProof/>
            <w:webHidden/>
          </w:rPr>
          <w:fldChar w:fldCharType="end"/>
        </w:r>
      </w:hyperlink>
    </w:p>
    <w:p w14:paraId="0F38CCB8"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96" w:history="1">
        <w:r w:rsidR="004F6944" w:rsidRPr="004F6944">
          <w:rPr>
            <w:rStyle w:val="Hyperlink"/>
            <w:noProof/>
          </w:rPr>
          <w:t>Tabela 2.50. Ciljevi</w:t>
        </w:r>
        <w:r w:rsidR="004F6944" w:rsidRPr="004F6944">
          <w:rPr>
            <w:rStyle w:val="Hyperlink"/>
            <w:rFonts w:eastAsia="Calibri" w:cs="Calibri"/>
            <w:noProof/>
          </w:rPr>
          <w:t xml:space="preserve"> koji vode ka napretku u postizanju GES-a za Deskriptor 11.</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_Toc83643196 \h </w:instrText>
        </w:r>
        <w:r w:rsidR="004F6944" w:rsidRPr="004F6944">
          <w:rPr>
            <w:noProof/>
            <w:webHidden/>
          </w:rPr>
        </w:r>
        <w:r w:rsidR="004F6944" w:rsidRPr="004F6944">
          <w:rPr>
            <w:noProof/>
            <w:webHidden/>
          </w:rPr>
          <w:fldChar w:fldCharType="separate"/>
        </w:r>
        <w:r w:rsidR="000D1E20">
          <w:rPr>
            <w:noProof/>
            <w:webHidden/>
          </w:rPr>
          <w:t>121</w:t>
        </w:r>
        <w:r w:rsidR="004F6944" w:rsidRPr="004F6944">
          <w:rPr>
            <w:noProof/>
            <w:webHidden/>
          </w:rPr>
          <w:fldChar w:fldCharType="end"/>
        </w:r>
      </w:hyperlink>
    </w:p>
    <w:p w14:paraId="11126459"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97" w:history="1">
        <w:r w:rsidR="004F6944" w:rsidRPr="004F6944">
          <w:rPr>
            <w:rStyle w:val="Hyperlink"/>
            <w:bCs/>
            <w:noProof/>
          </w:rPr>
          <w:t xml:space="preserve">Tabela </w:t>
        </w:r>
        <w:r w:rsidR="004F6944" w:rsidRPr="004F6944">
          <w:rPr>
            <w:rStyle w:val="Hyperlink"/>
            <w:noProof/>
          </w:rPr>
          <w:t>3.1.</w:t>
        </w:r>
        <w:r w:rsidR="004F6944" w:rsidRPr="004F6944">
          <w:rPr>
            <w:rStyle w:val="Hyperlink"/>
            <w:rFonts w:eastAsia="Calibri" w:cs="Calibri"/>
            <w:noProof/>
          </w:rPr>
          <w:t xml:space="preserve"> </w:t>
        </w:r>
        <w:r w:rsidR="004F6944" w:rsidRPr="004F6944">
          <w:rPr>
            <w:rStyle w:val="Hyperlink"/>
            <w:bCs/>
            <w:noProof/>
          </w:rPr>
          <w:t>Odnos između HBDSEG komponenata podgrupe biodiverziteta i ODMS deskriptora biodiverziteta</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_Toc83643197 \h </w:instrText>
        </w:r>
        <w:r w:rsidR="004F6944" w:rsidRPr="004F6944">
          <w:rPr>
            <w:noProof/>
            <w:webHidden/>
          </w:rPr>
        </w:r>
        <w:r w:rsidR="004F6944" w:rsidRPr="004F6944">
          <w:rPr>
            <w:noProof/>
            <w:webHidden/>
          </w:rPr>
          <w:fldChar w:fldCharType="separate"/>
        </w:r>
        <w:r w:rsidR="000D1E20">
          <w:rPr>
            <w:noProof/>
            <w:webHidden/>
          </w:rPr>
          <w:t>125</w:t>
        </w:r>
        <w:r w:rsidR="004F6944" w:rsidRPr="004F6944">
          <w:rPr>
            <w:noProof/>
            <w:webHidden/>
          </w:rPr>
          <w:fldChar w:fldCharType="end"/>
        </w:r>
      </w:hyperlink>
    </w:p>
    <w:p w14:paraId="09A051F9"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98" w:history="1">
        <w:r w:rsidR="004F6944" w:rsidRPr="004F6944">
          <w:rPr>
            <w:rStyle w:val="Hyperlink"/>
            <w:rFonts w:eastAsia="Calibri"/>
            <w:noProof/>
            <w:shd w:val="clear" w:color="auto" w:fill="FFFFFF"/>
          </w:rPr>
          <w:t xml:space="preserve">Tabela </w:t>
        </w:r>
        <w:r w:rsidR="004F6944" w:rsidRPr="004F6944">
          <w:rPr>
            <w:rStyle w:val="Hyperlink"/>
            <w:noProof/>
          </w:rPr>
          <w:t>3.2.</w:t>
        </w:r>
        <w:r w:rsidR="004F6944" w:rsidRPr="004F6944">
          <w:rPr>
            <w:rStyle w:val="Hyperlink"/>
            <w:rFonts w:eastAsia="Calibri" w:cs="Calibri"/>
            <w:noProof/>
          </w:rPr>
          <w:t xml:space="preserve"> Pregled najvažnijih pritisaka i aktivnosti koje utiču na morske ptice u crnogorskom dijelu Jadrana.</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_Toc83643198 \h </w:instrText>
        </w:r>
        <w:r w:rsidR="004F6944" w:rsidRPr="004F6944">
          <w:rPr>
            <w:noProof/>
            <w:webHidden/>
          </w:rPr>
        </w:r>
        <w:r w:rsidR="004F6944" w:rsidRPr="004F6944">
          <w:rPr>
            <w:noProof/>
            <w:webHidden/>
          </w:rPr>
          <w:fldChar w:fldCharType="separate"/>
        </w:r>
        <w:r w:rsidR="000D1E20">
          <w:rPr>
            <w:noProof/>
            <w:webHidden/>
          </w:rPr>
          <w:t>127</w:t>
        </w:r>
        <w:r w:rsidR="004F6944" w:rsidRPr="004F6944">
          <w:rPr>
            <w:noProof/>
            <w:webHidden/>
          </w:rPr>
          <w:fldChar w:fldCharType="end"/>
        </w:r>
      </w:hyperlink>
    </w:p>
    <w:p w14:paraId="6675744D"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199" w:history="1">
        <w:r w:rsidR="004F6944" w:rsidRPr="004F6944">
          <w:rPr>
            <w:rStyle w:val="Hyperlink"/>
            <w:rFonts w:eastAsia="Calibri"/>
            <w:bCs/>
            <w:noProof/>
          </w:rPr>
          <w:t xml:space="preserve">Tabela </w:t>
        </w:r>
        <w:r w:rsidR="004F6944" w:rsidRPr="004F6944">
          <w:rPr>
            <w:rStyle w:val="Hyperlink"/>
            <w:noProof/>
          </w:rPr>
          <w:t>3.3.</w:t>
        </w:r>
        <w:r w:rsidR="004F6944" w:rsidRPr="004F6944">
          <w:rPr>
            <w:rStyle w:val="Hyperlink"/>
            <w:rFonts w:eastAsia="Calibri" w:cs="Calibri"/>
            <w:noProof/>
          </w:rPr>
          <w:t xml:space="preserve"> </w:t>
        </w:r>
        <w:r w:rsidR="004F6944" w:rsidRPr="004F6944">
          <w:rPr>
            <w:rStyle w:val="Hyperlink"/>
            <w:rFonts w:cstheme="minorHAnsi"/>
            <w:noProof/>
            <w:lang w:val="sr-Latn-ME"/>
          </w:rPr>
          <w:t>Lista obalnih i morskih ptica Crne Gore sa Aneksa II Protokola Barselonske konvencije o zaštiti posebno zaštićenih područja i biodiverziteta Mediterana</w:t>
        </w:r>
        <w:r w:rsidR="004F6944" w:rsidRPr="004F6944">
          <w:rPr>
            <w:rStyle w:val="Hyperlink"/>
            <w:rFonts w:eastAsia="Calibri"/>
            <w:bCs/>
            <w:noProof/>
          </w:rPr>
          <w:t xml:space="preserve">. </w:t>
        </w:r>
        <w:r w:rsidR="004F6944" w:rsidRPr="004F6944">
          <w:rPr>
            <w:rStyle w:val="Hyperlink"/>
            <w:rFonts w:eastAsia="Calibri"/>
            <w:bCs/>
            <w:i/>
            <w:noProof/>
          </w:rPr>
          <w:t>Izvor: Početna procjena stanja morske sredine Crne Gore, 2020.</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_Toc83643199 \h </w:instrText>
        </w:r>
        <w:r w:rsidR="004F6944" w:rsidRPr="004F6944">
          <w:rPr>
            <w:noProof/>
            <w:webHidden/>
          </w:rPr>
        </w:r>
        <w:r w:rsidR="004F6944" w:rsidRPr="004F6944">
          <w:rPr>
            <w:noProof/>
            <w:webHidden/>
          </w:rPr>
          <w:fldChar w:fldCharType="separate"/>
        </w:r>
        <w:r w:rsidR="000D1E20">
          <w:rPr>
            <w:noProof/>
            <w:webHidden/>
          </w:rPr>
          <w:t>128</w:t>
        </w:r>
        <w:r w:rsidR="004F6944" w:rsidRPr="004F6944">
          <w:rPr>
            <w:noProof/>
            <w:webHidden/>
          </w:rPr>
          <w:fldChar w:fldCharType="end"/>
        </w:r>
      </w:hyperlink>
    </w:p>
    <w:p w14:paraId="42FBACAD"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200" w:history="1">
        <w:r w:rsidR="004F6944" w:rsidRPr="004F6944">
          <w:rPr>
            <w:rStyle w:val="Hyperlink"/>
            <w:rFonts w:eastAsia="Calibri" w:cs="Calibri"/>
            <w:bCs/>
            <w:noProof/>
            <w:lang w:eastAsia="hr-HR"/>
          </w:rPr>
          <w:t xml:space="preserve">Tabela </w:t>
        </w:r>
        <w:r w:rsidR="004F6944" w:rsidRPr="004F6944">
          <w:rPr>
            <w:rStyle w:val="Hyperlink"/>
            <w:noProof/>
          </w:rPr>
          <w:t>3.4.</w:t>
        </w:r>
        <w:r w:rsidR="004F6944" w:rsidRPr="004F6944">
          <w:rPr>
            <w:rStyle w:val="Hyperlink"/>
            <w:rFonts w:eastAsia="Calibri" w:cs="Calibri"/>
            <w:noProof/>
          </w:rPr>
          <w:t xml:space="preserve"> </w:t>
        </w:r>
        <w:r w:rsidR="004F6944" w:rsidRPr="004F6944">
          <w:rPr>
            <w:rStyle w:val="Hyperlink"/>
            <w:rFonts w:eastAsia="Calibri"/>
            <w:noProof/>
          </w:rPr>
          <w:t xml:space="preserve">Pregled kriterijuma za procjenu GES-a za </w:t>
        </w:r>
        <w:r w:rsidR="004F6944" w:rsidRPr="004F6944">
          <w:rPr>
            <w:rStyle w:val="Hyperlink"/>
            <w:rFonts w:eastAsia="Calibri" w:cs="Calibri"/>
            <w:noProof/>
          </w:rPr>
          <w:t>morske ptice, prema Odluci Komisije 2017/848/EU.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_Toc83643200 \h </w:instrText>
        </w:r>
        <w:r w:rsidR="004F6944" w:rsidRPr="004F6944">
          <w:rPr>
            <w:noProof/>
            <w:webHidden/>
          </w:rPr>
        </w:r>
        <w:r w:rsidR="004F6944" w:rsidRPr="004F6944">
          <w:rPr>
            <w:noProof/>
            <w:webHidden/>
          </w:rPr>
          <w:fldChar w:fldCharType="separate"/>
        </w:r>
        <w:r w:rsidR="000D1E20">
          <w:rPr>
            <w:noProof/>
            <w:webHidden/>
          </w:rPr>
          <w:t>130</w:t>
        </w:r>
        <w:r w:rsidR="004F6944" w:rsidRPr="004F6944">
          <w:rPr>
            <w:noProof/>
            <w:webHidden/>
          </w:rPr>
          <w:fldChar w:fldCharType="end"/>
        </w:r>
      </w:hyperlink>
    </w:p>
    <w:p w14:paraId="4C1C489B"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201" w:history="1">
        <w:r w:rsidR="004F6944" w:rsidRPr="004F6944">
          <w:rPr>
            <w:rStyle w:val="Hyperlink"/>
            <w:rFonts w:eastAsia="Calibri" w:cs="Calibri"/>
            <w:noProof/>
          </w:rPr>
          <w:t xml:space="preserve">Tabela </w:t>
        </w:r>
        <w:r w:rsidR="004F6944" w:rsidRPr="004F6944">
          <w:rPr>
            <w:rStyle w:val="Hyperlink"/>
            <w:noProof/>
          </w:rPr>
          <w:t>3.5.</w:t>
        </w:r>
        <w:r w:rsidR="004F6944" w:rsidRPr="004F6944">
          <w:rPr>
            <w:rStyle w:val="Hyperlink"/>
            <w:rFonts w:eastAsia="Calibri" w:cs="Calibri"/>
            <w:noProof/>
          </w:rPr>
          <w:t xml:space="preserve"> Procjena GES-a za morske ptice prema riterijumima iz Odluke Komisije 2017/845/EU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_Toc83643201 \h </w:instrText>
        </w:r>
        <w:r w:rsidR="004F6944" w:rsidRPr="004F6944">
          <w:rPr>
            <w:noProof/>
            <w:webHidden/>
          </w:rPr>
        </w:r>
        <w:r w:rsidR="004F6944" w:rsidRPr="004F6944">
          <w:rPr>
            <w:noProof/>
            <w:webHidden/>
          </w:rPr>
          <w:fldChar w:fldCharType="separate"/>
        </w:r>
        <w:r w:rsidR="000D1E20">
          <w:rPr>
            <w:noProof/>
            <w:webHidden/>
          </w:rPr>
          <w:t>130</w:t>
        </w:r>
        <w:r w:rsidR="004F6944" w:rsidRPr="004F6944">
          <w:rPr>
            <w:noProof/>
            <w:webHidden/>
          </w:rPr>
          <w:fldChar w:fldCharType="end"/>
        </w:r>
      </w:hyperlink>
    </w:p>
    <w:p w14:paraId="741A4164"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202" w:history="1">
        <w:r w:rsidR="004F6944" w:rsidRPr="004F6944">
          <w:rPr>
            <w:rStyle w:val="Hyperlink"/>
            <w:rFonts w:eastAsia="Calibri" w:cs="Calibri"/>
            <w:noProof/>
          </w:rPr>
          <w:t xml:space="preserve">Tabela </w:t>
        </w:r>
        <w:r w:rsidR="004F6944" w:rsidRPr="004F6944">
          <w:rPr>
            <w:rStyle w:val="Hyperlink"/>
            <w:noProof/>
          </w:rPr>
          <w:t>3.6.</w:t>
        </w:r>
        <w:r w:rsidR="004F6944" w:rsidRPr="004F6944">
          <w:rPr>
            <w:rStyle w:val="Hyperlink"/>
            <w:rFonts w:eastAsia="Calibri" w:cs="Calibri"/>
            <w:noProof/>
          </w:rPr>
          <w:t xml:space="preserve"> </w:t>
        </w:r>
        <w:r w:rsidR="004F6944" w:rsidRPr="004F6944">
          <w:rPr>
            <w:rStyle w:val="Hyperlink"/>
            <w:noProof/>
          </w:rPr>
          <w:t>Ciljevi</w:t>
        </w:r>
        <w:r w:rsidR="004F6944" w:rsidRPr="004F6944">
          <w:rPr>
            <w:rStyle w:val="Hyperlink"/>
            <w:rFonts w:eastAsia="Calibri" w:cs="Calibri"/>
            <w:noProof/>
          </w:rPr>
          <w:t xml:space="preserve"> koji vode ka napretku u postizanju GES-a za morske ptce</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_Toc83643202 \h </w:instrText>
        </w:r>
        <w:r w:rsidR="004F6944" w:rsidRPr="004F6944">
          <w:rPr>
            <w:noProof/>
            <w:webHidden/>
          </w:rPr>
        </w:r>
        <w:r w:rsidR="004F6944" w:rsidRPr="004F6944">
          <w:rPr>
            <w:noProof/>
            <w:webHidden/>
          </w:rPr>
          <w:fldChar w:fldCharType="separate"/>
        </w:r>
        <w:r w:rsidR="000D1E20">
          <w:rPr>
            <w:noProof/>
            <w:webHidden/>
          </w:rPr>
          <w:t>131</w:t>
        </w:r>
        <w:r w:rsidR="004F6944" w:rsidRPr="004F6944">
          <w:rPr>
            <w:noProof/>
            <w:webHidden/>
          </w:rPr>
          <w:fldChar w:fldCharType="end"/>
        </w:r>
      </w:hyperlink>
    </w:p>
    <w:p w14:paraId="2E4B866D"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203" w:history="1">
        <w:r w:rsidR="004F6944" w:rsidRPr="004F6944">
          <w:rPr>
            <w:rStyle w:val="Hyperlink"/>
            <w:rFonts w:eastAsia="Calibri"/>
            <w:noProof/>
          </w:rPr>
          <w:t xml:space="preserve">Tabela </w:t>
        </w:r>
        <w:r w:rsidR="004F6944" w:rsidRPr="004F6944">
          <w:rPr>
            <w:rStyle w:val="Hyperlink"/>
            <w:noProof/>
          </w:rPr>
          <w:t>3.7.</w:t>
        </w:r>
        <w:r w:rsidR="004F6944" w:rsidRPr="004F6944">
          <w:rPr>
            <w:rStyle w:val="Hyperlink"/>
            <w:rFonts w:eastAsia="Calibri" w:cs="Calibri"/>
            <w:noProof/>
          </w:rPr>
          <w:t xml:space="preserve"> Pregled najvažnijih pritisaka i aktivnosti koje utiču na morske sisare</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_Toc83643203 \h </w:instrText>
        </w:r>
        <w:r w:rsidR="004F6944" w:rsidRPr="004F6944">
          <w:rPr>
            <w:noProof/>
            <w:webHidden/>
          </w:rPr>
        </w:r>
        <w:r w:rsidR="004F6944" w:rsidRPr="004F6944">
          <w:rPr>
            <w:noProof/>
            <w:webHidden/>
          </w:rPr>
          <w:fldChar w:fldCharType="separate"/>
        </w:r>
        <w:r w:rsidR="000D1E20">
          <w:rPr>
            <w:noProof/>
            <w:webHidden/>
          </w:rPr>
          <w:t>133</w:t>
        </w:r>
        <w:r w:rsidR="004F6944" w:rsidRPr="004F6944">
          <w:rPr>
            <w:noProof/>
            <w:webHidden/>
          </w:rPr>
          <w:fldChar w:fldCharType="end"/>
        </w:r>
      </w:hyperlink>
    </w:p>
    <w:p w14:paraId="2270C90F"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204" w:history="1">
        <w:r w:rsidR="004F6944" w:rsidRPr="004F6944">
          <w:rPr>
            <w:rStyle w:val="Hyperlink"/>
            <w:bCs/>
            <w:noProof/>
            <w:lang w:eastAsia="hr-HR"/>
          </w:rPr>
          <w:t xml:space="preserve">Tabela </w:t>
        </w:r>
        <w:r w:rsidR="004F6944" w:rsidRPr="004F6944">
          <w:rPr>
            <w:rStyle w:val="Hyperlink"/>
            <w:noProof/>
          </w:rPr>
          <w:t>3.8.Procjena brojnosti običnih kljunastih delfina</w:t>
        </w:r>
        <w:r w:rsidR="004F6944" w:rsidRPr="004F6944">
          <w:rPr>
            <w:rStyle w:val="Hyperlink"/>
            <w:bCs/>
            <w:noProof/>
            <w:lang w:eastAsia="hr-HR"/>
          </w:rPr>
          <w:t xml:space="preserve"> (</w:t>
        </w:r>
        <w:r w:rsidR="004F6944" w:rsidRPr="004F6944">
          <w:rPr>
            <w:rStyle w:val="Hyperlink"/>
            <w:bCs/>
            <w:i/>
            <w:iCs/>
            <w:noProof/>
            <w:lang w:eastAsia="hr-HR"/>
          </w:rPr>
          <w:t>Tursiops truncatus</w:t>
        </w:r>
        <w:r w:rsidR="004F6944" w:rsidRPr="004F6944">
          <w:rPr>
            <w:rStyle w:val="Hyperlink"/>
            <w:bCs/>
            <w:noProof/>
            <w:lang w:eastAsia="hr-HR"/>
          </w:rPr>
          <w:t xml:space="preserve">) </w:t>
        </w:r>
        <w:r w:rsidR="004F6944" w:rsidRPr="004F6944">
          <w:rPr>
            <w:rStyle w:val="Hyperlink"/>
            <w:noProof/>
          </w:rPr>
          <w:t xml:space="preserve">u Jadranskom moru na osnovu podataka iz ljetnjih vazdušnih istraživanja 2010. i 2013. </w:t>
        </w:r>
        <w:r w:rsidR="004F6944" w:rsidRPr="004F6944">
          <w:rPr>
            <w:rStyle w:val="Hyperlink"/>
            <w:i/>
            <w:noProof/>
          </w:rPr>
          <w:t>Izvor: Fortuna i sar., 2018.</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_Toc83643204 \h </w:instrText>
        </w:r>
        <w:r w:rsidR="004F6944" w:rsidRPr="004F6944">
          <w:rPr>
            <w:noProof/>
            <w:webHidden/>
          </w:rPr>
        </w:r>
        <w:r w:rsidR="004F6944" w:rsidRPr="004F6944">
          <w:rPr>
            <w:noProof/>
            <w:webHidden/>
          </w:rPr>
          <w:fldChar w:fldCharType="separate"/>
        </w:r>
        <w:r w:rsidR="000D1E20">
          <w:rPr>
            <w:noProof/>
            <w:webHidden/>
          </w:rPr>
          <w:t>134</w:t>
        </w:r>
        <w:r w:rsidR="004F6944" w:rsidRPr="004F6944">
          <w:rPr>
            <w:noProof/>
            <w:webHidden/>
          </w:rPr>
          <w:fldChar w:fldCharType="end"/>
        </w:r>
      </w:hyperlink>
    </w:p>
    <w:p w14:paraId="5BDE0689"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205" w:history="1">
        <w:r w:rsidR="004F6944" w:rsidRPr="004F6944">
          <w:rPr>
            <w:rStyle w:val="Hyperlink"/>
            <w:rFonts w:eastAsia="Calibri" w:cs="Calibri"/>
            <w:noProof/>
          </w:rPr>
          <w:t xml:space="preserve">Tabela </w:t>
        </w:r>
        <w:r w:rsidR="004F6944" w:rsidRPr="004F6944">
          <w:rPr>
            <w:rStyle w:val="Hyperlink"/>
            <w:noProof/>
          </w:rPr>
          <w:t>3.9.</w:t>
        </w:r>
        <w:r w:rsidR="004F6944" w:rsidRPr="004F6944">
          <w:rPr>
            <w:rStyle w:val="Hyperlink"/>
            <w:rFonts w:eastAsia="Calibri" w:cs="Calibri"/>
            <w:noProof/>
          </w:rPr>
          <w:t xml:space="preserve"> Procjena GES-a za morske sisare prema kriterijumima iz Odluke Komisije 2017/845/EU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_Toc83643205 \h </w:instrText>
        </w:r>
        <w:r w:rsidR="004F6944" w:rsidRPr="004F6944">
          <w:rPr>
            <w:noProof/>
            <w:webHidden/>
          </w:rPr>
        </w:r>
        <w:r w:rsidR="004F6944" w:rsidRPr="004F6944">
          <w:rPr>
            <w:noProof/>
            <w:webHidden/>
          </w:rPr>
          <w:fldChar w:fldCharType="separate"/>
        </w:r>
        <w:r w:rsidR="000D1E20">
          <w:rPr>
            <w:noProof/>
            <w:webHidden/>
          </w:rPr>
          <w:t>135</w:t>
        </w:r>
        <w:r w:rsidR="004F6944" w:rsidRPr="004F6944">
          <w:rPr>
            <w:noProof/>
            <w:webHidden/>
          </w:rPr>
          <w:fldChar w:fldCharType="end"/>
        </w:r>
      </w:hyperlink>
    </w:p>
    <w:p w14:paraId="6FAD978C"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206" w:history="1">
        <w:r w:rsidR="004F6944" w:rsidRPr="004F6944">
          <w:rPr>
            <w:rStyle w:val="Hyperlink"/>
            <w:rFonts w:eastAsia="Calibri"/>
            <w:noProof/>
          </w:rPr>
          <w:t xml:space="preserve">Tabela </w:t>
        </w:r>
        <w:r w:rsidR="004F6944" w:rsidRPr="004F6944">
          <w:rPr>
            <w:rStyle w:val="Hyperlink"/>
            <w:noProof/>
          </w:rPr>
          <w:t>3.10.</w:t>
        </w:r>
        <w:r w:rsidR="004F6944" w:rsidRPr="004F6944">
          <w:rPr>
            <w:rStyle w:val="Hyperlink"/>
            <w:rFonts w:eastAsia="Calibri" w:cs="Calibri"/>
            <w:noProof/>
          </w:rPr>
          <w:t xml:space="preserve"> Ciljevi koji vode ka napretku u postizanju GES-a za morske sisare</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_Toc83643206 \h </w:instrText>
        </w:r>
        <w:r w:rsidR="004F6944" w:rsidRPr="004F6944">
          <w:rPr>
            <w:noProof/>
            <w:webHidden/>
          </w:rPr>
        </w:r>
        <w:r w:rsidR="004F6944" w:rsidRPr="004F6944">
          <w:rPr>
            <w:noProof/>
            <w:webHidden/>
          </w:rPr>
          <w:fldChar w:fldCharType="separate"/>
        </w:r>
        <w:r w:rsidR="000D1E20">
          <w:rPr>
            <w:noProof/>
            <w:webHidden/>
          </w:rPr>
          <w:t>136</w:t>
        </w:r>
        <w:r w:rsidR="004F6944" w:rsidRPr="004F6944">
          <w:rPr>
            <w:noProof/>
            <w:webHidden/>
          </w:rPr>
          <w:fldChar w:fldCharType="end"/>
        </w:r>
      </w:hyperlink>
    </w:p>
    <w:p w14:paraId="719BD7A2"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207" w:history="1">
        <w:r w:rsidR="004F6944" w:rsidRPr="004F6944">
          <w:rPr>
            <w:rStyle w:val="Hyperlink"/>
            <w:rFonts w:eastAsia="Calibri" w:cs="Calibri"/>
            <w:bCs/>
            <w:noProof/>
          </w:rPr>
          <w:t xml:space="preserve">Tabela </w:t>
        </w:r>
        <w:r w:rsidR="004F6944" w:rsidRPr="004F6944">
          <w:rPr>
            <w:rStyle w:val="Hyperlink"/>
            <w:noProof/>
          </w:rPr>
          <w:t>3.11.</w:t>
        </w:r>
        <w:r w:rsidR="004F6944" w:rsidRPr="004F6944">
          <w:rPr>
            <w:rStyle w:val="Hyperlink"/>
            <w:rFonts w:eastAsia="Calibri" w:cs="Calibri"/>
            <w:noProof/>
          </w:rPr>
          <w:t xml:space="preserve"> </w:t>
        </w:r>
        <w:r w:rsidR="004F6944" w:rsidRPr="004F6944">
          <w:rPr>
            <w:rStyle w:val="Hyperlink"/>
            <w:noProof/>
          </w:rPr>
          <w:t xml:space="preserve">Procjena brojnosti glavatih kornjača (Caretta caretta) u Jadranskom moru uključujući teritorijalne vode Crne Gore na osnovu podataka iz vazdušnih istraživanja tokom ljeta 2010. i 2013. godine </w:t>
        </w:r>
        <w:r w:rsidR="004F6944" w:rsidRPr="004F6944">
          <w:rPr>
            <w:rStyle w:val="Hyperlink"/>
            <w:i/>
            <w:noProof/>
          </w:rPr>
          <w:t>Izvor: (Fortuna i sar 2018).</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_Toc83643207 \h </w:instrText>
        </w:r>
        <w:r w:rsidR="004F6944" w:rsidRPr="004F6944">
          <w:rPr>
            <w:noProof/>
            <w:webHidden/>
          </w:rPr>
        </w:r>
        <w:r w:rsidR="004F6944" w:rsidRPr="004F6944">
          <w:rPr>
            <w:noProof/>
            <w:webHidden/>
          </w:rPr>
          <w:fldChar w:fldCharType="separate"/>
        </w:r>
        <w:r w:rsidR="000D1E20">
          <w:rPr>
            <w:noProof/>
            <w:webHidden/>
          </w:rPr>
          <w:t>137</w:t>
        </w:r>
        <w:r w:rsidR="004F6944" w:rsidRPr="004F6944">
          <w:rPr>
            <w:noProof/>
            <w:webHidden/>
          </w:rPr>
          <w:fldChar w:fldCharType="end"/>
        </w:r>
      </w:hyperlink>
    </w:p>
    <w:p w14:paraId="02AC52C6"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208" w:history="1">
        <w:r w:rsidR="004F6944" w:rsidRPr="004F6944">
          <w:rPr>
            <w:rStyle w:val="Hyperlink"/>
            <w:rFonts w:eastAsia="Calibri" w:cs="Calibri"/>
            <w:noProof/>
          </w:rPr>
          <w:t xml:space="preserve">Tabela </w:t>
        </w:r>
        <w:r w:rsidR="004F6944" w:rsidRPr="004F6944">
          <w:rPr>
            <w:rStyle w:val="Hyperlink"/>
            <w:noProof/>
          </w:rPr>
          <w:t>3.12.</w:t>
        </w:r>
        <w:r w:rsidR="004F6944" w:rsidRPr="004F6944">
          <w:rPr>
            <w:rStyle w:val="Hyperlink"/>
            <w:rFonts w:eastAsia="Calibri" w:cs="Calibri"/>
            <w:noProof/>
          </w:rPr>
          <w:t xml:space="preserve"> Procjena GES-a za morske kornjače prema kriterijumima iz Odluke Komisije 2017/845/EU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_Toc83643208 \h </w:instrText>
        </w:r>
        <w:r w:rsidR="004F6944" w:rsidRPr="004F6944">
          <w:rPr>
            <w:noProof/>
            <w:webHidden/>
          </w:rPr>
        </w:r>
        <w:r w:rsidR="004F6944" w:rsidRPr="004F6944">
          <w:rPr>
            <w:noProof/>
            <w:webHidden/>
          </w:rPr>
          <w:fldChar w:fldCharType="separate"/>
        </w:r>
        <w:r w:rsidR="000D1E20">
          <w:rPr>
            <w:noProof/>
            <w:webHidden/>
          </w:rPr>
          <w:t>138</w:t>
        </w:r>
        <w:r w:rsidR="004F6944" w:rsidRPr="004F6944">
          <w:rPr>
            <w:noProof/>
            <w:webHidden/>
          </w:rPr>
          <w:fldChar w:fldCharType="end"/>
        </w:r>
      </w:hyperlink>
    </w:p>
    <w:p w14:paraId="27F01F38"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209" w:history="1">
        <w:r w:rsidR="004F6944" w:rsidRPr="004F6944">
          <w:rPr>
            <w:rStyle w:val="Hyperlink"/>
            <w:rFonts w:eastAsia="Calibri"/>
            <w:noProof/>
          </w:rPr>
          <w:t xml:space="preserve">Tabela </w:t>
        </w:r>
        <w:r w:rsidR="004F6944" w:rsidRPr="004F6944">
          <w:rPr>
            <w:rStyle w:val="Hyperlink"/>
            <w:noProof/>
          </w:rPr>
          <w:t>3.13.</w:t>
        </w:r>
        <w:r w:rsidR="004F6944" w:rsidRPr="004F6944">
          <w:rPr>
            <w:rStyle w:val="Hyperlink"/>
            <w:rFonts w:eastAsia="Calibri" w:cs="Calibri"/>
            <w:noProof/>
          </w:rPr>
          <w:t xml:space="preserve"> Ciljevi koji vode ka napretku u postizanju GES-a za morske kornjače</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_Toc83643209 \h </w:instrText>
        </w:r>
        <w:r w:rsidR="004F6944" w:rsidRPr="004F6944">
          <w:rPr>
            <w:noProof/>
            <w:webHidden/>
          </w:rPr>
        </w:r>
        <w:r w:rsidR="004F6944" w:rsidRPr="004F6944">
          <w:rPr>
            <w:noProof/>
            <w:webHidden/>
          </w:rPr>
          <w:fldChar w:fldCharType="separate"/>
        </w:r>
        <w:r w:rsidR="000D1E20">
          <w:rPr>
            <w:noProof/>
            <w:webHidden/>
          </w:rPr>
          <w:t>139</w:t>
        </w:r>
        <w:r w:rsidR="004F6944" w:rsidRPr="004F6944">
          <w:rPr>
            <w:noProof/>
            <w:webHidden/>
          </w:rPr>
          <w:fldChar w:fldCharType="end"/>
        </w:r>
      </w:hyperlink>
    </w:p>
    <w:p w14:paraId="41EA5E0B"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210" w:history="1">
        <w:r w:rsidR="004F6944" w:rsidRPr="004F6944">
          <w:rPr>
            <w:rStyle w:val="Hyperlink"/>
            <w:noProof/>
          </w:rPr>
          <w:t>Tabela 3.13.</w:t>
        </w:r>
        <w:r w:rsidR="004F6944" w:rsidRPr="004F6944">
          <w:rPr>
            <w:rStyle w:val="Hyperlink"/>
            <w:rFonts w:eastAsia="Calibri" w:cs="Calibri"/>
            <w:noProof/>
          </w:rPr>
          <w:t xml:space="preserve"> </w:t>
        </w:r>
        <w:r w:rsidR="004F6944" w:rsidRPr="004F6944">
          <w:rPr>
            <w:rStyle w:val="Hyperlink"/>
            <w:noProof/>
          </w:rPr>
          <w:t xml:space="preserve">Migratorne vrste hrskavičavih riba čije je prisustvo potvrđeno u području crnogorskog teritorijalnog mora. </w:t>
        </w:r>
        <w:r w:rsidR="004F6944" w:rsidRPr="004F6944">
          <w:rPr>
            <w:rStyle w:val="Hyperlink"/>
            <w:i/>
            <w:noProof/>
          </w:rPr>
          <w:t>Izvor: Početna procjena stanja morske sredine Crne Gore, 2020</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_Toc83643210 \h </w:instrText>
        </w:r>
        <w:r w:rsidR="004F6944" w:rsidRPr="004F6944">
          <w:rPr>
            <w:noProof/>
            <w:webHidden/>
          </w:rPr>
        </w:r>
        <w:r w:rsidR="004F6944" w:rsidRPr="004F6944">
          <w:rPr>
            <w:noProof/>
            <w:webHidden/>
          </w:rPr>
          <w:fldChar w:fldCharType="separate"/>
        </w:r>
        <w:r w:rsidR="000D1E20">
          <w:rPr>
            <w:noProof/>
            <w:webHidden/>
          </w:rPr>
          <w:t>140</w:t>
        </w:r>
        <w:r w:rsidR="004F6944" w:rsidRPr="004F6944">
          <w:rPr>
            <w:noProof/>
            <w:webHidden/>
          </w:rPr>
          <w:fldChar w:fldCharType="end"/>
        </w:r>
      </w:hyperlink>
    </w:p>
    <w:p w14:paraId="5726AD67"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211" w:history="1">
        <w:r w:rsidR="004F6944" w:rsidRPr="004F6944">
          <w:rPr>
            <w:rStyle w:val="Hyperlink"/>
            <w:rFonts w:eastAsia="Calibri" w:cs="Calibri"/>
            <w:noProof/>
          </w:rPr>
          <w:t xml:space="preserve">Tabela </w:t>
        </w:r>
        <w:r w:rsidR="004F6944" w:rsidRPr="004F6944">
          <w:rPr>
            <w:rStyle w:val="Hyperlink"/>
            <w:noProof/>
          </w:rPr>
          <w:t>3.14.</w:t>
        </w:r>
        <w:r w:rsidR="004F6944" w:rsidRPr="004F6944">
          <w:rPr>
            <w:rStyle w:val="Hyperlink"/>
            <w:rFonts w:eastAsia="Calibri" w:cs="Calibri"/>
            <w:noProof/>
          </w:rPr>
          <w:t xml:space="preserve"> Procjena GES-a za ribe u odnosu na D1 prema kriterijumima Odluke Komisije 2017/845/EU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_Toc83643211 \h </w:instrText>
        </w:r>
        <w:r w:rsidR="004F6944" w:rsidRPr="004F6944">
          <w:rPr>
            <w:noProof/>
            <w:webHidden/>
          </w:rPr>
        </w:r>
        <w:r w:rsidR="004F6944" w:rsidRPr="004F6944">
          <w:rPr>
            <w:noProof/>
            <w:webHidden/>
          </w:rPr>
          <w:fldChar w:fldCharType="separate"/>
        </w:r>
        <w:r w:rsidR="000D1E20">
          <w:rPr>
            <w:noProof/>
            <w:webHidden/>
          </w:rPr>
          <w:t>141</w:t>
        </w:r>
        <w:r w:rsidR="004F6944" w:rsidRPr="004F6944">
          <w:rPr>
            <w:noProof/>
            <w:webHidden/>
          </w:rPr>
          <w:fldChar w:fldCharType="end"/>
        </w:r>
      </w:hyperlink>
    </w:p>
    <w:p w14:paraId="01D7275B"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212" w:history="1">
        <w:r w:rsidR="004F6944" w:rsidRPr="004F6944">
          <w:rPr>
            <w:rStyle w:val="Hyperlink"/>
            <w:rFonts w:eastAsia="Calibri"/>
            <w:noProof/>
          </w:rPr>
          <w:t xml:space="preserve">Tabela </w:t>
        </w:r>
        <w:r w:rsidR="004F6944" w:rsidRPr="004F6944">
          <w:rPr>
            <w:rStyle w:val="Hyperlink"/>
            <w:noProof/>
          </w:rPr>
          <w:t>3.15.</w:t>
        </w:r>
        <w:r w:rsidR="004F6944" w:rsidRPr="004F6944">
          <w:rPr>
            <w:rStyle w:val="Hyperlink"/>
            <w:rFonts w:eastAsia="Calibri" w:cs="Calibri"/>
            <w:noProof/>
          </w:rPr>
          <w:t xml:space="preserve"> Ciljevi </w:t>
        </w:r>
        <w:r w:rsidR="004F6944" w:rsidRPr="004F6944">
          <w:rPr>
            <w:rStyle w:val="Hyperlink"/>
            <w:rFonts w:eastAsia="Calibri"/>
            <w:noProof/>
            <w:lang w:val="sr-Latn-RS"/>
          </w:rPr>
          <w:t xml:space="preserve">koji vode ka napretku u postizanja GES-a za </w:t>
        </w:r>
        <w:r w:rsidR="004F6944" w:rsidRPr="004F6944">
          <w:rPr>
            <w:rStyle w:val="Hyperlink"/>
            <w:rFonts w:eastAsia="Calibri" w:cs="Calibri"/>
            <w:bCs/>
            <w:noProof/>
          </w:rPr>
          <w:t>za ribe u odnosu na D1</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_Toc83643212 \h </w:instrText>
        </w:r>
        <w:r w:rsidR="004F6944" w:rsidRPr="004F6944">
          <w:rPr>
            <w:noProof/>
            <w:webHidden/>
          </w:rPr>
        </w:r>
        <w:r w:rsidR="004F6944" w:rsidRPr="004F6944">
          <w:rPr>
            <w:noProof/>
            <w:webHidden/>
          </w:rPr>
          <w:fldChar w:fldCharType="separate"/>
        </w:r>
        <w:r w:rsidR="000D1E20">
          <w:rPr>
            <w:noProof/>
            <w:webHidden/>
          </w:rPr>
          <w:t>142</w:t>
        </w:r>
        <w:r w:rsidR="004F6944" w:rsidRPr="004F6944">
          <w:rPr>
            <w:noProof/>
            <w:webHidden/>
          </w:rPr>
          <w:fldChar w:fldCharType="end"/>
        </w:r>
      </w:hyperlink>
    </w:p>
    <w:p w14:paraId="360D86DB"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213" w:history="1">
        <w:r w:rsidR="004F6944" w:rsidRPr="004F6944">
          <w:rPr>
            <w:rStyle w:val="Hyperlink"/>
            <w:rFonts w:eastAsia="Calibri" w:cs="Calibri"/>
            <w:bCs/>
            <w:noProof/>
            <w:lang w:val="sr-Latn-RS" w:eastAsia="hr-HR"/>
          </w:rPr>
          <w:t xml:space="preserve">Tabela </w:t>
        </w:r>
        <w:r w:rsidR="004F6944" w:rsidRPr="004F6944">
          <w:rPr>
            <w:rStyle w:val="Hyperlink"/>
            <w:noProof/>
            <w:lang w:val="sr-Latn-RS"/>
          </w:rPr>
          <w:t>3.16.</w:t>
        </w:r>
        <w:r w:rsidR="004F6944" w:rsidRPr="004F6944">
          <w:rPr>
            <w:rStyle w:val="Hyperlink"/>
            <w:rFonts w:eastAsia="Calibri" w:cs="Calibri"/>
            <w:noProof/>
            <w:lang w:val="sr-Latn-RS"/>
          </w:rPr>
          <w:t xml:space="preserve"> Elementi kriterijuma i kriterijum za procjenu </w:t>
        </w:r>
        <w:r w:rsidR="004F6944" w:rsidRPr="004F6944">
          <w:rPr>
            <w:rStyle w:val="Hyperlink"/>
            <w:rFonts w:eastAsia="Calibri"/>
            <w:noProof/>
          </w:rPr>
          <w:t>GES-a  za za pelagična staništa u skladu sa  Odlukom Komisije 2017/848/EU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_Toc83643213 \h </w:instrText>
        </w:r>
        <w:r w:rsidR="004F6944" w:rsidRPr="004F6944">
          <w:rPr>
            <w:noProof/>
            <w:webHidden/>
          </w:rPr>
        </w:r>
        <w:r w:rsidR="004F6944" w:rsidRPr="004F6944">
          <w:rPr>
            <w:noProof/>
            <w:webHidden/>
          </w:rPr>
          <w:fldChar w:fldCharType="separate"/>
        </w:r>
        <w:r w:rsidR="000D1E20">
          <w:rPr>
            <w:noProof/>
            <w:webHidden/>
          </w:rPr>
          <w:t>143</w:t>
        </w:r>
        <w:r w:rsidR="004F6944" w:rsidRPr="004F6944">
          <w:rPr>
            <w:noProof/>
            <w:webHidden/>
          </w:rPr>
          <w:fldChar w:fldCharType="end"/>
        </w:r>
      </w:hyperlink>
    </w:p>
    <w:p w14:paraId="3FFB4D43"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214" w:history="1">
        <w:r w:rsidR="004F6944" w:rsidRPr="004F6944">
          <w:rPr>
            <w:rStyle w:val="Hyperlink"/>
            <w:rFonts w:eastAsia="Calibri"/>
            <w:noProof/>
          </w:rPr>
          <w:t xml:space="preserve">Tabela </w:t>
        </w:r>
        <w:r w:rsidR="004F6944" w:rsidRPr="004F6944">
          <w:rPr>
            <w:rStyle w:val="Hyperlink"/>
            <w:noProof/>
          </w:rPr>
          <w:t>3.17.</w:t>
        </w:r>
        <w:r w:rsidR="004F6944" w:rsidRPr="004F6944">
          <w:rPr>
            <w:rStyle w:val="Hyperlink"/>
            <w:rFonts w:eastAsia="Calibri" w:cs="Calibri"/>
            <w:noProof/>
          </w:rPr>
          <w:t xml:space="preserve"> Indeksi biodiverziteta u Bokokotorskom zalivu i priobalnom i otvorenom moru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_Toc83643214 \h </w:instrText>
        </w:r>
        <w:r w:rsidR="004F6944" w:rsidRPr="004F6944">
          <w:rPr>
            <w:noProof/>
            <w:webHidden/>
          </w:rPr>
        </w:r>
        <w:r w:rsidR="004F6944" w:rsidRPr="004F6944">
          <w:rPr>
            <w:noProof/>
            <w:webHidden/>
          </w:rPr>
          <w:fldChar w:fldCharType="separate"/>
        </w:r>
        <w:r w:rsidR="000D1E20">
          <w:rPr>
            <w:noProof/>
            <w:webHidden/>
          </w:rPr>
          <w:t>145</w:t>
        </w:r>
        <w:r w:rsidR="004F6944" w:rsidRPr="004F6944">
          <w:rPr>
            <w:noProof/>
            <w:webHidden/>
          </w:rPr>
          <w:fldChar w:fldCharType="end"/>
        </w:r>
      </w:hyperlink>
    </w:p>
    <w:p w14:paraId="26CFDBAF"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215" w:history="1">
        <w:r w:rsidR="004F6944" w:rsidRPr="004F6944">
          <w:rPr>
            <w:rStyle w:val="Hyperlink"/>
            <w:rFonts w:eastAsia="Calibri"/>
            <w:noProof/>
          </w:rPr>
          <w:t xml:space="preserve">Tabela </w:t>
        </w:r>
        <w:r w:rsidR="004F6944" w:rsidRPr="004F6944">
          <w:rPr>
            <w:rStyle w:val="Hyperlink"/>
            <w:noProof/>
          </w:rPr>
          <w:t>3.18.</w:t>
        </w:r>
        <w:r w:rsidR="004F6944" w:rsidRPr="004F6944">
          <w:rPr>
            <w:rStyle w:val="Hyperlink"/>
            <w:rFonts w:eastAsia="Calibri" w:cs="Calibri"/>
            <w:noProof/>
          </w:rPr>
          <w:t xml:space="preserve"> </w:t>
        </w:r>
        <w:r w:rsidR="004F6944" w:rsidRPr="004F6944">
          <w:rPr>
            <w:rStyle w:val="Hyperlink"/>
            <w:rFonts w:eastAsia="Calibri"/>
            <w:noProof/>
          </w:rPr>
          <w:t>Procentualni udio najzastupljenijih grupa mezozooplanktona</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_Toc83643215 \h </w:instrText>
        </w:r>
        <w:r w:rsidR="004F6944" w:rsidRPr="004F6944">
          <w:rPr>
            <w:noProof/>
            <w:webHidden/>
          </w:rPr>
        </w:r>
        <w:r w:rsidR="004F6944" w:rsidRPr="004F6944">
          <w:rPr>
            <w:noProof/>
            <w:webHidden/>
          </w:rPr>
          <w:fldChar w:fldCharType="separate"/>
        </w:r>
        <w:r w:rsidR="000D1E20">
          <w:rPr>
            <w:noProof/>
            <w:webHidden/>
          </w:rPr>
          <w:t>146</w:t>
        </w:r>
        <w:r w:rsidR="004F6944" w:rsidRPr="004F6944">
          <w:rPr>
            <w:noProof/>
            <w:webHidden/>
          </w:rPr>
          <w:fldChar w:fldCharType="end"/>
        </w:r>
      </w:hyperlink>
    </w:p>
    <w:p w14:paraId="0F2B81F9"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216" w:history="1">
        <w:r w:rsidR="004F6944" w:rsidRPr="004F6944">
          <w:rPr>
            <w:rStyle w:val="Hyperlink"/>
            <w:rFonts w:eastAsia="Calibri"/>
            <w:noProof/>
            <w:lang w:val="sr-Latn-RS"/>
          </w:rPr>
          <w:t xml:space="preserve">Tabela </w:t>
        </w:r>
        <w:r w:rsidR="004F6944" w:rsidRPr="004F6944">
          <w:rPr>
            <w:rStyle w:val="Hyperlink"/>
            <w:noProof/>
            <w:lang w:val="sr-Latn-RS"/>
          </w:rPr>
          <w:t>3.19.</w:t>
        </w:r>
        <w:r w:rsidR="004F6944" w:rsidRPr="004F6944">
          <w:rPr>
            <w:rStyle w:val="Hyperlink"/>
            <w:rFonts w:eastAsia="Calibri" w:cs="Calibri"/>
            <w:noProof/>
            <w:lang w:val="sr-Latn-RS"/>
          </w:rPr>
          <w:t xml:space="preserve"> </w:t>
        </w:r>
        <w:r w:rsidR="004F6944" w:rsidRPr="004F6944">
          <w:rPr>
            <w:rStyle w:val="Hyperlink"/>
            <w:rFonts w:eastAsia="Calibri"/>
            <w:noProof/>
            <w:lang w:val="sr-Latn-RS"/>
          </w:rPr>
          <w:t>Elementi, indikatori i preporučene vrijednosti praga za procjenu GES-a za pelagična staništa, u skladu sa D1.</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_Toc83643216 \h </w:instrText>
        </w:r>
        <w:r w:rsidR="004F6944" w:rsidRPr="004F6944">
          <w:rPr>
            <w:noProof/>
            <w:webHidden/>
          </w:rPr>
        </w:r>
        <w:r w:rsidR="004F6944" w:rsidRPr="004F6944">
          <w:rPr>
            <w:noProof/>
            <w:webHidden/>
          </w:rPr>
          <w:fldChar w:fldCharType="separate"/>
        </w:r>
        <w:r w:rsidR="000D1E20">
          <w:rPr>
            <w:noProof/>
            <w:webHidden/>
          </w:rPr>
          <w:t>149</w:t>
        </w:r>
        <w:r w:rsidR="004F6944" w:rsidRPr="004F6944">
          <w:rPr>
            <w:noProof/>
            <w:webHidden/>
          </w:rPr>
          <w:fldChar w:fldCharType="end"/>
        </w:r>
      </w:hyperlink>
    </w:p>
    <w:p w14:paraId="1325E62E"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217" w:history="1">
        <w:r w:rsidR="004F6944" w:rsidRPr="004F6944">
          <w:rPr>
            <w:rStyle w:val="Hyperlink"/>
            <w:rFonts w:cs="Calibri"/>
            <w:noProof/>
            <w:lang w:val="sr-Latn-RS"/>
          </w:rPr>
          <w:t xml:space="preserve">Tabela </w:t>
        </w:r>
        <w:r w:rsidR="004F6944" w:rsidRPr="004F6944">
          <w:rPr>
            <w:rStyle w:val="Hyperlink"/>
            <w:noProof/>
            <w:lang w:val="sr-Latn-RS"/>
          </w:rPr>
          <w:t>3.20.</w:t>
        </w:r>
        <w:r w:rsidR="004F6944" w:rsidRPr="004F6944">
          <w:rPr>
            <w:rStyle w:val="Hyperlink"/>
            <w:rFonts w:eastAsia="Calibri" w:cs="Calibri"/>
            <w:noProof/>
            <w:lang w:val="sr-Latn-RS"/>
          </w:rPr>
          <w:t xml:space="preserve"> Procjena GES-a za pelagična staništa po kriterijumu D1C6 u skladu sa Odlukom Komisije 2017/845/EU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_Toc83643217 \h </w:instrText>
        </w:r>
        <w:r w:rsidR="004F6944" w:rsidRPr="004F6944">
          <w:rPr>
            <w:noProof/>
            <w:webHidden/>
          </w:rPr>
        </w:r>
        <w:r w:rsidR="004F6944" w:rsidRPr="004F6944">
          <w:rPr>
            <w:noProof/>
            <w:webHidden/>
          </w:rPr>
          <w:fldChar w:fldCharType="separate"/>
        </w:r>
        <w:r w:rsidR="000D1E20">
          <w:rPr>
            <w:noProof/>
            <w:webHidden/>
          </w:rPr>
          <w:t>150</w:t>
        </w:r>
        <w:r w:rsidR="004F6944" w:rsidRPr="004F6944">
          <w:rPr>
            <w:noProof/>
            <w:webHidden/>
          </w:rPr>
          <w:fldChar w:fldCharType="end"/>
        </w:r>
      </w:hyperlink>
    </w:p>
    <w:p w14:paraId="2FFC3972"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218" w:history="1">
        <w:r w:rsidR="004F6944" w:rsidRPr="004F6944">
          <w:rPr>
            <w:rStyle w:val="Hyperlink"/>
            <w:rFonts w:eastAsia="Calibri"/>
            <w:noProof/>
            <w:lang w:val="sr-Latn-RS"/>
          </w:rPr>
          <w:t xml:space="preserve">Tabela </w:t>
        </w:r>
        <w:r w:rsidR="004F6944" w:rsidRPr="004F6944">
          <w:rPr>
            <w:rStyle w:val="Hyperlink"/>
            <w:noProof/>
            <w:lang w:val="sr-Latn-RS"/>
          </w:rPr>
          <w:t>3.21.</w:t>
        </w:r>
        <w:r w:rsidR="004F6944" w:rsidRPr="004F6944">
          <w:rPr>
            <w:rStyle w:val="Hyperlink"/>
            <w:rFonts w:eastAsia="Calibri" w:cs="Calibri"/>
            <w:noProof/>
            <w:lang w:val="sr-Latn-RS"/>
          </w:rPr>
          <w:t xml:space="preserve"> </w:t>
        </w:r>
        <w:r w:rsidR="004F6944" w:rsidRPr="004F6944">
          <w:rPr>
            <w:rStyle w:val="Hyperlink"/>
            <w:rFonts w:eastAsia="Calibri"/>
            <w:noProof/>
            <w:lang w:val="sr-Latn-RS"/>
          </w:rPr>
          <w:t xml:space="preserve"> Ciljevi koji vode ka napretku u postizanja GES-a za Pelagična staništa</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_Toc83643218 \h </w:instrText>
        </w:r>
        <w:r w:rsidR="004F6944" w:rsidRPr="004F6944">
          <w:rPr>
            <w:noProof/>
            <w:webHidden/>
          </w:rPr>
        </w:r>
        <w:r w:rsidR="004F6944" w:rsidRPr="004F6944">
          <w:rPr>
            <w:noProof/>
            <w:webHidden/>
          </w:rPr>
          <w:fldChar w:fldCharType="separate"/>
        </w:r>
        <w:r w:rsidR="000D1E20">
          <w:rPr>
            <w:noProof/>
            <w:webHidden/>
          </w:rPr>
          <w:t>152</w:t>
        </w:r>
        <w:r w:rsidR="004F6944" w:rsidRPr="004F6944">
          <w:rPr>
            <w:noProof/>
            <w:webHidden/>
          </w:rPr>
          <w:fldChar w:fldCharType="end"/>
        </w:r>
      </w:hyperlink>
    </w:p>
    <w:p w14:paraId="7A348FDF"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219" w:history="1">
        <w:r w:rsidR="004F6944" w:rsidRPr="004F6944">
          <w:rPr>
            <w:rStyle w:val="Hyperlink"/>
            <w:rFonts w:eastAsia="Calibri" w:cs="Calibri"/>
            <w:noProof/>
          </w:rPr>
          <w:t xml:space="preserve">Tabela </w:t>
        </w:r>
        <w:r w:rsidR="004F6944" w:rsidRPr="004F6944">
          <w:rPr>
            <w:rStyle w:val="Hyperlink"/>
            <w:rFonts w:eastAsia="Calibri" w:cs="Calibri"/>
            <w:noProof/>
            <w:lang w:val="sr-Latn-ME"/>
          </w:rPr>
          <w:t>3.22.</w:t>
        </w:r>
        <w:r w:rsidR="004F6944" w:rsidRPr="004F6944">
          <w:rPr>
            <w:rStyle w:val="Hyperlink"/>
            <w:rFonts w:eastAsia="Calibri" w:cs="Calibri"/>
            <w:noProof/>
          </w:rPr>
          <w:t xml:space="preserve"> Pregled najvažnijih pritisaka I aktivnosti koje utiču na bentoska staništa u crnogorskom dijelu Jadranskog mora</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_Toc83643219 \h </w:instrText>
        </w:r>
        <w:r w:rsidR="004F6944" w:rsidRPr="004F6944">
          <w:rPr>
            <w:noProof/>
            <w:webHidden/>
          </w:rPr>
        </w:r>
        <w:r w:rsidR="004F6944" w:rsidRPr="004F6944">
          <w:rPr>
            <w:noProof/>
            <w:webHidden/>
          </w:rPr>
          <w:fldChar w:fldCharType="separate"/>
        </w:r>
        <w:r w:rsidR="000D1E20">
          <w:rPr>
            <w:noProof/>
            <w:webHidden/>
          </w:rPr>
          <w:t>154</w:t>
        </w:r>
        <w:r w:rsidR="004F6944" w:rsidRPr="004F6944">
          <w:rPr>
            <w:noProof/>
            <w:webHidden/>
          </w:rPr>
          <w:fldChar w:fldCharType="end"/>
        </w:r>
      </w:hyperlink>
    </w:p>
    <w:p w14:paraId="4D804676"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220" w:history="1">
        <w:r w:rsidR="004F6944" w:rsidRPr="004F6944">
          <w:rPr>
            <w:rStyle w:val="Hyperlink"/>
            <w:rFonts w:eastAsia="Calibri" w:cs="Calibri"/>
            <w:noProof/>
          </w:rPr>
          <w:t xml:space="preserve">Tabela </w:t>
        </w:r>
        <w:r w:rsidR="004F6944" w:rsidRPr="004F6944">
          <w:rPr>
            <w:rStyle w:val="Hyperlink"/>
            <w:rFonts w:eastAsia="Calibri" w:cs="Calibri"/>
            <w:noProof/>
            <w:lang w:val="sr-Latn-ME"/>
          </w:rPr>
          <w:t>3.23.</w:t>
        </w:r>
        <w:r w:rsidR="004F6944" w:rsidRPr="004F6944">
          <w:rPr>
            <w:rStyle w:val="Hyperlink"/>
            <w:rFonts w:eastAsia="Calibri" w:cs="Calibri"/>
            <w:noProof/>
          </w:rPr>
          <w:t xml:space="preserve"> Ekološki status računat po CARLIT metodi </w:t>
        </w:r>
        <w:r w:rsidR="004F6944" w:rsidRPr="004F6944">
          <w:rPr>
            <w:rStyle w:val="Hyperlink"/>
            <w:rFonts w:eastAsia="Calibri" w:cs="Calibri"/>
            <w:i/>
            <w:noProof/>
          </w:rPr>
          <w:t>(izvor podataka</w:t>
        </w:r>
        <w:r w:rsidR="004F6944" w:rsidRPr="004F6944">
          <w:rPr>
            <w:rStyle w:val="Hyperlink"/>
            <w:rFonts w:eastAsia="Calibri" w:cs="Calibri"/>
            <w:noProof/>
          </w:rPr>
          <w:t xml:space="preserve"> </w:t>
        </w:r>
        <w:r w:rsidR="004F6944" w:rsidRPr="004F6944">
          <w:rPr>
            <w:rStyle w:val="Hyperlink"/>
            <w:rFonts w:eastAsia="Calibri" w:cs="Calibri"/>
            <w:i/>
            <w:noProof/>
          </w:rPr>
          <w:t>EPA: 2018, 2019, 2020, IPA: 2020)</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_Toc83643220 \h </w:instrText>
        </w:r>
        <w:r w:rsidR="004F6944" w:rsidRPr="004F6944">
          <w:rPr>
            <w:noProof/>
            <w:webHidden/>
          </w:rPr>
        </w:r>
        <w:r w:rsidR="004F6944" w:rsidRPr="004F6944">
          <w:rPr>
            <w:noProof/>
            <w:webHidden/>
          </w:rPr>
          <w:fldChar w:fldCharType="separate"/>
        </w:r>
        <w:r w:rsidR="000D1E20">
          <w:rPr>
            <w:noProof/>
            <w:webHidden/>
          </w:rPr>
          <w:t>156</w:t>
        </w:r>
        <w:r w:rsidR="004F6944" w:rsidRPr="004F6944">
          <w:rPr>
            <w:noProof/>
            <w:webHidden/>
          </w:rPr>
          <w:fldChar w:fldCharType="end"/>
        </w:r>
      </w:hyperlink>
    </w:p>
    <w:p w14:paraId="4D1BFECC"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221" w:history="1">
        <w:r w:rsidR="004F6944" w:rsidRPr="004F6944">
          <w:rPr>
            <w:rStyle w:val="Hyperlink"/>
            <w:rFonts w:eastAsia="Calibri" w:cs="Calibri"/>
            <w:noProof/>
          </w:rPr>
          <w:t xml:space="preserve">Tabela </w:t>
        </w:r>
        <w:r w:rsidR="004F6944" w:rsidRPr="004F6944">
          <w:rPr>
            <w:rStyle w:val="Hyperlink"/>
            <w:noProof/>
          </w:rPr>
          <w:t xml:space="preserve">3.30. </w:t>
        </w:r>
        <w:r w:rsidR="004F6944" w:rsidRPr="004F6944">
          <w:rPr>
            <w:rStyle w:val="Hyperlink"/>
            <w:rFonts w:eastAsia="Calibri" w:cs="Calibri"/>
            <w:noProof/>
          </w:rPr>
          <w:t xml:space="preserve"> Kriterijumi, e</w:t>
        </w:r>
        <w:r w:rsidR="004F6944" w:rsidRPr="004F6944">
          <w:rPr>
            <w:rStyle w:val="Hyperlink"/>
            <w:rFonts w:eastAsia="Calibri"/>
            <w:noProof/>
            <w:lang w:val="sr-Latn-RS"/>
          </w:rPr>
          <w:t>lementi/parametri i indikatori za procjenu GES-a za D4.</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_Toc83643221 \h </w:instrText>
        </w:r>
        <w:r w:rsidR="004F6944" w:rsidRPr="004F6944">
          <w:rPr>
            <w:noProof/>
            <w:webHidden/>
          </w:rPr>
        </w:r>
        <w:r w:rsidR="004F6944" w:rsidRPr="004F6944">
          <w:rPr>
            <w:noProof/>
            <w:webHidden/>
          </w:rPr>
          <w:fldChar w:fldCharType="separate"/>
        </w:r>
        <w:r w:rsidR="000D1E20">
          <w:rPr>
            <w:noProof/>
            <w:webHidden/>
          </w:rPr>
          <w:t>169</w:t>
        </w:r>
        <w:r w:rsidR="004F6944" w:rsidRPr="004F6944">
          <w:rPr>
            <w:noProof/>
            <w:webHidden/>
          </w:rPr>
          <w:fldChar w:fldCharType="end"/>
        </w:r>
      </w:hyperlink>
    </w:p>
    <w:p w14:paraId="460AC175"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222" w:history="1">
        <w:r w:rsidR="004F6944" w:rsidRPr="004F6944">
          <w:rPr>
            <w:rStyle w:val="Hyperlink"/>
            <w:rFonts w:cs="Arial"/>
            <w:noProof/>
            <w:lang w:eastAsia="hr-HR"/>
          </w:rPr>
          <w:t xml:space="preserve">Tabela </w:t>
        </w:r>
        <w:r w:rsidR="004F6944" w:rsidRPr="004F6944">
          <w:rPr>
            <w:rStyle w:val="Hyperlink"/>
            <w:noProof/>
          </w:rPr>
          <w:t>3.31. Procjena GES-a za D4 prema kriterijima Odluke Komisije 2017/848/EU</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_Toc83643222 \h </w:instrText>
        </w:r>
        <w:r w:rsidR="004F6944" w:rsidRPr="004F6944">
          <w:rPr>
            <w:noProof/>
            <w:webHidden/>
          </w:rPr>
        </w:r>
        <w:r w:rsidR="004F6944" w:rsidRPr="004F6944">
          <w:rPr>
            <w:noProof/>
            <w:webHidden/>
          </w:rPr>
          <w:fldChar w:fldCharType="separate"/>
        </w:r>
        <w:r w:rsidR="000D1E20">
          <w:rPr>
            <w:noProof/>
            <w:webHidden/>
          </w:rPr>
          <w:t>170</w:t>
        </w:r>
        <w:r w:rsidR="004F6944" w:rsidRPr="004F6944">
          <w:rPr>
            <w:noProof/>
            <w:webHidden/>
          </w:rPr>
          <w:fldChar w:fldCharType="end"/>
        </w:r>
      </w:hyperlink>
    </w:p>
    <w:p w14:paraId="25AC8E2E" w14:textId="77777777" w:rsidR="004F6944" w:rsidRPr="004F6944" w:rsidRDefault="003801F2">
      <w:pPr>
        <w:pStyle w:val="TableofFigures"/>
        <w:tabs>
          <w:tab w:val="right" w:leader="dot" w:pos="9347"/>
        </w:tabs>
        <w:rPr>
          <w:rFonts w:asciiTheme="minorHAnsi" w:eastAsiaTheme="minorEastAsia" w:hAnsiTheme="minorHAnsi" w:cstheme="minorBidi"/>
          <w:noProof/>
          <w:sz w:val="22"/>
          <w:lang w:val="en-US"/>
        </w:rPr>
      </w:pPr>
      <w:hyperlink w:anchor="_Toc83643223" w:history="1">
        <w:r w:rsidR="004F6944" w:rsidRPr="004F6944">
          <w:rPr>
            <w:rStyle w:val="Hyperlink"/>
            <w:rFonts w:eastAsia="Calibri" w:cs="Calibri"/>
            <w:noProof/>
          </w:rPr>
          <w:t xml:space="preserve">Tabela </w:t>
        </w:r>
        <w:r w:rsidR="004F6944" w:rsidRPr="004F6944">
          <w:rPr>
            <w:rStyle w:val="Hyperlink"/>
            <w:noProof/>
          </w:rPr>
          <w:t>3.32.</w:t>
        </w:r>
        <w:r w:rsidR="004F6944" w:rsidRPr="004F6944">
          <w:rPr>
            <w:rStyle w:val="Hyperlink"/>
            <w:rFonts w:eastAsia="Calibri" w:cs="Calibri"/>
            <w:noProof/>
          </w:rPr>
          <w:t xml:space="preserve">  C</w:t>
        </w:r>
        <w:r w:rsidR="004F6944" w:rsidRPr="004F6944">
          <w:rPr>
            <w:rStyle w:val="Hyperlink"/>
            <w:rFonts w:eastAsia="Calibri" w:cs="Calibri"/>
            <w:noProof/>
            <w:lang w:val="sr-Latn-RS"/>
          </w:rPr>
          <w:t xml:space="preserve">iljevi koji vode ka napretku u postizanju </w:t>
        </w:r>
        <w:r w:rsidR="004F6944" w:rsidRPr="004F6944">
          <w:rPr>
            <w:rStyle w:val="Hyperlink"/>
            <w:rFonts w:eastAsia="Calibri" w:cs="Calibri"/>
            <w:bCs/>
            <w:noProof/>
          </w:rPr>
          <w:t>GES-a za D4</w:t>
        </w:r>
        <w:r w:rsidR="004F6944" w:rsidRPr="004F6944">
          <w:rPr>
            <w:noProof/>
            <w:webHidden/>
          </w:rPr>
          <w:tab/>
        </w:r>
        <w:r w:rsidR="004F6944" w:rsidRPr="004F6944">
          <w:rPr>
            <w:noProof/>
            <w:webHidden/>
          </w:rPr>
          <w:fldChar w:fldCharType="begin"/>
        </w:r>
        <w:r w:rsidR="004F6944" w:rsidRPr="004F6944">
          <w:rPr>
            <w:noProof/>
            <w:webHidden/>
          </w:rPr>
          <w:instrText xml:space="preserve"> PAGEREF _Toc83643223 \h </w:instrText>
        </w:r>
        <w:r w:rsidR="004F6944" w:rsidRPr="004F6944">
          <w:rPr>
            <w:noProof/>
            <w:webHidden/>
          </w:rPr>
        </w:r>
        <w:r w:rsidR="004F6944" w:rsidRPr="004F6944">
          <w:rPr>
            <w:noProof/>
            <w:webHidden/>
          </w:rPr>
          <w:fldChar w:fldCharType="separate"/>
        </w:r>
        <w:r w:rsidR="000D1E20">
          <w:rPr>
            <w:noProof/>
            <w:webHidden/>
          </w:rPr>
          <w:t>171</w:t>
        </w:r>
        <w:r w:rsidR="004F6944" w:rsidRPr="004F6944">
          <w:rPr>
            <w:noProof/>
            <w:webHidden/>
          </w:rPr>
          <w:fldChar w:fldCharType="end"/>
        </w:r>
      </w:hyperlink>
    </w:p>
    <w:p w14:paraId="690367C4" w14:textId="2D6E3D81" w:rsidR="00D47369" w:rsidRPr="00D932B6" w:rsidRDefault="00952C6E" w:rsidP="00D419DD">
      <w:pPr>
        <w:pStyle w:val="Documentgeneraltitle"/>
        <w:spacing w:after="0"/>
        <w:rPr>
          <w:rStyle w:val="Emphasis"/>
          <w:b w:val="0"/>
          <w:i w:val="0"/>
          <w:iCs w:val="0"/>
          <w:sz w:val="20"/>
          <w:szCs w:val="20"/>
        </w:rPr>
      </w:pPr>
      <w:r w:rsidRPr="000A2FFC">
        <w:rPr>
          <w:b w:val="0"/>
          <w:sz w:val="20"/>
          <w:szCs w:val="20"/>
        </w:rPr>
        <w:lastRenderedPageBreak/>
        <w:fldChar w:fldCharType="end"/>
      </w:r>
      <w:bookmarkEnd w:id="2"/>
      <w:bookmarkEnd w:id="3"/>
      <w:bookmarkEnd w:id="4"/>
      <w:bookmarkEnd w:id="5"/>
      <w:bookmarkEnd w:id="6"/>
      <w:bookmarkEnd w:id="7"/>
      <w:bookmarkEnd w:id="8"/>
    </w:p>
    <w:p w14:paraId="4EC143C3" w14:textId="37D77D45" w:rsidR="00D47369" w:rsidRPr="001C6CCA" w:rsidRDefault="008F04D8" w:rsidP="00D47369">
      <w:pPr>
        <w:keepNext/>
        <w:spacing w:before="480" w:after="480"/>
        <w:outlineLvl w:val="0"/>
        <w:rPr>
          <w:rFonts w:asciiTheme="minorHAnsi" w:hAnsiTheme="minorHAnsi" w:cstheme="minorHAnsi"/>
          <w:b/>
          <w:bCs/>
          <w:caps/>
          <w:color w:val="17365D" w:themeColor="text2" w:themeShade="BF"/>
          <w:kern w:val="32"/>
          <w:sz w:val="20"/>
          <w:szCs w:val="20"/>
          <w:lang w:val="en-GB"/>
        </w:rPr>
      </w:pPr>
      <w:bookmarkStart w:id="12" w:name="_Toc83630889"/>
      <w:r>
        <w:rPr>
          <w:b/>
          <w:bCs/>
          <w:caps/>
          <w:color w:val="17365D" w:themeColor="text2" w:themeShade="BF"/>
          <w:kern w:val="32"/>
          <w:sz w:val="32"/>
          <w:szCs w:val="32"/>
          <w:lang w:val="en-GB"/>
        </w:rPr>
        <w:t>SPISAK SKRAĆENICA</w:t>
      </w:r>
      <w:bookmarkEnd w:id="12"/>
    </w:p>
    <w:tbl>
      <w:tblPr>
        <w:tblStyle w:val="TableGrid"/>
        <w:tblW w:w="0" w:type="auto"/>
        <w:jc w:val="center"/>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4A0" w:firstRow="1" w:lastRow="0" w:firstColumn="1" w:lastColumn="0" w:noHBand="0" w:noVBand="1"/>
      </w:tblPr>
      <w:tblGrid>
        <w:gridCol w:w="1555"/>
        <w:gridCol w:w="7229"/>
      </w:tblGrid>
      <w:tr w:rsidR="00D47369" w:rsidRPr="001C6CCA" w14:paraId="45EE1E71" w14:textId="77777777" w:rsidTr="00E4576F">
        <w:trPr>
          <w:jc w:val="center"/>
        </w:trPr>
        <w:tc>
          <w:tcPr>
            <w:tcW w:w="1555" w:type="dxa"/>
            <w:shd w:val="clear" w:color="auto" w:fill="auto"/>
          </w:tcPr>
          <w:p w14:paraId="7848D792" w14:textId="77777777" w:rsidR="00D47369" w:rsidRPr="001C6CCA" w:rsidRDefault="00D47369" w:rsidP="003B3EF1">
            <w:pPr>
              <w:spacing w:before="0" w:after="0"/>
              <w:rPr>
                <w:rFonts w:cstheme="minorHAnsi"/>
                <w:sz w:val="20"/>
                <w:szCs w:val="20"/>
              </w:rPr>
            </w:pPr>
            <w:r w:rsidRPr="001C6CCA">
              <w:rPr>
                <w:rFonts w:cstheme="minorHAnsi"/>
                <w:sz w:val="20"/>
                <w:szCs w:val="20"/>
              </w:rPr>
              <w:t>AIS</w:t>
            </w:r>
          </w:p>
        </w:tc>
        <w:tc>
          <w:tcPr>
            <w:tcW w:w="7229" w:type="dxa"/>
            <w:shd w:val="clear" w:color="auto" w:fill="auto"/>
          </w:tcPr>
          <w:p w14:paraId="1D8301F0" w14:textId="4EE52064" w:rsidR="00D47369" w:rsidRPr="001C6CCA" w:rsidRDefault="008F04D8" w:rsidP="008F04D8">
            <w:pPr>
              <w:spacing w:before="0" w:after="0"/>
              <w:rPr>
                <w:rFonts w:cs="Calibri"/>
                <w:sz w:val="20"/>
                <w:szCs w:val="20"/>
                <w:lang w:eastAsia="en-US"/>
              </w:rPr>
            </w:pPr>
            <w:r w:rsidRPr="008F04D8">
              <w:rPr>
                <w:rFonts w:cs="Calibri"/>
                <w:sz w:val="20"/>
                <w:szCs w:val="20"/>
                <w:lang w:eastAsia="en-US"/>
              </w:rPr>
              <w:t>S</w:t>
            </w:r>
            <w:r>
              <w:rPr>
                <w:rFonts w:cs="Calibri"/>
                <w:sz w:val="20"/>
                <w:szCs w:val="20"/>
                <w:lang w:eastAsia="en-US"/>
              </w:rPr>
              <w:t>istem automatske identifikacije</w:t>
            </w:r>
          </w:p>
        </w:tc>
      </w:tr>
      <w:tr w:rsidR="00D47369" w:rsidRPr="001C6CCA" w14:paraId="5D8D6F8F" w14:textId="77777777" w:rsidTr="00E4576F">
        <w:trPr>
          <w:jc w:val="center"/>
        </w:trPr>
        <w:tc>
          <w:tcPr>
            <w:tcW w:w="1555" w:type="dxa"/>
            <w:shd w:val="clear" w:color="auto" w:fill="auto"/>
          </w:tcPr>
          <w:p w14:paraId="5B12AF1D" w14:textId="77777777" w:rsidR="00D47369" w:rsidRPr="001C6CCA" w:rsidRDefault="00D47369" w:rsidP="003B3EF1">
            <w:pPr>
              <w:spacing w:before="0" w:after="0"/>
              <w:rPr>
                <w:rFonts w:cstheme="minorHAnsi"/>
                <w:sz w:val="20"/>
                <w:szCs w:val="20"/>
              </w:rPr>
            </w:pPr>
            <w:r w:rsidRPr="001C6CCA">
              <w:rPr>
                <w:rFonts w:cstheme="minorHAnsi"/>
                <w:sz w:val="20"/>
                <w:szCs w:val="20"/>
              </w:rPr>
              <w:t>AZPZ</w:t>
            </w:r>
          </w:p>
        </w:tc>
        <w:tc>
          <w:tcPr>
            <w:tcW w:w="7229" w:type="dxa"/>
            <w:shd w:val="clear" w:color="auto" w:fill="auto"/>
          </w:tcPr>
          <w:p w14:paraId="76D4D21C" w14:textId="321388E0" w:rsidR="00D47369" w:rsidRPr="001C6CCA" w:rsidRDefault="008F04D8" w:rsidP="003B3EF1">
            <w:pPr>
              <w:spacing w:before="0" w:after="0"/>
              <w:rPr>
                <w:rFonts w:cs="Calibri"/>
                <w:sz w:val="20"/>
                <w:szCs w:val="20"/>
                <w:lang w:eastAsia="en-US"/>
              </w:rPr>
            </w:pPr>
            <w:r w:rsidRPr="008F04D8">
              <w:rPr>
                <w:rFonts w:cs="Calibri"/>
                <w:sz w:val="20"/>
                <w:szCs w:val="20"/>
                <w:lang w:eastAsia="en-US"/>
              </w:rPr>
              <w:t>Agencija za za</w:t>
            </w:r>
            <w:r>
              <w:rPr>
                <w:rFonts w:cs="Calibri"/>
                <w:sz w:val="20"/>
                <w:szCs w:val="20"/>
                <w:lang w:eastAsia="en-US"/>
              </w:rPr>
              <w:t>štitu prirode i životne sredine</w:t>
            </w:r>
          </w:p>
        </w:tc>
      </w:tr>
      <w:tr w:rsidR="00D47369" w:rsidRPr="001C6CCA" w14:paraId="024216CE" w14:textId="77777777" w:rsidTr="00E4576F">
        <w:trPr>
          <w:jc w:val="center"/>
        </w:trPr>
        <w:tc>
          <w:tcPr>
            <w:tcW w:w="1555" w:type="dxa"/>
            <w:shd w:val="clear" w:color="auto" w:fill="auto"/>
          </w:tcPr>
          <w:p w14:paraId="15FDB6AA" w14:textId="77777777" w:rsidR="00D47369" w:rsidRPr="001C6CCA" w:rsidRDefault="00D47369" w:rsidP="003B3EF1">
            <w:pPr>
              <w:spacing w:before="0" w:after="0"/>
              <w:rPr>
                <w:rFonts w:cstheme="minorHAnsi"/>
                <w:sz w:val="20"/>
                <w:szCs w:val="20"/>
              </w:rPr>
            </w:pPr>
            <w:r w:rsidRPr="001C6CCA">
              <w:rPr>
                <w:rFonts w:cstheme="minorHAnsi"/>
                <w:sz w:val="20"/>
                <w:szCs w:val="20"/>
              </w:rPr>
              <w:t>BAC</w:t>
            </w:r>
          </w:p>
        </w:tc>
        <w:tc>
          <w:tcPr>
            <w:tcW w:w="7229" w:type="dxa"/>
            <w:shd w:val="clear" w:color="auto" w:fill="auto"/>
          </w:tcPr>
          <w:p w14:paraId="415558F2" w14:textId="73D04B68" w:rsidR="00D47369" w:rsidRPr="001C6CCA" w:rsidRDefault="00515997" w:rsidP="000411CE">
            <w:pPr>
              <w:spacing w:before="0" w:after="0"/>
              <w:rPr>
                <w:rFonts w:cs="Calibri"/>
                <w:sz w:val="20"/>
                <w:szCs w:val="20"/>
                <w:lang w:eastAsia="en-US"/>
              </w:rPr>
            </w:pPr>
            <w:r>
              <w:rPr>
                <w:rFonts w:cs="Calibri"/>
                <w:sz w:val="20"/>
                <w:szCs w:val="20"/>
                <w:lang w:eastAsia="en-US"/>
              </w:rPr>
              <w:t>Procjena prirodne koncentracije</w:t>
            </w:r>
          </w:p>
        </w:tc>
      </w:tr>
      <w:tr w:rsidR="009B32CA" w:rsidRPr="001C6CCA" w14:paraId="5F52225C" w14:textId="77777777" w:rsidTr="00E4576F">
        <w:trPr>
          <w:jc w:val="center"/>
        </w:trPr>
        <w:tc>
          <w:tcPr>
            <w:tcW w:w="1555" w:type="dxa"/>
            <w:shd w:val="clear" w:color="auto" w:fill="auto"/>
          </w:tcPr>
          <w:p w14:paraId="39247357" w14:textId="1996AD7B" w:rsidR="009B32CA" w:rsidRPr="001C6CCA" w:rsidRDefault="009B32CA" w:rsidP="003B3EF1">
            <w:pPr>
              <w:spacing w:before="0" w:after="0"/>
              <w:rPr>
                <w:rFonts w:cstheme="minorHAnsi"/>
                <w:sz w:val="20"/>
                <w:szCs w:val="20"/>
              </w:rPr>
            </w:pPr>
            <w:r w:rsidRPr="001C6CCA">
              <w:rPr>
                <w:rFonts w:cstheme="minorHAnsi"/>
                <w:sz w:val="20"/>
                <w:szCs w:val="20"/>
              </w:rPr>
              <w:t>B</w:t>
            </w:r>
            <w:r w:rsidRPr="001C6CCA">
              <w:rPr>
                <w:rFonts w:cstheme="minorHAnsi"/>
                <w:sz w:val="20"/>
                <w:szCs w:val="20"/>
                <w:vertAlign w:val="subscript"/>
              </w:rPr>
              <w:t>curr</w:t>
            </w:r>
          </w:p>
        </w:tc>
        <w:tc>
          <w:tcPr>
            <w:tcW w:w="7229" w:type="dxa"/>
            <w:shd w:val="clear" w:color="auto" w:fill="auto"/>
          </w:tcPr>
          <w:p w14:paraId="4669AE57" w14:textId="470027CF" w:rsidR="009B32CA" w:rsidRPr="001C6CCA" w:rsidRDefault="008F04D8" w:rsidP="003B3EF1">
            <w:pPr>
              <w:spacing w:before="0" w:after="0"/>
              <w:rPr>
                <w:rFonts w:cs="Calibri"/>
                <w:sz w:val="20"/>
                <w:szCs w:val="20"/>
                <w:lang w:eastAsia="en-US"/>
              </w:rPr>
            </w:pPr>
            <w:r>
              <w:rPr>
                <w:rFonts w:cs="Calibri"/>
                <w:sz w:val="20"/>
                <w:szCs w:val="20"/>
                <w:lang w:eastAsia="en-US"/>
              </w:rPr>
              <w:t>Trenutni nivo biomase</w:t>
            </w:r>
          </w:p>
        </w:tc>
      </w:tr>
      <w:tr w:rsidR="009B32CA" w:rsidRPr="001C6CCA" w14:paraId="2AB5EA37" w14:textId="77777777" w:rsidTr="00E4576F">
        <w:trPr>
          <w:jc w:val="center"/>
        </w:trPr>
        <w:tc>
          <w:tcPr>
            <w:tcW w:w="1555" w:type="dxa"/>
            <w:shd w:val="clear" w:color="auto" w:fill="auto"/>
          </w:tcPr>
          <w:p w14:paraId="3C719CFA" w14:textId="77777777" w:rsidR="009B32CA" w:rsidRPr="001C6CCA" w:rsidRDefault="009B32CA" w:rsidP="003B3EF1">
            <w:pPr>
              <w:spacing w:before="0" w:after="0"/>
              <w:rPr>
                <w:rFonts w:cstheme="minorHAnsi"/>
                <w:sz w:val="20"/>
                <w:szCs w:val="20"/>
              </w:rPr>
            </w:pPr>
            <w:r w:rsidRPr="001C6CCA">
              <w:rPr>
                <w:rFonts w:cstheme="minorHAnsi"/>
                <w:sz w:val="20"/>
                <w:szCs w:val="20"/>
              </w:rPr>
              <w:t>BC</w:t>
            </w:r>
          </w:p>
        </w:tc>
        <w:tc>
          <w:tcPr>
            <w:tcW w:w="7229" w:type="dxa"/>
            <w:shd w:val="clear" w:color="auto" w:fill="auto"/>
          </w:tcPr>
          <w:p w14:paraId="6D9FE8E1" w14:textId="6DA6A30E" w:rsidR="009B32CA" w:rsidRPr="001C6CCA" w:rsidRDefault="00515997" w:rsidP="003B3EF1">
            <w:pPr>
              <w:spacing w:before="0" w:after="0"/>
              <w:rPr>
                <w:rFonts w:cs="Calibri"/>
                <w:sz w:val="20"/>
                <w:szCs w:val="20"/>
                <w:lang w:eastAsia="en-US"/>
              </w:rPr>
            </w:pPr>
            <w:r>
              <w:rPr>
                <w:rFonts w:cs="Calibri"/>
                <w:sz w:val="20"/>
                <w:szCs w:val="20"/>
                <w:lang w:eastAsia="en-US"/>
              </w:rPr>
              <w:t>Prirodna koncentracija</w:t>
            </w:r>
          </w:p>
        </w:tc>
      </w:tr>
      <w:tr w:rsidR="009B32CA" w:rsidRPr="001C6CCA" w14:paraId="04ECD6CA" w14:textId="77777777" w:rsidTr="00E4576F">
        <w:trPr>
          <w:jc w:val="center"/>
        </w:trPr>
        <w:tc>
          <w:tcPr>
            <w:tcW w:w="1555" w:type="dxa"/>
            <w:shd w:val="clear" w:color="auto" w:fill="auto"/>
          </w:tcPr>
          <w:p w14:paraId="489C90B8" w14:textId="77777777" w:rsidR="009B32CA" w:rsidRPr="001C6CCA" w:rsidRDefault="009B32CA" w:rsidP="003B3EF1">
            <w:pPr>
              <w:spacing w:before="0" w:after="0"/>
              <w:rPr>
                <w:rFonts w:cstheme="minorHAnsi"/>
                <w:sz w:val="20"/>
                <w:szCs w:val="20"/>
              </w:rPr>
            </w:pPr>
            <w:r w:rsidRPr="001C6CCA">
              <w:rPr>
                <w:rFonts w:cstheme="minorHAnsi"/>
                <w:sz w:val="20"/>
                <w:szCs w:val="20"/>
              </w:rPr>
              <w:t>BiOS</w:t>
            </w:r>
          </w:p>
        </w:tc>
        <w:tc>
          <w:tcPr>
            <w:tcW w:w="7229" w:type="dxa"/>
            <w:shd w:val="clear" w:color="auto" w:fill="auto"/>
          </w:tcPr>
          <w:p w14:paraId="3968CF7E" w14:textId="3C17DEF4" w:rsidR="009B32CA" w:rsidRPr="001C6CCA" w:rsidRDefault="008F04D8" w:rsidP="003B3EF1">
            <w:pPr>
              <w:spacing w:before="0" w:after="0"/>
              <w:rPr>
                <w:rFonts w:cs="Calibri"/>
                <w:sz w:val="20"/>
                <w:szCs w:val="20"/>
                <w:lang w:eastAsia="en-US"/>
              </w:rPr>
            </w:pPr>
            <w:r>
              <w:rPr>
                <w:rFonts w:cs="Calibri"/>
                <w:sz w:val="20"/>
                <w:szCs w:val="20"/>
                <w:lang w:eastAsia="en-US"/>
              </w:rPr>
              <w:t>Bimodalni oscilirajući sistem</w:t>
            </w:r>
          </w:p>
        </w:tc>
      </w:tr>
      <w:tr w:rsidR="009B32CA" w:rsidRPr="001C6CCA" w14:paraId="4CC52884" w14:textId="77777777" w:rsidTr="00E4576F">
        <w:trPr>
          <w:jc w:val="center"/>
        </w:trPr>
        <w:tc>
          <w:tcPr>
            <w:tcW w:w="1555" w:type="dxa"/>
            <w:shd w:val="clear" w:color="auto" w:fill="auto"/>
          </w:tcPr>
          <w:p w14:paraId="24BEF0F9" w14:textId="42825A59" w:rsidR="009B32CA" w:rsidRPr="001C6CCA" w:rsidRDefault="009B32CA" w:rsidP="003B3EF1">
            <w:pPr>
              <w:spacing w:before="0" w:after="0"/>
              <w:rPr>
                <w:rFonts w:cstheme="minorHAnsi"/>
                <w:sz w:val="20"/>
                <w:szCs w:val="20"/>
              </w:rPr>
            </w:pPr>
            <w:r w:rsidRPr="001C6CCA">
              <w:rPr>
                <w:rFonts w:cstheme="minorHAnsi"/>
                <w:sz w:val="20"/>
                <w:szCs w:val="20"/>
              </w:rPr>
              <w:t>B</w:t>
            </w:r>
            <w:r w:rsidR="0075521A" w:rsidRPr="001C6CCA">
              <w:rPr>
                <w:rFonts w:cstheme="minorHAnsi"/>
                <w:sz w:val="20"/>
                <w:szCs w:val="20"/>
                <w:vertAlign w:val="subscript"/>
              </w:rPr>
              <w:t>lim</w:t>
            </w:r>
          </w:p>
        </w:tc>
        <w:tc>
          <w:tcPr>
            <w:tcW w:w="7229" w:type="dxa"/>
            <w:shd w:val="clear" w:color="auto" w:fill="auto"/>
          </w:tcPr>
          <w:p w14:paraId="30BF433B" w14:textId="5A0DB077" w:rsidR="0006650E" w:rsidRDefault="0006650E" w:rsidP="003B3EF1">
            <w:pPr>
              <w:spacing w:before="0" w:after="0"/>
              <w:rPr>
                <w:rFonts w:cs="Calibri"/>
                <w:sz w:val="20"/>
                <w:szCs w:val="20"/>
                <w:lang w:eastAsia="en-US"/>
              </w:rPr>
            </w:pPr>
            <w:r>
              <w:rPr>
                <w:rFonts w:cs="Calibri"/>
                <w:sz w:val="20"/>
                <w:szCs w:val="20"/>
                <w:lang w:eastAsia="en-US"/>
              </w:rPr>
              <w:t>Najniža granična vrijednost biomase reproduktivnog dijela populacije</w:t>
            </w:r>
          </w:p>
          <w:p w14:paraId="4C2F470A" w14:textId="256AC9DB" w:rsidR="009B32CA" w:rsidRPr="001C6CCA" w:rsidRDefault="0006650E" w:rsidP="003B3EF1">
            <w:pPr>
              <w:spacing w:before="0" w:after="0"/>
              <w:rPr>
                <w:rFonts w:cs="Calibri"/>
                <w:sz w:val="20"/>
                <w:szCs w:val="20"/>
                <w:lang w:eastAsia="en-US"/>
              </w:rPr>
            </w:pPr>
            <w:r>
              <w:rPr>
                <w:rFonts w:cs="Calibri"/>
                <w:sz w:val="20"/>
                <w:szCs w:val="20"/>
                <w:lang w:eastAsia="en-US"/>
              </w:rPr>
              <w:t>(</w:t>
            </w:r>
            <w:r w:rsidR="009B32CA" w:rsidRPr="001C6CCA">
              <w:rPr>
                <w:rFonts w:cs="Calibri"/>
                <w:sz w:val="20"/>
                <w:szCs w:val="20"/>
                <w:lang w:eastAsia="en-US"/>
              </w:rPr>
              <w:t>Biomass reference point as a proxy of Bloss-Lowest Observed Spawing Stock</w:t>
            </w:r>
            <w:r>
              <w:rPr>
                <w:rFonts w:cs="Calibri"/>
                <w:sz w:val="20"/>
                <w:szCs w:val="20"/>
                <w:lang w:eastAsia="en-US"/>
              </w:rPr>
              <w:t>)</w:t>
            </w:r>
          </w:p>
        </w:tc>
      </w:tr>
      <w:tr w:rsidR="009B32CA" w:rsidRPr="001C6CCA" w14:paraId="77D3EC2F" w14:textId="77777777" w:rsidTr="00E4576F">
        <w:trPr>
          <w:jc w:val="center"/>
        </w:trPr>
        <w:tc>
          <w:tcPr>
            <w:tcW w:w="1555" w:type="dxa"/>
            <w:shd w:val="clear" w:color="auto" w:fill="auto"/>
          </w:tcPr>
          <w:p w14:paraId="0CF8B7D6" w14:textId="77777777" w:rsidR="009B32CA" w:rsidRPr="001C6CCA" w:rsidRDefault="009B32CA" w:rsidP="003B3EF1">
            <w:pPr>
              <w:spacing w:before="0" w:after="0"/>
              <w:rPr>
                <w:rFonts w:cstheme="minorHAnsi"/>
                <w:sz w:val="20"/>
                <w:szCs w:val="20"/>
              </w:rPr>
            </w:pPr>
            <w:r w:rsidRPr="001C6CCA">
              <w:rPr>
                <w:rFonts w:cs="Arial"/>
                <w:bCs/>
                <w:sz w:val="20"/>
                <w:szCs w:val="20"/>
                <w:shd w:val="clear" w:color="auto" w:fill="FFFFFF"/>
              </w:rPr>
              <w:t>B</w:t>
            </w:r>
            <w:r w:rsidRPr="001C6CCA">
              <w:rPr>
                <w:bCs/>
                <w:iCs/>
                <w:sz w:val="20"/>
                <w:szCs w:val="20"/>
              </w:rPr>
              <w:t>HC</w:t>
            </w:r>
          </w:p>
        </w:tc>
        <w:tc>
          <w:tcPr>
            <w:tcW w:w="7229" w:type="dxa"/>
            <w:shd w:val="clear" w:color="auto" w:fill="auto"/>
          </w:tcPr>
          <w:p w14:paraId="3CB145EA" w14:textId="56D48154" w:rsidR="009B32CA" w:rsidRPr="001C6CCA" w:rsidRDefault="008F04D8" w:rsidP="003B3EF1">
            <w:pPr>
              <w:spacing w:before="0" w:after="0"/>
              <w:rPr>
                <w:rFonts w:cs="Calibri"/>
                <w:sz w:val="20"/>
                <w:szCs w:val="20"/>
                <w:lang w:eastAsia="en-US"/>
              </w:rPr>
            </w:pPr>
            <w:r>
              <w:rPr>
                <w:rFonts w:cs="Calibri"/>
                <w:sz w:val="20"/>
                <w:szCs w:val="20"/>
                <w:lang w:eastAsia="en-US"/>
              </w:rPr>
              <w:t>Heksaklorocikloheksan</w:t>
            </w:r>
          </w:p>
        </w:tc>
      </w:tr>
      <w:tr w:rsidR="009B32CA" w:rsidRPr="001C6CCA" w14:paraId="58A31454" w14:textId="77777777" w:rsidTr="00E4576F">
        <w:trPr>
          <w:jc w:val="center"/>
        </w:trPr>
        <w:tc>
          <w:tcPr>
            <w:tcW w:w="1555" w:type="dxa"/>
            <w:shd w:val="clear" w:color="auto" w:fill="auto"/>
          </w:tcPr>
          <w:p w14:paraId="1818C089" w14:textId="77777777" w:rsidR="009B32CA" w:rsidRPr="001C6CCA" w:rsidRDefault="009B32CA" w:rsidP="003B3EF1">
            <w:pPr>
              <w:spacing w:before="0" w:after="0"/>
              <w:rPr>
                <w:rFonts w:cstheme="minorHAnsi"/>
                <w:sz w:val="20"/>
                <w:szCs w:val="20"/>
                <w:vertAlign w:val="subscript"/>
              </w:rPr>
            </w:pPr>
            <w:r w:rsidRPr="001C6CCA">
              <w:rPr>
                <w:rFonts w:cstheme="minorHAnsi"/>
                <w:sz w:val="20"/>
                <w:szCs w:val="20"/>
              </w:rPr>
              <w:t>BOD</w:t>
            </w:r>
            <w:r w:rsidRPr="001C6CCA">
              <w:rPr>
                <w:rFonts w:cstheme="minorHAnsi"/>
                <w:sz w:val="20"/>
                <w:szCs w:val="20"/>
                <w:vertAlign w:val="subscript"/>
              </w:rPr>
              <w:t>5</w:t>
            </w:r>
          </w:p>
        </w:tc>
        <w:tc>
          <w:tcPr>
            <w:tcW w:w="7229" w:type="dxa"/>
            <w:shd w:val="clear" w:color="auto" w:fill="auto"/>
          </w:tcPr>
          <w:p w14:paraId="089F0C2F" w14:textId="28FF0006" w:rsidR="009B32CA" w:rsidRPr="001C6CCA" w:rsidRDefault="008F04D8" w:rsidP="003B3EF1">
            <w:pPr>
              <w:spacing w:before="0" w:after="0"/>
              <w:rPr>
                <w:rFonts w:cs="Calibri"/>
                <w:sz w:val="20"/>
                <w:szCs w:val="20"/>
                <w:lang w:eastAsia="en-US"/>
              </w:rPr>
            </w:pPr>
            <w:r w:rsidRPr="008F04D8">
              <w:rPr>
                <w:rFonts w:cs="Calibri"/>
                <w:sz w:val="20"/>
                <w:szCs w:val="20"/>
                <w:lang w:eastAsia="en-US"/>
              </w:rPr>
              <w:t>Biološka potr</w:t>
            </w:r>
            <w:r w:rsidR="00A66C00">
              <w:rPr>
                <w:rFonts w:cs="Calibri"/>
                <w:sz w:val="20"/>
                <w:szCs w:val="20"/>
                <w:lang w:eastAsia="en-US"/>
              </w:rPr>
              <w:t>ošnja</w:t>
            </w:r>
            <w:r w:rsidRPr="008F04D8">
              <w:rPr>
                <w:rFonts w:cs="Calibri"/>
                <w:sz w:val="20"/>
                <w:szCs w:val="20"/>
                <w:lang w:eastAsia="en-US"/>
              </w:rPr>
              <w:t> kiseonik</w:t>
            </w:r>
            <w:r w:rsidR="00A66C00">
              <w:rPr>
                <w:rFonts w:cs="Calibri"/>
                <w:sz w:val="20"/>
                <w:szCs w:val="20"/>
                <w:lang w:eastAsia="en-US"/>
              </w:rPr>
              <w:t>a</w:t>
            </w:r>
          </w:p>
        </w:tc>
      </w:tr>
      <w:tr w:rsidR="009B32CA" w:rsidRPr="001C6CCA" w14:paraId="63B3DEE7" w14:textId="77777777" w:rsidTr="0035423E">
        <w:trPr>
          <w:trHeight w:val="219"/>
          <w:jc w:val="center"/>
        </w:trPr>
        <w:tc>
          <w:tcPr>
            <w:tcW w:w="1555" w:type="dxa"/>
            <w:shd w:val="clear" w:color="auto" w:fill="auto"/>
          </w:tcPr>
          <w:p w14:paraId="6628C485" w14:textId="511C0842" w:rsidR="009B32CA" w:rsidRPr="001C6CCA" w:rsidRDefault="009B32CA" w:rsidP="003B3EF1">
            <w:pPr>
              <w:spacing w:before="0" w:after="0"/>
              <w:rPr>
                <w:rFonts w:cstheme="minorHAnsi"/>
                <w:sz w:val="20"/>
                <w:szCs w:val="20"/>
              </w:rPr>
            </w:pPr>
            <w:r w:rsidRPr="001C6CCA">
              <w:rPr>
                <w:rFonts w:cstheme="minorHAnsi"/>
                <w:sz w:val="20"/>
                <w:szCs w:val="20"/>
              </w:rPr>
              <w:t>Bpa</w:t>
            </w:r>
          </w:p>
        </w:tc>
        <w:tc>
          <w:tcPr>
            <w:tcW w:w="7229" w:type="dxa"/>
            <w:shd w:val="clear" w:color="auto" w:fill="auto"/>
          </w:tcPr>
          <w:p w14:paraId="45081FAC" w14:textId="2EC1C0C9" w:rsidR="009B32CA" w:rsidRPr="001C6CCA" w:rsidRDefault="0006650E" w:rsidP="003B3EF1">
            <w:pPr>
              <w:spacing w:before="0" w:after="0"/>
              <w:rPr>
                <w:rFonts w:cs="Calibri"/>
                <w:sz w:val="20"/>
                <w:szCs w:val="20"/>
                <w:lang w:eastAsia="en-US"/>
              </w:rPr>
            </w:pPr>
            <w:r>
              <w:rPr>
                <w:rFonts w:cs="Calibri"/>
                <w:sz w:val="20"/>
                <w:szCs w:val="20"/>
                <w:lang w:eastAsia="en-US"/>
              </w:rPr>
              <w:t>Prdostrožna vrijednost biomase reprodultivnog dijela populacie (</w:t>
            </w:r>
            <w:r w:rsidR="009B32CA" w:rsidRPr="001C6CCA">
              <w:rPr>
                <w:rFonts w:cs="Calibri"/>
                <w:sz w:val="20"/>
                <w:szCs w:val="20"/>
                <w:lang w:eastAsia="en-US"/>
              </w:rPr>
              <w:t>Biomass Precautionary Reference Points</w:t>
            </w:r>
            <w:r>
              <w:rPr>
                <w:rFonts w:cs="Calibri"/>
                <w:sz w:val="20"/>
                <w:szCs w:val="20"/>
                <w:lang w:eastAsia="en-US"/>
              </w:rPr>
              <w:t>)</w:t>
            </w:r>
          </w:p>
        </w:tc>
      </w:tr>
      <w:tr w:rsidR="009B32CA" w:rsidRPr="001C6CCA" w14:paraId="6A93E786" w14:textId="77777777" w:rsidTr="00E4576F">
        <w:trPr>
          <w:jc w:val="center"/>
        </w:trPr>
        <w:tc>
          <w:tcPr>
            <w:tcW w:w="1555" w:type="dxa"/>
            <w:shd w:val="clear" w:color="auto" w:fill="auto"/>
          </w:tcPr>
          <w:p w14:paraId="034FCFA2" w14:textId="77777777" w:rsidR="009B32CA" w:rsidRPr="001C6CCA" w:rsidRDefault="009B32CA" w:rsidP="003B3EF1">
            <w:pPr>
              <w:spacing w:before="0" w:after="0"/>
              <w:rPr>
                <w:rFonts w:cstheme="minorHAnsi"/>
                <w:sz w:val="20"/>
                <w:szCs w:val="20"/>
              </w:rPr>
            </w:pPr>
            <w:r w:rsidRPr="001C6CCA">
              <w:rPr>
                <w:rFonts w:cstheme="minorHAnsi"/>
                <w:sz w:val="20"/>
                <w:szCs w:val="20"/>
              </w:rPr>
              <w:t>CAMP</w:t>
            </w:r>
          </w:p>
        </w:tc>
        <w:tc>
          <w:tcPr>
            <w:tcW w:w="7229" w:type="dxa"/>
            <w:shd w:val="clear" w:color="auto" w:fill="auto"/>
          </w:tcPr>
          <w:p w14:paraId="27DD29A8" w14:textId="62652560" w:rsidR="009B32CA" w:rsidRPr="001C6CCA" w:rsidRDefault="00AA6D51" w:rsidP="003B3EF1">
            <w:pPr>
              <w:spacing w:before="0" w:after="0"/>
              <w:rPr>
                <w:rFonts w:cs="Calibri"/>
                <w:sz w:val="20"/>
                <w:szCs w:val="20"/>
                <w:lang w:eastAsia="en-US"/>
              </w:rPr>
            </w:pPr>
            <w:r w:rsidRPr="00AA6D51">
              <w:rPr>
                <w:rFonts w:cs="Calibri"/>
                <w:sz w:val="20"/>
                <w:szCs w:val="20"/>
                <w:lang w:eastAsia="en-US"/>
              </w:rPr>
              <w:t>Program upravljanja obalnim područjem</w:t>
            </w:r>
          </w:p>
        </w:tc>
      </w:tr>
      <w:tr w:rsidR="009B32CA" w:rsidRPr="001C6CCA" w14:paraId="574ADFA1" w14:textId="77777777" w:rsidTr="00E4576F">
        <w:trPr>
          <w:jc w:val="center"/>
        </w:trPr>
        <w:tc>
          <w:tcPr>
            <w:tcW w:w="1555" w:type="dxa"/>
            <w:shd w:val="clear" w:color="auto" w:fill="auto"/>
          </w:tcPr>
          <w:p w14:paraId="4725FA30" w14:textId="77777777" w:rsidR="009B32CA" w:rsidRPr="001C6CCA" w:rsidRDefault="009B32CA" w:rsidP="003B3EF1">
            <w:pPr>
              <w:spacing w:before="0" w:after="0"/>
              <w:rPr>
                <w:rFonts w:cstheme="minorHAnsi"/>
                <w:sz w:val="20"/>
                <w:szCs w:val="20"/>
              </w:rPr>
            </w:pPr>
            <w:r w:rsidRPr="001C6CCA">
              <w:rPr>
                <w:rFonts w:cstheme="minorHAnsi"/>
                <w:sz w:val="20"/>
                <w:szCs w:val="20"/>
              </w:rPr>
              <w:t>CARLIT</w:t>
            </w:r>
          </w:p>
        </w:tc>
        <w:tc>
          <w:tcPr>
            <w:tcW w:w="7229" w:type="dxa"/>
            <w:shd w:val="clear" w:color="auto" w:fill="auto"/>
          </w:tcPr>
          <w:p w14:paraId="16FBDC9B" w14:textId="5935D56D" w:rsidR="009B32CA" w:rsidRPr="001C6CCA" w:rsidRDefault="00515997" w:rsidP="00515997">
            <w:pPr>
              <w:spacing w:before="0" w:after="0"/>
              <w:rPr>
                <w:rFonts w:cs="Calibri"/>
                <w:sz w:val="20"/>
                <w:szCs w:val="20"/>
                <w:lang w:eastAsia="en-US"/>
              </w:rPr>
            </w:pPr>
            <w:r>
              <w:rPr>
                <w:rFonts w:cs="Calibri"/>
                <w:sz w:val="20"/>
                <w:szCs w:val="20"/>
                <w:lang w:eastAsia="en-US"/>
              </w:rPr>
              <w:t xml:space="preserve">Kartografija litorala </w:t>
            </w:r>
          </w:p>
        </w:tc>
      </w:tr>
      <w:tr w:rsidR="009B32CA" w:rsidRPr="001C6CCA" w14:paraId="582738F1" w14:textId="77777777" w:rsidTr="00E4576F">
        <w:trPr>
          <w:jc w:val="center"/>
        </w:trPr>
        <w:tc>
          <w:tcPr>
            <w:tcW w:w="1555" w:type="dxa"/>
            <w:shd w:val="clear" w:color="auto" w:fill="auto"/>
          </w:tcPr>
          <w:p w14:paraId="7CB47972" w14:textId="77777777" w:rsidR="009B32CA" w:rsidRPr="001C6CCA" w:rsidRDefault="009B32CA" w:rsidP="003B3EF1">
            <w:pPr>
              <w:spacing w:before="0" w:after="0"/>
              <w:rPr>
                <w:rFonts w:cstheme="minorHAnsi"/>
                <w:sz w:val="20"/>
                <w:szCs w:val="20"/>
              </w:rPr>
            </w:pPr>
            <w:r w:rsidRPr="001C6CCA">
              <w:rPr>
                <w:rFonts w:cstheme="minorHAnsi"/>
                <w:sz w:val="20"/>
                <w:szCs w:val="20"/>
              </w:rPr>
              <w:t>CBD</w:t>
            </w:r>
          </w:p>
        </w:tc>
        <w:tc>
          <w:tcPr>
            <w:tcW w:w="7229" w:type="dxa"/>
            <w:shd w:val="clear" w:color="auto" w:fill="auto"/>
          </w:tcPr>
          <w:p w14:paraId="32A3FCD5" w14:textId="021F3D5C" w:rsidR="009B32CA" w:rsidRPr="001C6CCA" w:rsidRDefault="00D1148F" w:rsidP="003B3EF1">
            <w:pPr>
              <w:spacing w:before="0" w:after="0"/>
              <w:rPr>
                <w:rFonts w:cs="Calibri"/>
                <w:sz w:val="20"/>
                <w:szCs w:val="20"/>
                <w:lang w:eastAsia="en-US"/>
              </w:rPr>
            </w:pPr>
            <w:r w:rsidRPr="00D1148F">
              <w:rPr>
                <w:rFonts w:cs="Calibri"/>
                <w:sz w:val="20"/>
                <w:szCs w:val="20"/>
                <w:lang w:eastAsia="en-US"/>
              </w:rPr>
              <w:t>Kon</w:t>
            </w:r>
            <w:r w:rsidR="00515997">
              <w:rPr>
                <w:rFonts w:cs="Calibri"/>
                <w:sz w:val="20"/>
                <w:szCs w:val="20"/>
                <w:lang w:eastAsia="en-US"/>
              </w:rPr>
              <w:t>vencija o biološkoj raznovrsnosti</w:t>
            </w:r>
          </w:p>
        </w:tc>
      </w:tr>
      <w:tr w:rsidR="009B32CA" w:rsidRPr="001C6CCA" w14:paraId="0E6C09D4" w14:textId="77777777" w:rsidTr="00E4576F">
        <w:trPr>
          <w:jc w:val="center"/>
        </w:trPr>
        <w:tc>
          <w:tcPr>
            <w:tcW w:w="1555" w:type="dxa"/>
            <w:shd w:val="clear" w:color="auto" w:fill="auto"/>
          </w:tcPr>
          <w:p w14:paraId="494C069F" w14:textId="35A89375" w:rsidR="009B32CA" w:rsidRPr="001C6CCA" w:rsidRDefault="009B32CA" w:rsidP="003B3EF1">
            <w:pPr>
              <w:spacing w:before="0" w:after="0"/>
              <w:rPr>
                <w:rFonts w:cstheme="minorHAnsi"/>
                <w:sz w:val="20"/>
                <w:szCs w:val="20"/>
              </w:rPr>
            </w:pPr>
            <w:r w:rsidRPr="001C6CCA">
              <w:rPr>
                <w:rFonts w:cstheme="minorHAnsi"/>
                <w:sz w:val="20"/>
                <w:szCs w:val="20"/>
              </w:rPr>
              <w:t>CEMP</w:t>
            </w:r>
          </w:p>
        </w:tc>
        <w:tc>
          <w:tcPr>
            <w:tcW w:w="7229" w:type="dxa"/>
            <w:shd w:val="clear" w:color="auto" w:fill="auto"/>
          </w:tcPr>
          <w:p w14:paraId="04A6CF51" w14:textId="557942AF" w:rsidR="009B32CA" w:rsidRPr="001C6CCA" w:rsidRDefault="00D1148F" w:rsidP="003B3EF1">
            <w:pPr>
              <w:spacing w:before="0" w:after="0"/>
              <w:rPr>
                <w:rFonts w:cs="Calibri"/>
                <w:sz w:val="20"/>
                <w:szCs w:val="20"/>
                <w:lang w:eastAsia="en-US"/>
              </w:rPr>
            </w:pPr>
            <w:r w:rsidRPr="00D1148F">
              <w:rPr>
                <w:rFonts w:cs="Calibri"/>
                <w:sz w:val="20"/>
                <w:szCs w:val="20"/>
                <w:lang w:eastAsia="en-US"/>
              </w:rPr>
              <w:t>Koordinirani program monitoringa stanja životne sredine</w:t>
            </w:r>
          </w:p>
        </w:tc>
      </w:tr>
      <w:tr w:rsidR="009B32CA" w:rsidRPr="001C6CCA" w14:paraId="48C894DF" w14:textId="77777777" w:rsidTr="00E4576F">
        <w:trPr>
          <w:jc w:val="center"/>
        </w:trPr>
        <w:tc>
          <w:tcPr>
            <w:tcW w:w="1555" w:type="dxa"/>
            <w:shd w:val="clear" w:color="auto" w:fill="auto"/>
          </w:tcPr>
          <w:p w14:paraId="098D71BC" w14:textId="77777777" w:rsidR="009B32CA" w:rsidRPr="001C6CCA" w:rsidRDefault="009B32CA" w:rsidP="003B3EF1">
            <w:pPr>
              <w:spacing w:before="0" w:after="0"/>
              <w:rPr>
                <w:rFonts w:cstheme="minorHAnsi"/>
                <w:sz w:val="20"/>
                <w:szCs w:val="20"/>
              </w:rPr>
            </w:pPr>
            <w:r w:rsidRPr="001C6CCA">
              <w:rPr>
                <w:rFonts w:cstheme="minorHAnsi"/>
                <w:sz w:val="20"/>
                <w:szCs w:val="20"/>
              </w:rPr>
              <w:t>CFP</w:t>
            </w:r>
          </w:p>
        </w:tc>
        <w:tc>
          <w:tcPr>
            <w:tcW w:w="7229" w:type="dxa"/>
            <w:shd w:val="clear" w:color="auto" w:fill="auto"/>
          </w:tcPr>
          <w:p w14:paraId="1251020E" w14:textId="5A01C507" w:rsidR="009B32CA" w:rsidRPr="001C6CCA" w:rsidRDefault="00AA6D51" w:rsidP="00515997">
            <w:pPr>
              <w:spacing w:before="0" w:after="0"/>
              <w:rPr>
                <w:rFonts w:cs="Calibri"/>
                <w:sz w:val="20"/>
                <w:szCs w:val="20"/>
                <w:lang w:eastAsia="en-US"/>
              </w:rPr>
            </w:pPr>
            <w:r>
              <w:rPr>
                <w:rFonts w:cs="Calibri"/>
                <w:sz w:val="20"/>
                <w:szCs w:val="20"/>
                <w:lang w:eastAsia="en-US"/>
              </w:rPr>
              <w:t xml:space="preserve">Zajednička </w:t>
            </w:r>
            <w:r w:rsidR="00515997">
              <w:rPr>
                <w:rFonts w:cs="Calibri"/>
                <w:sz w:val="20"/>
                <w:szCs w:val="20"/>
                <w:lang w:eastAsia="en-US"/>
              </w:rPr>
              <w:t>politika ribarstva</w:t>
            </w:r>
          </w:p>
        </w:tc>
      </w:tr>
      <w:tr w:rsidR="009B32CA" w:rsidRPr="001C6CCA" w14:paraId="357AA618" w14:textId="77777777" w:rsidTr="00E4576F">
        <w:trPr>
          <w:jc w:val="center"/>
        </w:trPr>
        <w:tc>
          <w:tcPr>
            <w:tcW w:w="1555" w:type="dxa"/>
            <w:shd w:val="clear" w:color="auto" w:fill="auto"/>
          </w:tcPr>
          <w:p w14:paraId="462EC9BE" w14:textId="77777777" w:rsidR="009B32CA" w:rsidRPr="001C6CCA" w:rsidRDefault="009B32CA" w:rsidP="003B3EF1">
            <w:pPr>
              <w:spacing w:before="0" w:after="0"/>
              <w:rPr>
                <w:rFonts w:cstheme="minorHAnsi"/>
                <w:sz w:val="20"/>
                <w:szCs w:val="20"/>
              </w:rPr>
            </w:pPr>
            <w:r w:rsidRPr="001C6CCA">
              <w:rPr>
                <w:rFonts w:cstheme="minorHAnsi"/>
                <w:sz w:val="20"/>
                <w:szCs w:val="20"/>
              </w:rPr>
              <w:t>CMS</w:t>
            </w:r>
          </w:p>
        </w:tc>
        <w:tc>
          <w:tcPr>
            <w:tcW w:w="7229" w:type="dxa"/>
            <w:shd w:val="clear" w:color="auto" w:fill="auto"/>
          </w:tcPr>
          <w:p w14:paraId="0BFE4A72" w14:textId="25AFA0C5" w:rsidR="009B32CA" w:rsidRPr="001C6CCA" w:rsidRDefault="00D1148F" w:rsidP="003B3EF1">
            <w:pPr>
              <w:spacing w:before="0" w:after="0"/>
              <w:rPr>
                <w:rFonts w:cs="Calibri"/>
                <w:sz w:val="20"/>
                <w:szCs w:val="20"/>
                <w:lang w:eastAsia="en-US"/>
              </w:rPr>
            </w:pPr>
            <w:r w:rsidRPr="00D1148F">
              <w:rPr>
                <w:rFonts w:cs="Calibri"/>
                <w:sz w:val="20"/>
                <w:szCs w:val="20"/>
                <w:lang w:eastAsia="en-US"/>
              </w:rPr>
              <w:t>Konvencija o migracionim vrstama</w:t>
            </w:r>
          </w:p>
        </w:tc>
      </w:tr>
      <w:tr w:rsidR="009B32CA" w:rsidRPr="001C6CCA" w14:paraId="42EDCE7F" w14:textId="77777777" w:rsidTr="00E4576F">
        <w:trPr>
          <w:jc w:val="center"/>
        </w:trPr>
        <w:tc>
          <w:tcPr>
            <w:tcW w:w="1555" w:type="dxa"/>
            <w:shd w:val="clear" w:color="auto" w:fill="auto"/>
          </w:tcPr>
          <w:p w14:paraId="2A85B739" w14:textId="77777777" w:rsidR="009B32CA" w:rsidRPr="001C6CCA" w:rsidRDefault="009B32CA" w:rsidP="003B3EF1">
            <w:pPr>
              <w:spacing w:before="0" w:after="0"/>
              <w:rPr>
                <w:rFonts w:cstheme="minorHAnsi"/>
                <w:sz w:val="20"/>
                <w:szCs w:val="20"/>
              </w:rPr>
            </w:pPr>
            <w:r w:rsidRPr="001C6CCA">
              <w:rPr>
                <w:rFonts w:cstheme="minorHAnsi"/>
                <w:sz w:val="20"/>
                <w:szCs w:val="20"/>
              </w:rPr>
              <w:t>DCF</w:t>
            </w:r>
          </w:p>
        </w:tc>
        <w:tc>
          <w:tcPr>
            <w:tcW w:w="7229" w:type="dxa"/>
            <w:shd w:val="clear" w:color="auto" w:fill="auto"/>
          </w:tcPr>
          <w:p w14:paraId="66D2E025" w14:textId="6ADB4C54" w:rsidR="009B32CA" w:rsidRPr="001C6CCA" w:rsidRDefault="00AA6D51" w:rsidP="003B3EF1">
            <w:pPr>
              <w:spacing w:before="0" w:after="0"/>
              <w:rPr>
                <w:rFonts w:cs="Calibri"/>
                <w:sz w:val="20"/>
                <w:szCs w:val="20"/>
                <w:lang w:eastAsia="en-US"/>
              </w:rPr>
            </w:pPr>
            <w:r w:rsidRPr="00AA6D51">
              <w:rPr>
                <w:rFonts w:cs="Calibri"/>
                <w:sz w:val="20"/>
                <w:szCs w:val="20"/>
                <w:lang w:eastAsia="en-US"/>
              </w:rPr>
              <w:t>Okvir za prikupljanje podataka</w:t>
            </w:r>
          </w:p>
        </w:tc>
      </w:tr>
      <w:tr w:rsidR="009B32CA" w:rsidRPr="001C6CCA" w14:paraId="76F4DEF2" w14:textId="77777777" w:rsidTr="00E4576F">
        <w:trPr>
          <w:jc w:val="center"/>
        </w:trPr>
        <w:tc>
          <w:tcPr>
            <w:tcW w:w="1555" w:type="dxa"/>
            <w:shd w:val="clear" w:color="auto" w:fill="auto"/>
          </w:tcPr>
          <w:p w14:paraId="3817BCEC" w14:textId="77777777" w:rsidR="009B32CA" w:rsidRPr="001C6CCA" w:rsidRDefault="009B32CA" w:rsidP="003B3EF1">
            <w:pPr>
              <w:spacing w:before="0" w:after="0"/>
              <w:rPr>
                <w:rFonts w:cstheme="minorHAnsi"/>
                <w:sz w:val="20"/>
                <w:szCs w:val="20"/>
              </w:rPr>
            </w:pPr>
            <w:r w:rsidRPr="001C6CCA">
              <w:rPr>
                <w:rFonts w:cstheme="minorHAnsi"/>
                <w:sz w:val="20"/>
                <w:szCs w:val="20"/>
              </w:rPr>
              <w:t>DCRF</w:t>
            </w:r>
          </w:p>
        </w:tc>
        <w:tc>
          <w:tcPr>
            <w:tcW w:w="7229" w:type="dxa"/>
            <w:shd w:val="clear" w:color="auto" w:fill="auto"/>
          </w:tcPr>
          <w:p w14:paraId="01B77AF6" w14:textId="5B70A761" w:rsidR="009B32CA" w:rsidRPr="001C6CCA" w:rsidRDefault="00AA6D51" w:rsidP="003B3EF1">
            <w:pPr>
              <w:spacing w:before="0" w:after="0"/>
              <w:rPr>
                <w:rFonts w:cs="Calibri"/>
                <w:sz w:val="20"/>
                <w:szCs w:val="20"/>
                <w:lang w:eastAsia="en-US"/>
              </w:rPr>
            </w:pPr>
            <w:r w:rsidRPr="00AA6D51">
              <w:rPr>
                <w:rFonts w:cs="Calibri"/>
                <w:sz w:val="20"/>
                <w:szCs w:val="20"/>
                <w:lang w:eastAsia="en-US"/>
              </w:rPr>
              <w:t>Podaci prikupljeni za ribarstvo</w:t>
            </w:r>
          </w:p>
        </w:tc>
      </w:tr>
      <w:tr w:rsidR="009B32CA" w:rsidRPr="001C6CCA" w14:paraId="6A2B7771" w14:textId="77777777" w:rsidTr="00E4576F">
        <w:trPr>
          <w:jc w:val="center"/>
        </w:trPr>
        <w:tc>
          <w:tcPr>
            <w:tcW w:w="1555" w:type="dxa"/>
            <w:shd w:val="clear" w:color="auto" w:fill="auto"/>
          </w:tcPr>
          <w:p w14:paraId="2B19D0DF" w14:textId="77777777" w:rsidR="009B32CA" w:rsidRPr="001C6CCA" w:rsidRDefault="009B32CA" w:rsidP="003B3EF1">
            <w:pPr>
              <w:spacing w:before="0" w:after="0"/>
              <w:rPr>
                <w:rFonts w:cstheme="minorHAnsi"/>
                <w:sz w:val="20"/>
                <w:szCs w:val="20"/>
              </w:rPr>
            </w:pPr>
            <w:r w:rsidRPr="001C6CCA">
              <w:rPr>
                <w:rFonts w:cstheme="minorHAnsi"/>
                <w:sz w:val="20"/>
                <w:szCs w:val="20"/>
              </w:rPr>
              <w:t>DDD</w:t>
            </w:r>
          </w:p>
        </w:tc>
        <w:tc>
          <w:tcPr>
            <w:tcW w:w="7229" w:type="dxa"/>
            <w:shd w:val="clear" w:color="auto" w:fill="auto"/>
          </w:tcPr>
          <w:p w14:paraId="186EB53C" w14:textId="66817117" w:rsidR="009B32CA" w:rsidRPr="001C6CCA" w:rsidRDefault="00D1148F" w:rsidP="003B3EF1">
            <w:pPr>
              <w:spacing w:before="0" w:after="0"/>
              <w:rPr>
                <w:rFonts w:cs="Calibri"/>
                <w:sz w:val="20"/>
                <w:szCs w:val="20"/>
                <w:lang w:eastAsia="en-US"/>
              </w:rPr>
            </w:pPr>
            <w:r w:rsidRPr="00D1148F">
              <w:rPr>
                <w:rFonts w:cs="Calibri"/>
                <w:sz w:val="20"/>
                <w:szCs w:val="20"/>
                <w:lang w:eastAsia="en-US"/>
              </w:rPr>
              <w:t>Dihlorodifenildihloroetan</w:t>
            </w:r>
          </w:p>
        </w:tc>
      </w:tr>
      <w:tr w:rsidR="009B32CA" w:rsidRPr="001C6CCA" w14:paraId="3590C4F6" w14:textId="77777777" w:rsidTr="00E4576F">
        <w:trPr>
          <w:jc w:val="center"/>
        </w:trPr>
        <w:tc>
          <w:tcPr>
            <w:tcW w:w="1555" w:type="dxa"/>
            <w:shd w:val="clear" w:color="auto" w:fill="auto"/>
          </w:tcPr>
          <w:p w14:paraId="2092102E"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DDE</w:t>
            </w:r>
          </w:p>
        </w:tc>
        <w:tc>
          <w:tcPr>
            <w:tcW w:w="7229" w:type="dxa"/>
            <w:shd w:val="clear" w:color="auto" w:fill="auto"/>
          </w:tcPr>
          <w:p w14:paraId="1E837E4B" w14:textId="55D76DDD" w:rsidR="009B32CA" w:rsidRPr="001C6CCA" w:rsidRDefault="00D1148F" w:rsidP="003B3EF1">
            <w:pPr>
              <w:spacing w:before="0" w:after="0"/>
              <w:rPr>
                <w:rFonts w:cs="Calibri"/>
                <w:sz w:val="20"/>
                <w:szCs w:val="20"/>
                <w:lang w:eastAsia="en-US"/>
              </w:rPr>
            </w:pPr>
            <w:r w:rsidRPr="00D1148F">
              <w:rPr>
                <w:rFonts w:cs="Calibri"/>
                <w:sz w:val="20"/>
                <w:szCs w:val="20"/>
                <w:lang w:eastAsia="en-US"/>
              </w:rPr>
              <w:t>Dihlorodifenildihloroetan</w:t>
            </w:r>
          </w:p>
        </w:tc>
      </w:tr>
      <w:tr w:rsidR="009B32CA" w:rsidRPr="001C6CCA" w14:paraId="29DFDBBE" w14:textId="77777777" w:rsidTr="00E4576F">
        <w:trPr>
          <w:jc w:val="center"/>
        </w:trPr>
        <w:tc>
          <w:tcPr>
            <w:tcW w:w="1555" w:type="dxa"/>
            <w:shd w:val="clear" w:color="auto" w:fill="auto"/>
          </w:tcPr>
          <w:p w14:paraId="0DE0D04F"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DDT </w:t>
            </w:r>
          </w:p>
        </w:tc>
        <w:tc>
          <w:tcPr>
            <w:tcW w:w="7229" w:type="dxa"/>
            <w:shd w:val="clear" w:color="auto" w:fill="auto"/>
          </w:tcPr>
          <w:p w14:paraId="04A4305C" w14:textId="218A7575" w:rsidR="009B32CA" w:rsidRPr="001C6CCA" w:rsidRDefault="00D1148F" w:rsidP="003B3EF1">
            <w:pPr>
              <w:spacing w:before="0" w:after="0"/>
              <w:rPr>
                <w:rFonts w:cs="Calibri"/>
                <w:sz w:val="20"/>
                <w:szCs w:val="20"/>
                <w:lang w:eastAsia="en-US"/>
              </w:rPr>
            </w:pPr>
            <w:r w:rsidRPr="00D1148F">
              <w:rPr>
                <w:rFonts w:cs="Calibri"/>
                <w:sz w:val="20"/>
                <w:szCs w:val="20"/>
                <w:lang w:eastAsia="en-US"/>
              </w:rPr>
              <w:t>dihloro-difenil-trihloroetan</w:t>
            </w:r>
          </w:p>
        </w:tc>
      </w:tr>
      <w:tr w:rsidR="009B32CA" w:rsidRPr="001C6CCA" w14:paraId="2EEECDA9" w14:textId="77777777" w:rsidTr="00E4576F">
        <w:trPr>
          <w:jc w:val="center"/>
        </w:trPr>
        <w:tc>
          <w:tcPr>
            <w:tcW w:w="1555" w:type="dxa"/>
            <w:shd w:val="clear" w:color="auto" w:fill="auto"/>
          </w:tcPr>
          <w:p w14:paraId="0BFDC2D8"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DEPM</w:t>
            </w:r>
          </w:p>
        </w:tc>
        <w:tc>
          <w:tcPr>
            <w:tcW w:w="7229" w:type="dxa"/>
            <w:shd w:val="clear" w:color="auto" w:fill="auto"/>
          </w:tcPr>
          <w:p w14:paraId="2128A280" w14:textId="616274A8" w:rsidR="009B32CA" w:rsidRPr="001C6CCA" w:rsidRDefault="00D1148F" w:rsidP="003B3EF1">
            <w:pPr>
              <w:spacing w:before="0" w:after="0"/>
              <w:rPr>
                <w:rFonts w:cs="Calibri"/>
                <w:sz w:val="20"/>
                <w:szCs w:val="20"/>
                <w:lang w:eastAsia="en-US"/>
              </w:rPr>
            </w:pPr>
            <w:r w:rsidRPr="00D1148F">
              <w:rPr>
                <w:rFonts w:cs="Calibri"/>
                <w:sz w:val="20"/>
                <w:szCs w:val="20"/>
                <w:lang w:eastAsia="en-US"/>
              </w:rPr>
              <w:t>Metoda dnevne proizvodnje jaja (metoda zasnovana na ihtioplanktonu)</w:t>
            </w:r>
          </w:p>
        </w:tc>
      </w:tr>
      <w:tr w:rsidR="009B32CA" w:rsidRPr="001C6CCA" w14:paraId="751A2755" w14:textId="77777777" w:rsidTr="00E4576F">
        <w:trPr>
          <w:jc w:val="center"/>
        </w:trPr>
        <w:tc>
          <w:tcPr>
            <w:tcW w:w="1555" w:type="dxa"/>
            <w:shd w:val="clear" w:color="auto" w:fill="auto"/>
          </w:tcPr>
          <w:p w14:paraId="1A5498F9"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DEFISHGEAR</w:t>
            </w:r>
          </w:p>
        </w:tc>
        <w:tc>
          <w:tcPr>
            <w:tcW w:w="7229" w:type="dxa"/>
            <w:shd w:val="clear" w:color="auto" w:fill="auto"/>
          </w:tcPr>
          <w:p w14:paraId="3A7D545C" w14:textId="3C2CC6D8" w:rsidR="009B32CA" w:rsidRPr="004C5A17" w:rsidRDefault="00515997" w:rsidP="00515997">
            <w:pPr>
              <w:spacing w:before="0" w:after="0"/>
              <w:rPr>
                <w:rFonts w:cs="Calibri"/>
                <w:sz w:val="20"/>
                <w:szCs w:val="20"/>
                <w:lang w:eastAsia="en-US"/>
              </w:rPr>
            </w:pPr>
            <w:r>
              <w:rPr>
                <w:rFonts w:cs="Calibri"/>
                <w:sz w:val="20"/>
                <w:szCs w:val="20"/>
                <w:lang w:eastAsia="en-US"/>
              </w:rPr>
              <w:t>Sistem upravljanja napuštenom ribolovnom opremom</w:t>
            </w:r>
          </w:p>
        </w:tc>
      </w:tr>
      <w:tr w:rsidR="009B32CA" w:rsidRPr="001C6CCA" w14:paraId="11E487FC" w14:textId="77777777" w:rsidTr="00E4576F">
        <w:trPr>
          <w:jc w:val="center"/>
        </w:trPr>
        <w:tc>
          <w:tcPr>
            <w:tcW w:w="1555" w:type="dxa"/>
            <w:shd w:val="clear" w:color="auto" w:fill="auto"/>
          </w:tcPr>
          <w:p w14:paraId="0763E6E3"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EAC</w:t>
            </w:r>
          </w:p>
        </w:tc>
        <w:tc>
          <w:tcPr>
            <w:tcW w:w="7229" w:type="dxa"/>
            <w:shd w:val="clear" w:color="auto" w:fill="auto"/>
          </w:tcPr>
          <w:p w14:paraId="1E9D4172" w14:textId="5211AABA" w:rsidR="009B32CA" w:rsidRPr="001C6CCA" w:rsidRDefault="000A3C9A" w:rsidP="00515997">
            <w:pPr>
              <w:spacing w:before="0" w:after="0"/>
              <w:rPr>
                <w:rFonts w:cs="Calibri"/>
                <w:sz w:val="20"/>
                <w:szCs w:val="20"/>
                <w:lang w:eastAsia="en-US"/>
              </w:rPr>
            </w:pPr>
            <w:r w:rsidRPr="000A3C9A">
              <w:rPr>
                <w:rFonts w:cs="Calibri"/>
                <w:sz w:val="20"/>
                <w:szCs w:val="20"/>
                <w:lang w:eastAsia="en-US"/>
              </w:rPr>
              <w:t>Kriterijumi proc</w:t>
            </w:r>
            <w:r w:rsidR="00515997">
              <w:rPr>
                <w:rFonts w:cs="Calibri"/>
                <w:sz w:val="20"/>
                <w:szCs w:val="20"/>
                <w:lang w:eastAsia="en-US"/>
              </w:rPr>
              <w:t>jene</w:t>
            </w:r>
            <w:r>
              <w:rPr>
                <w:rFonts w:cs="Calibri"/>
                <w:sz w:val="20"/>
                <w:szCs w:val="20"/>
                <w:lang w:eastAsia="en-US"/>
              </w:rPr>
              <w:t xml:space="preserve"> uticaja na životnu sredinu</w:t>
            </w:r>
          </w:p>
        </w:tc>
      </w:tr>
      <w:tr w:rsidR="009B32CA" w:rsidRPr="001C6CCA" w14:paraId="26CBE550" w14:textId="77777777" w:rsidTr="00E4576F">
        <w:trPr>
          <w:jc w:val="center"/>
        </w:trPr>
        <w:tc>
          <w:tcPr>
            <w:tcW w:w="1555" w:type="dxa"/>
            <w:shd w:val="clear" w:color="auto" w:fill="auto"/>
          </w:tcPr>
          <w:p w14:paraId="074192A9"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EcAp</w:t>
            </w:r>
          </w:p>
        </w:tc>
        <w:tc>
          <w:tcPr>
            <w:tcW w:w="7229" w:type="dxa"/>
            <w:shd w:val="clear" w:color="auto" w:fill="auto"/>
          </w:tcPr>
          <w:p w14:paraId="79A41523" w14:textId="73D8AD10" w:rsidR="009B32CA" w:rsidRPr="001C6CCA" w:rsidRDefault="000A3C9A" w:rsidP="003B3EF1">
            <w:pPr>
              <w:spacing w:before="0" w:after="0"/>
              <w:rPr>
                <w:rFonts w:cs="Calibri"/>
                <w:sz w:val="20"/>
                <w:szCs w:val="20"/>
                <w:lang w:eastAsia="en-US"/>
              </w:rPr>
            </w:pPr>
            <w:r>
              <w:rPr>
                <w:rFonts w:cs="Calibri"/>
                <w:sz w:val="20"/>
                <w:szCs w:val="20"/>
                <w:lang w:eastAsia="en-US"/>
              </w:rPr>
              <w:t>Ekološki pristup</w:t>
            </w:r>
          </w:p>
        </w:tc>
      </w:tr>
      <w:tr w:rsidR="009B32CA" w:rsidRPr="001C6CCA" w14:paraId="4D862BD4" w14:textId="77777777" w:rsidTr="00E4576F">
        <w:trPr>
          <w:jc w:val="center"/>
        </w:trPr>
        <w:tc>
          <w:tcPr>
            <w:tcW w:w="1555" w:type="dxa"/>
            <w:shd w:val="clear" w:color="auto" w:fill="auto"/>
          </w:tcPr>
          <w:p w14:paraId="772902CE"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EIA</w:t>
            </w:r>
          </w:p>
        </w:tc>
        <w:tc>
          <w:tcPr>
            <w:tcW w:w="7229" w:type="dxa"/>
            <w:shd w:val="clear" w:color="auto" w:fill="auto"/>
          </w:tcPr>
          <w:p w14:paraId="7B5D8361" w14:textId="74066798" w:rsidR="009B32CA" w:rsidRPr="001C6CCA" w:rsidRDefault="000A3C9A" w:rsidP="003B3EF1">
            <w:pPr>
              <w:spacing w:before="0" w:after="0"/>
              <w:rPr>
                <w:rFonts w:cs="Calibri"/>
                <w:sz w:val="20"/>
                <w:szCs w:val="20"/>
                <w:lang w:eastAsia="en-US"/>
              </w:rPr>
            </w:pPr>
            <w:r w:rsidRPr="000A3C9A">
              <w:rPr>
                <w:rFonts w:cs="Calibri"/>
                <w:sz w:val="20"/>
                <w:szCs w:val="20"/>
                <w:lang w:eastAsia="en-US"/>
              </w:rPr>
              <w:t>Studije uticaja na životnu sredinu</w:t>
            </w:r>
          </w:p>
        </w:tc>
      </w:tr>
      <w:tr w:rsidR="009B32CA" w:rsidRPr="001C6CCA" w14:paraId="0FDD2E86" w14:textId="77777777" w:rsidTr="00E4576F">
        <w:trPr>
          <w:jc w:val="center"/>
        </w:trPr>
        <w:tc>
          <w:tcPr>
            <w:tcW w:w="1555" w:type="dxa"/>
            <w:shd w:val="clear" w:color="auto" w:fill="auto"/>
          </w:tcPr>
          <w:p w14:paraId="2F4C4D24"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EPA</w:t>
            </w:r>
          </w:p>
        </w:tc>
        <w:tc>
          <w:tcPr>
            <w:tcW w:w="7229" w:type="dxa"/>
            <w:shd w:val="clear" w:color="auto" w:fill="auto"/>
          </w:tcPr>
          <w:p w14:paraId="1D3831DA" w14:textId="5959E85A" w:rsidR="009B32CA" w:rsidRPr="001C6CCA" w:rsidRDefault="000A3C9A" w:rsidP="000A3C9A">
            <w:pPr>
              <w:spacing w:before="0" w:after="0"/>
              <w:rPr>
                <w:rFonts w:cs="Calibri"/>
                <w:sz w:val="20"/>
                <w:szCs w:val="20"/>
                <w:lang w:eastAsia="en-US"/>
              </w:rPr>
            </w:pPr>
            <w:r w:rsidRPr="000A3C9A">
              <w:rPr>
                <w:rFonts w:cs="Calibri"/>
                <w:sz w:val="20"/>
                <w:szCs w:val="20"/>
                <w:lang w:eastAsia="en-US"/>
              </w:rPr>
              <w:t>Agen</w:t>
            </w:r>
            <w:r>
              <w:rPr>
                <w:rFonts w:cs="Calibri"/>
                <w:sz w:val="20"/>
                <w:szCs w:val="20"/>
                <w:lang w:eastAsia="en-US"/>
              </w:rPr>
              <w:t>cija za zaštitu životne sredine</w:t>
            </w:r>
          </w:p>
        </w:tc>
      </w:tr>
      <w:tr w:rsidR="009B32CA" w:rsidRPr="001C6CCA" w14:paraId="715B71DB" w14:textId="77777777" w:rsidTr="00E4576F">
        <w:trPr>
          <w:jc w:val="center"/>
        </w:trPr>
        <w:tc>
          <w:tcPr>
            <w:tcW w:w="1555" w:type="dxa"/>
            <w:shd w:val="clear" w:color="auto" w:fill="auto"/>
          </w:tcPr>
          <w:p w14:paraId="77D72223"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EUNIS</w:t>
            </w:r>
          </w:p>
        </w:tc>
        <w:tc>
          <w:tcPr>
            <w:tcW w:w="7229" w:type="dxa"/>
            <w:shd w:val="clear" w:color="auto" w:fill="auto"/>
          </w:tcPr>
          <w:p w14:paraId="1345A1C3" w14:textId="54E0BB43" w:rsidR="009B32CA" w:rsidRPr="001C6CCA" w:rsidRDefault="000A3C9A" w:rsidP="00515997">
            <w:pPr>
              <w:spacing w:before="0" w:after="0"/>
              <w:rPr>
                <w:rFonts w:cs="Calibri"/>
                <w:sz w:val="20"/>
                <w:szCs w:val="20"/>
                <w:lang w:eastAsia="en-US"/>
              </w:rPr>
            </w:pPr>
            <w:r w:rsidRPr="000A3C9A">
              <w:rPr>
                <w:rFonts w:cs="Calibri"/>
                <w:sz w:val="20"/>
                <w:szCs w:val="20"/>
                <w:lang w:eastAsia="en-US"/>
              </w:rPr>
              <w:t>Evrops</w:t>
            </w:r>
            <w:r>
              <w:rPr>
                <w:rFonts w:cs="Calibri"/>
                <w:sz w:val="20"/>
                <w:szCs w:val="20"/>
                <w:lang w:eastAsia="en-US"/>
              </w:rPr>
              <w:t xml:space="preserve">ki </w:t>
            </w:r>
            <w:r w:rsidR="00515997">
              <w:rPr>
                <w:rFonts w:cs="Calibri"/>
                <w:sz w:val="20"/>
                <w:szCs w:val="20"/>
                <w:lang w:eastAsia="en-US"/>
              </w:rPr>
              <w:t>informacioni sistem</w:t>
            </w:r>
            <w:r>
              <w:rPr>
                <w:rFonts w:cs="Calibri"/>
                <w:sz w:val="20"/>
                <w:szCs w:val="20"/>
                <w:lang w:eastAsia="en-US"/>
              </w:rPr>
              <w:t xml:space="preserve"> o prirodi</w:t>
            </w:r>
          </w:p>
        </w:tc>
      </w:tr>
      <w:tr w:rsidR="009B32CA" w:rsidRPr="001C6CCA" w14:paraId="76DA495C" w14:textId="77777777" w:rsidTr="00E4576F">
        <w:trPr>
          <w:jc w:val="center"/>
        </w:trPr>
        <w:tc>
          <w:tcPr>
            <w:tcW w:w="1555" w:type="dxa"/>
            <w:shd w:val="clear" w:color="auto" w:fill="auto"/>
          </w:tcPr>
          <w:p w14:paraId="040F02C3"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FAO</w:t>
            </w:r>
          </w:p>
        </w:tc>
        <w:tc>
          <w:tcPr>
            <w:tcW w:w="7229" w:type="dxa"/>
            <w:shd w:val="clear" w:color="auto" w:fill="auto"/>
          </w:tcPr>
          <w:p w14:paraId="4EE9B53A" w14:textId="5CE44739" w:rsidR="009B32CA" w:rsidRPr="001C6CCA" w:rsidRDefault="000A3C9A" w:rsidP="00515997">
            <w:pPr>
              <w:spacing w:before="0" w:after="0"/>
              <w:rPr>
                <w:rFonts w:cs="Calibri"/>
                <w:sz w:val="20"/>
                <w:szCs w:val="20"/>
                <w:lang w:eastAsia="en-US"/>
              </w:rPr>
            </w:pPr>
            <w:r w:rsidRPr="000A3C9A">
              <w:rPr>
                <w:rFonts w:cs="Calibri"/>
                <w:sz w:val="20"/>
                <w:szCs w:val="20"/>
                <w:lang w:eastAsia="en-US"/>
              </w:rPr>
              <w:t xml:space="preserve">Organizacija </w:t>
            </w:r>
            <w:r w:rsidR="00515997" w:rsidRPr="000A3C9A">
              <w:rPr>
                <w:rFonts w:cs="Calibri"/>
                <w:sz w:val="20"/>
                <w:szCs w:val="20"/>
                <w:lang w:eastAsia="en-US"/>
              </w:rPr>
              <w:t xml:space="preserve">Ujedinjenih nacija </w:t>
            </w:r>
            <w:r w:rsidRPr="000A3C9A">
              <w:rPr>
                <w:rFonts w:cs="Calibri"/>
                <w:sz w:val="20"/>
                <w:szCs w:val="20"/>
                <w:lang w:eastAsia="en-US"/>
              </w:rPr>
              <w:t xml:space="preserve">za hranu i poljoprivredu </w:t>
            </w:r>
          </w:p>
        </w:tc>
      </w:tr>
      <w:tr w:rsidR="009B32CA" w:rsidRPr="001C6CCA" w14:paraId="0179DA04" w14:textId="77777777" w:rsidTr="00E4576F">
        <w:trPr>
          <w:jc w:val="center"/>
        </w:trPr>
        <w:tc>
          <w:tcPr>
            <w:tcW w:w="1555" w:type="dxa"/>
            <w:shd w:val="clear" w:color="auto" w:fill="auto"/>
          </w:tcPr>
          <w:p w14:paraId="1A3DC821" w14:textId="3AAD6C46"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F</w:t>
            </w:r>
          </w:p>
        </w:tc>
        <w:tc>
          <w:tcPr>
            <w:tcW w:w="7229" w:type="dxa"/>
            <w:shd w:val="clear" w:color="auto" w:fill="auto"/>
          </w:tcPr>
          <w:p w14:paraId="4F33636B" w14:textId="2FB458BE" w:rsidR="009B32CA" w:rsidRPr="001C6CCA" w:rsidRDefault="000A3C9A" w:rsidP="000A3C9A">
            <w:pPr>
              <w:spacing w:before="0" w:after="0"/>
              <w:rPr>
                <w:rFonts w:cs="Calibri"/>
                <w:sz w:val="20"/>
                <w:szCs w:val="20"/>
                <w:lang w:eastAsia="en-US"/>
              </w:rPr>
            </w:pPr>
            <w:r w:rsidRPr="000A3C9A">
              <w:rPr>
                <w:rFonts w:cs="Calibri"/>
                <w:sz w:val="20"/>
                <w:szCs w:val="20"/>
                <w:lang w:eastAsia="en-US"/>
              </w:rPr>
              <w:t>S</w:t>
            </w:r>
            <w:r>
              <w:rPr>
                <w:rFonts w:cs="Calibri"/>
                <w:sz w:val="20"/>
                <w:szCs w:val="20"/>
                <w:lang w:eastAsia="en-US"/>
              </w:rPr>
              <w:t>topa smrtnost</w:t>
            </w:r>
            <w:r w:rsidR="00DC2D79">
              <w:rPr>
                <w:rFonts w:cs="Calibri"/>
                <w:sz w:val="20"/>
                <w:szCs w:val="20"/>
                <w:lang w:eastAsia="en-US"/>
              </w:rPr>
              <w:t>i</w:t>
            </w:r>
            <w:r>
              <w:rPr>
                <w:rFonts w:cs="Calibri"/>
                <w:sz w:val="20"/>
                <w:szCs w:val="20"/>
                <w:lang w:eastAsia="en-US"/>
              </w:rPr>
              <w:t xml:space="preserve"> od ribolova</w:t>
            </w:r>
          </w:p>
        </w:tc>
      </w:tr>
      <w:tr w:rsidR="009B32CA" w:rsidRPr="001C6CCA" w14:paraId="05259649" w14:textId="77777777" w:rsidTr="00E4576F">
        <w:trPr>
          <w:jc w:val="center"/>
        </w:trPr>
        <w:tc>
          <w:tcPr>
            <w:tcW w:w="1555" w:type="dxa"/>
            <w:shd w:val="clear" w:color="auto" w:fill="auto"/>
          </w:tcPr>
          <w:p w14:paraId="35A5199D" w14:textId="165B9C41"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Fcurr</w:t>
            </w:r>
          </w:p>
        </w:tc>
        <w:tc>
          <w:tcPr>
            <w:tcW w:w="7229" w:type="dxa"/>
            <w:shd w:val="clear" w:color="auto" w:fill="auto"/>
          </w:tcPr>
          <w:p w14:paraId="19D46B50" w14:textId="4E776181" w:rsidR="009B32CA" w:rsidRPr="001C6CCA" w:rsidRDefault="000A3C9A" w:rsidP="000A3C9A">
            <w:pPr>
              <w:spacing w:before="0" w:after="0"/>
              <w:rPr>
                <w:rFonts w:cs="Calibri"/>
                <w:sz w:val="20"/>
                <w:szCs w:val="20"/>
                <w:lang w:eastAsia="en-US"/>
              </w:rPr>
            </w:pPr>
            <w:r w:rsidRPr="000A3C9A">
              <w:rPr>
                <w:rFonts w:cs="Calibri"/>
                <w:sz w:val="20"/>
                <w:szCs w:val="20"/>
                <w:lang w:eastAsia="en-US"/>
              </w:rPr>
              <w:t xml:space="preserve">Trenutni nivo </w:t>
            </w:r>
            <w:r>
              <w:rPr>
                <w:rFonts w:cs="Calibri"/>
                <w:sz w:val="20"/>
                <w:szCs w:val="20"/>
                <w:lang w:eastAsia="en-US"/>
              </w:rPr>
              <w:t>smrtnost</w:t>
            </w:r>
            <w:r w:rsidR="008C4C71">
              <w:rPr>
                <w:rFonts w:cs="Calibri"/>
                <w:sz w:val="20"/>
                <w:szCs w:val="20"/>
                <w:lang w:eastAsia="en-US"/>
              </w:rPr>
              <w:t>I</w:t>
            </w:r>
            <w:r>
              <w:rPr>
                <w:rFonts w:cs="Calibri"/>
                <w:sz w:val="20"/>
                <w:szCs w:val="20"/>
                <w:lang w:eastAsia="en-US"/>
              </w:rPr>
              <w:t xml:space="preserve"> od ribolova</w:t>
            </w:r>
          </w:p>
        </w:tc>
      </w:tr>
      <w:tr w:rsidR="009B32CA" w:rsidRPr="001C6CCA" w14:paraId="444AB558" w14:textId="77777777" w:rsidTr="00E4576F">
        <w:trPr>
          <w:jc w:val="center"/>
        </w:trPr>
        <w:tc>
          <w:tcPr>
            <w:tcW w:w="1555" w:type="dxa"/>
            <w:shd w:val="clear" w:color="auto" w:fill="auto"/>
          </w:tcPr>
          <w:p w14:paraId="379F0B8C" w14:textId="38A802F1"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F0.1</w:t>
            </w:r>
          </w:p>
        </w:tc>
        <w:tc>
          <w:tcPr>
            <w:tcW w:w="7229" w:type="dxa"/>
            <w:shd w:val="clear" w:color="auto" w:fill="auto"/>
          </w:tcPr>
          <w:p w14:paraId="6B8ABB92" w14:textId="41BDB696" w:rsidR="009B32CA" w:rsidRPr="001C6CCA" w:rsidRDefault="00F5014C" w:rsidP="00F5014C">
            <w:pPr>
              <w:spacing w:before="0" w:after="0"/>
              <w:rPr>
                <w:rFonts w:cs="Calibri"/>
                <w:sz w:val="20"/>
                <w:szCs w:val="20"/>
                <w:lang w:eastAsia="en-US"/>
              </w:rPr>
            </w:pPr>
            <w:r w:rsidRPr="00F5014C">
              <w:rPr>
                <w:rFonts w:cs="Calibri"/>
                <w:sz w:val="20"/>
                <w:szCs w:val="20"/>
                <w:lang w:eastAsia="en-US"/>
              </w:rPr>
              <w:t>Referentna tačka smrtnosti od ribolova kao zamjena za maksimaln</w:t>
            </w:r>
            <w:r>
              <w:rPr>
                <w:rFonts w:cs="Calibri"/>
                <w:sz w:val="20"/>
                <w:szCs w:val="20"/>
                <w:lang w:eastAsia="en-US"/>
              </w:rPr>
              <w:t>u</w:t>
            </w:r>
            <w:r w:rsidRPr="00F5014C">
              <w:rPr>
                <w:rFonts w:cs="Calibri"/>
                <w:sz w:val="20"/>
                <w:szCs w:val="20"/>
                <w:lang w:eastAsia="en-US"/>
              </w:rPr>
              <w:t xml:space="preserve"> </w:t>
            </w:r>
            <w:r>
              <w:rPr>
                <w:rFonts w:cs="Calibri"/>
                <w:sz w:val="20"/>
                <w:szCs w:val="20"/>
                <w:lang w:eastAsia="en-US"/>
              </w:rPr>
              <w:t>stopu</w:t>
            </w:r>
            <w:r w:rsidRPr="00F5014C">
              <w:rPr>
                <w:rFonts w:cs="Calibri"/>
                <w:sz w:val="20"/>
                <w:szCs w:val="20"/>
                <w:lang w:eastAsia="en-US"/>
              </w:rPr>
              <w:t xml:space="preserve"> smrtnosti od ribolova</w:t>
            </w:r>
          </w:p>
        </w:tc>
      </w:tr>
      <w:tr w:rsidR="009B32CA" w:rsidRPr="001C6CCA" w14:paraId="4A01AF24" w14:textId="77777777" w:rsidTr="00E4576F">
        <w:trPr>
          <w:jc w:val="center"/>
        </w:trPr>
        <w:tc>
          <w:tcPr>
            <w:tcW w:w="1555" w:type="dxa"/>
            <w:shd w:val="clear" w:color="auto" w:fill="auto"/>
          </w:tcPr>
          <w:p w14:paraId="09694406" w14:textId="305A07A2"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FYSY</w:t>
            </w:r>
          </w:p>
        </w:tc>
        <w:tc>
          <w:tcPr>
            <w:tcW w:w="7229" w:type="dxa"/>
            <w:shd w:val="clear" w:color="auto" w:fill="auto"/>
          </w:tcPr>
          <w:p w14:paraId="26634959" w14:textId="0DCAE574" w:rsidR="009B32CA" w:rsidRPr="001C6CCA" w:rsidRDefault="00D1148F" w:rsidP="003B3EF1">
            <w:pPr>
              <w:spacing w:before="0" w:after="0"/>
              <w:rPr>
                <w:rFonts w:cs="Calibri"/>
                <w:sz w:val="20"/>
                <w:szCs w:val="20"/>
                <w:lang w:eastAsia="en-US"/>
              </w:rPr>
            </w:pPr>
            <w:r w:rsidRPr="00D1148F">
              <w:rPr>
                <w:rFonts w:cs="Calibri"/>
                <w:sz w:val="20"/>
                <w:szCs w:val="20"/>
                <w:lang w:eastAsia="en-US"/>
              </w:rPr>
              <w:t>Vr</w:t>
            </w:r>
            <w:r>
              <w:rPr>
                <w:rFonts w:cs="Calibri"/>
                <w:sz w:val="20"/>
                <w:szCs w:val="20"/>
                <w:lang w:eastAsia="en-US"/>
              </w:rPr>
              <w:t>ij</w:t>
            </w:r>
            <w:r w:rsidRPr="00D1148F">
              <w:rPr>
                <w:rFonts w:cs="Calibri"/>
                <w:sz w:val="20"/>
                <w:szCs w:val="20"/>
                <w:lang w:eastAsia="en-US"/>
              </w:rPr>
              <w:t>ednost ribolovne smrtnosti koja dugoročno daje maksimalan prinos</w:t>
            </w:r>
          </w:p>
        </w:tc>
      </w:tr>
      <w:tr w:rsidR="009B32CA" w:rsidRPr="001C6CCA" w14:paraId="40A71842" w14:textId="77777777" w:rsidTr="00E4576F">
        <w:trPr>
          <w:jc w:val="center"/>
        </w:trPr>
        <w:tc>
          <w:tcPr>
            <w:tcW w:w="1555" w:type="dxa"/>
            <w:shd w:val="clear" w:color="auto" w:fill="auto"/>
          </w:tcPr>
          <w:p w14:paraId="2F3D3FB7"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FLR</w:t>
            </w:r>
          </w:p>
        </w:tc>
        <w:tc>
          <w:tcPr>
            <w:tcW w:w="7229" w:type="dxa"/>
            <w:shd w:val="clear" w:color="auto" w:fill="auto"/>
          </w:tcPr>
          <w:p w14:paraId="5BC21B88" w14:textId="18E55C06" w:rsidR="009B32CA" w:rsidRPr="001C6CCA" w:rsidRDefault="00515997" w:rsidP="003B3EF1">
            <w:pPr>
              <w:spacing w:before="0" w:after="0"/>
              <w:rPr>
                <w:rFonts w:cs="Calibri"/>
                <w:sz w:val="20"/>
                <w:szCs w:val="20"/>
                <w:lang w:eastAsia="en-US"/>
              </w:rPr>
            </w:pPr>
            <w:r>
              <w:rPr>
                <w:rFonts w:cs="Calibri"/>
                <w:sz w:val="20"/>
                <w:szCs w:val="20"/>
                <w:lang w:eastAsia="en-US"/>
              </w:rPr>
              <w:t>Biblioteka iz oblasti ribarstva</w:t>
            </w:r>
          </w:p>
        </w:tc>
      </w:tr>
      <w:tr w:rsidR="009B32CA" w:rsidRPr="001C6CCA" w14:paraId="46471A57" w14:textId="77777777" w:rsidTr="00E4576F">
        <w:trPr>
          <w:jc w:val="center"/>
        </w:trPr>
        <w:tc>
          <w:tcPr>
            <w:tcW w:w="1555" w:type="dxa"/>
            <w:shd w:val="clear" w:color="auto" w:fill="auto"/>
          </w:tcPr>
          <w:p w14:paraId="3EC0C632"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GES</w:t>
            </w:r>
          </w:p>
        </w:tc>
        <w:tc>
          <w:tcPr>
            <w:tcW w:w="7229" w:type="dxa"/>
            <w:shd w:val="clear" w:color="auto" w:fill="auto"/>
          </w:tcPr>
          <w:p w14:paraId="04803A3E" w14:textId="25EFD1A1" w:rsidR="009B32CA" w:rsidRPr="001C6CCA" w:rsidRDefault="00D1148F" w:rsidP="00D1148F">
            <w:pPr>
              <w:spacing w:before="0" w:after="0"/>
              <w:rPr>
                <w:rFonts w:cs="Calibri"/>
                <w:sz w:val="20"/>
                <w:szCs w:val="20"/>
                <w:lang w:eastAsia="en-US"/>
              </w:rPr>
            </w:pPr>
            <w:r>
              <w:rPr>
                <w:rFonts w:cs="Calibri"/>
                <w:sz w:val="20"/>
                <w:szCs w:val="20"/>
                <w:lang w:eastAsia="en-US"/>
              </w:rPr>
              <w:t xml:space="preserve">Dobro stanje </w:t>
            </w:r>
            <w:r w:rsidR="004C5A17">
              <w:rPr>
                <w:rFonts w:cs="Calibri"/>
                <w:sz w:val="20"/>
                <w:szCs w:val="20"/>
                <w:lang w:eastAsia="en-US"/>
              </w:rPr>
              <w:t>morske</w:t>
            </w:r>
            <w:r>
              <w:rPr>
                <w:rFonts w:cs="Calibri"/>
                <w:sz w:val="20"/>
                <w:szCs w:val="20"/>
                <w:lang w:eastAsia="en-US"/>
              </w:rPr>
              <w:t xml:space="preserve"> sredine</w:t>
            </w:r>
          </w:p>
        </w:tc>
      </w:tr>
      <w:tr w:rsidR="009B32CA" w:rsidRPr="001C6CCA" w14:paraId="3133C795" w14:textId="77777777" w:rsidTr="00E4576F">
        <w:trPr>
          <w:jc w:val="center"/>
        </w:trPr>
        <w:tc>
          <w:tcPr>
            <w:tcW w:w="1555" w:type="dxa"/>
            <w:shd w:val="clear" w:color="auto" w:fill="auto"/>
          </w:tcPr>
          <w:p w14:paraId="30CA4FD3"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GFCM</w:t>
            </w:r>
          </w:p>
        </w:tc>
        <w:tc>
          <w:tcPr>
            <w:tcW w:w="7229" w:type="dxa"/>
            <w:shd w:val="clear" w:color="auto" w:fill="auto"/>
          </w:tcPr>
          <w:p w14:paraId="5C6531C9" w14:textId="0D90C56B" w:rsidR="009B32CA" w:rsidRPr="001C6CCA" w:rsidRDefault="00D1148F" w:rsidP="003B3EF1">
            <w:pPr>
              <w:spacing w:before="0" w:after="0"/>
              <w:rPr>
                <w:rFonts w:cs="Calibri"/>
                <w:sz w:val="20"/>
                <w:szCs w:val="20"/>
                <w:lang w:eastAsia="en-US"/>
              </w:rPr>
            </w:pPr>
            <w:r w:rsidRPr="00D1148F">
              <w:rPr>
                <w:rFonts w:cs="Calibri"/>
                <w:sz w:val="20"/>
                <w:szCs w:val="20"/>
                <w:lang w:eastAsia="en-US"/>
              </w:rPr>
              <w:t>Generalna komisija za ribarstvo Mediterana</w:t>
            </w:r>
            <w:r>
              <w:rPr>
                <w:rFonts w:ascii="Arial" w:hAnsi="Arial" w:cs="Arial"/>
                <w:color w:val="4D5156"/>
                <w:sz w:val="21"/>
                <w:szCs w:val="21"/>
                <w:shd w:val="clear" w:color="auto" w:fill="FFFFFF"/>
              </w:rPr>
              <w:t> </w:t>
            </w:r>
          </w:p>
        </w:tc>
      </w:tr>
      <w:tr w:rsidR="009B32CA" w:rsidRPr="001C6CCA" w14:paraId="6EF32D8F" w14:textId="77777777" w:rsidTr="00E4576F">
        <w:trPr>
          <w:jc w:val="center"/>
        </w:trPr>
        <w:tc>
          <w:tcPr>
            <w:tcW w:w="1555" w:type="dxa"/>
            <w:shd w:val="clear" w:color="auto" w:fill="auto"/>
          </w:tcPr>
          <w:p w14:paraId="2A7C779F"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GNS</w:t>
            </w:r>
          </w:p>
        </w:tc>
        <w:tc>
          <w:tcPr>
            <w:tcW w:w="7229" w:type="dxa"/>
            <w:shd w:val="clear" w:color="auto" w:fill="auto"/>
          </w:tcPr>
          <w:p w14:paraId="0405D619" w14:textId="0542772D" w:rsidR="009B32CA" w:rsidRPr="00515997" w:rsidRDefault="00515997" w:rsidP="003B3EF1">
            <w:pPr>
              <w:spacing w:before="0" w:after="0"/>
              <w:rPr>
                <w:rFonts w:cstheme="minorHAnsi"/>
                <w:sz w:val="20"/>
                <w:szCs w:val="20"/>
                <w:shd w:val="clear" w:color="auto" w:fill="FFFFFF"/>
                <w:lang w:val="sr-Latn-RS"/>
              </w:rPr>
            </w:pPr>
            <w:r>
              <w:rPr>
                <w:rFonts w:cstheme="minorHAnsi"/>
                <w:sz w:val="20"/>
                <w:szCs w:val="20"/>
                <w:shd w:val="clear" w:color="auto" w:fill="FFFFFF"/>
              </w:rPr>
              <w:t>Jednostruke mre</w:t>
            </w:r>
            <w:r>
              <w:rPr>
                <w:rFonts w:cstheme="minorHAnsi"/>
                <w:sz w:val="20"/>
                <w:szCs w:val="20"/>
                <w:shd w:val="clear" w:color="auto" w:fill="FFFFFF"/>
                <w:lang w:val="sr-Latn-RS"/>
              </w:rPr>
              <w:t>že stajačice</w:t>
            </w:r>
          </w:p>
        </w:tc>
      </w:tr>
      <w:tr w:rsidR="009B32CA" w:rsidRPr="001C6CCA" w14:paraId="34D31E07" w14:textId="77777777" w:rsidTr="00E4576F">
        <w:trPr>
          <w:jc w:val="center"/>
        </w:trPr>
        <w:tc>
          <w:tcPr>
            <w:tcW w:w="1555" w:type="dxa"/>
            <w:shd w:val="clear" w:color="auto" w:fill="auto"/>
          </w:tcPr>
          <w:p w14:paraId="0227B4CC" w14:textId="77777777" w:rsidR="009B32CA" w:rsidRPr="001C6CCA" w:rsidRDefault="009B32CA" w:rsidP="003B3EF1">
            <w:pPr>
              <w:spacing w:before="0" w:after="0"/>
              <w:rPr>
                <w:rFonts w:cstheme="minorHAnsi"/>
                <w:sz w:val="20"/>
                <w:szCs w:val="20"/>
                <w:shd w:val="clear" w:color="auto" w:fill="FFFFFF"/>
              </w:rPr>
            </w:pPr>
            <w:r w:rsidRPr="001C6CCA">
              <w:rPr>
                <w:rFonts w:cstheme="minorHAnsi"/>
                <w:sz w:val="20"/>
                <w:szCs w:val="20"/>
                <w:shd w:val="clear" w:color="auto" w:fill="FFFFFF"/>
              </w:rPr>
              <w:t>GSA</w:t>
            </w:r>
          </w:p>
        </w:tc>
        <w:tc>
          <w:tcPr>
            <w:tcW w:w="7229" w:type="dxa"/>
            <w:shd w:val="clear" w:color="auto" w:fill="auto"/>
          </w:tcPr>
          <w:p w14:paraId="484FB4AD" w14:textId="0DD173C2" w:rsidR="009B32CA" w:rsidRPr="001C6CCA" w:rsidRDefault="00D1148F" w:rsidP="003B3EF1">
            <w:pPr>
              <w:spacing w:before="0" w:after="0"/>
              <w:rPr>
                <w:rFonts w:cstheme="minorHAnsi"/>
                <w:sz w:val="20"/>
                <w:szCs w:val="20"/>
                <w:shd w:val="clear" w:color="auto" w:fill="FFFFFF"/>
              </w:rPr>
            </w:pPr>
            <w:r>
              <w:rPr>
                <w:rFonts w:cstheme="minorHAnsi"/>
                <w:sz w:val="20"/>
                <w:szCs w:val="20"/>
                <w:shd w:val="clear" w:color="auto" w:fill="FFFFFF"/>
              </w:rPr>
              <w:t>Geografsko pod</w:t>
            </w:r>
            <w:r w:rsidRPr="00D1148F">
              <w:rPr>
                <w:rFonts w:cstheme="minorHAnsi"/>
                <w:sz w:val="20"/>
                <w:szCs w:val="20"/>
                <w:shd w:val="clear" w:color="auto" w:fill="FFFFFF"/>
              </w:rPr>
              <w:t>područje</w:t>
            </w:r>
          </w:p>
        </w:tc>
      </w:tr>
      <w:tr w:rsidR="009B32CA" w:rsidRPr="001C6CCA" w14:paraId="6F704446" w14:textId="77777777" w:rsidTr="00E4576F">
        <w:trPr>
          <w:jc w:val="center"/>
        </w:trPr>
        <w:tc>
          <w:tcPr>
            <w:tcW w:w="1555" w:type="dxa"/>
            <w:shd w:val="clear" w:color="auto" w:fill="auto"/>
          </w:tcPr>
          <w:p w14:paraId="6DF84541" w14:textId="77777777" w:rsidR="009B32CA" w:rsidRPr="001C6CCA" w:rsidRDefault="009B32CA" w:rsidP="003B3EF1">
            <w:pPr>
              <w:spacing w:before="0" w:after="0"/>
              <w:rPr>
                <w:rFonts w:cstheme="minorHAnsi"/>
                <w:sz w:val="20"/>
                <w:szCs w:val="20"/>
              </w:rPr>
            </w:pPr>
            <w:r w:rsidRPr="001C6CCA">
              <w:rPr>
                <w:rFonts w:cstheme="minorHAnsi"/>
                <w:sz w:val="20"/>
                <w:szCs w:val="20"/>
              </w:rPr>
              <w:t>HAOP</w:t>
            </w:r>
          </w:p>
        </w:tc>
        <w:tc>
          <w:tcPr>
            <w:tcW w:w="7229" w:type="dxa"/>
            <w:shd w:val="clear" w:color="auto" w:fill="auto"/>
          </w:tcPr>
          <w:p w14:paraId="6885C8AB" w14:textId="4405D3C8" w:rsidR="009B32CA" w:rsidRPr="001C6CCA" w:rsidRDefault="00D1148F" w:rsidP="003B3EF1">
            <w:pPr>
              <w:spacing w:before="0" w:after="0"/>
              <w:rPr>
                <w:rFonts w:cstheme="minorHAnsi"/>
                <w:sz w:val="20"/>
                <w:szCs w:val="20"/>
              </w:rPr>
            </w:pPr>
            <w:r w:rsidRPr="00D1148F">
              <w:rPr>
                <w:rFonts w:cstheme="minorHAnsi"/>
                <w:sz w:val="20"/>
                <w:szCs w:val="20"/>
              </w:rPr>
              <w:t>Štetni vodeni organizmi i patogeni</w:t>
            </w:r>
          </w:p>
        </w:tc>
      </w:tr>
      <w:tr w:rsidR="009B32CA" w:rsidRPr="001C6CCA" w14:paraId="0A2F9247" w14:textId="77777777" w:rsidTr="00E4576F">
        <w:trPr>
          <w:jc w:val="center"/>
        </w:trPr>
        <w:tc>
          <w:tcPr>
            <w:tcW w:w="1555" w:type="dxa"/>
            <w:shd w:val="clear" w:color="auto" w:fill="auto"/>
          </w:tcPr>
          <w:p w14:paraId="40F830CF" w14:textId="77777777" w:rsidR="009B32CA" w:rsidRPr="001C6CCA" w:rsidRDefault="009B32CA" w:rsidP="003B3EF1">
            <w:pPr>
              <w:spacing w:before="0" w:after="0"/>
              <w:rPr>
                <w:rFonts w:cstheme="minorHAnsi"/>
                <w:sz w:val="20"/>
                <w:szCs w:val="20"/>
              </w:rPr>
            </w:pPr>
            <w:r w:rsidRPr="001C6CCA">
              <w:rPr>
                <w:rFonts w:cs="Arial"/>
                <w:bCs/>
                <w:sz w:val="20"/>
                <w:szCs w:val="20"/>
                <w:shd w:val="clear" w:color="auto" w:fill="FFFFFF"/>
              </w:rPr>
              <w:lastRenderedPageBreak/>
              <w:t>H</w:t>
            </w:r>
            <w:r w:rsidRPr="001C6CCA">
              <w:rPr>
                <w:bCs/>
                <w:iCs/>
                <w:sz w:val="20"/>
                <w:szCs w:val="20"/>
              </w:rPr>
              <w:t>CB</w:t>
            </w:r>
          </w:p>
        </w:tc>
        <w:tc>
          <w:tcPr>
            <w:tcW w:w="7229" w:type="dxa"/>
            <w:shd w:val="clear" w:color="auto" w:fill="auto"/>
          </w:tcPr>
          <w:p w14:paraId="0C7546F3" w14:textId="4CC75089" w:rsidR="009B32CA" w:rsidRPr="00994A14" w:rsidRDefault="00994A14" w:rsidP="00994A14">
            <w:pPr>
              <w:spacing w:before="0" w:after="0"/>
              <w:rPr>
                <w:rFonts w:cs="Arial"/>
                <w:bCs/>
                <w:sz w:val="20"/>
                <w:szCs w:val="20"/>
                <w:shd w:val="clear" w:color="auto" w:fill="FFFFFF"/>
              </w:rPr>
            </w:pPr>
            <w:r>
              <w:rPr>
                <w:rFonts w:cs="Arial"/>
                <w:bCs/>
                <w:sz w:val="20"/>
                <w:szCs w:val="20"/>
                <w:shd w:val="clear" w:color="auto" w:fill="FFFFFF"/>
              </w:rPr>
              <w:t>Heksaklorobenzen</w:t>
            </w:r>
          </w:p>
        </w:tc>
      </w:tr>
      <w:tr w:rsidR="009B32CA" w:rsidRPr="001C6CCA" w14:paraId="094C0004" w14:textId="77777777" w:rsidTr="00E4576F">
        <w:trPr>
          <w:jc w:val="center"/>
        </w:trPr>
        <w:tc>
          <w:tcPr>
            <w:tcW w:w="1555" w:type="dxa"/>
            <w:shd w:val="clear" w:color="auto" w:fill="auto"/>
          </w:tcPr>
          <w:p w14:paraId="5E0B5188" w14:textId="77777777" w:rsidR="009B32CA" w:rsidRPr="001C6CCA" w:rsidRDefault="009B32CA" w:rsidP="003B3EF1">
            <w:pPr>
              <w:spacing w:before="0" w:after="0"/>
              <w:rPr>
                <w:rFonts w:cs="Arial"/>
                <w:bCs/>
                <w:sz w:val="20"/>
                <w:szCs w:val="20"/>
                <w:shd w:val="clear" w:color="auto" w:fill="FFFFFF"/>
              </w:rPr>
            </w:pPr>
            <w:r w:rsidRPr="001C6CCA">
              <w:rPr>
                <w:rFonts w:cs="Arial"/>
                <w:bCs/>
                <w:sz w:val="20"/>
                <w:szCs w:val="20"/>
                <w:shd w:val="clear" w:color="auto" w:fill="FFFFFF"/>
              </w:rPr>
              <w:t>H</w:t>
            </w:r>
            <w:r w:rsidRPr="001C6CCA">
              <w:rPr>
                <w:rFonts w:cs="Arial"/>
                <w:bCs/>
                <w:i/>
                <w:iCs/>
                <w:sz w:val="20"/>
                <w:szCs w:val="20"/>
                <w:shd w:val="clear" w:color="auto" w:fill="FFFFFF"/>
              </w:rPr>
              <w:t>CH</w:t>
            </w:r>
          </w:p>
        </w:tc>
        <w:tc>
          <w:tcPr>
            <w:tcW w:w="7229" w:type="dxa"/>
            <w:shd w:val="clear" w:color="auto" w:fill="auto"/>
          </w:tcPr>
          <w:p w14:paraId="7343C0E5" w14:textId="09A29A90" w:rsidR="009B32CA" w:rsidRPr="001C6CCA" w:rsidRDefault="00994A14" w:rsidP="003B3EF1">
            <w:pPr>
              <w:spacing w:before="0" w:after="0"/>
              <w:rPr>
                <w:rFonts w:cs="Arial"/>
                <w:bCs/>
                <w:sz w:val="20"/>
                <w:szCs w:val="20"/>
                <w:shd w:val="clear" w:color="auto" w:fill="FFFFFF"/>
              </w:rPr>
            </w:pPr>
            <w:r w:rsidRPr="00994A14">
              <w:rPr>
                <w:rFonts w:cs="Arial"/>
                <w:bCs/>
                <w:sz w:val="20"/>
                <w:szCs w:val="20"/>
                <w:shd w:val="clear" w:color="auto" w:fill="FFFFFF"/>
              </w:rPr>
              <w:t>Hekachlorociclohekane</w:t>
            </w:r>
          </w:p>
        </w:tc>
      </w:tr>
      <w:tr w:rsidR="009B32CA" w:rsidRPr="001C6CCA" w14:paraId="759D356B" w14:textId="77777777" w:rsidTr="00E4576F">
        <w:trPr>
          <w:jc w:val="center"/>
        </w:trPr>
        <w:tc>
          <w:tcPr>
            <w:tcW w:w="1555" w:type="dxa"/>
            <w:shd w:val="clear" w:color="auto" w:fill="auto"/>
          </w:tcPr>
          <w:p w14:paraId="43A93F71" w14:textId="77777777" w:rsidR="009B32CA" w:rsidRPr="001C6CCA" w:rsidRDefault="009B32CA" w:rsidP="003B3EF1">
            <w:pPr>
              <w:spacing w:before="0" w:after="0"/>
              <w:rPr>
                <w:rFonts w:cstheme="minorHAnsi"/>
                <w:sz w:val="20"/>
                <w:szCs w:val="20"/>
              </w:rPr>
            </w:pPr>
            <w:r w:rsidRPr="001C6CCA">
              <w:rPr>
                <w:rFonts w:cstheme="minorHAnsi"/>
                <w:sz w:val="20"/>
                <w:szCs w:val="20"/>
              </w:rPr>
              <w:t>ICCAT</w:t>
            </w:r>
          </w:p>
        </w:tc>
        <w:tc>
          <w:tcPr>
            <w:tcW w:w="7229" w:type="dxa"/>
            <w:shd w:val="clear" w:color="auto" w:fill="auto"/>
          </w:tcPr>
          <w:p w14:paraId="4EF3AF69" w14:textId="6E714123" w:rsidR="009B32CA" w:rsidRPr="001C6CCA" w:rsidRDefault="00D1148F" w:rsidP="00515997">
            <w:pPr>
              <w:spacing w:before="0" w:after="0"/>
              <w:rPr>
                <w:rFonts w:cstheme="minorHAnsi"/>
                <w:sz w:val="20"/>
                <w:szCs w:val="20"/>
              </w:rPr>
            </w:pPr>
            <w:r w:rsidRPr="00D1148F">
              <w:rPr>
                <w:rFonts w:cstheme="minorHAnsi"/>
                <w:sz w:val="20"/>
                <w:szCs w:val="20"/>
              </w:rPr>
              <w:t xml:space="preserve">Međunarodna komisija za </w:t>
            </w:r>
            <w:r w:rsidR="00515997">
              <w:rPr>
                <w:rFonts w:cstheme="minorHAnsi"/>
                <w:sz w:val="20"/>
                <w:szCs w:val="20"/>
              </w:rPr>
              <w:t>očuvanje tuna u Atlantiku</w:t>
            </w:r>
          </w:p>
        </w:tc>
      </w:tr>
      <w:tr w:rsidR="009B32CA" w:rsidRPr="001C6CCA" w14:paraId="2573EA2F" w14:textId="77777777" w:rsidTr="00E4576F">
        <w:trPr>
          <w:jc w:val="center"/>
        </w:trPr>
        <w:tc>
          <w:tcPr>
            <w:tcW w:w="1555" w:type="dxa"/>
            <w:shd w:val="clear" w:color="auto" w:fill="auto"/>
          </w:tcPr>
          <w:p w14:paraId="2B1747C1" w14:textId="6C6D0A0D" w:rsidR="009B32CA" w:rsidRPr="001C6CCA" w:rsidRDefault="000A3C9A" w:rsidP="003B3EF1">
            <w:pPr>
              <w:spacing w:before="0" w:after="0"/>
              <w:rPr>
                <w:rFonts w:cstheme="minorHAnsi"/>
                <w:sz w:val="20"/>
                <w:szCs w:val="20"/>
              </w:rPr>
            </w:pPr>
            <w:r>
              <w:rPr>
                <w:rFonts w:cstheme="minorHAnsi"/>
                <w:sz w:val="20"/>
                <w:szCs w:val="20"/>
              </w:rPr>
              <w:t>IBM</w:t>
            </w:r>
          </w:p>
        </w:tc>
        <w:tc>
          <w:tcPr>
            <w:tcW w:w="7229" w:type="dxa"/>
            <w:shd w:val="clear" w:color="auto" w:fill="auto"/>
          </w:tcPr>
          <w:p w14:paraId="37287096" w14:textId="5E912C1A" w:rsidR="009B32CA" w:rsidRPr="001C6CCA" w:rsidRDefault="009B32CA" w:rsidP="008C3D55">
            <w:pPr>
              <w:spacing w:before="0" w:after="0"/>
              <w:rPr>
                <w:rFonts w:cstheme="minorHAnsi"/>
                <w:sz w:val="20"/>
                <w:szCs w:val="20"/>
              </w:rPr>
            </w:pPr>
            <w:r w:rsidRPr="001C6CCA">
              <w:rPr>
                <w:rFonts w:cstheme="minorHAnsi"/>
                <w:sz w:val="20"/>
                <w:szCs w:val="20"/>
              </w:rPr>
              <w:t>Institut</w:t>
            </w:r>
            <w:r w:rsidR="008C3D55">
              <w:rPr>
                <w:rFonts w:cstheme="minorHAnsi"/>
                <w:sz w:val="20"/>
                <w:szCs w:val="20"/>
              </w:rPr>
              <w:t xml:space="preserve"> za biologiju mora</w:t>
            </w:r>
            <w:r w:rsidRPr="001C6CCA">
              <w:rPr>
                <w:rFonts w:cstheme="minorHAnsi"/>
                <w:sz w:val="20"/>
                <w:szCs w:val="20"/>
              </w:rPr>
              <w:t xml:space="preserve"> </w:t>
            </w:r>
          </w:p>
        </w:tc>
      </w:tr>
      <w:tr w:rsidR="009B32CA" w:rsidRPr="001C6CCA" w14:paraId="43D9627F" w14:textId="77777777" w:rsidTr="00E4576F">
        <w:trPr>
          <w:jc w:val="center"/>
        </w:trPr>
        <w:tc>
          <w:tcPr>
            <w:tcW w:w="1555" w:type="dxa"/>
            <w:shd w:val="clear" w:color="auto" w:fill="auto"/>
          </w:tcPr>
          <w:p w14:paraId="6AEBCFAF" w14:textId="77777777" w:rsidR="009B32CA" w:rsidRPr="001C6CCA" w:rsidRDefault="009B32CA" w:rsidP="003B3EF1">
            <w:pPr>
              <w:spacing w:before="0" w:after="0"/>
              <w:rPr>
                <w:rFonts w:cstheme="minorHAnsi"/>
                <w:sz w:val="20"/>
                <w:szCs w:val="20"/>
              </w:rPr>
            </w:pPr>
            <w:r w:rsidRPr="001C6CCA">
              <w:rPr>
                <w:rFonts w:cstheme="minorHAnsi"/>
                <w:sz w:val="20"/>
                <w:szCs w:val="20"/>
              </w:rPr>
              <w:t>IUCN</w:t>
            </w:r>
          </w:p>
        </w:tc>
        <w:tc>
          <w:tcPr>
            <w:tcW w:w="7229" w:type="dxa"/>
            <w:shd w:val="clear" w:color="auto" w:fill="auto"/>
          </w:tcPr>
          <w:p w14:paraId="738B58C5" w14:textId="0A59EDC4" w:rsidR="009B32CA" w:rsidRPr="001C6CCA" w:rsidRDefault="00D1148F" w:rsidP="003B3EF1">
            <w:pPr>
              <w:spacing w:before="0" w:after="0"/>
              <w:rPr>
                <w:rFonts w:cstheme="minorHAnsi"/>
                <w:sz w:val="20"/>
                <w:szCs w:val="20"/>
              </w:rPr>
            </w:pPr>
            <w:r w:rsidRPr="00D1148F">
              <w:rPr>
                <w:rFonts w:cstheme="minorHAnsi"/>
                <w:sz w:val="20"/>
                <w:szCs w:val="20"/>
              </w:rPr>
              <w:t>Međunarodna unija za zaštitu prirode</w:t>
            </w:r>
          </w:p>
        </w:tc>
      </w:tr>
      <w:tr w:rsidR="009B32CA" w:rsidRPr="001C6CCA" w14:paraId="0297B267" w14:textId="77777777" w:rsidTr="00E4576F">
        <w:trPr>
          <w:jc w:val="center"/>
        </w:trPr>
        <w:tc>
          <w:tcPr>
            <w:tcW w:w="1555" w:type="dxa"/>
            <w:shd w:val="clear" w:color="auto" w:fill="auto"/>
          </w:tcPr>
          <w:p w14:paraId="38E229DD" w14:textId="77777777" w:rsidR="009B32CA" w:rsidRPr="001C6CCA" w:rsidRDefault="009B32CA" w:rsidP="003B3EF1">
            <w:pPr>
              <w:spacing w:before="0" w:after="0"/>
              <w:rPr>
                <w:rFonts w:cstheme="minorHAnsi"/>
                <w:sz w:val="20"/>
                <w:szCs w:val="20"/>
              </w:rPr>
            </w:pPr>
            <w:r w:rsidRPr="001C6CCA">
              <w:rPr>
                <w:rFonts w:cstheme="minorHAnsi"/>
                <w:sz w:val="20"/>
                <w:szCs w:val="20"/>
              </w:rPr>
              <w:t>LIT</w:t>
            </w:r>
          </w:p>
        </w:tc>
        <w:tc>
          <w:tcPr>
            <w:tcW w:w="7229" w:type="dxa"/>
            <w:shd w:val="clear" w:color="auto" w:fill="auto"/>
          </w:tcPr>
          <w:p w14:paraId="576CC393" w14:textId="77777777" w:rsidR="009B32CA" w:rsidRPr="001C6CCA" w:rsidRDefault="009B32CA" w:rsidP="003B3EF1">
            <w:pPr>
              <w:spacing w:before="0" w:after="0"/>
              <w:rPr>
                <w:rFonts w:cstheme="minorHAnsi"/>
                <w:sz w:val="20"/>
                <w:szCs w:val="20"/>
              </w:rPr>
            </w:pPr>
            <w:r w:rsidRPr="001C6CCA">
              <w:rPr>
                <w:rFonts w:cstheme="minorHAnsi"/>
                <w:sz w:val="20"/>
                <w:szCs w:val="20"/>
              </w:rPr>
              <w:t>Littoral</w:t>
            </w:r>
          </w:p>
        </w:tc>
      </w:tr>
      <w:tr w:rsidR="009B32CA" w:rsidRPr="001C6CCA" w14:paraId="63F58A54" w14:textId="77777777" w:rsidTr="00E4576F">
        <w:trPr>
          <w:jc w:val="center"/>
        </w:trPr>
        <w:tc>
          <w:tcPr>
            <w:tcW w:w="1555" w:type="dxa"/>
            <w:shd w:val="clear" w:color="auto" w:fill="auto"/>
          </w:tcPr>
          <w:p w14:paraId="34CCB756" w14:textId="77777777" w:rsidR="009B32CA" w:rsidRPr="001C6CCA" w:rsidRDefault="009B32CA" w:rsidP="003B3EF1">
            <w:pPr>
              <w:spacing w:before="0" w:after="0"/>
              <w:rPr>
                <w:rFonts w:cstheme="minorHAnsi"/>
                <w:sz w:val="20"/>
                <w:szCs w:val="20"/>
              </w:rPr>
            </w:pPr>
            <w:r w:rsidRPr="001C6CCA">
              <w:rPr>
                <w:rFonts w:cstheme="minorHAnsi"/>
                <w:sz w:val="20"/>
                <w:szCs w:val="20"/>
              </w:rPr>
              <w:t>MED BAC</w:t>
            </w:r>
          </w:p>
        </w:tc>
        <w:tc>
          <w:tcPr>
            <w:tcW w:w="7229" w:type="dxa"/>
            <w:shd w:val="clear" w:color="auto" w:fill="auto"/>
          </w:tcPr>
          <w:p w14:paraId="2CA2286C" w14:textId="77777777" w:rsidR="009B32CA" w:rsidRPr="001C6CCA" w:rsidRDefault="009B32CA" w:rsidP="003B3EF1">
            <w:pPr>
              <w:spacing w:before="0" w:after="0"/>
              <w:rPr>
                <w:rFonts w:cstheme="minorHAnsi"/>
                <w:sz w:val="20"/>
                <w:szCs w:val="20"/>
              </w:rPr>
            </w:pPr>
            <w:r w:rsidRPr="001C6CCA">
              <w:rPr>
                <w:rFonts w:cstheme="minorHAnsi"/>
                <w:sz w:val="20"/>
                <w:szCs w:val="20"/>
              </w:rPr>
              <w:t>Mediterranean Background Assessment Concentration</w:t>
            </w:r>
          </w:p>
        </w:tc>
      </w:tr>
      <w:tr w:rsidR="009B32CA" w:rsidRPr="001C6CCA" w14:paraId="7124B6B8" w14:textId="77777777" w:rsidTr="00E4576F">
        <w:trPr>
          <w:jc w:val="center"/>
        </w:trPr>
        <w:tc>
          <w:tcPr>
            <w:tcW w:w="1555" w:type="dxa"/>
            <w:shd w:val="clear" w:color="auto" w:fill="auto"/>
          </w:tcPr>
          <w:p w14:paraId="5DC8A336" w14:textId="77777777" w:rsidR="009B32CA" w:rsidRPr="001C6CCA" w:rsidRDefault="009B32CA" w:rsidP="003B3EF1">
            <w:pPr>
              <w:spacing w:before="0" w:after="0"/>
              <w:rPr>
                <w:rFonts w:cstheme="minorHAnsi"/>
                <w:sz w:val="20"/>
                <w:szCs w:val="20"/>
              </w:rPr>
            </w:pPr>
            <w:r w:rsidRPr="001C6CCA">
              <w:rPr>
                <w:rFonts w:cstheme="minorHAnsi"/>
                <w:sz w:val="20"/>
                <w:szCs w:val="20"/>
              </w:rPr>
              <w:t>MEDGIG</w:t>
            </w:r>
          </w:p>
        </w:tc>
        <w:tc>
          <w:tcPr>
            <w:tcW w:w="7229" w:type="dxa"/>
            <w:shd w:val="clear" w:color="auto" w:fill="auto"/>
          </w:tcPr>
          <w:p w14:paraId="752A41A1" w14:textId="627AF0D3" w:rsidR="009B32CA" w:rsidRPr="001C6CCA" w:rsidRDefault="00515997" w:rsidP="003B3EF1">
            <w:pPr>
              <w:spacing w:before="0" w:after="0"/>
              <w:rPr>
                <w:rFonts w:cstheme="minorHAnsi"/>
                <w:sz w:val="20"/>
                <w:szCs w:val="20"/>
              </w:rPr>
            </w:pPr>
            <w:r>
              <w:rPr>
                <w:rFonts w:cstheme="minorHAnsi"/>
                <w:sz w:val="20"/>
                <w:szCs w:val="20"/>
              </w:rPr>
              <w:t>Mediteranske geografske</w:t>
            </w:r>
            <w:r w:rsidR="00F5014C">
              <w:rPr>
                <w:rFonts w:cstheme="minorHAnsi"/>
                <w:sz w:val="20"/>
                <w:szCs w:val="20"/>
              </w:rPr>
              <w:t xml:space="preserve"> interkalibracijske grupe</w:t>
            </w:r>
          </w:p>
        </w:tc>
      </w:tr>
      <w:tr w:rsidR="009B32CA" w:rsidRPr="001C6CCA" w14:paraId="0ED0C8DB" w14:textId="77777777" w:rsidTr="00E4576F">
        <w:trPr>
          <w:jc w:val="center"/>
        </w:trPr>
        <w:tc>
          <w:tcPr>
            <w:tcW w:w="1555" w:type="dxa"/>
            <w:shd w:val="clear" w:color="auto" w:fill="auto"/>
          </w:tcPr>
          <w:p w14:paraId="2882AD27" w14:textId="77777777" w:rsidR="009B32CA" w:rsidRPr="001C6CCA" w:rsidRDefault="009B32CA" w:rsidP="003B3EF1">
            <w:pPr>
              <w:spacing w:before="0" w:after="0"/>
              <w:rPr>
                <w:rFonts w:cstheme="minorHAnsi"/>
                <w:sz w:val="20"/>
                <w:szCs w:val="20"/>
              </w:rPr>
            </w:pPr>
            <w:r w:rsidRPr="001C6CCA">
              <w:rPr>
                <w:rFonts w:cstheme="minorHAnsi"/>
                <w:sz w:val="20"/>
                <w:szCs w:val="20"/>
              </w:rPr>
              <w:t>MED/POL</w:t>
            </w:r>
          </w:p>
        </w:tc>
        <w:tc>
          <w:tcPr>
            <w:tcW w:w="7229" w:type="dxa"/>
            <w:shd w:val="clear" w:color="auto" w:fill="auto"/>
          </w:tcPr>
          <w:p w14:paraId="383971D5" w14:textId="7E4B3159" w:rsidR="009B32CA" w:rsidRPr="001C6CCA" w:rsidRDefault="00F5014C" w:rsidP="00F5014C">
            <w:pPr>
              <w:spacing w:before="0" w:after="0"/>
              <w:rPr>
                <w:rFonts w:cstheme="minorHAnsi"/>
                <w:sz w:val="20"/>
                <w:szCs w:val="20"/>
              </w:rPr>
            </w:pPr>
            <w:r>
              <w:rPr>
                <w:rFonts w:cstheme="minorHAnsi"/>
                <w:sz w:val="20"/>
                <w:szCs w:val="20"/>
              </w:rPr>
              <w:t>Mediteran/Zagađenje</w:t>
            </w:r>
          </w:p>
        </w:tc>
      </w:tr>
      <w:tr w:rsidR="009B32CA" w:rsidRPr="001C6CCA" w14:paraId="0C61ED5A" w14:textId="77777777" w:rsidTr="00E4576F">
        <w:trPr>
          <w:jc w:val="center"/>
        </w:trPr>
        <w:tc>
          <w:tcPr>
            <w:tcW w:w="1555" w:type="dxa"/>
            <w:shd w:val="clear" w:color="auto" w:fill="auto"/>
          </w:tcPr>
          <w:p w14:paraId="7AB6302E" w14:textId="77777777" w:rsidR="009B32CA" w:rsidRPr="001C6CCA" w:rsidRDefault="009B32CA" w:rsidP="003B3EF1">
            <w:pPr>
              <w:spacing w:before="0" w:after="0"/>
              <w:rPr>
                <w:rFonts w:cstheme="minorHAnsi"/>
                <w:sz w:val="20"/>
                <w:szCs w:val="20"/>
              </w:rPr>
            </w:pPr>
            <w:r w:rsidRPr="001C6CCA">
              <w:rPr>
                <w:rFonts w:cstheme="minorHAnsi"/>
                <w:sz w:val="20"/>
                <w:szCs w:val="20"/>
              </w:rPr>
              <w:t>MEDIAS</w:t>
            </w:r>
          </w:p>
        </w:tc>
        <w:tc>
          <w:tcPr>
            <w:tcW w:w="7229" w:type="dxa"/>
            <w:shd w:val="clear" w:color="auto" w:fill="auto"/>
          </w:tcPr>
          <w:p w14:paraId="3A633E83" w14:textId="2AAEF4CF" w:rsidR="009B32CA" w:rsidRPr="001C6CCA" w:rsidRDefault="00D1148F" w:rsidP="003B3EF1">
            <w:pPr>
              <w:spacing w:before="0" w:after="0"/>
              <w:rPr>
                <w:rFonts w:cstheme="minorHAnsi"/>
                <w:sz w:val="20"/>
                <w:szCs w:val="20"/>
              </w:rPr>
            </w:pPr>
            <w:r w:rsidRPr="00D1148F">
              <w:rPr>
                <w:rFonts w:cstheme="minorHAnsi"/>
                <w:sz w:val="20"/>
                <w:szCs w:val="20"/>
              </w:rPr>
              <w:t>Mediteranski program međunarodnih akustičkih istraživanja</w:t>
            </w:r>
          </w:p>
        </w:tc>
      </w:tr>
      <w:tr w:rsidR="009B32CA" w:rsidRPr="001C6CCA" w14:paraId="06FB3C69" w14:textId="77777777" w:rsidTr="00E4576F">
        <w:trPr>
          <w:jc w:val="center"/>
        </w:trPr>
        <w:tc>
          <w:tcPr>
            <w:tcW w:w="1555" w:type="dxa"/>
            <w:shd w:val="clear" w:color="auto" w:fill="auto"/>
          </w:tcPr>
          <w:p w14:paraId="23DB4D4B" w14:textId="77777777" w:rsidR="009B32CA" w:rsidRPr="001C6CCA" w:rsidRDefault="009B32CA" w:rsidP="003B3EF1">
            <w:pPr>
              <w:spacing w:before="0" w:after="0"/>
              <w:rPr>
                <w:rFonts w:cstheme="minorHAnsi"/>
                <w:sz w:val="20"/>
                <w:szCs w:val="20"/>
              </w:rPr>
            </w:pPr>
            <w:r w:rsidRPr="001C6CCA">
              <w:rPr>
                <w:rFonts w:cstheme="minorHAnsi"/>
                <w:sz w:val="20"/>
                <w:szCs w:val="20"/>
              </w:rPr>
              <w:t>MEDITS</w:t>
            </w:r>
          </w:p>
        </w:tc>
        <w:tc>
          <w:tcPr>
            <w:tcW w:w="7229" w:type="dxa"/>
            <w:shd w:val="clear" w:color="auto" w:fill="auto"/>
          </w:tcPr>
          <w:p w14:paraId="2F31078B" w14:textId="5EA426D3" w:rsidR="009B32CA" w:rsidRPr="001C6CCA" w:rsidRDefault="006B6111" w:rsidP="003B3EF1">
            <w:pPr>
              <w:spacing w:before="0" w:after="0"/>
              <w:rPr>
                <w:rFonts w:cstheme="minorHAnsi"/>
                <w:sz w:val="20"/>
                <w:szCs w:val="20"/>
              </w:rPr>
            </w:pPr>
            <w:r>
              <w:rPr>
                <w:rFonts w:cs="Arial"/>
                <w:sz w:val="20"/>
                <w:szCs w:val="20"/>
              </w:rPr>
              <w:t xml:space="preserve">Mediteranski program </w:t>
            </w:r>
            <w:r w:rsidR="00297721" w:rsidRPr="00297721">
              <w:rPr>
                <w:rFonts w:cs="Arial"/>
                <w:sz w:val="20"/>
                <w:szCs w:val="20"/>
              </w:rPr>
              <w:t>međunarodn</w:t>
            </w:r>
            <w:r>
              <w:rPr>
                <w:rFonts w:cs="Arial"/>
                <w:sz w:val="20"/>
                <w:szCs w:val="20"/>
              </w:rPr>
              <w:t>ih</w:t>
            </w:r>
            <w:r w:rsidR="00297721" w:rsidRPr="00297721">
              <w:rPr>
                <w:rFonts w:cs="Arial"/>
                <w:sz w:val="20"/>
                <w:szCs w:val="20"/>
              </w:rPr>
              <w:t xml:space="preserve"> istraživanja kočarskih resursa   </w:t>
            </w:r>
          </w:p>
        </w:tc>
      </w:tr>
      <w:tr w:rsidR="009B32CA" w:rsidRPr="001C6CCA" w14:paraId="0EFB62BF" w14:textId="77777777" w:rsidTr="00E4576F">
        <w:trPr>
          <w:jc w:val="center"/>
        </w:trPr>
        <w:tc>
          <w:tcPr>
            <w:tcW w:w="1555" w:type="dxa"/>
            <w:shd w:val="clear" w:color="auto" w:fill="auto"/>
          </w:tcPr>
          <w:p w14:paraId="6F49449C" w14:textId="77777777" w:rsidR="009B32CA" w:rsidRPr="001C6CCA" w:rsidRDefault="009B32CA" w:rsidP="003B3EF1">
            <w:pPr>
              <w:spacing w:before="0" w:after="0"/>
              <w:rPr>
                <w:rFonts w:cstheme="minorHAnsi"/>
                <w:sz w:val="20"/>
                <w:szCs w:val="20"/>
              </w:rPr>
            </w:pPr>
            <w:r w:rsidRPr="001C6CCA">
              <w:rPr>
                <w:rFonts w:cstheme="minorHAnsi"/>
                <w:sz w:val="20"/>
                <w:szCs w:val="20"/>
              </w:rPr>
              <w:t>ML</w:t>
            </w:r>
          </w:p>
        </w:tc>
        <w:tc>
          <w:tcPr>
            <w:tcW w:w="7229" w:type="dxa"/>
            <w:shd w:val="clear" w:color="auto" w:fill="auto"/>
          </w:tcPr>
          <w:p w14:paraId="68DA04EA" w14:textId="303EADCD" w:rsidR="009B32CA" w:rsidRPr="001C6CCA" w:rsidRDefault="009B32CA" w:rsidP="00994A14">
            <w:pPr>
              <w:spacing w:before="0" w:after="0"/>
              <w:rPr>
                <w:rFonts w:cstheme="minorHAnsi"/>
                <w:sz w:val="20"/>
                <w:szCs w:val="20"/>
              </w:rPr>
            </w:pPr>
            <w:r w:rsidRPr="001C6CCA">
              <w:rPr>
                <w:rFonts w:cstheme="minorHAnsi"/>
                <w:sz w:val="20"/>
                <w:szCs w:val="20"/>
              </w:rPr>
              <w:t>M</w:t>
            </w:r>
            <w:r w:rsidR="00994A14">
              <w:rPr>
                <w:rFonts w:cstheme="minorHAnsi"/>
                <w:sz w:val="20"/>
                <w:szCs w:val="20"/>
              </w:rPr>
              <w:t>orski otpad</w:t>
            </w:r>
          </w:p>
        </w:tc>
      </w:tr>
      <w:tr w:rsidR="009B32CA" w:rsidRPr="001C6CCA" w14:paraId="41DEB6FE" w14:textId="77777777" w:rsidTr="00E4576F">
        <w:trPr>
          <w:jc w:val="center"/>
        </w:trPr>
        <w:tc>
          <w:tcPr>
            <w:tcW w:w="1555" w:type="dxa"/>
            <w:shd w:val="clear" w:color="auto" w:fill="auto"/>
          </w:tcPr>
          <w:p w14:paraId="48900511" w14:textId="6AF54322" w:rsidR="009B32CA" w:rsidRPr="001C6CCA" w:rsidRDefault="009B32CA" w:rsidP="003B3EF1">
            <w:pPr>
              <w:spacing w:before="0" w:after="0"/>
              <w:rPr>
                <w:rFonts w:cstheme="minorHAnsi"/>
                <w:sz w:val="20"/>
                <w:szCs w:val="20"/>
              </w:rPr>
            </w:pPr>
            <w:r w:rsidRPr="001C6CCA">
              <w:rPr>
                <w:rFonts w:cstheme="minorHAnsi"/>
                <w:sz w:val="20"/>
                <w:szCs w:val="20"/>
              </w:rPr>
              <w:t>MNE</w:t>
            </w:r>
          </w:p>
        </w:tc>
        <w:tc>
          <w:tcPr>
            <w:tcW w:w="7229" w:type="dxa"/>
            <w:shd w:val="clear" w:color="auto" w:fill="auto"/>
          </w:tcPr>
          <w:p w14:paraId="581F3FC8" w14:textId="0F79A633" w:rsidR="009B32CA" w:rsidRPr="001C6CCA" w:rsidRDefault="00994A14" w:rsidP="003B3EF1">
            <w:pPr>
              <w:spacing w:before="0" w:after="0"/>
              <w:rPr>
                <w:rFonts w:cstheme="minorHAnsi"/>
                <w:sz w:val="20"/>
                <w:szCs w:val="20"/>
              </w:rPr>
            </w:pPr>
            <w:r>
              <w:rPr>
                <w:rFonts w:cstheme="minorHAnsi"/>
                <w:sz w:val="20"/>
                <w:szCs w:val="20"/>
              </w:rPr>
              <w:t>Crna Gora</w:t>
            </w:r>
          </w:p>
        </w:tc>
      </w:tr>
      <w:tr w:rsidR="009B32CA" w:rsidRPr="001C6CCA" w14:paraId="078AE863" w14:textId="77777777" w:rsidTr="00E4576F">
        <w:trPr>
          <w:jc w:val="center"/>
        </w:trPr>
        <w:tc>
          <w:tcPr>
            <w:tcW w:w="1555" w:type="dxa"/>
            <w:shd w:val="clear" w:color="auto" w:fill="auto"/>
          </w:tcPr>
          <w:p w14:paraId="5D07F5C7" w14:textId="77777777" w:rsidR="009B32CA" w:rsidRPr="001C6CCA" w:rsidRDefault="009B32CA" w:rsidP="003B3EF1">
            <w:pPr>
              <w:spacing w:before="0" w:after="0"/>
              <w:rPr>
                <w:rFonts w:cstheme="minorHAnsi"/>
                <w:sz w:val="20"/>
                <w:szCs w:val="20"/>
              </w:rPr>
            </w:pPr>
            <w:r w:rsidRPr="001C6CCA">
              <w:rPr>
                <w:rFonts w:cstheme="minorHAnsi"/>
                <w:sz w:val="20"/>
                <w:szCs w:val="20"/>
              </w:rPr>
              <w:t>MPA</w:t>
            </w:r>
          </w:p>
        </w:tc>
        <w:tc>
          <w:tcPr>
            <w:tcW w:w="7229" w:type="dxa"/>
            <w:shd w:val="clear" w:color="auto" w:fill="auto"/>
          </w:tcPr>
          <w:p w14:paraId="156CBC92" w14:textId="79D50EA7" w:rsidR="009B32CA" w:rsidRPr="001C6CCA" w:rsidRDefault="00D1148F" w:rsidP="003B3EF1">
            <w:pPr>
              <w:spacing w:before="0" w:after="0"/>
              <w:rPr>
                <w:rFonts w:cstheme="minorHAnsi"/>
                <w:sz w:val="20"/>
                <w:szCs w:val="20"/>
              </w:rPr>
            </w:pPr>
            <w:r w:rsidRPr="00D1148F">
              <w:rPr>
                <w:rFonts w:cstheme="minorHAnsi"/>
                <w:sz w:val="20"/>
                <w:szCs w:val="20"/>
              </w:rPr>
              <w:t>Morsko zaštićeno područje</w:t>
            </w:r>
          </w:p>
        </w:tc>
      </w:tr>
      <w:tr w:rsidR="00AB123E" w:rsidRPr="001C6CCA" w14:paraId="6F693C11" w14:textId="77777777" w:rsidTr="00E4576F">
        <w:trPr>
          <w:jc w:val="center"/>
        </w:trPr>
        <w:tc>
          <w:tcPr>
            <w:tcW w:w="1555" w:type="dxa"/>
            <w:shd w:val="clear" w:color="auto" w:fill="auto"/>
          </w:tcPr>
          <w:p w14:paraId="651233A7" w14:textId="4826391C" w:rsidR="00AB123E" w:rsidRPr="001C6CCA" w:rsidRDefault="00AB123E" w:rsidP="003B3EF1">
            <w:pPr>
              <w:spacing w:before="0" w:after="0"/>
              <w:rPr>
                <w:rFonts w:cstheme="minorHAnsi"/>
                <w:sz w:val="20"/>
                <w:szCs w:val="20"/>
              </w:rPr>
            </w:pPr>
            <w:r>
              <w:rPr>
                <w:rFonts w:cstheme="minorHAnsi"/>
                <w:sz w:val="20"/>
                <w:szCs w:val="20"/>
              </w:rPr>
              <w:t>MRU</w:t>
            </w:r>
          </w:p>
        </w:tc>
        <w:tc>
          <w:tcPr>
            <w:tcW w:w="7229" w:type="dxa"/>
            <w:shd w:val="clear" w:color="auto" w:fill="auto"/>
          </w:tcPr>
          <w:p w14:paraId="065469BD" w14:textId="3DA5A2E9" w:rsidR="00AB123E" w:rsidRPr="00D1148F" w:rsidRDefault="00AB123E" w:rsidP="003B3EF1">
            <w:pPr>
              <w:spacing w:before="0" w:after="0"/>
              <w:rPr>
                <w:rFonts w:cstheme="minorHAnsi"/>
                <w:sz w:val="20"/>
                <w:szCs w:val="20"/>
              </w:rPr>
            </w:pPr>
            <w:r>
              <w:rPr>
                <w:rFonts w:cstheme="minorHAnsi"/>
                <w:sz w:val="20"/>
                <w:szCs w:val="20"/>
              </w:rPr>
              <w:t>Područje procjene</w:t>
            </w:r>
            <w:r w:rsidR="00E13EFE">
              <w:rPr>
                <w:rFonts w:cstheme="minorHAnsi"/>
                <w:sz w:val="20"/>
                <w:szCs w:val="20"/>
              </w:rPr>
              <w:t xml:space="preserve"> dobrog stanja morske sredine</w:t>
            </w:r>
          </w:p>
        </w:tc>
      </w:tr>
      <w:tr w:rsidR="009B32CA" w:rsidRPr="001C6CCA" w14:paraId="157DA5C3" w14:textId="77777777" w:rsidTr="00E4576F">
        <w:trPr>
          <w:jc w:val="center"/>
        </w:trPr>
        <w:tc>
          <w:tcPr>
            <w:tcW w:w="1555" w:type="dxa"/>
            <w:shd w:val="clear" w:color="auto" w:fill="auto"/>
          </w:tcPr>
          <w:p w14:paraId="1388CBF4" w14:textId="77777777" w:rsidR="009B32CA" w:rsidRPr="001C6CCA" w:rsidRDefault="009B32CA" w:rsidP="003B3EF1">
            <w:pPr>
              <w:spacing w:before="0" w:after="0"/>
              <w:rPr>
                <w:rFonts w:cstheme="minorHAnsi"/>
                <w:sz w:val="20"/>
                <w:szCs w:val="20"/>
              </w:rPr>
            </w:pPr>
            <w:r w:rsidRPr="001C6CCA">
              <w:rPr>
                <w:rFonts w:cstheme="minorHAnsi"/>
                <w:sz w:val="20"/>
                <w:szCs w:val="20"/>
              </w:rPr>
              <w:t>MSFD CIS</w:t>
            </w:r>
          </w:p>
        </w:tc>
        <w:tc>
          <w:tcPr>
            <w:tcW w:w="7229" w:type="dxa"/>
            <w:shd w:val="clear" w:color="auto" w:fill="auto"/>
          </w:tcPr>
          <w:p w14:paraId="0205042B" w14:textId="71EB0480" w:rsidR="009B32CA" w:rsidRPr="001C6CCA" w:rsidRDefault="00297721" w:rsidP="00297721">
            <w:pPr>
              <w:spacing w:before="0" w:after="0"/>
              <w:rPr>
                <w:rFonts w:cstheme="minorHAnsi"/>
                <w:sz w:val="20"/>
                <w:szCs w:val="20"/>
              </w:rPr>
            </w:pPr>
            <w:r w:rsidRPr="00297721">
              <w:rPr>
                <w:rFonts w:cstheme="minorHAnsi"/>
                <w:sz w:val="20"/>
                <w:szCs w:val="20"/>
              </w:rPr>
              <w:t>Zajednička strategija sprovođenja EU</w:t>
            </w:r>
            <w:r>
              <w:rPr>
                <w:rFonts w:cstheme="minorHAnsi"/>
                <w:sz w:val="20"/>
                <w:szCs w:val="20"/>
              </w:rPr>
              <w:t xml:space="preserve"> zemalja</w:t>
            </w:r>
            <w:r w:rsidRPr="00297721">
              <w:rPr>
                <w:rFonts w:cstheme="minorHAnsi"/>
                <w:sz w:val="20"/>
                <w:szCs w:val="20"/>
              </w:rPr>
              <w:t xml:space="preserve"> o sprovođenju Okvirne direktive o morskoj strategiji</w:t>
            </w:r>
          </w:p>
        </w:tc>
      </w:tr>
      <w:tr w:rsidR="009B32CA" w:rsidRPr="001C6CCA" w14:paraId="2C26E4E0" w14:textId="77777777" w:rsidTr="00E4576F">
        <w:trPr>
          <w:jc w:val="center"/>
        </w:trPr>
        <w:tc>
          <w:tcPr>
            <w:tcW w:w="1555" w:type="dxa"/>
            <w:shd w:val="clear" w:color="auto" w:fill="auto"/>
          </w:tcPr>
          <w:p w14:paraId="44D2978D" w14:textId="32264158" w:rsidR="009B32CA" w:rsidRPr="001C6CCA" w:rsidRDefault="008C3D55" w:rsidP="003B3EF1">
            <w:pPr>
              <w:spacing w:before="0" w:after="0"/>
              <w:rPr>
                <w:rFonts w:cstheme="minorHAnsi"/>
                <w:sz w:val="20"/>
                <w:szCs w:val="20"/>
              </w:rPr>
            </w:pPr>
            <w:r>
              <w:rPr>
                <w:rFonts w:cstheme="minorHAnsi"/>
                <w:sz w:val="20"/>
                <w:szCs w:val="20"/>
              </w:rPr>
              <w:t>ODMS</w:t>
            </w:r>
          </w:p>
        </w:tc>
        <w:tc>
          <w:tcPr>
            <w:tcW w:w="7229" w:type="dxa"/>
            <w:shd w:val="clear" w:color="auto" w:fill="auto"/>
          </w:tcPr>
          <w:p w14:paraId="5E0CCD25" w14:textId="0AC324D9" w:rsidR="009B32CA" w:rsidRPr="001C6CCA" w:rsidRDefault="008C3D55" w:rsidP="008C3D55">
            <w:pPr>
              <w:spacing w:before="0" w:after="0"/>
              <w:rPr>
                <w:rFonts w:cstheme="minorHAnsi"/>
                <w:sz w:val="20"/>
                <w:szCs w:val="20"/>
              </w:rPr>
            </w:pPr>
            <w:r>
              <w:rPr>
                <w:rFonts w:cstheme="minorHAnsi"/>
                <w:sz w:val="20"/>
                <w:szCs w:val="20"/>
              </w:rPr>
              <w:t>Okvirna Direktiva o morskoj strategiji</w:t>
            </w:r>
            <w:r w:rsidR="009B32CA" w:rsidRPr="001C6CCA">
              <w:rPr>
                <w:rFonts w:cstheme="minorHAnsi"/>
                <w:sz w:val="20"/>
                <w:szCs w:val="20"/>
              </w:rPr>
              <w:t xml:space="preserve"> </w:t>
            </w:r>
          </w:p>
        </w:tc>
      </w:tr>
      <w:tr w:rsidR="009B32CA" w:rsidRPr="001C6CCA" w14:paraId="7B104BF0" w14:textId="77777777" w:rsidTr="00C05FB3">
        <w:trPr>
          <w:trHeight w:val="289"/>
          <w:jc w:val="center"/>
        </w:trPr>
        <w:tc>
          <w:tcPr>
            <w:tcW w:w="1555" w:type="dxa"/>
            <w:shd w:val="clear" w:color="auto" w:fill="auto"/>
          </w:tcPr>
          <w:p w14:paraId="5AB684E7" w14:textId="77777777" w:rsidR="009B32CA" w:rsidRPr="001C6CCA" w:rsidRDefault="009B32CA" w:rsidP="003B3EF1">
            <w:pPr>
              <w:spacing w:before="0" w:after="0"/>
              <w:rPr>
                <w:rFonts w:cstheme="minorHAnsi"/>
                <w:sz w:val="20"/>
                <w:szCs w:val="20"/>
              </w:rPr>
            </w:pPr>
            <w:r w:rsidRPr="001C6CCA">
              <w:rPr>
                <w:rFonts w:cstheme="minorHAnsi"/>
                <w:sz w:val="20"/>
                <w:szCs w:val="20"/>
              </w:rPr>
              <w:t>MSY</w:t>
            </w:r>
          </w:p>
        </w:tc>
        <w:tc>
          <w:tcPr>
            <w:tcW w:w="7229" w:type="dxa"/>
            <w:shd w:val="clear" w:color="auto" w:fill="auto"/>
          </w:tcPr>
          <w:p w14:paraId="271566AA" w14:textId="20BA7B64" w:rsidR="009B32CA" w:rsidRPr="001C6CCA" w:rsidRDefault="00D1148F" w:rsidP="00F5014C">
            <w:pPr>
              <w:spacing w:before="0" w:after="0"/>
              <w:rPr>
                <w:rFonts w:cstheme="minorHAnsi"/>
                <w:sz w:val="20"/>
                <w:szCs w:val="20"/>
              </w:rPr>
            </w:pPr>
            <w:r w:rsidRPr="00D1148F">
              <w:rPr>
                <w:rFonts w:cstheme="minorHAnsi"/>
                <w:sz w:val="20"/>
                <w:szCs w:val="20"/>
              </w:rPr>
              <w:t>Maksimal</w:t>
            </w:r>
            <w:r w:rsidR="00F5014C">
              <w:rPr>
                <w:rFonts w:cstheme="minorHAnsi"/>
                <w:sz w:val="20"/>
                <w:szCs w:val="20"/>
              </w:rPr>
              <w:t>an</w:t>
            </w:r>
            <w:r w:rsidRPr="00D1148F">
              <w:rPr>
                <w:rFonts w:cstheme="minorHAnsi"/>
                <w:sz w:val="20"/>
                <w:szCs w:val="20"/>
              </w:rPr>
              <w:t xml:space="preserve"> održivi prinos</w:t>
            </w:r>
          </w:p>
        </w:tc>
      </w:tr>
      <w:tr w:rsidR="009B32CA" w:rsidRPr="001C6CCA" w14:paraId="4ACEC77A" w14:textId="77777777" w:rsidTr="00E4576F">
        <w:trPr>
          <w:jc w:val="center"/>
        </w:trPr>
        <w:tc>
          <w:tcPr>
            <w:tcW w:w="1555" w:type="dxa"/>
            <w:shd w:val="clear" w:color="auto" w:fill="auto"/>
          </w:tcPr>
          <w:p w14:paraId="5B4412E3" w14:textId="77777777" w:rsidR="009B32CA" w:rsidRPr="001C6CCA" w:rsidRDefault="009B32CA" w:rsidP="003B3EF1">
            <w:pPr>
              <w:spacing w:before="0" w:after="0"/>
              <w:rPr>
                <w:rFonts w:cstheme="minorHAnsi"/>
                <w:sz w:val="20"/>
                <w:szCs w:val="20"/>
              </w:rPr>
            </w:pPr>
            <w:r w:rsidRPr="001C6CCA">
              <w:rPr>
                <w:rFonts w:cstheme="minorHAnsi"/>
                <w:sz w:val="20"/>
                <w:szCs w:val="20"/>
              </w:rPr>
              <w:t>NIS</w:t>
            </w:r>
          </w:p>
        </w:tc>
        <w:tc>
          <w:tcPr>
            <w:tcW w:w="7229" w:type="dxa"/>
            <w:shd w:val="clear" w:color="auto" w:fill="auto"/>
          </w:tcPr>
          <w:p w14:paraId="5D957C4F" w14:textId="31D557DF" w:rsidR="009B32CA" w:rsidRPr="001C6CCA" w:rsidRDefault="008C3D55" w:rsidP="003B3EF1">
            <w:pPr>
              <w:spacing w:before="0" w:after="0"/>
              <w:rPr>
                <w:rFonts w:cstheme="minorHAnsi"/>
                <w:sz w:val="20"/>
                <w:szCs w:val="20"/>
              </w:rPr>
            </w:pPr>
            <w:r>
              <w:rPr>
                <w:rFonts w:cstheme="minorHAnsi"/>
                <w:sz w:val="20"/>
                <w:szCs w:val="20"/>
              </w:rPr>
              <w:t>Strane vrste</w:t>
            </w:r>
          </w:p>
        </w:tc>
      </w:tr>
      <w:tr w:rsidR="009B32CA" w:rsidRPr="001C6CCA" w14:paraId="0EC677FA" w14:textId="77777777" w:rsidTr="00E4576F">
        <w:trPr>
          <w:jc w:val="center"/>
        </w:trPr>
        <w:tc>
          <w:tcPr>
            <w:tcW w:w="1555" w:type="dxa"/>
            <w:shd w:val="clear" w:color="auto" w:fill="auto"/>
          </w:tcPr>
          <w:p w14:paraId="79C778EB" w14:textId="77777777" w:rsidR="009B32CA" w:rsidRPr="001C6CCA" w:rsidRDefault="009B32CA" w:rsidP="003B3EF1">
            <w:pPr>
              <w:spacing w:before="0" w:after="0"/>
              <w:rPr>
                <w:rFonts w:cstheme="minorHAnsi"/>
                <w:sz w:val="20"/>
                <w:szCs w:val="20"/>
              </w:rPr>
            </w:pPr>
            <w:r w:rsidRPr="001C6CCA">
              <w:rPr>
                <w:rFonts w:cstheme="minorHAnsi"/>
                <w:sz w:val="20"/>
                <w:szCs w:val="20"/>
              </w:rPr>
              <w:t>NETCEF</w:t>
            </w:r>
          </w:p>
        </w:tc>
        <w:tc>
          <w:tcPr>
            <w:tcW w:w="7229" w:type="dxa"/>
            <w:shd w:val="clear" w:color="auto" w:fill="auto"/>
          </w:tcPr>
          <w:p w14:paraId="7476DB42" w14:textId="49DFA57B" w:rsidR="009B32CA" w:rsidRPr="001C6CCA" w:rsidRDefault="00D1148F" w:rsidP="00F5014C">
            <w:pPr>
              <w:spacing w:before="0" w:after="0"/>
              <w:rPr>
                <w:rFonts w:cstheme="minorHAnsi"/>
                <w:sz w:val="20"/>
                <w:szCs w:val="20"/>
              </w:rPr>
            </w:pPr>
            <w:r w:rsidRPr="00D1148F">
              <w:rPr>
                <w:rFonts w:cstheme="minorHAnsi"/>
                <w:sz w:val="20"/>
                <w:szCs w:val="20"/>
              </w:rPr>
              <w:t xml:space="preserve">Mreža za </w:t>
            </w:r>
            <w:r w:rsidR="00F5014C">
              <w:rPr>
                <w:rFonts w:cstheme="minorHAnsi"/>
                <w:sz w:val="20"/>
                <w:szCs w:val="20"/>
              </w:rPr>
              <w:t>očuvanje</w:t>
            </w:r>
            <w:r w:rsidRPr="00D1148F">
              <w:rPr>
                <w:rFonts w:cstheme="minorHAnsi"/>
                <w:sz w:val="20"/>
                <w:szCs w:val="20"/>
              </w:rPr>
              <w:t xml:space="preserve"> kitova i morskih kornjača</w:t>
            </w:r>
          </w:p>
        </w:tc>
      </w:tr>
      <w:tr w:rsidR="009B32CA" w:rsidRPr="001C6CCA" w14:paraId="024DE285" w14:textId="77777777" w:rsidTr="00E4576F">
        <w:trPr>
          <w:jc w:val="center"/>
        </w:trPr>
        <w:tc>
          <w:tcPr>
            <w:tcW w:w="1555" w:type="dxa"/>
            <w:shd w:val="clear" w:color="auto" w:fill="auto"/>
          </w:tcPr>
          <w:p w14:paraId="6EF5752E" w14:textId="77777777" w:rsidR="009B32CA" w:rsidRPr="001C6CCA" w:rsidRDefault="009B32CA" w:rsidP="003B3EF1">
            <w:pPr>
              <w:spacing w:before="0" w:after="0"/>
              <w:rPr>
                <w:rFonts w:cstheme="minorHAnsi"/>
                <w:sz w:val="20"/>
                <w:szCs w:val="20"/>
              </w:rPr>
            </w:pPr>
            <w:r w:rsidRPr="001C6CCA">
              <w:rPr>
                <w:rFonts w:cstheme="minorHAnsi"/>
                <w:sz w:val="20"/>
                <w:szCs w:val="20"/>
              </w:rPr>
              <w:t>NM</w:t>
            </w:r>
          </w:p>
        </w:tc>
        <w:tc>
          <w:tcPr>
            <w:tcW w:w="7229" w:type="dxa"/>
            <w:shd w:val="clear" w:color="auto" w:fill="auto"/>
          </w:tcPr>
          <w:p w14:paraId="599D4ADD" w14:textId="43DBC9D4" w:rsidR="009B32CA" w:rsidRPr="001C6CCA" w:rsidRDefault="00D1148F" w:rsidP="00D1148F">
            <w:pPr>
              <w:spacing w:before="0" w:after="0"/>
              <w:rPr>
                <w:rFonts w:cstheme="minorHAnsi"/>
                <w:sz w:val="20"/>
                <w:szCs w:val="20"/>
              </w:rPr>
            </w:pPr>
            <w:r w:rsidRPr="00D1148F">
              <w:rPr>
                <w:rFonts w:cstheme="minorHAnsi"/>
                <w:sz w:val="20"/>
                <w:szCs w:val="20"/>
              </w:rPr>
              <w:t>Nautičk</w:t>
            </w:r>
            <w:r>
              <w:rPr>
                <w:rFonts w:cstheme="minorHAnsi"/>
                <w:sz w:val="20"/>
                <w:szCs w:val="20"/>
              </w:rPr>
              <w:t>a</w:t>
            </w:r>
            <w:r w:rsidRPr="00D1148F">
              <w:rPr>
                <w:rFonts w:cstheme="minorHAnsi"/>
                <w:sz w:val="20"/>
                <w:szCs w:val="20"/>
              </w:rPr>
              <w:t xml:space="preserve"> milja</w:t>
            </w:r>
          </w:p>
        </w:tc>
      </w:tr>
      <w:tr w:rsidR="009B32CA" w:rsidRPr="001C6CCA" w14:paraId="3395D187" w14:textId="77777777" w:rsidTr="00E4576F">
        <w:trPr>
          <w:jc w:val="center"/>
        </w:trPr>
        <w:tc>
          <w:tcPr>
            <w:tcW w:w="1555" w:type="dxa"/>
            <w:shd w:val="clear" w:color="auto" w:fill="auto"/>
          </w:tcPr>
          <w:p w14:paraId="5EFC9496" w14:textId="6E9437DF" w:rsidR="009B32CA" w:rsidRPr="001C6CCA" w:rsidRDefault="009B32CA" w:rsidP="003B3EF1">
            <w:pPr>
              <w:spacing w:before="0" w:after="0"/>
              <w:rPr>
                <w:sz w:val="20"/>
                <w:szCs w:val="20"/>
              </w:rPr>
            </w:pPr>
            <w:r w:rsidRPr="001C6CCA">
              <w:rPr>
                <w:sz w:val="20"/>
                <w:szCs w:val="20"/>
              </w:rPr>
              <w:t>OSPAR</w:t>
            </w:r>
          </w:p>
        </w:tc>
        <w:tc>
          <w:tcPr>
            <w:tcW w:w="7229" w:type="dxa"/>
            <w:shd w:val="clear" w:color="auto" w:fill="auto"/>
          </w:tcPr>
          <w:p w14:paraId="1ADD370E" w14:textId="50935D8C" w:rsidR="009B32CA" w:rsidRPr="001C6CCA" w:rsidRDefault="00D1148F" w:rsidP="00D1148F">
            <w:pPr>
              <w:spacing w:before="0" w:after="0"/>
              <w:rPr>
                <w:sz w:val="20"/>
                <w:szCs w:val="20"/>
              </w:rPr>
            </w:pPr>
            <w:r>
              <w:rPr>
                <w:sz w:val="20"/>
                <w:szCs w:val="20"/>
              </w:rPr>
              <w:t>Oslo /</w:t>
            </w:r>
            <w:r w:rsidRPr="00D1148F">
              <w:rPr>
                <w:sz w:val="20"/>
                <w:szCs w:val="20"/>
              </w:rPr>
              <w:t>Pariška konvencija (za zaštitu morsk</w:t>
            </w:r>
            <w:r>
              <w:rPr>
                <w:sz w:val="20"/>
                <w:szCs w:val="20"/>
              </w:rPr>
              <w:t>e sredine</w:t>
            </w:r>
            <w:r w:rsidRPr="00D1148F">
              <w:rPr>
                <w:sz w:val="20"/>
                <w:szCs w:val="20"/>
              </w:rPr>
              <w:t xml:space="preserve"> s</w:t>
            </w:r>
            <w:r w:rsidR="00F71BC7">
              <w:rPr>
                <w:sz w:val="20"/>
                <w:szCs w:val="20"/>
              </w:rPr>
              <w:t>j</w:t>
            </w:r>
            <w:r w:rsidRPr="00D1148F">
              <w:rPr>
                <w:sz w:val="20"/>
                <w:szCs w:val="20"/>
              </w:rPr>
              <w:t>everoistočnog Atlantika)</w:t>
            </w:r>
          </w:p>
        </w:tc>
      </w:tr>
      <w:tr w:rsidR="009B32CA" w:rsidRPr="001C6CCA" w14:paraId="2BBD4AB4" w14:textId="77777777" w:rsidTr="00E4576F">
        <w:trPr>
          <w:jc w:val="center"/>
        </w:trPr>
        <w:tc>
          <w:tcPr>
            <w:tcW w:w="1555" w:type="dxa"/>
            <w:shd w:val="clear" w:color="auto" w:fill="auto"/>
          </w:tcPr>
          <w:p w14:paraId="4DB49EE3" w14:textId="77777777" w:rsidR="009B32CA" w:rsidRPr="001C6CCA" w:rsidRDefault="009B32CA" w:rsidP="003B3EF1">
            <w:pPr>
              <w:spacing w:before="0" w:after="0"/>
              <w:rPr>
                <w:rFonts w:cstheme="minorHAnsi"/>
                <w:sz w:val="20"/>
                <w:szCs w:val="20"/>
              </w:rPr>
            </w:pPr>
            <w:r w:rsidRPr="001C6CCA">
              <w:rPr>
                <w:sz w:val="20"/>
                <w:szCs w:val="20"/>
              </w:rPr>
              <w:t>PAH</w:t>
            </w:r>
          </w:p>
        </w:tc>
        <w:tc>
          <w:tcPr>
            <w:tcW w:w="7229" w:type="dxa"/>
            <w:shd w:val="clear" w:color="auto" w:fill="auto"/>
          </w:tcPr>
          <w:p w14:paraId="25403851" w14:textId="15A8B3F7" w:rsidR="009B32CA" w:rsidRPr="001C6CCA" w:rsidRDefault="00F71BC7" w:rsidP="003B3EF1">
            <w:pPr>
              <w:spacing w:before="0" w:after="0"/>
              <w:rPr>
                <w:rFonts w:cstheme="minorHAnsi"/>
                <w:i/>
                <w:sz w:val="20"/>
                <w:szCs w:val="20"/>
                <w:shd w:val="clear" w:color="auto" w:fill="FFFFFF"/>
              </w:rPr>
            </w:pPr>
            <w:r w:rsidRPr="00F71BC7">
              <w:rPr>
                <w:sz w:val="20"/>
                <w:szCs w:val="20"/>
              </w:rPr>
              <w:t>Policiklični aromatični ugljovodonik</w:t>
            </w:r>
          </w:p>
        </w:tc>
      </w:tr>
      <w:tr w:rsidR="009B32CA" w:rsidRPr="001C6CCA" w14:paraId="787DC61B" w14:textId="77777777" w:rsidTr="00E4576F">
        <w:trPr>
          <w:jc w:val="center"/>
        </w:trPr>
        <w:tc>
          <w:tcPr>
            <w:tcW w:w="1555" w:type="dxa"/>
            <w:shd w:val="clear" w:color="auto" w:fill="auto"/>
          </w:tcPr>
          <w:p w14:paraId="071EA830" w14:textId="77777777" w:rsidR="009B32CA" w:rsidRPr="001C6CCA" w:rsidRDefault="009B32CA" w:rsidP="003B3EF1">
            <w:pPr>
              <w:spacing w:before="0" w:after="0"/>
              <w:rPr>
                <w:rFonts w:cstheme="minorHAnsi"/>
                <w:sz w:val="20"/>
                <w:szCs w:val="20"/>
              </w:rPr>
            </w:pPr>
            <w:r w:rsidRPr="001C6CCA">
              <w:rPr>
                <w:rFonts w:cstheme="minorHAnsi"/>
                <w:sz w:val="20"/>
                <w:szCs w:val="20"/>
              </w:rPr>
              <w:t>POMI</w:t>
            </w:r>
          </w:p>
        </w:tc>
        <w:tc>
          <w:tcPr>
            <w:tcW w:w="7229" w:type="dxa"/>
            <w:shd w:val="clear" w:color="auto" w:fill="auto"/>
          </w:tcPr>
          <w:p w14:paraId="3E26FB26" w14:textId="55E3A56D" w:rsidR="009B32CA" w:rsidRPr="001C6CCA" w:rsidRDefault="009B32CA" w:rsidP="003B3EF1">
            <w:pPr>
              <w:spacing w:before="0" w:after="0"/>
              <w:rPr>
                <w:rFonts w:cstheme="minorHAnsi"/>
                <w:sz w:val="20"/>
                <w:szCs w:val="20"/>
                <w:shd w:val="clear" w:color="auto" w:fill="FFFFFF"/>
              </w:rPr>
            </w:pPr>
            <w:r w:rsidRPr="001C6CCA">
              <w:rPr>
                <w:rFonts w:cstheme="minorHAnsi"/>
                <w:i/>
                <w:sz w:val="20"/>
                <w:szCs w:val="20"/>
                <w:shd w:val="clear" w:color="auto" w:fill="FFFFFF"/>
              </w:rPr>
              <w:t>Posidonia oceanica</w:t>
            </w:r>
            <w:r w:rsidRPr="001C6CCA">
              <w:rPr>
                <w:rFonts w:cstheme="minorHAnsi"/>
                <w:sz w:val="20"/>
                <w:szCs w:val="20"/>
                <w:shd w:val="clear" w:color="auto" w:fill="FFFFFF"/>
              </w:rPr>
              <w:t xml:space="preserve"> </w:t>
            </w:r>
            <w:r w:rsidR="00F71BC7" w:rsidRPr="00F71BC7">
              <w:rPr>
                <w:rFonts w:cstheme="minorHAnsi"/>
                <w:sz w:val="20"/>
                <w:szCs w:val="20"/>
                <w:shd w:val="clear" w:color="auto" w:fill="FFFFFF"/>
              </w:rPr>
              <w:t>Multivarijantni indeks</w:t>
            </w:r>
          </w:p>
        </w:tc>
      </w:tr>
      <w:tr w:rsidR="009B32CA" w:rsidRPr="001C6CCA" w14:paraId="28392846" w14:textId="77777777" w:rsidTr="00E4576F">
        <w:trPr>
          <w:trHeight w:val="310"/>
          <w:jc w:val="center"/>
        </w:trPr>
        <w:tc>
          <w:tcPr>
            <w:tcW w:w="1555" w:type="dxa"/>
            <w:shd w:val="clear" w:color="auto" w:fill="auto"/>
          </w:tcPr>
          <w:p w14:paraId="5B646DF9" w14:textId="77777777" w:rsidR="009B32CA" w:rsidRPr="001C6CCA" w:rsidRDefault="009B32CA" w:rsidP="003B3EF1">
            <w:pPr>
              <w:spacing w:before="0" w:after="0"/>
              <w:rPr>
                <w:rFonts w:cstheme="minorHAnsi"/>
                <w:sz w:val="20"/>
                <w:szCs w:val="20"/>
              </w:rPr>
            </w:pPr>
            <w:r w:rsidRPr="001C6CCA">
              <w:rPr>
                <w:rFonts w:cstheme="minorHAnsi"/>
                <w:sz w:val="20"/>
                <w:szCs w:val="20"/>
              </w:rPr>
              <w:t xml:space="preserve">RAC/SPA </w:t>
            </w:r>
          </w:p>
        </w:tc>
        <w:tc>
          <w:tcPr>
            <w:tcW w:w="7229" w:type="dxa"/>
            <w:shd w:val="clear" w:color="auto" w:fill="auto"/>
          </w:tcPr>
          <w:p w14:paraId="36DBC59F" w14:textId="5D53B942" w:rsidR="009B32CA" w:rsidRPr="001C6CCA" w:rsidRDefault="00F71BC7" w:rsidP="003B3EF1">
            <w:pPr>
              <w:spacing w:before="0" w:after="0"/>
              <w:rPr>
                <w:rFonts w:cstheme="minorHAnsi"/>
                <w:sz w:val="20"/>
                <w:szCs w:val="20"/>
              </w:rPr>
            </w:pPr>
            <w:r w:rsidRPr="00F71BC7">
              <w:rPr>
                <w:rFonts w:cstheme="minorHAnsi"/>
                <w:sz w:val="20"/>
                <w:szCs w:val="20"/>
                <w:shd w:val="clear" w:color="auto" w:fill="FFFFFF"/>
              </w:rPr>
              <w:t>Regionalni centar aktivnosti za posebno zaštićena područja</w:t>
            </w:r>
          </w:p>
        </w:tc>
      </w:tr>
      <w:tr w:rsidR="009B32CA" w:rsidRPr="001C6CCA" w14:paraId="3A8C27C8" w14:textId="77777777" w:rsidTr="00E4576F">
        <w:trPr>
          <w:jc w:val="center"/>
        </w:trPr>
        <w:tc>
          <w:tcPr>
            <w:tcW w:w="1555" w:type="dxa"/>
            <w:shd w:val="clear" w:color="auto" w:fill="auto"/>
          </w:tcPr>
          <w:p w14:paraId="5FFB01C7" w14:textId="0FF78E1F" w:rsidR="009B32CA" w:rsidRPr="001C6CCA" w:rsidRDefault="009B32CA" w:rsidP="003B3EF1">
            <w:pPr>
              <w:spacing w:before="0" w:after="0"/>
              <w:rPr>
                <w:rFonts w:cstheme="minorHAnsi"/>
                <w:sz w:val="20"/>
                <w:szCs w:val="20"/>
              </w:rPr>
            </w:pPr>
            <w:r w:rsidRPr="001C6CCA">
              <w:rPr>
                <w:rFonts w:cstheme="minorHAnsi"/>
                <w:sz w:val="20"/>
                <w:szCs w:val="20"/>
              </w:rPr>
              <w:t>SAM</w:t>
            </w:r>
          </w:p>
        </w:tc>
        <w:tc>
          <w:tcPr>
            <w:tcW w:w="7229" w:type="dxa"/>
            <w:shd w:val="clear" w:color="auto" w:fill="auto"/>
          </w:tcPr>
          <w:p w14:paraId="3B800D54" w14:textId="0DF6F685" w:rsidR="009B32CA" w:rsidRPr="008C3D55" w:rsidRDefault="009B32CA" w:rsidP="003B3EF1">
            <w:pPr>
              <w:spacing w:before="0" w:after="0"/>
              <w:rPr>
                <w:rFonts w:cstheme="minorHAnsi"/>
                <w:sz w:val="20"/>
                <w:szCs w:val="20"/>
              </w:rPr>
            </w:pPr>
            <w:r w:rsidRPr="008C3D55">
              <w:rPr>
                <w:rFonts w:cs="Calibri"/>
                <w:sz w:val="20"/>
                <w:szCs w:val="20"/>
                <w:lang w:eastAsia="en-US"/>
              </w:rPr>
              <w:t>State-space Assessment Model</w:t>
            </w:r>
            <w:r w:rsidR="00CE1233">
              <w:t xml:space="preserve"> (</w:t>
            </w:r>
            <w:r w:rsidR="00CE1233" w:rsidRPr="00CE1233">
              <w:rPr>
                <w:rFonts w:cs="Calibri"/>
                <w:sz w:val="20"/>
                <w:szCs w:val="20"/>
                <w:lang w:eastAsia="en-US"/>
              </w:rPr>
              <w:t>Model procjene stanja prostora</w:t>
            </w:r>
            <w:r w:rsidR="00CE1233">
              <w:rPr>
                <w:rFonts w:cs="Calibri"/>
                <w:sz w:val="20"/>
                <w:szCs w:val="20"/>
                <w:lang w:eastAsia="en-US"/>
              </w:rPr>
              <w:t>)</w:t>
            </w:r>
          </w:p>
        </w:tc>
      </w:tr>
      <w:tr w:rsidR="009B32CA" w:rsidRPr="001C6CCA" w14:paraId="14219742" w14:textId="77777777" w:rsidTr="00E4576F">
        <w:trPr>
          <w:jc w:val="center"/>
        </w:trPr>
        <w:tc>
          <w:tcPr>
            <w:tcW w:w="1555" w:type="dxa"/>
            <w:shd w:val="clear" w:color="auto" w:fill="auto"/>
          </w:tcPr>
          <w:p w14:paraId="5845AC76" w14:textId="77777777" w:rsidR="009B32CA" w:rsidRPr="001C6CCA" w:rsidRDefault="009B32CA" w:rsidP="003B3EF1">
            <w:pPr>
              <w:spacing w:before="0" w:after="0"/>
              <w:rPr>
                <w:rFonts w:cstheme="minorHAnsi"/>
                <w:sz w:val="20"/>
                <w:szCs w:val="20"/>
              </w:rPr>
            </w:pPr>
            <w:r w:rsidRPr="001C6CCA">
              <w:rPr>
                <w:rFonts w:cstheme="minorHAnsi"/>
                <w:sz w:val="20"/>
                <w:szCs w:val="20"/>
              </w:rPr>
              <w:t>SS</w:t>
            </w:r>
          </w:p>
        </w:tc>
        <w:tc>
          <w:tcPr>
            <w:tcW w:w="7229" w:type="dxa"/>
            <w:shd w:val="clear" w:color="auto" w:fill="auto"/>
          </w:tcPr>
          <w:p w14:paraId="03F61F76" w14:textId="3297E637" w:rsidR="009B32CA" w:rsidRPr="001C6CCA" w:rsidRDefault="00F5014C" w:rsidP="00F75359">
            <w:pPr>
              <w:spacing w:before="0" w:after="0"/>
              <w:rPr>
                <w:rFonts w:cstheme="minorHAnsi"/>
                <w:sz w:val="20"/>
                <w:szCs w:val="20"/>
              </w:rPr>
            </w:pPr>
            <w:r>
              <w:rPr>
                <w:rFonts w:cstheme="minorHAnsi"/>
                <w:sz w:val="20"/>
                <w:szCs w:val="20"/>
              </w:rPr>
              <w:t>Sinteza zaliha</w:t>
            </w:r>
          </w:p>
        </w:tc>
      </w:tr>
      <w:tr w:rsidR="009B32CA" w:rsidRPr="001C6CCA" w14:paraId="7F7F5032" w14:textId="77777777" w:rsidTr="00E4576F">
        <w:trPr>
          <w:jc w:val="center"/>
        </w:trPr>
        <w:tc>
          <w:tcPr>
            <w:tcW w:w="1555" w:type="dxa"/>
            <w:shd w:val="clear" w:color="auto" w:fill="auto"/>
          </w:tcPr>
          <w:p w14:paraId="67B48AF4" w14:textId="77777777" w:rsidR="009B32CA" w:rsidRPr="001C6CCA" w:rsidRDefault="009B32CA" w:rsidP="003B3EF1">
            <w:pPr>
              <w:spacing w:before="0" w:after="0"/>
              <w:rPr>
                <w:rFonts w:cstheme="minorHAnsi"/>
                <w:sz w:val="20"/>
                <w:szCs w:val="20"/>
              </w:rPr>
            </w:pPr>
            <w:r w:rsidRPr="001C6CCA">
              <w:rPr>
                <w:rFonts w:cstheme="minorHAnsi"/>
                <w:sz w:val="20"/>
                <w:szCs w:val="20"/>
              </w:rPr>
              <w:t>SPA</w:t>
            </w:r>
          </w:p>
        </w:tc>
        <w:tc>
          <w:tcPr>
            <w:tcW w:w="7229" w:type="dxa"/>
            <w:shd w:val="clear" w:color="auto" w:fill="auto"/>
          </w:tcPr>
          <w:p w14:paraId="14439387" w14:textId="526E878D" w:rsidR="009B32CA" w:rsidRPr="001C6CCA" w:rsidRDefault="00F75359" w:rsidP="003B3EF1">
            <w:pPr>
              <w:spacing w:before="0" w:after="0"/>
              <w:rPr>
                <w:rFonts w:cstheme="minorHAnsi"/>
                <w:sz w:val="20"/>
                <w:szCs w:val="20"/>
              </w:rPr>
            </w:pPr>
            <w:r w:rsidRPr="00F75359">
              <w:rPr>
                <w:rFonts w:cstheme="minorHAnsi"/>
                <w:sz w:val="20"/>
                <w:szCs w:val="20"/>
              </w:rPr>
              <w:t>Područja posebne zaštite</w:t>
            </w:r>
          </w:p>
        </w:tc>
      </w:tr>
      <w:tr w:rsidR="009B32CA" w:rsidRPr="001C6CCA" w14:paraId="1CF170AD" w14:textId="77777777" w:rsidTr="00E4576F">
        <w:trPr>
          <w:jc w:val="center"/>
        </w:trPr>
        <w:tc>
          <w:tcPr>
            <w:tcW w:w="1555" w:type="dxa"/>
            <w:shd w:val="clear" w:color="auto" w:fill="auto"/>
          </w:tcPr>
          <w:p w14:paraId="52348A2B" w14:textId="77777777" w:rsidR="009B32CA" w:rsidRPr="001C6CCA" w:rsidRDefault="009B32CA" w:rsidP="003B3EF1">
            <w:pPr>
              <w:spacing w:before="0" w:after="0"/>
              <w:rPr>
                <w:rFonts w:cstheme="minorHAnsi"/>
                <w:sz w:val="20"/>
                <w:szCs w:val="20"/>
              </w:rPr>
            </w:pPr>
            <w:r w:rsidRPr="001C6CCA">
              <w:rPr>
                <w:rFonts w:cstheme="minorHAnsi"/>
                <w:sz w:val="20"/>
                <w:szCs w:val="20"/>
              </w:rPr>
              <w:t>SPA/BD</w:t>
            </w:r>
          </w:p>
        </w:tc>
        <w:tc>
          <w:tcPr>
            <w:tcW w:w="7229" w:type="dxa"/>
            <w:shd w:val="clear" w:color="auto" w:fill="auto"/>
          </w:tcPr>
          <w:p w14:paraId="44A58523" w14:textId="7B17A7CB" w:rsidR="009B32CA" w:rsidRPr="001C6CCA" w:rsidRDefault="00F75359" w:rsidP="00F75359">
            <w:pPr>
              <w:spacing w:before="0" w:after="0"/>
              <w:rPr>
                <w:rFonts w:cstheme="minorHAnsi"/>
                <w:sz w:val="20"/>
                <w:szCs w:val="20"/>
              </w:rPr>
            </w:pPr>
            <w:r w:rsidRPr="00F75359">
              <w:rPr>
                <w:rFonts w:cstheme="minorHAnsi"/>
                <w:sz w:val="20"/>
                <w:szCs w:val="20"/>
              </w:rPr>
              <w:t>Posebna područja zaštite / Biodiv</w:t>
            </w:r>
            <w:r>
              <w:rPr>
                <w:rFonts w:cstheme="minorHAnsi"/>
                <w:sz w:val="20"/>
                <w:szCs w:val="20"/>
              </w:rPr>
              <w:t>erzitet</w:t>
            </w:r>
          </w:p>
        </w:tc>
      </w:tr>
      <w:tr w:rsidR="009B32CA" w:rsidRPr="001C6CCA" w14:paraId="62B6FEA2" w14:textId="77777777" w:rsidTr="00E4576F">
        <w:trPr>
          <w:jc w:val="center"/>
        </w:trPr>
        <w:tc>
          <w:tcPr>
            <w:tcW w:w="1555" w:type="dxa"/>
            <w:shd w:val="clear" w:color="auto" w:fill="auto"/>
          </w:tcPr>
          <w:p w14:paraId="757C51F8" w14:textId="77777777" w:rsidR="009B32CA" w:rsidRPr="001C6CCA" w:rsidRDefault="009B32CA" w:rsidP="003B3EF1">
            <w:pPr>
              <w:spacing w:before="0" w:after="0"/>
              <w:rPr>
                <w:rFonts w:cstheme="minorHAnsi"/>
                <w:sz w:val="20"/>
                <w:szCs w:val="20"/>
              </w:rPr>
            </w:pPr>
            <w:r w:rsidRPr="001C6CCA">
              <w:rPr>
                <w:rFonts w:cstheme="minorHAnsi"/>
                <w:sz w:val="20"/>
                <w:szCs w:val="20"/>
              </w:rPr>
              <w:t>SPAMI</w:t>
            </w:r>
          </w:p>
        </w:tc>
        <w:tc>
          <w:tcPr>
            <w:tcW w:w="7229" w:type="dxa"/>
            <w:shd w:val="clear" w:color="auto" w:fill="auto"/>
          </w:tcPr>
          <w:p w14:paraId="3D618EFB" w14:textId="09854E71" w:rsidR="009B32CA" w:rsidRPr="001C6CCA" w:rsidRDefault="00F75359" w:rsidP="003B3EF1">
            <w:pPr>
              <w:spacing w:before="0" w:after="0"/>
              <w:rPr>
                <w:rFonts w:cstheme="minorHAnsi"/>
                <w:sz w:val="20"/>
                <w:szCs w:val="20"/>
              </w:rPr>
            </w:pPr>
            <w:r w:rsidRPr="00F75359">
              <w:rPr>
                <w:rFonts w:cs="Arial"/>
                <w:sz w:val="20"/>
                <w:szCs w:val="20"/>
                <w:shd w:val="clear" w:color="auto" w:fill="FFFFFF"/>
              </w:rPr>
              <w:t>Posebno zaštićena područja od mediteranskog značaja</w:t>
            </w:r>
          </w:p>
        </w:tc>
      </w:tr>
      <w:tr w:rsidR="009B32CA" w:rsidRPr="001C6CCA" w14:paraId="50A305C9" w14:textId="77777777" w:rsidTr="00E4576F">
        <w:trPr>
          <w:jc w:val="center"/>
        </w:trPr>
        <w:tc>
          <w:tcPr>
            <w:tcW w:w="1555" w:type="dxa"/>
            <w:shd w:val="clear" w:color="auto" w:fill="auto"/>
          </w:tcPr>
          <w:p w14:paraId="215389AF" w14:textId="77777777" w:rsidR="009B32CA" w:rsidRPr="001C6CCA" w:rsidRDefault="009B32CA" w:rsidP="003B3EF1">
            <w:pPr>
              <w:spacing w:before="0" w:after="0"/>
              <w:rPr>
                <w:rFonts w:cstheme="minorHAnsi"/>
                <w:sz w:val="20"/>
                <w:szCs w:val="20"/>
              </w:rPr>
            </w:pPr>
            <w:r w:rsidRPr="001C6CCA">
              <w:rPr>
                <w:rFonts w:cstheme="minorHAnsi"/>
                <w:sz w:val="20"/>
                <w:szCs w:val="20"/>
              </w:rPr>
              <w:t>SSB</w:t>
            </w:r>
          </w:p>
        </w:tc>
        <w:tc>
          <w:tcPr>
            <w:tcW w:w="7229" w:type="dxa"/>
            <w:shd w:val="clear" w:color="auto" w:fill="auto"/>
          </w:tcPr>
          <w:p w14:paraId="1CD5C994" w14:textId="59105DAE" w:rsidR="009B32CA" w:rsidRPr="001C6CCA" w:rsidRDefault="004C5A17" w:rsidP="00F5014C">
            <w:pPr>
              <w:spacing w:before="0" w:after="0"/>
              <w:rPr>
                <w:rFonts w:cstheme="minorHAnsi"/>
                <w:sz w:val="20"/>
                <w:szCs w:val="20"/>
              </w:rPr>
            </w:pPr>
            <w:r>
              <w:rPr>
                <w:rFonts w:cstheme="minorHAnsi"/>
                <w:sz w:val="20"/>
                <w:szCs w:val="20"/>
              </w:rPr>
              <w:t>B</w:t>
            </w:r>
            <w:r w:rsidR="00F75359" w:rsidRPr="00F75359">
              <w:rPr>
                <w:rFonts w:cstheme="minorHAnsi"/>
                <w:sz w:val="20"/>
                <w:szCs w:val="20"/>
              </w:rPr>
              <w:t>iomasa</w:t>
            </w:r>
            <w:r>
              <w:rPr>
                <w:rFonts w:cstheme="minorHAnsi"/>
                <w:sz w:val="20"/>
                <w:szCs w:val="20"/>
              </w:rPr>
              <w:t xml:space="preserve"> </w:t>
            </w:r>
            <w:r w:rsidR="00F5014C">
              <w:rPr>
                <w:rFonts w:cstheme="minorHAnsi"/>
                <w:sz w:val="20"/>
                <w:szCs w:val="20"/>
              </w:rPr>
              <w:t>stoka za mrijest</w:t>
            </w:r>
          </w:p>
        </w:tc>
      </w:tr>
      <w:tr w:rsidR="009B32CA" w:rsidRPr="001C6CCA" w14:paraId="46D6102D" w14:textId="77777777" w:rsidTr="00D15700">
        <w:trPr>
          <w:trHeight w:val="97"/>
          <w:jc w:val="center"/>
        </w:trPr>
        <w:tc>
          <w:tcPr>
            <w:tcW w:w="1555" w:type="dxa"/>
            <w:shd w:val="clear" w:color="auto" w:fill="auto"/>
          </w:tcPr>
          <w:p w14:paraId="1921D3C0" w14:textId="77777777" w:rsidR="009B32CA" w:rsidRPr="001C6CCA" w:rsidRDefault="009B32CA" w:rsidP="003B3EF1">
            <w:pPr>
              <w:spacing w:before="0" w:after="0"/>
              <w:rPr>
                <w:rFonts w:cstheme="minorHAnsi"/>
                <w:sz w:val="20"/>
                <w:szCs w:val="20"/>
              </w:rPr>
            </w:pPr>
            <w:r w:rsidRPr="001C6CCA">
              <w:rPr>
                <w:rFonts w:cstheme="minorHAnsi"/>
                <w:sz w:val="20"/>
                <w:szCs w:val="20"/>
              </w:rPr>
              <w:t>STOCK MED</w:t>
            </w:r>
          </w:p>
        </w:tc>
        <w:tc>
          <w:tcPr>
            <w:tcW w:w="7229" w:type="dxa"/>
            <w:shd w:val="clear" w:color="auto" w:fill="auto"/>
          </w:tcPr>
          <w:p w14:paraId="41C53D86" w14:textId="6C18CBC5" w:rsidR="009B32CA" w:rsidRPr="001C6CCA" w:rsidRDefault="00F75359" w:rsidP="00F75359">
            <w:pPr>
              <w:spacing w:before="0" w:after="0"/>
              <w:rPr>
                <w:rFonts w:cstheme="minorHAnsi"/>
                <w:sz w:val="20"/>
                <w:szCs w:val="20"/>
              </w:rPr>
            </w:pPr>
            <w:r w:rsidRPr="00F75359">
              <w:rPr>
                <w:rFonts w:cstheme="minorHAnsi"/>
                <w:sz w:val="20"/>
                <w:szCs w:val="20"/>
              </w:rPr>
              <w:t>Proc</w:t>
            </w:r>
            <w:r>
              <w:rPr>
                <w:rFonts w:cstheme="minorHAnsi"/>
                <w:sz w:val="20"/>
                <w:szCs w:val="20"/>
              </w:rPr>
              <w:t>j</w:t>
            </w:r>
            <w:r w:rsidRPr="00F75359">
              <w:rPr>
                <w:rFonts w:cstheme="minorHAnsi"/>
                <w:sz w:val="20"/>
                <w:szCs w:val="20"/>
              </w:rPr>
              <w:t xml:space="preserve">ene mediteranskih </w:t>
            </w:r>
            <w:r>
              <w:rPr>
                <w:rFonts w:cstheme="minorHAnsi"/>
                <w:sz w:val="20"/>
                <w:szCs w:val="20"/>
              </w:rPr>
              <w:t>stokova</w:t>
            </w:r>
          </w:p>
        </w:tc>
      </w:tr>
      <w:tr w:rsidR="009B32CA" w:rsidRPr="001C6CCA" w14:paraId="5D642123" w14:textId="77777777" w:rsidTr="00E4576F">
        <w:trPr>
          <w:jc w:val="center"/>
        </w:trPr>
        <w:tc>
          <w:tcPr>
            <w:tcW w:w="1555" w:type="dxa"/>
            <w:shd w:val="clear" w:color="auto" w:fill="auto"/>
          </w:tcPr>
          <w:p w14:paraId="3AD7BF18" w14:textId="61103F8D" w:rsidR="009B32CA" w:rsidRPr="001C6CCA" w:rsidRDefault="008C3D55" w:rsidP="003B3EF1">
            <w:pPr>
              <w:spacing w:before="0" w:after="0"/>
              <w:rPr>
                <w:rFonts w:cstheme="minorHAnsi"/>
                <w:sz w:val="20"/>
                <w:szCs w:val="20"/>
              </w:rPr>
            </w:pPr>
            <w:r>
              <w:rPr>
                <w:rFonts w:cstheme="minorHAnsi"/>
                <w:sz w:val="20"/>
                <w:szCs w:val="20"/>
              </w:rPr>
              <w:t>ODV</w:t>
            </w:r>
          </w:p>
        </w:tc>
        <w:tc>
          <w:tcPr>
            <w:tcW w:w="7229" w:type="dxa"/>
            <w:shd w:val="clear" w:color="auto" w:fill="auto"/>
          </w:tcPr>
          <w:p w14:paraId="01CAD543" w14:textId="2FC966AE" w:rsidR="009B32CA" w:rsidRPr="001C6CCA" w:rsidRDefault="008C3D55" w:rsidP="008C3D55">
            <w:pPr>
              <w:spacing w:before="0" w:after="0"/>
              <w:rPr>
                <w:rFonts w:cstheme="minorHAnsi"/>
                <w:sz w:val="20"/>
                <w:szCs w:val="20"/>
              </w:rPr>
            </w:pPr>
            <w:r>
              <w:rPr>
                <w:rFonts w:cstheme="minorHAnsi"/>
                <w:sz w:val="20"/>
                <w:szCs w:val="20"/>
              </w:rPr>
              <w:t>Okvirna Direktiva o vodama</w:t>
            </w:r>
          </w:p>
        </w:tc>
      </w:tr>
    </w:tbl>
    <w:p w14:paraId="4C0E1B4B" w14:textId="77777777" w:rsidR="00615E5F" w:rsidRDefault="00615E5F" w:rsidP="003B3EF1">
      <w:pPr>
        <w:spacing w:before="0" w:after="0"/>
        <w:rPr>
          <w:rFonts w:cstheme="minorHAnsi"/>
          <w:sz w:val="20"/>
          <w:szCs w:val="20"/>
        </w:rPr>
        <w:sectPr w:rsidR="00615E5F" w:rsidSect="00415CBA">
          <w:headerReference w:type="even" r:id="rId13"/>
          <w:headerReference w:type="default" r:id="rId14"/>
          <w:footerReference w:type="default" r:id="rId15"/>
          <w:headerReference w:type="first" r:id="rId16"/>
          <w:pgSz w:w="11911" w:h="16832" w:code="9"/>
          <w:pgMar w:top="1440" w:right="1440" w:bottom="1440" w:left="1440" w:header="426" w:footer="576" w:gutter="0"/>
          <w:pgBorders>
            <w:top w:val="none" w:sz="0" w:space="0" w:color="000000"/>
            <w:left w:val="none" w:sz="0" w:space="0" w:color="000000"/>
            <w:bottom w:val="none" w:sz="0" w:space="0" w:color="000000"/>
            <w:right w:val="none" w:sz="0" w:space="0" w:color="000000"/>
          </w:pgBorders>
          <w:cols w:space="720"/>
          <w:docGrid w:linePitch="299"/>
        </w:sectPr>
      </w:pPr>
    </w:p>
    <w:p w14:paraId="57313882" w14:textId="5191348B" w:rsidR="00131076" w:rsidRPr="001C6CCA" w:rsidRDefault="00126742" w:rsidP="0018166F">
      <w:pPr>
        <w:pStyle w:val="Heading1"/>
        <w:numPr>
          <w:ilvl w:val="0"/>
          <w:numId w:val="0"/>
        </w:numPr>
        <w:ind w:left="431" w:hanging="431"/>
        <w:rPr>
          <w:rFonts w:eastAsia="Calibri"/>
          <w:lang w:val="en-GB" w:eastAsia="en-US"/>
        </w:rPr>
      </w:pPr>
      <w:bookmarkStart w:id="13" w:name="_Toc83630890"/>
      <w:r>
        <w:rPr>
          <w:rFonts w:eastAsia="Calibri"/>
          <w:lang w:val="en-GB" w:eastAsia="en-US"/>
        </w:rPr>
        <w:lastRenderedPageBreak/>
        <w:t>KRATAK SADRŽAJ</w:t>
      </w:r>
      <w:bookmarkEnd w:id="13"/>
    </w:p>
    <w:p w14:paraId="117B7AF0" w14:textId="1AD5F419" w:rsidR="00F261AB" w:rsidRPr="000408E4" w:rsidRDefault="00A96468" w:rsidP="000408E4">
      <w:pPr>
        <w:spacing w:before="0" w:after="0"/>
        <w:rPr>
          <w:rFonts w:cs="Calibri"/>
          <w:b/>
          <w:color w:val="244061"/>
          <w:szCs w:val="22"/>
          <w:lang w:val="en-GB"/>
        </w:rPr>
      </w:pPr>
      <w:r w:rsidRPr="00FA2A2B">
        <w:rPr>
          <w:rFonts w:eastAsia="Calibri" w:cs="Calibri"/>
          <w:szCs w:val="22"/>
          <w:lang w:val="sq-AL" w:eastAsia="en-US"/>
        </w:rPr>
        <w:t>U okviru sprovođenja Zakona o zaštiti morske sredine (Službeni list Crne Gore br. 73/19</w:t>
      </w:r>
      <w:r w:rsidR="00F5372A">
        <w:rPr>
          <w:rFonts w:eastAsia="Calibri" w:cs="Calibri"/>
          <w:szCs w:val="22"/>
          <w:lang w:val="sq-AL" w:eastAsia="en-US"/>
        </w:rPr>
        <w:t xml:space="preserve"> i podzakonski akti u skladu sa Zakonom</w:t>
      </w:r>
      <w:r w:rsidR="00F5372A">
        <w:rPr>
          <w:rStyle w:val="FootnoteReference"/>
          <w:rFonts w:eastAsia="Calibri"/>
          <w:szCs w:val="22"/>
          <w:lang w:val="sq-AL" w:eastAsia="en-US"/>
        </w:rPr>
        <w:footnoteReference w:id="1"/>
      </w:r>
      <w:r w:rsidR="00F5372A">
        <w:rPr>
          <w:rFonts w:eastAsia="Calibri" w:cs="Calibri"/>
          <w:szCs w:val="22"/>
          <w:lang w:val="sq-AL" w:eastAsia="en-US"/>
        </w:rPr>
        <w:t>)</w:t>
      </w:r>
      <w:r w:rsidRPr="00FA2A2B">
        <w:rPr>
          <w:rFonts w:eastAsia="Calibri" w:cs="Calibri"/>
          <w:szCs w:val="22"/>
          <w:lang w:val="sq-AL" w:eastAsia="en-US"/>
        </w:rPr>
        <w:t xml:space="preserve">, koji u nacionalno zakonodavstvo prenosi odredbe Okvirne direktive o morskoj strategiji (ODMS, 2008/56/EC), dokument </w:t>
      </w:r>
      <w:r w:rsidRPr="00B34BBE">
        <w:rPr>
          <w:rFonts w:eastAsia="Calibri" w:cs="Calibri"/>
          <w:b/>
          <w:szCs w:val="22"/>
          <w:lang w:val="sq-AL" w:eastAsia="en-US"/>
        </w:rPr>
        <w:t>„</w:t>
      </w:r>
      <w:r w:rsidR="000408E4" w:rsidRPr="00B34BBE">
        <w:rPr>
          <w:rFonts w:cs="Calibri"/>
          <w:b/>
          <w:color w:val="244061"/>
          <w:szCs w:val="22"/>
          <w:lang w:val="en-GB"/>
        </w:rPr>
        <w:t>Karakteristike dobrog stanja morske sredine pod suverenitetom Crne Gore i skup ciljeva u zaštiti morske sredine i sa njima povezanih pokazatelja”</w:t>
      </w:r>
      <w:r w:rsidR="000408E4" w:rsidRPr="000408E4">
        <w:rPr>
          <w:rFonts w:cs="Calibri"/>
          <w:b/>
          <w:color w:val="244061"/>
          <w:szCs w:val="22"/>
          <w:lang w:val="en-GB"/>
        </w:rPr>
        <w:t xml:space="preserve"> </w:t>
      </w:r>
      <w:r w:rsidRPr="00FA2A2B">
        <w:rPr>
          <w:rFonts w:eastAsia="Calibri" w:cs="Calibri"/>
          <w:szCs w:val="22"/>
          <w:lang w:val="sq-AL" w:eastAsia="en-US"/>
        </w:rPr>
        <w:t xml:space="preserve">predstavlja </w:t>
      </w:r>
      <w:r w:rsidR="005E12BB">
        <w:rPr>
          <w:rFonts w:eastAsia="Calibri" w:cs="Calibri"/>
          <w:szCs w:val="22"/>
          <w:lang w:val="sq-AL" w:eastAsia="en-US"/>
        </w:rPr>
        <w:t>drugi</w:t>
      </w:r>
      <w:r w:rsidRPr="00FA2A2B">
        <w:rPr>
          <w:rFonts w:eastAsia="Calibri" w:cs="Calibri"/>
          <w:szCs w:val="22"/>
          <w:lang w:val="sq-AL" w:eastAsia="en-US"/>
        </w:rPr>
        <w:t xml:space="preserve"> ključni korak u pripremi programa mjera za postizanje i/ ili održavanje dobrog stanja morske sredine.</w:t>
      </w:r>
    </w:p>
    <w:p w14:paraId="1D571FF8" w14:textId="6FAAB780" w:rsidR="00F261AB" w:rsidRPr="007B138E" w:rsidRDefault="00F261AB" w:rsidP="00F261AB">
      <w:pPr>
        <w:spacing w:before="0" w:after="160"/>
        <w:rPr>
          <w:rFonts w:eastAsia="Calibri" w:cs="Calibri"/>
          <w:szCs w:val="22"/>
          <w:lang w:val="en-GB" w:eastAsia="en-US"/>
        </w:rPr>
      </w:pPr>
      <w:r>
        <w:rPr>
          <w:rFonts w:eastAsia="Calibri" w:cs="Calibri"/>
          <w:szCs w:val="22"/>
          <w:lang w:val="en-GB" w:eastAsia="en-US"/>
        </w:rPr>
        <w:t>Kada je riječ o ODMS</w:t>
      </w:r>
      <w:r w:rsidRPr="007B138E">
        <w:rPr>
          <w:rFonts w:eastAsia="Calibri" w:cs="Calibri"/>
          <w:szCs w:val="22"/>
          <w:lang w:val="en-GB" w:eastAsia="en-US"/>
        </w:rPr>
        <w:t xml:space="preserve">, </w:t>
      </w:r>
      <w:r>
        <w:rPr>
          <w:rFonts w:eastAsia="Calibri" w:cs="Calibri"/>
          <w:szCs w:val="22"/>
          <w:lang w:val="en-GB" w:eastAsia="en-US"/>
        </w:rPr>
        <w:t xml:space="preserve">dobro stanje </w:t>
      </w:r>
      <w:r w:rsidR="00226220">
        <w:rPr>
          <w:rFonts w:eastAsia="Calibri" w:cs="Calibri"/>
          <w:szCs w:val="22"/>
          <w:lang w:val="en-GB" w:eastAsia="en-US"/>
        </w:rPr>
        <w:t xml:space="preserve">morske </w:t>
      </w:r>
      <w:r>
        <w:rPr>
          <w:rFonts w:eastAsia="Calibri" w:cs="Calibri"/>
          <w:szCs w:val="22"/>
          <w:lang w:val="en-GB" w:eastAsia="en-US"/>
        </w:rPr>
        <w:t xml:space="preserve">sredine (u daljem tekstu: </w:t>
      </w:r>
      <w:r w:rsidRPr="007B138E">
        <w:rPr>
          <w:rFonts w:eastAsia="Calibri" w:cs="Calibri"/>
          <w:szCs w:val="22"/>
          <w:lang w:val="en-GB" w:eastAsia="en-US"/>
        </w:rPr>
        <w:t>GES</w:t>
      </w:r>
      <w:r>
        <w:rPr>
          <w:rFonts w:eastAsia="Calibri" w:cs="Calibri"/>
          <w:szCs w:val="22"/>
          <w:lang w:val="en-GB" w:eastAsia="en-US"/>
        </w:rPr>
        <w:t>)</w:t>
      </w:r>
      <w:r w:rsidRPr="007B138E">
        <w:rPr>
          <w:rFonts w:eastAsia="Calibri" w:cs="Calibri"/>
          <w:szCs w:val="22"/>
          <w:lang w:val="en-GB" w:eastAsia="en-US"/>
        </w:rPr>
        <w:t xml:space="preserve"> i </w:t>
      </w:r>
      <w:r w:rsidR="00226220">
        <w:rPr>
          <w:rFonts w:eastAsia="Calibri" w:cs="Calibri"/>
          <w:szCs w:val="22"/>
          <w:lang w:val="en-GB" w:eastAsia="en-US"/>
        </w:rPr>
        <w:t>c</w:t>
      </w:r>
      <w:r w:rsidRPr="007B138E">
        <w:rPr>
          <w:rFonts w:eastAsia="Calibri" w:cs="Calibri"/>
          <w:szCs w:val="22"/>
          <w:lang w:val="en-GB" w:eastAsia="en-US"/>
        </w:rPr>
        <w:t xml:space="preserve">iljevi za </w:t>
      </w:r>
      <w:r w:rsidR="00226220">
        <w:rPr>
          <w:rFonts w:eastAsia="Calibri" w:cs="Calibri"/>
          <w:szCs w:val="22"/>
          <w:lang w:val="en-GB" w:eastAsia="en-US"/>
        </w:rPr>
        <w:t xml:space="preserve">postizanje dobrog stanja </w:t>
      </w:r>
      <w:r w:rsidRPr="007B138E">
        <w:rPr>
          <w:rFonts w:eastAsia="Calibri" w:cs="Calibri"/>
          <w:szCs w:val="22"/>
          <w:lang w:val="en-GB" w:eastAsia="en-US"/>
        </w:rPr>
        <w:t xml:space="preserve">morske </w:t>
      </w:r>
      <w:r w:rsidR="006B6111">
        <w:rPr>
          <w:rFonts w:eastAsia="Calibri" w:cs="Calibri"/>
          <w:szCs w:val="22"/>
          <w:lang w:val="en-GB" w:eastAsia="en-US"/>
        </w:rPr>
        <w:t>sredine</w:t>
      </w:r>
      <w:r w:rsidRPr="007B138E">
        <w:rPr>
          <w:rFonts w:eastAsia="Calibri" w:cs="Calibri"/>
          <w:szCs w:val="22"/>
          <w:lang w:val="en-GB" w:eastAsia="en-US"/>
        </w:rPr>
        <w:t xml:space="preserve"> pod suverenitetom Crne Gore definisani su u ovom izvještaju na osnovu </w:t>
      </w:r>
      <w:r w:rsidRPr="00F261AB">
        <w:rPr>
          <w:rFonts w:eastAsia="Calibri" w:cs="Calibri"/>
          <w:i/>
          <w:szCs w:val="22"/>
          <w:lang w:val="en-GB" w:eastAsia="en-US"/>
        </w:rPr>
        <w:t xml:space="preserve">„Inicijalne procjene stanja morske sredine Crne Gore“ </w:t>
      </w:r>
      <w:r w:rsidRPr="007B138E">
        <w:rPr>
          <w:rFonts w:eastAsia="Calibri" w:cs="Calibri"/>
          <w:szCs w:val="22"/>
          <w:lang w:val="en-GB" w:eastAsia="en-US"/>
        </w:rPr>
        <w:t xml:space="preserve">(2020) koja je </w:t>
      </w:r>
      <w:r>
        <w:rPr>
          <w:rFonts w:eastAsia="Calibri" w:cs="Calibri"/>
          <w:szCs w:val="22"/>
          <w:lang w:val="en-GB" w:eastAsia="en-US"/>
        </w:rPr>
        <w:t xml:space="preserve">pripremljena u </w:t>
      </w:r>
      <w:r w:rsidRPr="00F261AB">
        <w:rPr>
          <w:rFonts w:eastAsia="Calibri" w:cs="Calibri"/>
          <w:szCs w:val="22"/>
          <w:lang w:val="en-GB" w:eastAsia="en-US"/>
        </w:rPr>
        <w:t>okviru IPA projekt</w:t>
      </w:r>
      <w:r w:rsidR="00421FD0">
        <w:rPr>
          <w:rFonts w:eastAsia="Calibri" w:cs="Calibri"/>
          <w:szCs w:val="22"/>
          <w:lang w:val="en-GB" w:eastAsia="en-US"/>
        </w:rPr>
        <w:t>a</w:t>
      </w:r>
      <w:r w:rsidRPr="00F261AB">
        <w:rPr>
          <w:rFonts w:eastAsia="Calibri" w:cs="Calibri"/>
          <w:szCs w:val="22"/>
          <w:lang w:val="en-GB" w:eastAsia="en-US"/>
        </w:rPr>
        <w:t xml:space="preserve"> „Podrška implementaciji i monitoringu upravljanja vodama u Crnoj Gori“ i </w:t>
      </w:r>
      <w:r w:rsidR="00226220">
        <w:rPr>
          <w:rFonts w:eastAsia="Calibri" w:cs="Calibri"/>
          <w:szCs w:val="22"/>
          <w:lang w:val="en-GB" w:eastAsia="en-US"/>
        </w:rPr>
        <w:t xml:space="preserve">na osnovu  </w:t>
      </w:r>
      <w:r w:rsidRPr="00F261AB">
        <w:rPr>
          <w:rFonts w:eastAsia="Calibri" w:cs="Calibri"/>
          <w:szCs w:val="22"/>
          <w:lang w:val="en-GB" w:eastAsia="en-US"/>
        </w:rPr>
        <w:t xml:space="preserve">11 kvalitativnih </w:t>
      </w:r>
      <w:r w:rsidR="00834D1C">
        <w:rPr>
          <w:rFonts w:eastAsia="Calibri" w:cs="Calibri"/>
          <w:szCs w:val="22"/>
          <w:lang w:val="en-GB" w:eastAsia="en-US"/>
        </w:rPr>
        <w:t xml:space="preserve">pokazatelja </w:t>
      </w:r>
      <w:r w:rsidR="00F5372A">
        <w:rPr>
          <w:rFonts w:eastAsia="Calibri" w:cs="Calibri"/>
          <w:szCs w:val="22"/>
          <w:lang w:val="en-GB" w:eastAsia="en-US"/>
        </w:rPr>
        <w:t xml:space="preserve">(u daljem tekstu </w:t>
      </w:r>
      <w:r w:rsidRPr="00F261AB">
        <w:rPr>
          <w:rFonts w:eastAsia="Calibri" w:cs="Calibri"/>
          <w:szCs w:val="22"/>
          <w:lang w:val="en-GB" w:eastAsia="en-US"/>
        </w:rPr>
        <w:t>deskriptora</w:t>
      </w:r>
      <w:r w:rsidR="00F5372A">
        <w:rPr>
          <w:rFonts w:eastAsia="Calibri" w:cs="Calibri"/>
          <w:szCs w:val="22"/>
          <w:lang w:val="en-GB" w:eastAsia="en-US"/>
        </w:rPr>
        <w:t>)</w:t>
      </w:r>
      <w:r w:rsidRPr="00F261AB">
        <w:rPr>
          <w:rFonts w:eastAsia="Calibri" w:cs="Calibri"/>
          <w:szCs w:val="22"/>
          <w:lang w:val="en-GB" w:eastAsia="en-US"/>
        </w:rPr>
        <w:t xml:space="preserve"> </w:t>
      </w:r>
      <w:r w:rsidR="00226220">
        <w:rPr>
          <w:rFonts w:eastAsia="Calibri" w:cs="Calibri"/>
          <w:szCs w:val="22"/>
          <w:lang w:val="en-GB" w:eastAsia="en-US"/>
        </w:rPr>
        <w:t xml:space="preserve">koji čine </w:t>
      </w:r>
      <w:r w:rsidRPr="00F261AB">
        <w:rPr>
          <w:rFonts w:eastAsia="Calibri" w:cs="Calibri"/>
          <w:szCs w:val="22"/>
          <w:lang w:val="en-GB" w:eastAsia="en-US"/>
        </w:rPr>
        <w:t>sistem čiji je cilj opisivanje st</w:t>
      </w:r>
      <w:r>
        <w:rPr>
          <w:rFonts w:eastAsia="Calibri" w:cs="Calibri"/>
          <w:szCs w:val="22"/>
          <w:lang w:val="en-GB" w:eastAsia="en-US"/>
        </w:rPr>
        <w:t>anja</w:t>
      </w:r>
      <w:r w:rsidRPr="00F261AB">
        <w:rPr>
          <w:rFonts w:eastAsia="Calibri" w:cs="Calibri"/>
          <w:szCs w:val="22"/>
          <w:lang w:val="en-GB" w:eastAsia="en-US"/>
        </w:rPr>
        <w:t xml:space="preserve"> morskog ekosistema</w:t>
      </w:r>
      <w:r>
        <w:rPr>
          <w:rFonts w:eastAsia="Calibri" w:cs="Calibri"/>
          <w:szCs w:val="22"/>
          <w:lang w:val="en-GB" w:eastAsia="en-US"/>
        </w:rPr>
        <w:t>:</w:t>
      </w:r>
    </w:p>
    <w:p w14:paraId="43142614" w14:textId="77B6243B" w:rsidR="00613105" w:rsidRPr="00613105" w:rsidRDefault="005E12BB" w:rsidP="00C52E6F">
      <w:pPr>
        <w:numPr>
          <w:ilvl w:val="0"/>
          <w:numId w:val="45"/>
        </w:numPr>
        <w:autoSpaceDE w:val="0"/>
        <w:autoSpaceDN w:val="0"/>
        <w:adjustRightInd w:val="0"/>
        <w:spacing w:before="0" w:after="0"/>
        <w:contextualSpacing/>
        <w:jc w:val="left"/>
        <w:rPr>
          <w:rFonts w:cs="Calibri"/>
          <w:color w:val="000000"/>
          <w:szCs w:val="22"/>
          <w:lang w:val="sq-AL"/>
        </w:rPr>
      </w:pPr>
      <w:r w:rsidRPr="00613105">
        <w:rPr>
          <w:rFonts w:cs="Calibri"/>
          <w:color w:val="000000"/>
          <w:szCs w:val="22"/>
          <w:lang w:val="sq-AL"/>
        </w:rPr>
        <w:t>D</w:t>
      </w:r>
      <w:r w:rsidR="001A21CA">
        <w:rPr>
          <w:rFonts w:cs="Calibri"/>
          <w:color w:val="000000"/>
          <w:szCs w:val="22"/>
          <w:lang w:val="sq-AL"/>
        </w:rPr>
        <w:t xml:space="preserve">eskriptor </w:t>
      </w:r>
      <w:r w:rsidRPr="00613105">
        <w:rPr>
          <w:rFonts w:cs="Calibri"/>
          <w:color w:val="000000"/>
          <w:szCs w:val="22"/>
          <w:lang w:val="sq-AL"/>
        </w:rPr>
        <w:t>1</w:t>
      </w:r>
      <w:r w:rsidR="001A21CA">
        <w:rPr>
          <w:rFonts w:cs="Calibri"/>
          <w:color w:val="000000"/>
          <w:szCs w:val="22"/>
          <w:lang w:val="sq-AL"/>
        </w:rPr>
        <w:t xml:space="preserve">(D1) </w:t>
      </w:r>
      <w:r w:rsidRPr="00613105">
        <w:rPr>
          <w:rFonts w:cs="Calibri"/>
          <w:color w:val="000000"/>
          <w:szCs w:val="22"/>
          <w:lang w:val="sq-AL"/>
        </w:rPr>
        <w:t xml:space="preserve">- </w:t>
      </w:r>
      <w:r w:rsidR="001A21CA">
        <w:rPr>
          <w:rFonts w:cs="Calibri"/>
          <w:color w:val="000000"/>
          <w:szCs w:val="22"/>
          <w:lang w:val="sq-AL"/>
        </w:rPr>
        <w:t xml:space="preserve"> </w:t>
      </w:r>
      <w:r w:rsidRPr="00613105">
        <w:rPr>
          <w:rFonts w:cs="Calibri"/>
          <w:color w:val="000000"/>
          <w:szCs w:val="22"/>
          <w:lang w:val="sq-AL"/>
        </w:rPr>
        <w:t xml:space="preserve">Biodiverzitet </w:t>
      </w:r>
      <w:r w:rsidR="00613105" w:rsidRPr="00613105">
        <w:rPr>
          <w:rFonts w:cs="Calibri"/>
          <w:color w:val="000000"/>
          <w:szCs w:val="22"/>
          <w:lang w:val="en-GB"/>
        </w:rPr>
        <w:t>(</w:t>
      </w:r>
      <w:r w:rsidR="00226220">
        <w:rPr>
          <w:rFonts w:cs="Calibri"/>
          <w:color w:val="000000"/>
          <w:szCs w:val="22"/>
          <w:lang w:val="en-GB"/>
        </w:rPr>
        <w:t>sisari, gmizavci,</w:t>
      </w:r>
      <w:r w:rsidR="00613105" w:rsidRPr="00613105">
        <w:rPr>
          <w:rFonts w:cs="Calibri"/>
          <w:color w:val="000000"/>
          <w:szCs w:val="22"/>
          <w:lang w:val="en-GB"/>
        </w:rPr>
        <w:t xml:space="preserve"> pt</w:t>
      </w:r>
      <w:r w:rsidR="00613105">
        <w:rPr>
          <w:rFonts w:cs="Calibri"/>
          <w:color w:val="000000"/>
          <w:szCs w:val="22"/>
          <w:lang w:val="en-GB"/>
        </w:rPr>
        <w:t>ice, ribe, pelagična i bentos</w:t>
      </w:r>
      <w:r w:rsidR="00613105" w:rsidRPr="00613105">
        <w:rPr>
          <w:rFonts w:cs="Calibri"/>
          <w:color w:val="000000"/>
          <w:szCs w:val="22"/>
          <w:lang w:val="en-GB"/>
        </w:rPr>
        <w:t>ka staništa)</w:t>
      </w:r>
    </w:p>
    <w:p w14:paraId="44AE0989" w14:textId="49C1CFBD" w:rsidR="005E12BB" w:rsidRPr="00613105" w:rsidRDefault="005E12BB" w:rsidP="00C52E6F">
      <w:pPr>
        <w:numPr>
          <w:ilvl w:val="0"/>
          <w:numId w:val="45"/>
        </w:numPr>
        <w:autoSpaceDE w:val="0"/>
        <w:autoSpaceDN w:val="0"/>
        <w:adjustRightInd w:val="0"/>
        <w:spacing w:before="0" w:after="0"/>
        <w:contextualSpacing/>
        <w:jc w:val="left"/>
        <w:rPr>
          <w:rFonts w:cs="Calibri"/>
          <w:color w:val="000000"/>
          <w:szCs w:val="22"/>
          <w:lang w:val="sq-AL"/>
        </w:rPr>
      </w:pPr>
      <w:r w:rsidRPr="00613105">
        <w:rPr>
          <w:rFonts w:cs="Calibri"/>
          <w:color w:val="000000"/>
          <w:szCs w:val="22"/>
          <w:lang w:val="sq-AL"/>
        </w:rPr>
        <w:t>D</w:t>
      </w:r>
      <w:r w:rsidR="001A21CA">
        <w:rPr>
          <w:rFonts w:cs="Calibri"/>
          <w:color w:val="000000"/>
          <w:szCs w:val="22"/>
          <w:lang w:val="sq-AL"/>
        </w:rPr>
        <w:t xml:space="preserve">eskriptor </w:t>
      </w:r>
      <w:r w:rsidRPr="00613105">
        <w:rPr>
          <w:rFonts w:cs="Calibri"/>
          <w:color w:val="000000"/>
          <w:szCs w:val="22"/>
          <w:lang w:val="sq-AL"/>
        </w:rPr>
        <w:t>2</w:t>
      </w:r>
      <w:r w:rsidR="001A21CA">
        <w:rPr>
          <w:rFonts w:cs="Calibri"/>
          <w:color w:val="000000"/>
          <w:szCs w:val="22"/>
          <w:lang w:val="sq-AL"/>
        </w:rPr>
        <w:t xml:space="preserve"> (D2) </w:t>
      </w:r>
      <w:r w:rsidRPr="00613105">
        <w:rPr>
          <w:rFonts w:cs="Calibri"/>
          <w:color w:val="000000"/>
          <w:szCs w:val="22"/>
          <w:lang w:val="sq-AL"/>
        </w:rPr>
        <w:t>- Strane vrste</w:t>
      </w:r>
    </w:p>
    <w:p w14:paraId="63B0B6CB" w14:textId="0592E390" w:rsidR="005E12BB" w:rsidRPr="00D61B02" w:rsidRDefault="001A21CA" w:rsidP="00C52E6F">
      <w:pPr>
        <w:numPr>
          <w:ilvl w:val="0"/>
          <w:numId w:val="45"/>
        </w:numPr>
        <w:autoSpaceDE w:val="0"/>
        <w:autoSpaceDN w:val="0"/>
        <w:adjustRightInd w:val="0"/>
        <w:spacing w:before="0" w:after="0"/>
        <w:contextualSpacing/>
        <w:jc w:val="left"/>
        <w:rPr>
          <w:rFonts w:cs="Calibri"/>
          <w:color w:val="000000"/>
          <w:szCs w:val="22"/>
          <w:lang w:val="sq-AL"/>
        </w:rPr>
      </w:pPr>
      <w:r>
        <w:rPr>
          <w:rFonts w:cs="Calibri"/>
          <w:color w:val="000000"/>
          <w:szCs w:val="22"/>
          <w:lang w:val="sq-AL"/>
        </w:rPr>
        <w:t>Deskriptor 3 (</w:t>
      </w:r>
      <w:r w:rsidR="005E12BB" w:rsidRPr="00D61B02">
        <w:rPr>
          <w:rFonts w:cs="Calibri"/>
          <w:color w:val="000000"/>
          <w:szCs w:val="22"/>
          <w:lang w:val="sq-AL"/>
        </w:rPr>
        <w:t>D3</w:t>
      </w:r>
      <w:r>
        <w:rPr>
          <w:rFonts w:cs="Calibri"/>
          <w:color w:val="000000"/>
          <w:szCs w:val="22"/>
          <w:lang w:val="sq-AL"/>
        </w:rPr>
        <w:t xml:space="preserve">) </w:t>
      </w:r>
      <w:r w:rsidR="005E12BB" w:rsidRPr="00D61B02">
        <w:rPr>
          <w:rFonts w:cs="Calibri"/>
          <w:color w:val="000000"/>
          <w:szCs w:val="22"/>
          <w:lang w:val="sq-AL"/>
        </w:rPr>
        <w:t>- Populacije svih komercijalno eksploatisanih riba</w:t>
      </w:r>
      <w:r w:rsidR="00D61B02" w:rsidRPr="00D61B02">
        <w:rPr>
          <w:rFonts w:cs="Calibri"/>
          <w:color w:val="000000"/>
          <w:szCs w:val="22"/>
          <w:lang w:val="sq-AL"/>
        </w:rPr>
        <w:t xml:space="preserve"> i rakova</w:t>
      </w:r>
    </w:p>
    <w:p w14:paraId="0D61646A" w14:textId="63D930BA" w:rsidR="005E12BB" w:rsidRPr="00FA2A2B" w:rsidRDefault="001A21CA" w:rsidP="00C52E6F">
      <w:pPr>
        <w:numPr>
          <w:ilvl w:val="0"/>
          <w:numId w:val="45"/>
        </w:numPr>
        <w:autoSpaceDE w:val="0"/>
        <w:autoSpaceDN w:val="0"/>
        <w:adjustRightInd w:val="0"/>
        <w:spacing w:before="0" w:after="0"/>
        <w:contextualSpacing/>
        <w:jc w:val="left"/>
        <w:rPr>
          <w:rFonts w:cs="Calibri"/>
          <w:color w:val="000000"/>
          <w:szCs w:val="22"/>
          <w:lang w:val="sq-AL"/>
        </w:rPr>
      </w:pPr>
      <w:r>
        <w:rPr>
          <w:rFonts w:cs="Calibri"/>
          <w:color w:val="000000"/>
          <w:szCs w:val="22"/>
          <w:lang w:val="sq-AL"/>
        </w:rPr>
        <w:t>Deskriptor 4 (</w:t>
      </w:r>
      <w:r w:rsidR="005E12BB" w:rsidRPr="00FA2A2B">
        <w:rPr>
          <w:rFonts w:cs="Calibri"/>
          <w:color w:val="000000"/>
          <w:szCs w:val="22"/>
          <w:lang w:val="sq-AL"/>
        </w:rPr>
        <w:t>D</w:t>
      </w:r>
      <w:r w:rsidR="005E12BB">
        <w:rPr>
          <w:rFonts w:cs="Calibri"/>
          <w:color w:val="000000"/>
          <w:szCs w:val="22"/>
          <w:lang w:val="sq-AL"/>
        </w:rPr>
        <w:t>4</w:t>
      </w:r>
      <w:r>
        <w:rPr>
          <w:rFonts w:cs="Calibri"/>
          <w:color w:val="000000"/>
          <w:szCs w:val="22"/>
          <w:lang w:val="sq-AL"/>
        </w:rPr>
        <w:t xml:space="preserve">) </w:t>
      </w:r>
      <w:r w:rsidR="005E12BB">
        <w:rPr>
          <w:rFonts w:cs="Calibri"/>
          <w:color w:val="000000"/>
          <w:szCs w:val="22"/>
          <w:lang w:val="sq-AL"/>
        </w:rPr>
        <w:t>- Prehramben</w:t>
      </w:r>
      <w:r w:rsidR="00A1681D">
        <w:rPr>
          <w:rFonts w:cs="Calibri"/>
          <w:color w:val="000000"/>
          <w:szCs w:val="22"/>
          <w:lang w:val="sq-AL"/>
        </w:rPr>
        <w:t>e</w:t>
      </w:r>
      <w:r w:rsidR="005E12BB">
        <w:rPr>
          <w:rFonts w:cs="Calibri"/>
          <w:color w:val="000000"/>
          <w:szCs w:val="22"/>
          <w:lang w:val="sq-AL"/>
        </w:rPr>
        <w:t xml:space="preserve"> mrež</w:t>
      </w:r>
      <w:r w:rsidR="00A1681D">
        <w:rPr>
          <w:rFonts w:cs="Calibri"/>
          <w:color w:val="000000"/>
          <w:szCs w:val="22"/>
          <w:lang w:val="sq-AL"/>
        </w:rPr>
        <w:t>e</w:t>
      </w:r>
    </w:p>
    <w:p w14:paraId="6C55E1BD" w14:textId="2ACFB5B6" w:rsidR="005E12BB" w:rsidRPr="00FA2A2B" w:rsidRDefault="005E12BB" w:rsidP="00C52E6F">
      <w:pPr>
        <w:numPr>
          <w:ilvl w:val="0"/>
          <w:numId w:val="45"/>
        </w:numPr>
        <w:autoSpaceDE w:val="0"/>
        <w:autoSpaceDN w:val="0"/>
        <w:adjustRightInd w:val="0"/>
        <w:spacing w:before="0" w:after="0"/>
        <w:contextualSpacing/>
        <w:jc w:val="left"/>
        <w:rPr>
          <w:rFonts w:cs="Calibri"/>
          <w:color w:val="000000"/>
          <w:szCs w:val="22"/>
          <w:lang w:val="sq-AL"/>
        </w:rPr>
      </w:pPr>
      <w:r w:rsidRPr="00FA2A2B">
        <w:rPr>
          <w:rFonts w:cs="Calibri"/>
          <w:color w:val="000000"/>
          <w:szCs w:val="22"/>
          <w:lang w:val="sq-AL"/>
        </w:rPr>
        <w:t>D</w:t>
      </w:r>
      <w:r w:rsidR="001A21CA">
        <w:rPr>
          <w:rFonts w:cs="Calibri"/>
          <w:color w:val="000000"/>
          <w:szCs w:val="22"/>
          <w:lang w:val="sq-AL"/>
        </w:rPr>
        <w:t xml:space="preserve">eskriptor </w:t>
      </w:r>
      <w:r w:rsidRPr="00FA2A2B">
        <w:rPr>
          <w:rFonts w:cs="Calibri"/>
          <w:color w:val="000000"/>
          <w:szCs w:val="22"/>
          <w:lang w:val="sq-AL"/>
        </w:rPr>
        <w:t>5</w:t>
      </w:r>
      <w:r w:rsidR="001A21CA">
        <w:rPr>
          <w:rFonts w:cs="Calibri"/>
          <w:color w:val="000000"/>
          <w:szCs w:val="22"/>
          <w:lang w:val="sq-AL"/>
        </w:rPr>
        <w:t xml:space="preserve"> (D5) </w:t>
      </w:r>
      <w:r>
        <w:rPr>
          <w:rFonts w:cs="Calibri"/>
          <w:color w:val="000000"/>
          <w:szCs w:val="22"/>
          <w:lang w:val="sq-AL"/>
        </w:rPr>
        <w:t>-</w:t>
      </w:r>
      <w:r w:rsidRPr="00FA2A2B">
        <w:rPr>
          <w:rFonts w:cs="Calibri"/>
          <w:color w:val="000000"/>
          <w:szCs w:val="22"/>
          <w:lang w:val="sq-AL"/>
        </w:rPr>
        <w:t xml:space="preserve"> Eutrofikacija</w:t>
      </w:r>
    </w:p>
    <w:p w14:paraId="35C20872" w14:textId="3AD6AE8A" w:rsidR="005E12BB" w:rsidRPr="00FA2A2B" w:rsidRDefault="005E12BB" w:rsidP="00C52E6F">
      <w:pPr>
        <w:numPr>
          <w:ilvl w:val="0"/>
          <w:numId w:val="45"/>
        </w:numPr>
        <w:autoSpaceDE w:val="0"/>
        <w:autoSpaceDN w:val="0"/>
        <w:adjustRightInd w:val="0"/>
        <w:spacing w:before="0" w:after="0"/>
        <w:contextualSpacing/>
        <w:jc w:val="left"/>
        <w:rPr>
          <w:rFonts w:cs="Calibri"/>
          <w:color w:val="000000"/>
          <w:szCs w:val="22"/>
          <w:lang w:val="sq-AL"/>
        </w:rPr>
      </w:pPr>
      <w:r w:rsidRPr="00FA2A2B">
        <w:rPr>
          <w:rFonts w:cs="Calibri"/>
          <w:color w:val="000000"/>
          <w:szCs w:val="22"/>
          <w:lang w:val="sq-AL"/>
        </w:rPr>
        <w:t>D</w:t>
      </w:r>
      <w:r w:rsidR="001A21CA">
        <w:rPr>
          <w:rFonts w:cs="Calibri"/>
          <w:color w:val="000000"/>
          <w:szCs w:val="22"/>
          <w:lang w:val="sq-AL"/>
        </w:rPr>
        <w:t xml:space="preserve">eskriptor </w:t>
      </w:r>
      <w:r w:rsidRPr="00FA2A2B">
        <w:rPr>
          <w:rFonts w:cs="Calibri"/>
          <w:color w:val="000000"/>
          <w:szCs w:val="22"/>
          <w:lang w:val="sq-AL"/>
        </w:rPr>
        <w:t xml:space="preserve">6 </w:t>
      </w:r>
      <w:r w:rsidR="001A21CA">
        <w:rPr>
          <w:rFonts w:cs="Calibri"/>
          <w:color w:val="000000"/>
          <w:szCs w:val="22"/>
          <w:lang w:val="sq-AL"/>
        </w:rPr>
        <w:t xml:space="preserve">(D6) </w:t>
      </w:r>
      <w:r>
        <w:rPr>
          <w:rFonts w:cs="Calibri"/>
          <w:color w:val="000000"/>
          <w:szCs w:val="22"/>
          <w:lang w:val="sq-AL"/>
        </w:rPr>
        <w:t>-</w:t>
      </w:r>
      <w:r w:rsidR="001A21CA">
        <w:rPr>
          <w:rFonts w:cs="Calibri"/>
          <w:color w:val="000000"/>
          <w:szCs w:val="22"/>
          <w:lang w:val="sq-AL"/>
        </w:rPr>
        <w:t xml:space="preserve"> </w:t>
      </w:r>
      <w:r w:rsidRPr="00FA2A2B">
        <w:rPr>
          <w:rFonts w:cs="Calibri"/>
          <w:color w:val="000000"/>
          <w:szCs w:val="22"/>
          <w:lang w:val="sq-AL"/>
        </w:rPr>
        <w:t>Integritet morskog dna</w:t>
      </w:r>
      <w:r w:rsidR="00613105">
        <w:rPr>
          <w:rFonts w:cs="Calibri"/>
          <w:color w:val="000000"/>
          <w:szCs w:val="22"/>
          <w:lang w:val="sq-AL"/>
        </w:rPr>
        <w:t xml:space="preserve"> </w:t>
      </w:r>
      <w:r w:rsidR="00613105" w:rsidRPr="00613105">
        <w:rPr>
          <w:rFonts w:cs="Calibri"/>
          <w:color w:val="000000"/>
          <w:szCs w:val="22"/>
          <w:lang w:val="en-GB"/>
        </w:rPr>
        <w:t>(pelagična staništa i bento</w:t>
      </w:r>
      <w:r w:rsidR="00613105">
        <w:rPr>
          <w:rFonts w:cs="Calibri"/>
          <w:color w:val="000000"/>
          <w:szCs w:val="22"/>
          <w:lang w:val="en-GB"/>
        </w:rPr>
        <w:t>s</w:t>
      </w:r>
      <w:r w:rsidR="00613105" w:rsidRPr="00613105">
        <w:rPr>
          <w:rFonts w:cs="Calibri"/>
          <w:color w:val="000000"/>
          <w:szCs w:val="22"/>
          <w:lang w:val="en-GB"/>
        </w:rPr>
        <w:t>ka staništa)</w:t>
      </w:r>
    </w:p>
    <w:p w14:paraId="6FCACFC2" w14:textId="58F2C816" w:rsidR="005E12BB" w:rsidRPr="00FA2A2B" w:rsidRDefault="005E12BB" w:rsidP="00C52E6F">
      <w:pPr>
        <w:numPr>
          <w:ilvl w:val="0"/>
          <w:numId w:val="45"/>
        </w:numPr>
        <w:autoSpaceDE w:val="0"/>
        <w:autoSpaceDN w:val="0"/>
        <w:adjustRightInd w:val="0"/>
        <w:spacing w:before="0" w:after="0"/>
        <w:contextualSpacing/>
        <w:jc w:val="left"/>
        <w:rPr>
          <w:rFonts w:cs="Calibri"/>
          <w:color w:val="000000"/>
          <w:szCs w:val="22"/>
          <w:lang w:val="sq-AL"/>
        </w:rPr>
      </w:pPr>
      <w:r w:rsidRPr="00FA2A2B">
        <w:rPr>
          <w:rFonts w:cs="Calibri"/>
          <w:color w:val="000000"/>
          <w:szCs w:val="22"/>
          <w:lang w:val="sq-AL"/>
        </w:rPr>
        <w:t>D</w:t>
      </w:r>
      <w:r w:rsidR="001A21CA">
        <w:rPr>
          <w:rFonts w:cs="Calibri"/>
          <w:color w:val="000000"/>
          <w:szCs w:val="22"/>
          <w:lang w:val="sq-AL"/>
        </w:rPr>
        <w:t xml:space="preserve">eskriptor </w:t>
      </w:r>
      <w:r w:rsidRPr="00FA2A2B">
        <w:rPr>
          <w:rFonts w:cs="Calibri"/>
          <w:color w:val="000000"/>
          <w:szCs w:val="22"/>
          <w:lang w:val="sq-AL"/>
        </w:rPr>
        <w:t xml:space="preserve">7 </w:t>
      </w:r>
      <w:r w:rsidR="001A21CA">
        <w:rPr>
          <w:rFonts w:cs="Calibri"/>
          <w:color w:val="000000"/>
          <w:szCs w:val="22"/>
          <w:lang w:val="sq-AL"/>
        </w:rPr>
        <w:t xml:space="preserve">(D7) </w:t>
      </w:r>
      <w:r>
        <w:rPr>
          <w:rFonts w:cs="Calibri"/>
          <w:color w:val="000000"/>
          <w:szCs w:val="22"/>
          <w:lang w:val="sq-AL"/>
        </w:rPr>
        <w:t>-</w:t>
      </w:r>
      <w:r w:rsidR="001A21CA">
        <w:rPr>
          <w:rFonts w:cs="Calibri"/>
          <w:color w:val="000000"/>
          <w:szCs w:val="22"/>
          <w:lang w:val="sq-AL"/>
        </w:rPr>
        <w:t xml:space="preserve"> </w:t>
      </w:r>
      <w:r>
        <w:rPr>
          <w:rFonts w:cs="Calibri"/>
          <w:color w:val="000000"/>
          <w:szCs w:val="22"/>
          <w:lang w:val="sq-AL"/>
        </w:rPr>
        <w:t>Hidrografski</w:t>
      </w:r>
      <w:r w:rsidRPr="00FA2A2B">
        <w:rPr>
          <w:rFonts w:cs="Calibri"/>
          <w:color w:val="000000"/>
          <w:szCs w:val="22"/>
          <w:lang w:val="sq-AL"/>
        </w:rPr>
        <w:t xml:space="preserve"> uslov</w:t>
      </w:r>
      <w:r>
        <w:rPr>
          <w:rFonts w:cs="Calibri"/>
          <w:color w:val="000000"/>
          <w:szCs w:val="22"/>
          <w:lang w:val="sq-AL"/>
        </w:rPr>
        <w:t>i</w:t>
      </w:r>
    </w:p>
    <w:p w14:paraId="52913738" w14:textId="2198F4C8" w:rsidR="005E12BB" w:rsidRPr="00593FD6" w:rsidRDefault="005E12BB" w:rsidP="00C52E6F">
      <w:pPr>
        <w:numPr>
          <w:ilvl w:val="0"/>
          <w:numId w:val="45"/>
        </w:numPr>
        <w:autoSpaceDE w:val="0"/>
        <w:autoSpaceDN w:val="0"/>
        <w:adjustRightInd w:val="0"/>
        <w:spacing w:before="0" w:after="0"/>
        <w:contextualSpacing/>
        <w:jc w:val="left"/>
        <w:rPr>
          <w:rFonts w:cs="Calibri"/>
          <w:color w:val="000000"/>
          <w:szCs w:val="22"/>
          <w:lang w:val="sq-AL"/>
        </w:rPr>
      </w:pPr>
      <w:r w:rsidRPr="00593FD6">
        <w:rPr>
          <w:rFonts w:cs="Calibri"/>
          <w:color w:val="000000"/>
          <w:szCs w:val="22"/>
          <w:lang w:val="sq-AL"/>
        </w:rPr>
        <w:t>D</w:t>
      </w:r>
      <w:r w:rsidR="001A21CA">
        <w:rPr>
          <w:rFonts w:cs="Calibri"/>
          <w:color w:val="000000"/>
          <w:szCs w:val="22"/>
          <w:lang w:val="sq-AL"/>
        </w:rPr>
        <w:t xml:space="preserve">eskrptor </w:t>
      </w:r>
      <w:r w:rsidRPr="00593FD6">
        <w:rPr>
          <w:rFonts w:cs="Calibri"/>
          <w:color w:val="000000"/>
          <w:szCs w:val="22"/>
          <w:lang w:val="sq-AL"/>
        </w:rPr>
        <w:t xml:space="preserve">8 </w:t>
      </w:r>
      <w:r w:rsidR="001A21CA">
        <w:rPr>
          <w:rFonts w:cs="Calibri"/>
          <w:color w:val="000000"/>
          <w:szCs w:val="22"/>
          <w:lang w:val="sq-AL"/>
        </w:rPr>
        <w:t xml:space="preserve">(D8) </w:t>
      </w:r>
      <w:r w:rsidRPr="00593FD6">
        <w:rPr>
          <w:rFonts w:cs="Calibri"/>
          <w:color w:val="000000"/>
          <w:szCs w:val="22"/>
          <w:lang w:val="sq-AL"/>
        </w:rPr>
        <w:t xml:space="preserve">- </w:t>
      </w:r>
      <w:r w:rsidR="001A21CA">
        <w:rPr>
          <w:rFonts w:cs="Calibri"/>
          <w:color w:val="000000"/>
          <w:szCs w:val="22"/>
          <w:lang w:val="sq-AL"/>
        </w:rPr>
        <w:t xml:space="preserve"> </w:t>
      </w:r>
      <w:r w:rsidR="00A66C00" w:rsidRPr="00593FD6">
        <w:rPr>
          <w:rFonts w:cs="Calibri"/>
          <w:color w:val="000000"/>
          <w:szCs w:val="22"/>
          <w:lang w:val="sq-AL"/>
        </w:rPr>
        <w:t>Kontaminanti</w:t>
      </w:r>
    </w:p>
    <w:p w14:paraId="28002EFF" w14:textId="36BBB289" w:rsidR="005E12BB" w:rsidRPr="00593FD6" w:rsidRDefault="005E12BB" w:rsidP="00C52E6F">
      <w:pPr>
        <w:numPr>
          <w:ilvl w:val="0"/>
          <w:numId w:val="45"/>
        </w:numPr>
        <w:autoSpaceDE w:val="0"/>
        <w:autoSpaceDN w:val="0"/>
        <w:adjustRightInd w:val="0"/>
        <w:spacing w:before="0" w:after="0"/>
        <w:contextualSpacing/>
        <w:jc w:val="left"/>
        <w:rPr>
          <w:rFonts w:cs="Calibri"/>
          <w:color w:val="000000"/>
          <w:szCs w:val="22"/>
          <w:lang w:val="sq-AL"/>
        </w:rPr>
      </w:pPr>
      <w:r w:rsidRPr="00593FD6">
        <w:rPr>
          <w:rFonts w:cs="Calibri"/>
          <w:color w:val="000000"/>
          <w:szCs w:val="22"/>
          <w:lang w:val="sq-AL"/>
        </w:rPr>
        <w:t>D</w:t>
      </w:r>
      <w:r w:rsidR="001A21CA">
        <w:rPr>
          <w:rFonts w:cs="Calibri"/>
          <w:color w:val="000000"/>
          <w:szCs w:val="22"/>
          <w:lang w:val="sq-AL"/>
        </w:rPr>
        <w:t xml:space="preserve">eskriptor </w:t>
      </w:r>
      <w:r w:rsidRPr="00593FD6">
        <w:rPr>
          <w:rFonts w:cs="Calibri"/>
          <w:color w:val="000000"/>
          <w:szCs w:val="22"/>
          <w:lang w:val="sq-AL"/>
        </w:rPr>
        <w:t xml:space="preserve">9 </w:t>
      </w:r>
      <w:r w:rsidR="001A21CA">
        <w:rPr>
          <w:rFonts w:cs="Calibri"/>
          <w:color w:val="000000"/>
          <w:szCs w:val="22"/>
          <w:lang w:val="sq-AL"/>
        </w:rPr>
        <w:t xml:space="preserve">(D9) </w:t>
      </w:r>
      <w:r w:rsidRPr="00593FD6">
        <w:rPr>
          <w:rFonts w:cs="Calibri"/>
          <w:color w:val="000000"/>
          <w:szCs w:val="22"/>
          <w:lang w:val="sq-AL"/>
        </w:rPr>
        <w:t xml:space="preserve">- Kontaminanti u ribi i ostalim morskim </w:t>
      </w:r>
      <w:r w:rsidR="00A1681D">
        <w:rPr>
          <w:rFonts w:cs="Calibri"/>
          <w:color w:val="000000"/>
          <w:szCs w:val="22"/>
          <w:lang w:val="sq-AL"/>
        </w:rPr>
        <w:t xml:space="preserve">organizmima </w:t>
      </w:r>
      <w:r w:rsidRPr="00593FD6">
        <w:rPr>
          <w:rFonts w:cs="Calibri"/>
          <w:color w:val="000000"/>
          <w:szCs w:val="22"/>
          <w:lang w:val="sq-AL"/>
        </w:rPr>
        <w:t>za ljudsku ishranu</w:t>
      </w:r>
    </w:p>
    <w:p w14:paraId="2A17A356" w14:textId="230A0449" w:rsidR="005E12BB" w:rsidRPr="00FA2A2B" w:rsidRDefault="005E12BB" w:rsidP="00C52E6F">
      <w:pPr>
        <w:numPr>
          <w:ilvl w:val="0"/>
          <w:numId w:val="45"/>
        </w:numPr>
        <w:autoSpaceDE w:val="0"/>
        <w:autoSpaceDN w:val="0"/>
        <w:adjustRightInd w:val="0"/>
        <w:spacing w:before="0" w:after="0"/>
        <w:contextualSpacing/>
        <w:jc w:val="left"/>
        <w:rPr>
          <w:rFonts w:cs="Calibri"/>
          <w:color w:val="000000"/>
          <w:szCs w:val="22"/>
          <w:lang w:val="sq-AL"/>
        </w:rPr>
      </w:pPr>
      <w:r w:rsidRPr="00FA2A2B">
        <w:rPr>
          <w:rFonts w:cs="Calibri"/>
          <w:color w:val="000000"/>
          <w:szCs w:val="22"/>
          <w:lang w:val="sq-AL"/>
        </w:rPr>
        <w:t>D</w:t>
      </w:r>
      <w:r w:rsidR="001A21CA">
        <w:rPr>
          <w:rFonts w:cs="Calibri"/>
          <w:color w:val="000000"/>
          <w:szCs w:val="22"/>
          <w:lang w:val="sq-AL"/>
        </w:rPr>
        <w:t xml:space="preserve">eskriptor </w:t>
      </w:r>
      <w:r w:rsidRPr="00FA2A2B">
        <w:rPr>
          <w:rFonts w:cs="Calibri"/>
          <w:color w:val="000000"/>
          <w:szCs w:val="22"/>
          <w:lang w:val="sq-AL"/>
        </w:rPr>
        <w:t>10</w:t>
      </w:r>
      <w:r w:rsidR="001A21CA">
        <w:rPr>
          <w:rFonts w:cs="Calibri"/>
          <w:color w:val="000000"/>
          <w:szCs w:val="22"/>
          <w:lang w:val="sq-AL"/>
        </w:rPr>
        <w:t xml:space="preserve"> D10) </w:t>
      </w:r>
      <w:r>
        <w:rPr>
          <w:rFonts w:cs="Calibri"/>
          <w:color w:val="000000"/>
          <w:szCs w:val="22"/>
          <w:lang w:val="sq-AL"/>
        </w:rPr>
        <w:t>-</w:t>
      </w:r>
      <w:r w:rsidRPr="00FA2A2B">
        <w:rPr>
          <w:rFonts w:cs="Calibri"/>
          <w:color w:val="000000"/>
          <w:szCs w:val="22"/>
          <w:lang w:val="sq-AL"/>
        </w:rPr>
        <w:t xml:space="preserve"> Morski otpad</w:t>
      </w:r>
    </w:p>
    <w:p w14:paraId="67E1E4A5" w14:textId="582088DC" w:rsidR="005E12BB" w:rsidRPr="00FA2A2B" w:rsidRDefault="001A21CA" w:rsidP="00C52E6F">
      <w:pPr>
        <w:numPr>
          <w:ilvl w:val="0"/>
          <w:numId w:val="45"/>
        </w:numPr>
        <w:autoSpaceDE w:val="0"/>
        <w:autoSpaceDN w:val="0"/>
        <w:adjustRightInd w:val="0"/>
        <w:spacing w:before="0" w:after="0"/>
        <w:contextualSpacing/>
        <w:jc w:val="left"/>
        <w:rPr>
          <w:rFonts w:cs="Calibri"/>
          <w:color w:val="000000"/>
          <w:szCs w:val="22"/>
          <w:lang w:val="sq-AL"/>
        </w:rPr>
      </w:pPr>
      <w:r>
        <w:rPr>
          <w:rFonts w:cs="Calibri"/>
          <w:color w:val="000000"/>
          <w:szCs w:val="22"/>
          <w:lang w:val="sq-AL"/>
        </w:rPr>
        <w:t>Deskriptor 11 (</w:t>
      </w:r>
      <w:r w:rsidR="005E12BB" w:rsidRPr="00FA2A2B">
        <w:rPr>
          <w:rFonts w:cs="Calibri"/>
          <w:color w:val="000000"/>
          <w:szCs w:val="22"/>
          <w:lang w:val="sq-AL"/>
        </w:rPr>
        <w:t>D11</w:t>
      </w:r>
      <w:r>
        <w:rPr>
          <w:rFonts w:cs="Calibri"/>
          <w:color w:val="000000"/>
          <w:szCs w:val="22"/>
          <w:lang w:val="sq-AL"/>
        </w:rPr>
        <w:t xml:space="preserve">) </w:t>
      </w:r>
      <w:r w:rsidR="005E12BB">
        <w:rPr>
          <w:rFonts w:cs="Calibri"/>
          <w:color w:val="000000"/>
          <w:szCs w:val="22"/>
          <w:lang w:val="sq-AL"/>
        </w:rPr>
        <w:t>-</w:t>
      </w:r>
      <w:r>
        <w:rPr>
          <w:rFonts w:cs="Calibri"/>
          <w:color w:val="000000"/>
          <w:szCs w:val="22"/>
          <w:lang w:val="sq-AL"/>
        </w:rPr>
        <w:t xml:space="preserve"> </w:t>
      </w:r>
      <w:r w:rsidR="005E12BB" w:rsidRPr="00FA2A2B">
        <w:rPr>
          <w:rFonts w:cs="Calibri"/>
          <w:color w:val="000000"/>
          <w:szCs w:val="22"/>
          <w:lang w:val="sq-AL"/>
        </w:rPr>
        <w:t>Uvođenje energije, uključujući podvodnu buku</w:t>
      </w:r>
    </w:p>
    <w:p w14:paraId="565871C5" w14:textId="77777777" w:rsidR="00E20486" w:rsidRPr="001C6CCA" w:rsidRDefault="00E20486" w:rsidP="001B7328">
      <w:pPr>
        <w:autoSpaceDE w:val="0"/>
        <w:autoSpaceDN w:val="0"/>
        <w:adjustRightInd w:val="0"/>
        <w:spacing w:line="259" w:lineRule="auto"/>
        <w:contextualSpacing/>
        <w:jc w:val="left"/>
        <w:rPr>
          <w:rFonts w:cs="Calibri"/>
          <w:color w:val="000000"/>
          <w:szCs w:val="22"/>
          <w:lang w:val="en-GB"/>
        </w:rPr>
      </w:pPr>
    </w:p>
    <w:p w14:paraId="102918FB" w14:textId="07BE9EA5" w:rsidR="00D97080" w:rsidRDefault="00D97080" w:rsidP="00C8019E">
      <w:pPr>
        <w:autoSpaceDE w:val="0"/>
        <w:autoSpaceDN w:val="0"/>
        <w:adjustRightInd w:val="0"/>
        <w:spacing w:before="0" w:after="160"/>
        <w:rPr>
          <w:rFonts w:eastAsia="Calibri" w:cs="Calibri"/>
          <w:szCs w:val="22"/>
          <w:lang w:val="en-GB" w:eastAsia="en-US"/>
        </w:rPr>
      </w:pPr>
      <w:r w:rsidRPr="007320D0">
        <w:rPr>
          <w:rFonts w:eastAsia="Calibri" w:cs="Calibri"/>
          <w:szCs w:val="22"/>
          <w:lang w:val="en-GB" w:eastAsia="en-US"/>
        </w:rPr>
        <w:t xml:space="preserve">Pri opisivanju dobrog stanja </w:t>
      </w:r>
      <w:r w:rsidR="00421FD0">
        <w:rPr>
          <w:rFonts w:eastAsia="Calibri" w:cs="Calibri"/>
          <w:szCs w:val="22"/>
          <w:lang w:val="en-GB" w:eastAsia="en-US"/>
        </w:rPr>
        <w:t>morske</w:t>
      </w:r>
      <w:r w:rsidRPr="007320D0">
        <w:rPr>
          <w:rFonts w:eastAsia="Calibri" w:cs="Calibri"/>
          <w:szCs w:val="22"/>
          <w:lang w:val="en-GB" w:eastAsia="en-US"/>
        </w:rPr>
        <w:t xml:space="preserve"> sredine (član 9</w:t>
      </w:r>
      <w:r>
        <w:rPr>
          <w:rFonts w:eastAsia="Calibri" w:cs="Calibri"/>
          <w:szCs w:val="22"/>
          <w:lang w:val="en-GB" w:eastAsia="en-US"/>
        </w:rPr>
        <w:t xml:space="preserve"> ODMS</w:t>
      </w:r>
      <w:r w:rsidRPr="007320D0">
        <w:rPr>
          <w:rFonts w:eastAsia="Calibri" w:cs="Calibri"/>
          <w:szCs w:val="22"/>
          <w:lang w:val="en-GB" w:eastAsia="en-US"/>
        </w:rPr>
        <w:t>) korišćeni su kriterijumi iz Odluke Komisije (EU) 2017/848</w:t>
      </w:r>
      <w:r w:rsidRPr="001C6CCA">
        <w:rPr>
          <w:rFonts w:eastAsia="Calibri" w:cs="Calibri"/>
          <w:szCs w:val="22"/>
          <w:vertAlign w:val="superscript"/>
          <w:lang w:val="en-GB" w:eastAsia="en-US"/>
        </w:rPr>
        <w:footnoteReference w:id="2"/>
      </w:r>
      <w:r w:rsidRPr="001C6CCA">
        <w:rPr>
          <w:rFonts w:eastAsia="Calibri" w:cs="Calibri"/>
          <w:szCs w:val="22"/>
          <w:lang w:val="en-GB" w:eastAsia="en-US"/>
        </w:rPr>
        <w:t xml:space="preserve"> </w:t>
      </w:r>
      <w:r w:rsidRPr="007320D0">
        <w:rPr>
          <w:rFonts w:eastAsia="Calibri" w:cs="Calibri"/>
          <w:szCs w:val="22"/>
          <w:lang w:val="en-GB" w:eastAsia="en-US"/>
        </w:rPr>
        <w:t xml:space="preserve"> (član 9 (3) </w:t>
      </w:r>
      <w:r>
        <w:rPr>
          <w:rFonts w:eastAsia="Calibri" w:cs="Calibri"/>
          <w:szCs w:val="22"/>
          <w:lang w:val="en-GB" w:eastAsia="en-US"/>
        </w:rPr>
        <w:t>ODMS</w:t>
      </w:r>
      <w:r w:rsidRPr="007320D0">
        <w:rPr>
          <w:rFonts w:eastAsia="Calibri" w:cs="Calibri"/>
          <w:szCs w:val="22"/>
          <w:lang w:val="en-GB" w:eastAsia="en-US"/>
        </w:rPr>
        <w:t>). Za sv</w:t>
      </w:r>
      <w:r w:rsidR="00421FD0">
        <w:rPr>
          <w:rFonts w:eastAsia="Calibri" w:cs="Calibri"/>
          <w:szCs w:val="22"/>
          <w:lang w:val="en-GB" w:eastAsia="en-US"/>
        </w:rPr>
        <w:t>aki</w:t>
      </w:r>
      <w:r>
        <w:rPr>
          <w:rFonts w:eastAsia="Calibri" w:cs="Calibri"/>
          <w:szCs w:val="22"/>
          <w:lang w:val="en-GB" w:eastAsia="en-US"/>
        </w:rPr>
        <w:t xml:space="preserve"> deskriptor</w:t>
      </w:r>
      <w:r w:rsidRPr="007320D0">
        <w:rPr>
          <w:rFonts w:eastAsia="Calibri" w:cs="Calibri"/>
          <w:szCs w:val="22"/>
          <w:lang w:val="en-GB" w:eastAsia="en-US"/>
        </w:rPr>
        <w:t xml:space="preserve">, </w:t>
      </w:r>
      <w:r>
        <w:rPr>
          <w:rFonts w:eastAsia="Calibri" w:cs="Calibri"/>
          <w:szCs w:val="22"/>
          <w:lang w:val="en-GB" w:eastAsia="en-US"/>
        </w:rPr>
        <w:t xml:space="preserve">u </w:t>
      </w:r>
      <w:r w:rsidRPr="007320D0">
        <w:rPr>
          <w:rFonts w:eastAsia="Calibri" w:cs="Calibri"/>
          <w:szCs w:val="22"/>
          <w:lang w:val="en-GB" w:eastAsia="en-US"/>
        </w:rPr>
        <w:t>Odlu</w:t>
      </w:r>
      <w:r>
        <w:rPr>
          <w:rFonts w:eastAsia="Calibri" w:cs="Calibri"/>
          <w:szCs w:val="22"/>
          <w:lang w:val="en-GB" w:eastAsia="en-US"/>
        </w:rPr>
        <w:t>ci</w:t>
      </w:r>
      <w:r w:rsidRPr="007320D0">
        <w:rPr>
          <w:rFonts w:eastAsia="Calibri" w:cs="Calibri"/>
          <w:szCs w:val="22"/>
          <w:lang w:val="en-GB" w:eastAsia="en-US"/>
        </w:rPr>
        <w:t xml:space="preserve"> Komisije da</w:t>
      </w:r>
      <w:r>
        <w:rPr>
          <w:rFonts w:eastAsia="Calibri" w:cs="Calibri"/>
          <w:szCs w:val="22"/>
          <w:lang w:val="en-GB" w:eastAsia="en-US"/>
        </w:rPr>
        <w:t xml:space="preserve">te su </w:t>
      </w:r>
      <w:r w:rsidRPr="007320D0">
        <w:rPr>
          <w:rFonts w:eastAsia="Calibri" w:cs="Calibri"/>
          <w:szCs w:val="22"/>
          <w:lang w:val="en-GB" w:eastAsia="en-US"/>
        </w:rPr>
        <w:t>sugestije za dalju razradu ukupno 42 kriterijuma za proc</w:t>
      </w:r>
      <w:r>
        <w:rPr>
          <w:rFonts w:eastAsia="Calibri" w:cs="Calibri"/>
          <w:szCs w:val="22"/>
          <w:lang w:val="en-GB" w:eastAsia="en-US"/>
        </w:rPr>
        <w:t>j</w:t>
      </w:r>
      <w:r w:rsidRPr="007320D0">
        <w:rPr>
          <w:rFonts w:eastAsia="Calibri" w:cs="Calibri"/>
          <w:szCs w:val="22"/>
          <w:lang w:val="en-GB" w:eastAsia="en-US"/>
        </w:rPr>
        <w:t xml:space="preserve">enu stepena postizanja dobrog stanja </w:t>
      </w:r>
      <w:r w:rsidR="00421FD0">
        <w:rPr>
          <w:rFonts w:eastAsia="Calibri" w:cs="Calibri"/>
          <w:szCs w:val="22"/>
          <w:lang w:val="en-GB" w:eastAsia="en-US"/>
        </w:rPr>
        <w:t>morske</w:t>
      </w:r>
      <w:r w:rsidRPr="007320D0">
        <w:rPr>
          <w:rFonts w:eastAsia="Calibri" w:cs="Calibri"/>
          <w:szCs w:val="22"/>
          <w:lang w:val="en-GB" w:eastAsia="en-US"/>
        </w:rPr>
        <w:t xml:space="preserve"> sredine. Opisi dobrog stanja </w:t>
      </w:r>
      <w:r w:rsidR="00421FD0">
        <w:rPr>
          <w:rFonts w:eastAsia="Calibri" w:cs="Calibri"/>
          <w:szCs w:val="22"/>
          <w:lang w:val="en-GB" w:eastAsia="en-US"/>
        </w:rPr>
        <w:t>morske</w:t>
      </w:r>
      <w:r w:rsidRPr="007320D0">
        <w:rPr>
          <w:rFonts w:eastAsia="Calibri" w:cs="Calibri"/>
          <w:szCs w:val="22"/>
          <w:lang w:val="en-GB" w:eastAsia="en-US"/>
        </w:rPr>
        <w:t xml:space="preserve"> sredine </w:t>
      </w:r>
      <w:r w:rsidR="00EE78C9">
        <w:rPr>
          <w:rFonts w:eastAsia="Calibri" w:cs="Calibri"/>
          <w:szCs w:val="22"/>
          <w:lang w:val="en-GB" w:eastAsia="en-US"/>
        </w:rPr>
        <w:t xml:space="preserve">Crne Gore (u daljem tekst CG) </w:t>
      </w:r>
      <w:r>
        <w:rPr>
          <w:rFonts w:eastAsia="Calibri" w:cs="Calibri"/>
          <w:szCs w:val="22"/>
          <w:lang w:val="en-GB" w:eastAsia="en-US"/>
        </w:rPr>
        <w:t>koncipirani</w:t>
      </w:r>
      <w:r w:rsidRPr="007320D0">
        <w:rPr>
          <w:rFonts w:eastAsia="Calibri" w:cs="Calibri"/>
          <w:szCs w:val="22"/>
          <w:lang w:val="en-GB" w:eastAsia="en-US"/>
        </w:rPr>
        <w:t xml:space="preserve"> su na osnovu ovih kriterijuma, sa fokusom na situaciju u crnogorskom dijelu Jadranskog mora.</w:t>
      </w:r>
    </w:p>
    <w:p w14:paraId="12808435" w14:textId="59BD12E0" w:rsidR="00D97080" w:rsidRPr="00D97080" w:rsidRDefault="00D97080" w:rsidP="00D97080">
      <w:pPr>
        <w:autoSpaceDE w:val="0"/>
        <w:autoSpaceDN w:val="0"/>
        <w:adjustRightInd w:val="0"/>
        <w:spacing w:before="0" w:after="160"/>
        <w:rPr>
          <w:rFonts w:eastAsiaTheme="minorHAnsi" w:cs="Calibri"/>
          <w:szCs w:val="22"/>
          <w:lang w:val="en-GB" w:eastAsia="en-US"/>
        </w:rPr>
      </w:pPr>
      <w:r w:rsidRPr="00126742">
        <w:rPr>
          <w:rFonts w:eastAsia="Calibri" w:cs="Calibri"/>
          <w:color w:val="000000"/>
          <w:szCs w:val="22"/>
          <w:lang w:val="en-GB" w:eastAsia="en-US"/>
        </w:rPr>
        <w:lastRenderedPageBreak/>
        <w:t>Utvrđivanje GES</w:t>
      </w:r>
      <w:r w:rsidR="00EE78C9">
        <w:rPr>
          <w:rFonts w:eastAsia="Calibri" w:cs="Calibri"/>
          <w:color w:val="000000"/>
          <w:szCs w:val="22"/>
          <w:lang w:val="en-GB" w:eastAsia="en-US"/>
        </w:rPr>
        <w:t xml:space="preserve">-a </w:t>
      </w:r>
      <w:r w:rsidRPr="00126742">
        <w:rPr>
          <w:rFonts w:eastAsia="Calibri" w:cs="Calibri"/>
          <w:color w:val="000000"/>
          <w:szCs w:val="22"/>
          <w:lang w:val="en-GB" w:eastAsia="en-US"/>
        </w:rPr>
        <w:t>zaht</w:t>
      </w:r>
      <w:r>
        <w:rPr>
          <w:rFonts w:eastAsia="Calibri" w:cs="Calibri"/>
          <w:color w:val="000000"/>
          <w:szCs w:val="22"/>
          <w:lang w:val="en-GB" w:eastAsia="en-US"/>
        </w:rPr>
        <w:t>ij</w:t>
      </w:r>
      <w:r w:rsidRPr="00126742">
        <w:rPr>
          <w:rFonts w:eastAsia="Calibri" w:cs="Calibri"/>
          <w:color w:val="000000"/>
          <w:szCs w:val="22"/>
          <w:lang w:val="en-GB" w:eastAsia="en-US"/>
        </w:rPr>
        <w:t>eva dobro razum</w:t>
      </w:r>
      <w:r>
        <w:rPr>
          <w:rFonts w:eastAsia="Calibri" w:cs="Calibri"/>
          <w:color w:val="000000"/>
          <w:szCs w:val="22"/>
          <w:lang w:val="en-GB" w:eastAsia="en-US"/>
        </w:rPr>
        <w:t>ij</w:t>
      </w:r>
      <w:r w:rsidRPr="00126742">
        <w:rPr>
          <w:rFonts w:eastAsia="Calibri" w:cs="Calibri"/>
          <w:color w:val="000000"/>
          <w:szCs w:val="22"/>
          <w:lang w:val="en-GB" w:eastAsia="en-US"/>
        </w:rPr>
        <w:t xml:space="preserve">evanje </w:t>
      </w:r>
      <w:r>
        <w:rPr>
          <w:rFonts w:eastAsia="Calibri" w:cs="Calibri"/>
          <w:color w:val="000000"/>
          <w:szCs w:val="22"/>
          <w:lang w:val="en-GB" w:eastAsia="en-US"/>
        </w:rPr>
        <w:t>postojećeg</w:t>
      </w:r>
      <w:r w:rsidRPr="00126742">
        <w:rPr>
          <w:rFonts w:eastAsia="Calibri" w:cs="Calibri"/>
          <w:color w:val="000000"/>
          <w:szCs w:val="22"/>
          <w:lang w:val="en-GB" w:eastAsia="en-US"/>
        </w:rPr>
        <w:t xml:space="preserve"> stanja morsk</w:t>
      </w:r>
      <w:r>
        <w:rPr>
          <w:rFonts w:eastAsia="Calibri" w:cs="Calibri"/>
          <w:color w:val="000000"/>
          <w:szCs w:val="22"/>
          <w:lang w:val="en-GB" w:eastAsia="en-US"/>
        </w:rPr>
        <w:t>e sredine</w:t>
      </w:r>
      <w:r w:rsidRPr="00126742">
        <w:rPr>
          <w:rFonts w:eastAsia="Calibri" w:cs="Calibri"/>
          <w:color w:val="000000"/>
          <w:szCs w:val="22"/>
          <w:lang w:val="en-GB" w:eastAsia="en-US"/>
        </w:rPr>
        <w:t xml:space="preserve"> i odnosa između prirodnih i antropogenih pritisaka s jedne strane i stanja </w:t>
      </w:r>
      <w:r w:rsidR="00EE78C9">
        <w:rPr>
          <w:rFonts w:eastAsia="Calibri" w:cs="Calibri"/>
          <w:color w:val="000000"/>
          <w:szCs w:val="22"/>
          <w:lang w:val="en-GB" w:eastAsia="en-US"/>
        </w:rPr>
        <w:t xml:space="preserve">morske </w:t>
      </w:r>
      <w:r w:rsidRPr="00126742">
        <w:rPr>
          <w:rFonts w:eastAsia="Calibri" w:cs="Calibri"/>
          <w:color w:val="000000"/>
          <w:szCs w:val="22"/>
          <w:lang w:val="en-GB" w:eastAsia="en-US"/>
        </w:rPr>
        <w:t xml:space="preserve">sredine s druge strane. GES obično nije isto što i stanje bez </w:t>
      </w:r>
      <w:r w:rsidR="000408E4">
        <w:rPr>
          <w:rFonts w:eastAsia="Calibri" w:cs="Calibri"/>
          <w:color w:val="000000"/>
          <w:szCs w:val="22"/>
          <w:lang w:val="en-GB" w:eastAsia="en-US"/>
        </w:rPr>
        <w:t xml:space="preserve">pritisaka </w:t>
      </w:r>
      <w:r w:rsidR="00B34BBE">
        <w:rPr>
          <w:rFonts w:eastAsia="Calibri" w:cs="Calibri"/>
          <w:color w:val="000000"/>
          <w:szCs w:val="22"/>
          <w:lang w:val="en-GB" w:eastAsia="en-US"/>
        </w:rPr>
        <w:t>i</w:t>
      </w:r>
      <w:r w:rsidR="000408E4">
        <w:rPr>
          <w:rFonts w:eastAsia="Calibri" w:cs="Calibri"/>
          <w:color w:val="000000"/>
          <w:szCs w:val="22"/>
          <w:lang w:val="en-GB" w:eastAsia="en-US"/>
        </w:rPr>
        <w:t xml:space="preserve"> </w:t>
      </w:r>
      <w:r w:rsidRPr="00126742">
        <w:rPr>
          <w:rFonts w:eastAsia="Calibri" w:cs="Calibri"/>
          <w:color w:val="000000"/>
          <w:szCs w:val="22"/>
          <w:lang w:val="en-GB" w:eastAsia="en-US"/>
        </w:rPr>
        <w:t xml:space="preserve">uticaja, </w:t>
      </w:r>
      <w:r w:rsidR="000408E4">
        <w:rPr>
          <w:rFonts w:eastAsia="Calibri" w:cs="Calibri"/>
          <w:color w:val="000000"/>
          <w:szCs w:val="22"/>
          <w:lang w:val="en-GB" w:eastAsia="en-US"/>
        </w:rPr>
        <w:t>nego</w:t>
      </w:r>
      <w:r w:rsidRPr="00126742">
        <w:rPr>
          <w:rFonts w:eastAsia="Calibri" w:cs="Calibri"/>
          <w:color w:val="000000"/>
          <w:szCs w:val="22"/>
          <w:lang w:val="en-GB" w:eastAsia="en-US"/>
        </w:rPr>
        <w:t xml:space="preserve"> predstavlja situaciju kada je ljudska aktivnost na održivom nivou. U slučajevima kada ljudske aktivnosti prelaze prihvatljivi nivo, dolazi do odstupanja </w:t>
      </w:r>
      <w:r>
        <w:rPr>
          <w:rFonts w:eastAsia="Calibri" w:cs="Calibri"/>
          <w:color w:val="000000"/>
          <w:szCs w:val="22"/>
          <w:lang w:val="en-GB" w:eastAsia="en-US"/>
        </w:rPr>
        <w:t xml:space="preserve">postojećeg </w:t>
      </w:r>
      <w:r w:rsidRPr="00126742">
        <w:rPr>
          <w:rFonts w:eastAsia="Calibri" w:cs="Calibri"/>
          <w:color w:val="000000"/>
          <w:szCs w:val="22"/>
          <w:lang w:val="en-GB" w:eastAsia="en-US"/>
        </w:rPr>
        <w:t>od željenog stanja (GES) usl</w:t>
      </w:r>
      <w:r>
        <w:rPr>
          <w:rFonts w:eastAsia="Calibri" w:cs="Calibri"/>
          <w:color w:val="000000"/>
          <w:szCs w:val="22"/>
          <w:lang w:val="en-GB" w:eastAsia="en-US"/>
        </w:rPr>
        <w:t>j</w:t>
      </w:r>
      <w:r w:rsidRPr="00126742">
        <w:rPr>
          <w:rFonts w:eastAsia="Calibri" w:cs="Calibri"/>
          <w:color w:val="000000"/>
          <w:szCs w:val="22"/>
          <w:lang w:val="en-GB" w:eastAsia="en-US"/>
        </w:rPr>
        <w:t xml:space="preserve">ed dejstva antropogenih pritisaka. U opisivanju dobrog stanja životne sredine (član 9 </w:t>
      </w:r>
      <w:r>
        <w:rPr>
          <w:rFonts w:eastAsia="Calibri" w:cs="Calibri"/>
          <w:color w:val="000000"/>
          <w:szCs w:val="22"/>
          <w:lang w:val="en-GB" w:eastAsia="en-US"/>
        </w:rPr>
        <w:t>ODMS</w:t>
      </w:r>
      <w:r w:rsidRPr="00126742">
        <w:rPr>
          <w:rFonts w:eastAsia="Calibri" w:cs="Calibri"/>
          <w:color w:val="000000"/>
          <w:szCs w:val="22"/>
          <w:lang w:val="en-GB" w:eastAsia="en-US"/>
        </w:rPr>
        <w:t>-a), naveden</w:t>
      </w:r>
      <w:r>
        <w:rPr>
          <w:rFonts w:eastAsia="Calibri" w:cs="Calibri"/>
          <w:color w:val="000000"/>
          <w:szCs w:val="22"/>
          <w:lang w:val="en-GB" w:eastAsia="en-US"/>
        </w:rPr>
        <w:t xml:space="preserve">o stanje </w:t>
      </w:r>
      <w:r w:rsidR="00421FD0">
        <w:rPr>
          <w:rFonts w:eastAsia="Calibri" w:cs="Calibri"/>
          <w:color w:val="000000"/>
          <w:szCs w:val="22"/>
          <w:lang w:val="en-GB" w:eastAsia="en-US"/>
        </w:rPr>
        <w:t xml:space="preserve">morske sredine </w:t>
      </w:r>
      <w:r>
        <w:rPr>
          <w:rFonts w:eastAsia="Calibri" w:cs="Calibri"/>
          <w:color w:val="000000"/>
          <w:szCs w:val="22"/>
          <w:lang w:val="en-GB" w:eastAsia="en-US"/>
        </w:rPr>
        <w:t>je stanje koje</w:t>
      </w:r>
      <w:r w:rsidRPr="00126742">
        <w:rPr>
          <w:rFonts w:eastAsia="Calibri" w:cs="Calibri"/>
          <w:color w:val="000000"/>
          <w:szCs w:val="22"/>
          <w:lang w:val="en-GB" w:eastAsia="en-US"/>
        </w:rPr>
        <w:t xml:space="preserve"> treba postići, oporaviti ili održati.</w:t>
      </w:r>
      <w:r>
        <w:rPr>
          <w:rFonts w:eastAsia="Calibri" w:cs="Calibri"/>
          <w:color w:val="000000"/>
          <w:szCs w:val="22"/>
          <w:lang w:val="en-GB" w:eastAsia="en-US"/>
        </w:rPr>
        <w:t xml:space="preserve"> </w:t>
      </w:r>
      <w:r w:rsidRPr="00D97080">
        <w:rPr>
          <w:rFonts w:eastAsia="Calibri" w:cs="Calibri"/>
          <w:color w:val="000000"/>
          <w:szCs w:val="22"/>
          <w:lang w:val="en-GB" w:eastAsia="en-US"/>
        </w:rPr>
        <w:t>Karakteristike GES-a treba da:</w:t>
      </w:r>
    </w:p>
    <w:p w14:paraId="675CA637" w14:textId="77777777" w:rsidR="00D97080" w:rsidRDefault="00D97080" w:rsidP="00D97080">
      <w:pPr>
        <w:spacing w:before="0" w:after="0"/>
        <w:contextualSpacing/>
        <w:jc w:val="left"/>
        <w:rPr>
          <w:rFonts w:eastAsiaTheme="minorHAnsi" w:cs="Calibri"/>
          <w:szCs w:val="22"/>
          <w:lang w:val="en-GB" w:eastAsia="en-US"/>
        </w:rPr>
      </w:pPr>
    </w:p>
    <w:p w14:paraId="68617853" w14:textId="67183804" w:rsidR="00D97080" w:rsidRPr="009303A6" w:rsidRDefault="00D97080" w:rsidP="00C52E6F">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 xml:space="preserve">Da se odnose na </w:t>
      </w:r>
      <w:r w:rsidRPr="009303A6">
        <w:rPr>
          <w:rFonts w:eastAsiaTheme="minorHAnsi" w:cs="Calibri"/>
          <w:szCs w:val="22"/>
          <w:lang w:val="en-GB" w:eastAsia="en-US"/>
        </w:rPr>
        <w:t>željeno stanje morsk</w:t>
      </w:r>
      <w:r>
        <w:rPr>
          <w:rFonts w:eastAsiaTheme="minorHAnsi" w:cs="Calibri"/>
          <w:szCs w:val="22"/>
          <w:lang w:val="en-GB" w:eastAsia="en-US"/>
        </w:rPr>
        <w:t>e sredine</w:t>
      </w:r>
      <w:r w:rsidRPr="009303A6">
        <w:rPr>
          <w:rFonts w:eastAsiaTheme="minorHAnsi" w:cs="Calibri"/>
          <w:szCs w:val="22"/>
          <w:lang w:val="en-GB" w:eastAsia="en-US"/>
        </w:rPr>
        <w:t xml:space="preserve"> ili na odgovarajući nivo pritiska/uticaja na </w:t>
      </w:r>
      <w:r w:rsidR="002957E7">
        <w:rPr>
          <w:rFonts w:eastAsiaTheme="minorHAnsi" w:cs="Calibri"/>
          <w:szCs w:val="22"/>
          <w:lang w:val="en-GB" w:eastAsia="en-US"/>
        </w:rPr>
        <w:t>nju</w:t>
      </w:r>
      <w:r w:rsidRPr="009303A6">
        <w:rPr>
          <w:rFonts w:eastAsiaTheme="minorHAnsi" w:cs="Calibri"/>
          <w:szCs w:val="22"/>
          <w:lang w:val="en-GB" w:eastAsia="en-US"/>
        </w:rPr>
        <w:t xml:space="preserve"> kada se postigne GES;</w:t>
      </w:r>
    </w:p>
    <w:p w14:paraId="7E51FB04" w14:textId="77777777" w:rsidR="00D97080" w:rsidRPr="009303A6" w:rsidRDefault="00D97080" w:rsidP="00C52E6F">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Uzmu</w:t>
      </w:r>
      <w:r w:rsidRPr="009303A6">
        <w:rPr>
          <w:rFonts w:eastAsiaTheme="minorHAnsi" w:cs="Calibri"/>
          <w:szCs w:val="22"/>
          <w:lang w:val="en-GB" w:eastAsia="en-US"/>
        </w:rPr>
        <w:t xml:space="preserve"> u obzir prevladavajuće uslove životne sredine i otpornost i sposobnost oporavka ekosistema;</w:t>
      </w:r>
    </w:p>
    <w:p w14:paraId="2A17B3C1" w14:textId="26D77A8E" w:rsidR="00D97080" w:rsidRPr="002957E7" w:rsidRDefault="00D97080" w:rsidP="00C52E6F">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Budu dosljedne</w:t>
      </w:r>
      <w:r w:rsidRPr="009303A6">
        <w:rPr>
          <w:rFonts w:eastAsiaTheme="minorHAnsi" w:cs="Calibri"/>
          <w:szCs w:val="22"/>
          <w:lang w:val="en-GB" w:eastAsia="en-US"/>
        </w:rPr>
        <w:t xml:space="preserve"> održivo</w:t>
      </w:r>
      <w:r>
        <w:rPr>
          <w:rFonts w:eastAsiaTheme="minorHAnsi" w:cs="Calibri"/>
          <w:szCs w:val="22"/>
          <w:lang w:val="en-GB" w:eastAsia="en-US"/>
        </w:rPr>
        <w:t>m korišćenju</w:t>
      </w:r>
      <w:r w:rsidRPr="009303A6">
        <w:rPr>
          <w:rFonts w:eastAsiaTheme="minorHAnsi" w:cs="Calibri"/>
          <w:szCs w:val="22"/>
          <w:lang w:val="en-GB" w:eastAsia="en-US"/>
        </w:rPr>
        <w:t xml:space="preserve"> morsk</w:t>
      </w:r>
      <w:r>
        <w:rPr>
          <w:rFonts w:eastAsiaTheme="minorHAnsi" w:cs="Calibri"/>
          <w:szCs w:val="22"/>
          <w:lang w:val="en-GB" w:eastAsia="en-US"/>
        </w:rPr>
        <w:t>e sredine</w:t>
      </w:r>
      <w:r w:rsidRPr="009303A6">
        <w:rPr>
          <w:rFonts w:eastAsiaTheme="minorHAnsi" w:cs="Calibri"/>
          <w:szCs w:val="22"/>
          <w:lang w:val="en-GB" w:eastAsia="en-US"/>
        </w:rPr>
        <w:t xml:space="preserve">; </w:t>
      </w:r>
      <w:r w:rsidRPr="002957E7">
        <w:rPr>
          <w:rFonts w:eastAsiaTheme="minorHAnsi" w:cs="Calibri"/>
          <w:szCs w:val="22"/>
          <w:lang w:val="en-GB" w:eastAsia="en-US"/>
        </w:rPr>
        <w:t>budu relativno visokog nivoa i uglavnom kvalitativne – ali da pružaju dovoljno detalja da se postavi kontekst za detaljnije ciljeve i indikatore GES-a koji ih podržavaju;</w:t>
      </w:r>
    </w:p>
    <w:p w14:paraId="6A57AAC8" w14:textId="77777777" w:rsidR="00D97080" w:rsidRPr="009303A6" w:rsidRDefault="00D97080" w:rsidP="00C52E6F">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 xml:space="preserve">Budu </w:t>
      </w:r>
      <w:r w:rsidRPr="009303A6">
        <w:rPr>
          <w:rFonts w:eastAsiaTheme="minorHAnsi" w:cs="Calibri"/>
          <w:szCs w:val="22"/>
          <w:lang w:val="en-GB" w:eastAsia="en-US"/>
        </w:rPr>
        <w:t>kompatibil</w:t>
      </w:r>
      <w:r>
        <w:rPr>
          <w:rFonts w:eastAsiaTheme="minorHAnsi" w:cs="Calibri"/>
          <w:szCs w:val="22"/>
          <w:lang w:val="en-GB" w:eastAsia="en-US"/>
        </w:rPr>
        <w:t>ne</w:t>
      </w:r>
      <w:r w:rsidRPr="009303A6">
        <w:rPr>
          <w:rFonts w:eastAsiaTheme="minorHAnsi" w:cs="Calibri"/>
          <w:szCs w:val="22"/>
          <w:lang w:val="en-GB" w:eastAsia="en-US"/>
        </w:rPr>
        <w:t xml:space="preserve"> sa ostalim postojećim nacionalnim, EU ili međunarodnim ciljevima;</w:t>
      </w:r>
    </w:p>
    <w:p w14:paraId="403FB949" w14:textId="77777777" w:rsidR="00D97080" w:rsidRPr="009303A6" w:rsidRDefault="00D97080" w:rsidP="00C52E6F">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Uzmu</w:t>
      </w:r>
      <w:r w:rsidRPr="009303A6">
        <w:rPr>
          <w:rFonts w:eastAsiaTheme="minorHAnsi" w:cs="Calibri"/>
          <w:szCs w:val="22"/>
          <w:lang w:val="en-GB" w:eastAsia="en-US"/>
        </w:rPr>
        <w:t xml:space="preserve"> u obzir veze između različitih GES deskriptora;</w:t>
      </w:r>
    </w:p>
    <w:p w14:paraId="67B3FE4F" w14:textId="77777777" w:rsidR="00D97080" w:rsidRPr="009303A6" w:rsidRDefault="00D97080" w:rsidP="00C52E6F">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Budu</w:t>
      </w:r>
      <w:r w:rsidRPr="009303A6">
        <w:rPr>
          <w:rFonts w:eastAsiaTheme="minorHAnsi" w:cs="Calibri"/>
          <w:szCs w:val="22"/>
          <w:lang w:val="en-GB" w:eastAsia="en-US"/>
        </w:rPr>
        <w:t xml:space="preserve"> razvijen</w:t>
      </w:r>
      <w:r>
        <w:rPr>
          <w:rFonts w:eastAsiaTheme="minorHAnsi" w:cs="Calibri"/>
          <w:szCs w:val="22"/>
          <w:lang w:val="en-GB" w:eastAsia="en-US"/>
        </w:rPr>
        <w:t>e</w:t>
      </w:r>
      <w:r w:rsidRPr="009303A6">
        <w:rPr>
          <w:rFonts w:eastAsiaTheme="minorHAnsi" w:cs="Calibri"/>
          <w:szCs w:val="22"/>
          <w:lang w:val="en-GB" w:eastAsia="en-US"/>
        </w:rPr>
        <w:t xml:space="preserve"> na osnovu </w:t>
      </w:r>
      <w:r>
        <w:rPr>
          <w:rFonts w:eastAsiaTheme="minorHAnsi" w:cs="Calibri"/>
          <w:szCs w:val="22"/>
          <w:lang w:val="en-GB" w:eastAsia="en-US"/>
        </w:rPr>
        <w:t>postojećih</w:t>
      </w:r>
      <w:r w:rsidRPr="009303A6">
        <w:rPr>
          <w:rFonts w:eastAsiaTheme="minorHAnsi" w:cs="Calibri"/>
          <w:szCs w:val="22"/>
          <w:lang w:val="en-GB" w:eastAsia="en-US"/>
        </w:rPr>
        <w:t xml:space="preserve"> dokaza i u odnosu na početnu proc</w:t>
      </w:r>
      <w:r>
        <w:rPr>
          <w:rFonts w:eastAsiaTheme="minorHAnsi" w:cs="Calibri"/>
          <w:szCs w:val="22"/>
          <w:lang w:val="en-GB" w:eastAsia="en-US"/>
        </w:rPr>
        <w:t>j</w:t>
      </w:r>
      <w:r w:rsidRPr="009303A6">
        <w:rPr>
          <w:rFonts w:eastAsiaTheme="minorHAnsi" w:cs="Calibri"/>
          <w:szCs w:val="22"/>
          <w:lang w:val="en-GB" w:eastAsia="en-US"/>
        </w:rPr>
        <w:t>enu;</w:t>
      </w:r>
    </w:p>
    <w:p w14:paraId="7F2FFFE7" w14:textId="5D280CBC" w:rsidR="00D97080" w:rsidRPr="001C6CCA" w:rsidRDefault="00D97080" w:rsidP="00C52E6F">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Budu</w:t>
      </w:r>
      <w:r w:rsidRPr="009303A6">
        <w:rPr>
          <w:rFonts w:eastAsiaTheme="minorHAnsi" w:cs="Calibri"/>
          <w:szCs w:val="22"/>
          <w:lang w:val="en-GB" w:eastAsia="en-US"/>
        </w:rPr>
        <w:t xml:space="preserve"> transparentn</w:t>
      </w:r>
      <w:r>
        <w:rPr>
          <w:rFonts w:eastAsiaTheme="minorHAnsi" w:cs="Calibri"/>
          <w:szCs w:val="22"/>
          <w:lang w:val="en-GB" w:eastAsia="en-US"/>
        </w:rPr>
        <w:t>e</w:t>
      </w:r>
      <w:r w:rsidRPr="009303A6">
        <w:rPr>
          <w:rFonts w:eastAsiaTheme="minorHAnsi" w:cs="Calibri"/>
          <w:szCs w:val="22"/>
          <w:lang w:val="en-GB" w:eastAsia="en-US"/>
        </w:rPr>
        <w:t xml:space="preserve"> u oblastima neizv</w:t>
      </w:r>
      <w:r>
        <w:rPr>
          <w:rFonts w:eastAsiaTheme="minorHAnsi" w:cs="Calibri"/>
          <w:szCs w:val="22"/>
          <w:lang w:val="en-GB" w:eastAsia="en-US"/>
        </w:rPr>
        <w:t>j</w:t>
      </w:r>
      <w:r w:rsidRPr="009303A6">
        <w:rPr>
          <w:rFonts w:eastAsiaTheme="minorHAnsi" w:cs="Calibri"/>
          <w:szCs w:val="22"/>
          <w:lang w:val="en-GB" w:eastAsia="en-US"/>
        </w:rPr>
        <w:t xml:space="preserve">esnosti zbog </w:t>
      </w:r>
      <w:r>
        <w:rPr>
          <w:rFonts w:eastAsiaTheme="minorHAnsi" w:cs="Calibri"/>
          <w:szCs w:val="22"/>
          <w:lang w:val="en-GB" w:eastAsia="en-US"/>
        </w:rPr>
        <w:t>nedostataka</w:t>
      </w:r>
      <w:r w:rsidRPr="009303A6">
        <w:rPr>
          <w:rFonts w:eastAsiaTheme="minorHAnsi" w:cs="Calibri"/>
          <w:szCs w:val="22"/>
          <w:lang w:val="en-GB" w:eastAsia="en-US"/>
        </w:rPr>
        <w:t xml:space="preserve"> u bazi znanja.</w:t>
      </w:r>
    </w:p>
    <w:p w14:paraId="3A6C1F0C" w14:textId="77777777" w:rsidR="00131076" w:rsidRPr="001C6CCA" w:rsidRDefault="00131076" w:rsidP="009B3C12">
      <w:pPr>
        <w:autoSpaceDE w:val="0"/>
        <w:autoSpaceDN w:val="0"/>
        <w:adjustRightInd w:val="0"/>
        <w:spacing w:before="0" w:after="160"/>
        <w:ind w:left="720"/>
        <w:contextualSpacing/>
        <w:rPr>
          <w:rFonts w:eastAsia="Calibri" w:cs="Calibri"/>
          <w:color w:val="000000"/>
          <w:szCs w:val="22"/>
          <w:lang w:val="en-GB"/>
        </w:rPr>
      </w:pPr>
    </w:p>
    <w:p w14:paraId="6657B9D6" w14:textId="5B81A221" w:rsidR="008F04D8" w:rsidRDefault="008F04D8" w:rsidP="009B3C12">
      <w:pPr>
        <w:autoSpaceDE w:val="0"/>
        <w:autoSpaceDN w:val="0"/>
        <w:adjustRightInd w:val="0"/>
        <w:spacing w:before="0" w:after="160"/>
        <w:rPr>
          <w:rFonts w:eastAsia="Calibri" w:cs="Calibri"/>
          <w:color w:val="0070C0"/>
          <w:szCs w:val="22"/>
          <w:lang w:val="en-GB" w:eastAsia="en-US"/>
        </w:rPr>
      </w:pPr>
      <w:r w:rsidRPr="008F04D8">
        <w:rPr>
          <w:rFonts w:eastAsia="Calibri" w:cs="Calibri"/>
          <w:szCs w:val="22"/>
          <w:lang w:val="en-GB" w:eastAsia="en-US"/>
        </w:rPr>
        <w:t>Ciljevi i indikatori takođe uzimaju u obzir sl</w:t>
      </w:r>
      <w:r>
        <w:rPr>
          <w:rFonts w:eastAsia="Calibri" w:cs="Calibri"/>
          <w:szCs w:val="22"/>
          <w:lang w:val="en-GB" w:eastAsia="en-US"/>
        </w:rPr>
        <w:t>j</w:t>
      </w:r>
      <w:r w:rsidRPr="008F04D8">
        <w:rPr>
          <w:rFonts w:eastAsia="Calibri" w:cs="Calibri"/>
          <w:szCs w:val="22"/>
          <w:lang w:val="en-GB" w:eastAsia="en-US"/>
        </w:rPr>
        <w:t xml:space="preserve">edeće kriterijume </w:t>
      </w:r>
      <w:r>
        <w:rPr>
          <w:rFonts w:eastAsia="Calibri" w:cs="Calibri"/>
          <w:szCs w:val="22"/>
          <w:lang w:val="en-GB" w:eastAsia="en-US"/>
        </w:rPr>
        <w:t xml:space="preserve">koji su usaglašeni na nivou Radne grupe </w:t>
      </w:r>
      <w:r w:rsidRPr="008F04D8">
        <w:rPr>
          <w:rFonts w:eastAsia="Calibri" w:cs="Calibri"/>
          <w:szCs w:val="22"/>
          <w:lang w:val="en-GB" w:eastAsia="en-US"/>
        </w:rPr>
        <w:t>EU GES o zajedničkom razum</w:t>
      </w:r>
      <w:r>
        <w:rPr>
          <w:rFonts w:eastAsia="Calibri" w:cs="Calibri"/>
          <w:szCs w:val="22"/>
          <w:lang w:val="en-GB" w:eastAsia="en-US"/>
        </w:rPr>
        <w:t>ij</w:t>
      </w:r>
      <w:r w:rsidRPr="008F04D8">
        <w:rPr>
          <w:rFonts w:eastAsia="Calibri" w:cs="Calibri"/>
          <w:szCs w:val="22"/>
          <w:lang w:val="en-GB" w:eastAsia="en-US"/>
        </w:rPr>
        <w:t>evanju članova 8, 9 i 10</w:t>
      </w:r>
      <w:r w:rsidR="00D0012B">
        <w:rPr>
          <w:rFonts w:eastAsia="Calibri" w:cs="Calibri"/>
          <w:szCs w:val="22"/>
          <w:lang w:val="en-GB" w:eastAsia="en-US"/>
        </w:rPr>
        <w:t xml:space="preserve"> </w:t>
      </w:r>
      <w:r w:rsidR="00B10CB0">
        <w:rPr>
          <w:rFonts w:eastAsia="Calibri" w:cs="Calibri"/>
          <w:szCs w:val="22"/>
          <w:lang w:val="en-GB" w:eastAsia="en-US"/>
        </w:rPr>
        <w:t xml:space="preserve">ODMS, </w:t>
      </w:r>
      <w:r w:rsidR="00D0012B">
        <w:rPr>
          <w:rFonts w:eastAsia="Calibri" w:cs="Calibri"/>
          <w:szCs w:val="22"/>
          <w:lang w:val="en-GB" w:eastAsia="en-US"/>
        </w:rPr>
        <w:t xml:space="preserve">prema kojima </w:t>
      </w:r>
      <w:r w:rsidRPr="008F04D8">
        <w:rPr>
          <w:rFonts w:eastAsia="Calibri" w:cs="Calibri"/>
          <w:szCs w:val="22"/>
          <w:lang w:val="en-GB" w:eastAsia="en-US"/>
        </w:rPr>
        <w:t>GES ciljevi i indikatori treba da</w:t>
      </w:r>
      <w:r w:rsidRPr="008F04D8">
        <w:rPr>
          <w:rFonts w:eastAsia="Calibri" w:cs="Calibri"/>
          <w:color w:val="0070C0"/>
          <w:szCs w:val="22"/>
          <w:lang w:val="en-GB" w:eastAsia="en-US"/>
        </w:rPr>
        <w:t>:</w:t>
      </w:r>
    </w:p>
    <w:p w14:paraId="599CDE0B" w14:textId="05510EE7" w:rsidR="00421FD0" w:rsidRPr="008C3D55" w:rsidRDefault="00421FD0" w:rsidP="00421FD0">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budu</w:t>
      </w:r>
      <w:r w:rsidRPr="008C3D55">
        <w:rPr>
          <w:rFonts w:eastAsiaTheme="minorHAnsi" w:cs="Calibri"/>
          <w:szCs w:val="22"/>
          <w:lang w:val="en-GB" w:eastAsia="en-US"/>
        </w:rPr>
        <w:t xml:space="preserve"> dovoljn</w:t>
      </w:r>
      <w:r>
        <w:rPr>
          <w:rFonts w:eastAsiaTheme="minorHAnsi" w:cs="Calibri"/>
          <w:szCs w:val="22"/>
          <w:lang w:val="en-GB" w:eastAsia="en-US"/>
        </w:rPr>
        <w:t>i</w:t>
      </w:r>
      <w:r w:rsidRPr="008C3D55">
        <w:rPr>
          <w:rFonts w:eastAsiaTheme="minorHAnsi" w:cs="Calibri"/>
          <w:szCs w:val="22"/>
          <w:lang w:val="en-GB" w:eastAsia="en-US"/>
        </w:rPr>
        <w:t xml:space="preserve"> za postizanje ili održavanje GES-a, prepoznajući da </w:t>
      </w:r>
      <w:r>
        <w:rPr>
          <w:rFonts w:eastAsiaTheme="minorHAnsi" w:cs="Calibri"/>
          <w:szCs w:val="22"/>
          <w:lang w:val="en-GB" w:eastAsia="en-US"/>
        </w:rPr>
        <w:t xml:space="preserve">srednjoročni </w:t>
      </w:r>
      <w:r w:rsidRPr="008C3D55">
        <w:rPr>
          <w:rFonts w:eastAsiaTheme="minorHAnsi" w:cs="Calibri"/>
          <w:szCs w:val="22"/>
          <w:lang w:val="en-GB" w:eastAsia="en-US"/>
        </w:rPr>
        <w:t xml:space="preserve">ciljevi mogu biti </w:t>
      </w:r>
      <w:r>
        <w:rPr>
          <w:rFonts w:eastAsiaTheme="minorHAnsi" w:cs="Calibri"/>
          <w:szCs w:val="22"/>
          <w:lang w:val="en-GB" w:eastAsia="en-US"/>
        </w:rPr>
        <w:t>odgovarajući u smislu odražavanja prepreka za postizanj</w:t>
      </w:r>
      <w:r w:rsidRPr="008C3D55">
        <w:rPr>
          <w:rFonts w:eastAsiaTheme="minorHAnsi" w:cs="Calibri"/>
          <w:szCs w:val="22"/>
          <w:lang w:val="en-GB" w:eastAsia="en-US"/>
        </w:rPr>
        <w:t xml:space="preserve"> ili održavanj</w:t>
      </w:r>
      <w:r>
        <w:rPr>
          <w:rFonts w:eastAsiaTheme="minorHAnsi" w:cs="Calibri"/>
          <w:szCs w:val="22"/>
          <w:lang w:val="en-GB" w:eastAsia="en-US"/>
        </w:rPr>
        <w:t>e</w:t>
      </w:r>
      <w:r w:rsidRPr="008C3D55">
        <w:rPr>
          <w:rFonts w:eastAsiaTheme="minorHAnsi" w:cs="Calibri"/>
          <w:szCs w:val="22"/>
          <w:lang w:val="en-GB" w:eastAsia="en-US"/>
        </w:rPr>
        <w:t xml:space="preserve"> GES-a;</w:t>
      </w:r>
    </w:p>
    <w:p w14:paraId="71FF254F" w14:textId="77777777" w:rsidR="00421FD0" w:rsidRPr="008C3D55" w:rsidRDefault="00421FD0" w:rsidP="00421FD0">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budu</w:t>
      </w:r>
      <w:r w:rsidRPr="008C3D55">
        <w:rPr>
          <w:rFonts w:eastAsiaTheme="minorHAnsi" w:cs="Calibri"/>
          <w:szCs w:val="22"/>
          <w:lang w:val="en-GB" w:eastAsia="en-US"/>
        </w:rPr>
        <w:t xml:space="preserve"> kvantitativni tamo g</w:t>
      </w:r>
      <w:r>
        <w:rPr>
          <w:rFonts w:eastAsiaTheme="minorHAnsi" w:cs="Calibri"/>
          <w:szCs w:val="22"/>
          <w:lang w:val="en-GB" w:eastAsia="en-US"/>
        </w:rPr>
        <w:t>dj</w:t>
      </w:r>
      <w:r w:rsidRPr="008C3D55">
        <w:rPr>
          <w:rFonts w:eastAsiaTheme="minorHAnsi" w:cs="Calibri"/>
          <w:szCs w:val="22"/>
          <w:lang w:val="en-GB" w:eastAsia="en-US"/>
        </w:rPr>
        <w:t>e je to moguće i kvalitativni kada to nije moguće;</w:t>
      </w:r>
    </w:p>
    <w:p w14:paraId="64473551" w14:textId="77777777" w:rsidR="00421FD0" w:rsidRPr="008C3D55" w:rsidRDefault="00421FD0" w:rsidP="00421FD0">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 xml:space="preserve">obuhvataju </w:t>
      </w:r>
      <w:r w:rsidRPr="008C3D55">
        <w:rPr>
          <w:rFonts w:eastAsiaTheme="minorHAnsi" w:cs="Calibri"/>
          <w:szCs w:val="22"/>
          <w:lang w:val="en-GB" w:eastAsia="en-US"/>
        </w:rPr>
        <w:t>stanje, pritisak, uticaj ili operativne ciljeve;</w:t>
      </w:r>
    </w:p>
    <w:p w14:paraId="1AD55ABD" w14:textId="75E7EF66" w:rsidR="00421FD0" w:rsidRPr="008C3D55" w:rsidRDefault="00421FD0" w:rsidP="00421FD0">
      <w:pPr>
        <w:numPr>
          <w:ilvl w:val="0"/>
          <w:numId w:val="49"/>
        </w:numPr>
        <w:spacing w:before="0" w:after="0"/>
        <w:contextualSpacing/>
        <w:jc w:val="left"/>
        <w:rPr>
          <w:rFonts w:eastAsiaTheme="minorHAnsi" w:cs="Calibri"/>
          <w:szCs w:val="22"/>
          <w:lang w:val="en-GB" w:eastAsia="en-US"/>
        </w:rPr>
      </w:pPr>
      <w:r w:rsidRPr="008C3D55">
        <w:rPr>
          <w:rFonts w:eastAsiaTheme="minorHAnsi" w:cs="Calibri"/>
          <w:szCs w:val="22"/>
          <w:lang w:val="en-GB" w:eastAsia="en-US"/>
        </w:rPr>
        <w:t xml:space="preserve">razmatraju kriterijume </w:t>
      </w:r>
      <w:r w:rsidR="006104CE" w:rsidRPr="008C3D55">
        <w:rPr>
          <w:rFonts w:eastAsiaTheme="minorHAnsi" w:cs="Calibri"/>
          <w:szCs w:val="22"/>
          <w:lang w:val="en-GB" w:eastAsia="en-US"/>
        </w:rPr>
        <w:t>i</w:t>
      </w:r>
      <w:r w:rsidRPr="008C3D55">
        <w:rPr>
          <w:rFonts w:eastAsiaTheme="minorHAnsi" w:cs="Calibri"/>
          <w:szCs w:val="22"/>
          <w:lang w:val="en-GB" w:eastAsia="en-US"/>
        </w:rPr>
        <w:t xml:space="preserve"> indikatore iz Odluke Komisije o GES-u (COM Odluka</w:t>
      </w:r>
      <w:r>
        <w:rPr>
          <w:rFonts w:eastAsiaTheme="minorHAnsi" w:cs="Calibri"/>
          <w:szCs w:val="22"/>
          <w:lang w:val="en-GB" w:eastAsia="en-US"/>
        </w:rPr>
        <w:t xml:space="preserve"> </w:t>
      </w:r>
      <w:r w:rsidRPr="008C3D55">
        <w:rPr>
          <w:rFonts w:eastAsiaTheme="minorHAnsi" w:cs="Calibri"/>
          <w:szCs w:val="22"/>
          <w:lang w:val="en-GB" w:eastAsia="en-US"/>
        </w:rPr>
        <w:t>2017/848/EU</w:t>
      </w:r>
      <w:r w:rsidR="00D0012B">
        <w:rPr>
          <w:rFonts w:eastAsiaTheme="minorHAnsi" w:cs="Calibri"/>
          <w:szCs w:val="22"/>
          <w:lang w:val="en-GB" w:eastAsia="en-US"/>
        </w:rPr>
        <w:t>)</w:t>
      </w:r>
      <w:r w:rsidRPr="008C3D55">
        <w:rPr>
          <w:rFonts w:eastAsiaTheme="minorHAnsi" w:cs="Calibri"/>
          <w:szCs w:val="22"/>
          <w:lang w:val="en-GB" w:eastAsia="en-US"/>
        </w:rPr>
        <w:t xml:space="preserve"> po potrebi;</w:t>
      </w:r>
    </w:p>
    <w:p w14:paraId="0606D73C" w14:textId="77777777" w:rsidR="00421FD0" w:rsidRPr="008C3D55" w:rsidRDefault="00421FD0" w:rsidP="00421FD0">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budu mjerljivi kako bi se omogućio monitoring</w:t>
      </w:r>
      <w:r w:rsidRPr="008C3D55">
        <w:rPr>
          <w:rFonts w:eastAsiaTheme="minorHAnsi" w:cs="Calibri"/>
          <w:szCs w:val="22"/>
          <w:lang w:val="en-GB" w:eastAsia="en-US"/>
        </w:rPr>
        <w:t xml:space="preserve"> i proc</w:t>
      </w:r>
      <w:r>
        <w:rPr>
          <w:rFonts w:eastAsiaTheme="minorHAnsi" w:cs="Calibri"/>
          <w:szCs w:val="22"/>
          <w:lang w:val="en-GB" w:eastAsia="en-US"/>
        </w:rPr>
        <w:t>j</w:t>
      </w:r>
      <w:r w:rsidRPr="008C3D55">
        <w:rPr>
          <w:rFonts w:eastAsiaTheme="minorHAnsi" w:cs="Calibri"/>
          <w:szCs w:val="22"/>
          <w:lang w:val="en-GB" w:eastAsia="en-US"/>
        </w:rPr>
        <w:t>ena putem povezanih indikatora;</w:t>
      </w:r>
    </w:p>
    <w:p w14:paraId="4F7BD2B7" w14:textId="77777777" w:rsidR="00421FD0" w:rsidRPr="008C3D55" w:rsidRDefault="00421FD0" w:rsidP="00421FD0">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navode</w:t>
      </w:r>
      <w:r w:rsidRPr="008C3D55">
        <w:rPr>
          <w:rFonts w:eastAsiaTheme="minorHAnsi" w:cs="Calibri"/>
          <w:szCs w:val="22"/>
          <w:lang w:val="en-GB" w:eastAsia="en-US"/>
        </w:rPr>
        <w:t xml:space="preserve"> referentne tačke tamo gd</w:t>
      </w:r>
      <w:r>
        <w:rPr>
          <w:rFonts w:eastAsiaTheme="minorHAnsi" w:cs="Calibri"/>
          <w:szCs w:val="22"/>
          <w:lang w:val="en-GB" w:eastAsia="en-US"/>
        </w:rPr>
        <w:t>j</w:t>
      </w:r>
      <w:r w:rsidRPr="008C3D55">
        <w:rPr>
          <w:rFonts w:eastAsiaTheme="minorHAnsi" w:cs="Calibri"/>
          <w:szCs w:val="22"/>
          <w:lang w:val="en-GB" w:eastAsia="en-US"/>
        </w:rPr>
        <w:t>e je to potrebno (cilj</w:t>
      </w:r>
      <w:r>
        <w:rPr>
          <w:rFonts w:eastAsiaTheme="minorHAnsi" w:cs="Calibri"/>
          <w:szCs w:val="22"/>
          <w:lang w:val="en-GB" w:eastAsia="en-US"/>
        </w:rPr>
        <w:t>ne</w:t>
      </w:r>
      <w:r w:rsidRPr="008C3D55">
        <w:rPr>
          <w:rFonts w:eastAsiaTheme="minorHAnsi" w:cs="Calibri"/>
          <w:szCs w:val="22"/>
          <w:lang w:val="en-GB" w:eastAsia="en-US"/>
        </w:rPr>
        <w:t xml:space="preserve"> i granične referentne tačke);</w:t>
      </w:r>
    </w:p>
    <w:p w14:paraId="5C4F9FFA" w14:textId="77777777" w:rsidR="00421FD0" w:rsidRPr="008C3D55" w:rsidRDefault="00421FD0" w:rsidP="00421FD0">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obuhvataju</w:t>
      </w:r>
      <w:r w:rsidRPr="008C3D55">
        <w:rPr>
          <w:rFonts w:eastAsiaTheme="minorHAnsi" w:cs="Calibri"/>
          <w:szCs w:val="22"/>
          <w:lang w:val="en-GB" w:eastAsia="en-US"/>
        </w:rPr>
        <w:t xml:space="preserve">, prema potrebi, i </w:t>
      </w:r>
      <w:r>
        <w:rPr>
          <w:rFonts w:eastAsiaTheme="minorHAnsi" w:cs="Calibri"/>
          <w:szCs w:val="22"/>
          <w:lang w:val="en-GB" w:eastAsia="en-US"/>
        </w:rPr>
        <w:t>budu</w:t>
      </w:r>
      <w:r w:rsidRPr="008C3D55">
        <w:rPr>
          <w:rFonts w:eastAsiaTheme="minorHAnsi" w:cs="Calibri"/>
          <w:szCs w:val="22"/>
          <w:lang w:val="en-GB" w:eastAsia="en-US"/>
        </w:rPr>
        <w:t xml:space="preserve"> kompatibilni sa postojećim ciljevima koji su već uspostavljeni na nacionalnom, međunarodnom nivou</w:t>
      </w:r>
      <w:r>
        <w:rPr>
          <w:rFonts w:eastAsiaTheme="minorHAnsi" w:cs="Calibri"/>
          <w:szCs w:val="22"/>
          <w:lang w:val="en-GB" w:eastAsia="en-US"/>
        </w:rPr>
        <w:t xml:space="preserve"> ili nivou Zajednice</w:t>
      </w:r>
      <w:r w:rsidRPr="008C3D55">
        <w:rPr>
          <w:rFonts w:eastAsiaTheme="minorHAnsi" w:cs="Calibri"/>
          <w:szCs w:val="22"/>
          <w:lang w:val="en-GB" w:eastAsia="en-US"/>
        </w:rPr>
        <w:t>;</w:t>
      </w:r>
    </w:p>
    <w:p w14:paraId="75B9306E" w14:textId="77777777" w:rsidR="00421FD0" w:rsidRPr="008C3D55" w:rsidRDefault="00421FD0" w:rsidP="00421FD0">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uzimaju u obzir</w:t>
      </w:r>
      <w:r w:rsidRPr="008C3D55">
        <w:rPr>
          <w:rFonts w:eastAsiaTheme="minorHAnsi" w:cs="Calibri"/>
          <w:szCs w:val="22"/>
          <w:lang w:val="en-GB" w:eastAsia="en-US"/>
        </w:rPr>
        <w:t xml:space="preserve"> socijaln</w:t>
      </w:r>
      <w:r>
        <w:rPr>
          <w:rFonts w:eastAsiaTheme="minorHAnsi" w:cs="Calibri"/>
          <w:szCs w:val="22"/>
          <w:lang w:val="en-GB" w:eastAsia="en-US"/>
        </w:rPr>
        <w:t>e</w:t>
      </w:r>
      <w:r w:rsidRPr="008C3D55">
        <w:rPr>
          <w:rFonts w:eastAsiaTheme="minorHAnsi" w:cs="Calibri"/>
          <w:szCs w:val="22"/>
          <w:lang w:val="en-GB" w:eastAsia="en-US"/>
        </w:rPr>
        <w:t xml:space="preserve"> i ekonomsk</w:t>
      </w:r>
      <w:r>
        <w:rPr>
          <w:rFonts w:eastAsiaTheme="minorHAnsi" w:cs="Calibri"/>
          <w:szCs w:val="22"/>
          <w:lang w:val="en-GB" w:eastAsia="en-US"/>
        </w:rPr>
        <w:t>e</w:t>
      </w:r>
      <w:r w:rsidRPr="008C3D55">
        <w:rPr>
          <w:rFonts w:eastAsiaTheme="minorHAnsi" w:cs="Calibri"/>
          <w:szCs w:val="22"/>
          <w:lang w:val="en-GB" w:eastAsia="en-US"/>
        </w:rPr>
        <w:t xml:space="preserve"> implikacij</w:t>
      </w:r>
      <w:r>
        <w:rPr>
          <w:rFonts w:eastAsiaTheme="minorHAnsi" w:cs="Calibri"/>
          <w:szCs w:val="22"/>
          <w:lang w:val="en-GB" w:eastAsia="en-US"/>
        </w:rPr>
        <w:t>e</w:t>
      </w:r>
      <w:r w:rsidRPr="008C3D55">
        <w:rPr>
          <w:rFonts w:eastAsiaTheme="minorHAnsi" w:cs="Calibri"/>
          <w:szCs w:val="22"/>
          <w:lang w:val="en-GB" w:eastAsia="en-US"/>
        </w:rPr>
        <w:t>;</w:t>
      </w:r>
    </w:p>
    <w:p w14:paraId="5C83DA67" w14:textId="77777777" w:rsidR="00421FD0" w:rsidRPr="008C3D55" w:rsidRDefault="00421FD0" w:rsidP="00421FD0">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 xml:space="preserve">budu </w:t>
      </w:r>
      <w:r w:rsidRPr="008C3D55">
        <w:rPr>
          <w:rFonts w:eastAsiaTheme="minorHAnsi" w:cs="Calibri"/>
          <w:szCs w:val="22"/>
          <w:lang w:val="en-GB" w:eastAsia="en-US"/>
        </w:rPr>
        <w:t>interno dosl</w:t>
      </w:r>
      <w:r>
        <w:rPr>
          <w:rFonts w:eastAsiaTheme="minorHAnsi" w:cs="Calibri"/>
          <w:szCs w:val="22"/>
          <w:lang w:val="en-GB" w:eastAsia="en-US"/>
        </w:rPr>
        <w:t>ij</w:t>
      </w:r>
      <w:r w:rsidRPr="008C3D55">
        <w:rPr>
          <w:rFonts w:eastAsiaTheme="minorHAnsi" w:cs="Calibri"/>
          <w:szCs w:val="22"/>
          <w:lang w:val="en-GB" w:eastAsia="en-US"/>
        </w:rPr>
        <w:t>edni, bez sukoba među njima;</w:t>
      </w:r>
    </w:p>
    <w:p w14:paraId="495E97BB" w14:textId="77777777" w:rsidR="00421FD0" w:rsidRPr="008C3D55" w:rsidRDefault="00421FD0" w:rsidP="00421FD0">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 xml:space="preserve">budu </w:t>
      </w:r>
      <w:r w:rsidRPr="008C3D55">
        <w:rPr>
          <w:rFonts w:eastAsiaTheme="minorHAnsi" w:cs="Calibri"/>
          <w:szCs w:val="22"/>
          <w:lang w:val="en-GB" w:eastAsia="en-US"/>
        </w:rPr>
        <w:t>razvijeni za prim</w:t>
      </w:r>
      <w:r>
        <w:rPr>
          <w:rFonts w:eastAsiaTheme="minorHAnsi" w:cs="Calibri"/>
          <w:szCs w:val="22"/>
          <w:lang w:val="en-GB" w:eastAsia="en-US"/>
        </w:rPr>
        <w:t>j</w:t>
      </w:r>
      <w:r w:rsidRPr="008C3D55">
        <w:rPr>
          <w:rFonts w:eastAsiaTheme="minorHAnsi" w:cs="Calibri"/>
          <w:szCs w:val="22"/>
          <w:lang w:val="en-GB" w:eastAsia="en-US"/>
        </w:rPr>
        <w:t>enu na odgovarajućem nivou;</w:t>
      </w:r>
    </w:p>
    <w:p w14:paraId="4CEFB381" w14:textId="77777777" w:rsidR="00421FD0" w:rsidRPr="008C3D55" w:rsidRDefault="00421FD0" w:rsidP="00421FD0">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obuhvataju</w:t>
      </w:r>
      <w:r w:rsidRPr="008C3D55">
        <w:rPr>
          <w:rFonts w:eastAsiaTheme="minorHAnsi" w:cs="Calibri"/>
          <w:szCs w:val="22"/>
          <w:lang w:val="en-GB" w:eastAsia="en-US"/>
        </w:rPr>
        <w:t xml:space="preserve"> vremenske okvire za postizanje i, ako je potrebno, </w:t>
      </w:r>
      <w:r>
        <w:rPr>
          <w:rFonts w:eastAsiaTheme="minorHAnsi" w:cs="Calibri"/>
          <w:szCs w:val="22"/>
          <w:lang w:val="en-GB" w:eastAsia="en-US"/>
        </w:rPr>
        <w:t>srednjoročne ciljeve</w:t>
      </w:r>
      <w:r w:rsidRPr="008C3D55">
        <w:rPr>
          <w:rFonts w:eastAsiaTheme="minorHAnsi" w:cs="Calibri"/>
          <w:szCs w:val="22"/>
          <w:lang w:val="en-GB" w:eastAsia="en-US"/>
        </w:rPr>
        <w:t>;</w:t>
      </w:r>
    </w:p>
    <w:p w14:paraId="22C63C26" w14:textId="77777777" w:rsidR="00421FD0" w:rsidRPr="008C3D55" w:rsidRDefault="00421FD0" w:rsidP="00421FD0">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 xml:space="preserve">uzimaju u obzir </w:t>
      </w:r>
      <w:r w:rsidRPr="008C3D55">
        <w:rPr>
          <w:rFonts w:eastAsiaTheme="minorHAnsi" w:cs="Calibri"/>
          <w:szCs w:val="22"/>
          <w:lang w:val="en-GB" w:eastAsia="en-US"/>
        </w:rPr>
        <w:t>princip predostrožnosti.</w:t>
      </w:r>
    </w:p>
    <w:p w14:paraId="575056AA" w14:textId="1CA237D9" w:rsidR="009B3C12" w:rsidRPr="001C6CCA" w:rsidRDefault="009B3C12" w:rsidP="002957E7">
      <w:pPr>
        <w:autoSpaceDE w:val="0"/>
        <w:autoSpaceDN w:val="0"/>
        <w:adjustRightInd w:val="0"/>
        <w:spacing w:before="0" w:after="160"/>
        <w:ind w:left="720"/>
        <w:contextualSpacing/>
        <w:jc w:val="left"/>
        <w:rPr>
          <w:rFonts w:eastAsia="Calibri" w:cs="Calibri"/>
          <w:color w:val="000000"/>
          <w:szCs w:val="22"/>
          <w:lang w:val="en-GB" w:eastAsia="en-US"/>
        </w:rPr>
      </w:pPr>
    </w:p>
    <w:p w14:paraId="34C4F0EE" w14:textId="13266193" w:rsidR="002957E7" w:rsidRPr="002957E7" w:rsidRDefault="002957E7" w:rsidP="00F5120E">
      <w:pPr>
        <w:spacing w:before="0" w:after="160"/>
        <w:rPr>
          <w:rFonts w:eastAsia="Calibri" w:cs="Calibri"/>
          <w:szCs w:val="22"/>
          <w:lang w:val="en-GB" w:eastAsia="en-US"/>
        </w:rPr>
      </w:pPr>
      <w:r w:rsidRPr="002957E7">
        <w:rPr>
          <w:rFonts w:eastAsia="Calibri" w:cs="Calibri"/>
          <w:szCs w:val="22"/>
          <w:lang w:val="en-GB" w:eastAsia="en-US"/>
        </w:rPr>
        <w:t xml:space="preserve">Definisanje GES-a i postavljanje ciljeva </w:t>
      </w:r>
      <w:r w:rsidR="00D0012B">
        <w:rPr>
          <w:rFonts w:eastAsia="Calibri" w:cs="Calibri"/>
          <w:szCs w:val="22"/>
          <w:lang w:val="en-GB" w:eastAsia="en-US"/>
        </w:rPr>
        <w:t xml:space="preserve">za postizanje/održavanje GES-a </w:t>
      </w:r>
      <w:r w:rsidRPr="002957E7">
        <w:rPr>
          <w:rFonts w:eastAsia="Calibri" w:cs="Calibri"/>
          <w:szCs w:val="22"/>
          <w:lang w:val="en-GB" w:eastAsia="en-US"/>
        </w:rPr>
        <w:t xml:space="preserve">je nacionalna obaveza, ali regionalnu saradnju u zajedničkom definisanju treba uspostaviti </w:t>
      </w:r>
      <w:r w:rsidR="00D87C18">
        <w:rPr>
          <w:rFonts w:eastAsia="Calibri" w:cs="Calibri"/>
          <w:szCs w:val="22"/>
          <w:lang w:val="en-GB" w:eastAsia="en-US"/>
        </w:rPr>
        <w:t xml:space="preserve">što je više </w:t>
      </w:r>
      <w:r w:rsidRPr="002957E7">
        <w:rPr>
          <w:rFonts w:eastAsia="Calibri" w:cs="Calibri"/>
          <w:szCs w:val="22"/>
          <w:lang w:val="en-GB" w:eastAsia="en-US"/>
        </w:rPr>
        <w:t xml:space="preserve">moguće, posebno u okviru budućeg </w:t>
      </w:r>
      <w:r>
        <w:rPr>
          <w:rFonts w:eastAsia="Calibri" w:cs="Calibri"/>
          <w:szCs w:val="22"/>
          <w:lang w:val="en-GB" w:eastAsia="en-US"/>
        </w:rPr>
        <w:t>monitoring</w:t>
      </w:r>
      <w:r w:rsidR="00D0012B">
        <w:rPr>
          <w:rFonts w:eastAsia="Calibri" w:cs="Calibri"/>
          <w:szCs w:val="22"/>
          <w:lang w:val="en-GB" w:eastAsia="en-US"/>
        </w:rPr>
        <w:t>a</w:t>
      </w:r>
      <w:r>
        <w:rPr>
          <w:rFonts w:eastAsia="Calibri" w:cs="Calibri"/>
          <w:szCs w:val="22"/>
          <w:lang w:val="en-GB" w:eastAsia="en-US"/>
        </w:rPr>
        <w:t xml:space="preserve"> </w:t>
      </w:r>
      <w:r w:rsidRPr="002957E7">
        <w:rPr>
          <w:rFonts w:eastAsia="Calibri" w:cs="Calibri"/>
          <w:szCs w:val="22"/>
          <w:lang w:val="en-GB" w:eastAsia="en-US"/>
        </w:rPr>
        <w:t xml:space="preserve">i </w:t>
      </w:r>
      <w:r w:rsidR="00D87C18">
        <w:rPr>
          <w:rFonts w:eastAsia="Calibri" w:cs="Calibri"/>
          <w:szCs w:val="22"/>
          <w:lang w:val="en-GB" w:eastAsia="en-US"/>
        </w:rPr>
        <w:t xml:space="preserve">sistema </w:t>
      </w:r>
      <w:r w:rsidRPr="002957E7">
        <w:rPr>
          <w:rFonts w:eastAsia="Calibri" w:cs="Calibri"/>
          <w:szCs w:val="22"/>
          <w:lang w:val="en-GB" w:eastAsia="en-US"/>
        </w:rPr>
        <w:t>posmatranja za tekuću proc</w:t>
      </w:r>
      <w:r>
        <w:rPr>
          <w:rFonts w:eastAsia="Calibri" w:cs="Calibri"/>
          <w:szCs w:val="22"/>
          <w:lang w:val="en-GB" w:eastAsia="en-US"/>
        </w:rPr>
        <w:t>j</w:t>
      </w:r>
      <w:r w:rsidRPr="002957E7">
        <w:rPr>
          <w:rFonts w:eastAsia="Calibri" w:cs="Calibri"/>
          <w:szCs w:val="22"/>
          <w:lang w:val="en-GB" w:eastAsia="en-US"/>
        </w:rPr>
        <w:t xml:space="preserve">enu </w:t>
      </w:r>
      <w:r w:rsidR="00D87C18">
        <w:rPr>
          <w:rFonts w:eastAsia="Calibri" w:cs="Calibri"/>
          <w:szCs w:val="22"/>
          <w:lang w:val="en-GB" w:eastAsia="en-US"/>
        </w:rPr>
        <w:t xml:space="preserve">stanja </w:t>
      </w:r>
      <w:r w:rsidRPr="002957E7">
        <w:rPr>
          <w:rFonts w:eastAsia="Calibri" w:cs="Calibri"/>
          <w:szCs w:val="22"/>
          <w:lang w:val="en-GB" w:eastAsia="en-US"/>
        </w:rPr>
        <w:t>Jadranskog mora kako bi se</w:t>
      </w:r>
      <w:r>
        <w:rPr>
          <w:rFonts w:eastAsia="Calibri" w:cs="Calibri"/>
          <w:szCs w:val="22"/>
          <w:lang w:val="en-GB" w:eastAsia="en-US"/>
        </w:rPr>
        <w:t xml:space="preserve"> GES postigao na nivou jadranskog podregiona</w:t>
      </w:r>
      <w:r w:rsidRPr="002957E7">
        <w:rPr>
          <w:rFonts w:eastAsia="Calibri" w:cs="Calibri"/>
          <w:szCs w:val="22"/>
          <w:lang w:val="en-GB" w:eastAsia="en-US"/>
        </w:rPr>
        <w:t>.</w:t>
      </w:r>
    </w:p>
    <w:p w14:paraId="3D1DF029" w14:textId="43BAFE69" w:rsidR="00D97080" w:rsidRPr="00D87C18" w:rsidRDefault="00D97080" w:rsidP="00C673F6">
      <w:pPr>
        <w:autoSpaceDE w:val="0"/>
        <w:autoSpaceDN w:val="0"/>
        <w:adjustRightInd w:val="0"/>
        <w:spacing w:before="0"/>
        <w:rPr>
          <w:rFonts w:eastAsia="Calibri" w:cs="Calibri"/>
          <w:iCs/>
          <w:szCs w:val="22"/>
          <w:lang w:val="en-GB" w:eastAsia="en-US"/>
        </w:rPr>
      </w:pPr>
      <w:r w:rsidRPr="009303A6">
        <w:rPr>
          <w:rFonts w:eastAsiaTheme="minorHAnsi" w:cs="Calibri"/>
          <w:szCs w:val="22"/>
          <w:lang w:val="en-GB" w:eastAsia="en-US"/>
        </w:rPr>
        <w:t xml:space="preserve">U ovom izvještaju, GES i predloženi ciljevi za postizanje GES-a </w:t>
      </w:r>
      <w:r w:rsidR="00D87C18">
        <w:rPr>
          <w:rFonts w:eastAsiaTheme="minorHAnsi" w:cs="Calibri"/>
          <w:szCs w:val="22"/>
          <w:lang w:val="en-GB" w:eastAsia="en-US"/>
        </w:rPr>
        <w:t xml:space="preserve">prikazani su </w:t>
      </w:r>
      <w:r w:rsidRPr="009303A6">
        <w:rPr>
          <w:rFonts w:eastAsiaTheme="minorHAnsi" w:cs="Calibri"/>
          <w:szCs w:val="22"/>
          <w:lang w:val="en-GB" w:eastAsia="en-US"/>
        </w:rPr>
        <w:t xml:space="preserve">na nivou dijela Jadranskog mora </w:t>
      </w:r>
      <w:r w:rsidR="00421FD0">
        <w:rPr>
          <w:rFonts w:eastAsiaTheme="minorHAnsi" w:cs="Calibri"/>
          <w:szCs w:val="22"/>
          <w:lang w:val="en-GB" w:eastAsia="en-US"/>
        </w:rPr>
        <w:t xml:space="preserve">koji </w:t>
      </w:r>
      <w:r>
        <w:rPr>
          <w:rFonts w:eastAsiaTheme="minorHAnsi" w:cs="Calibri"/>
          <w:szCs w:val="22"/>
          <w:lang w:val="en-GB" w:eastAsia="en-US"/>
        </w:rPr>
        <w:t xml:space="preserve">pripada Crnoj Gori </w:t>
      </w:r>
      <w:r w:rsidRPr="009303A6">
        <w:rPr>
          <w:rFonts w:eastAsiaTheme="minorHAnsi" w:cs="Calibri"/>
          <w:szCs w:val="22"/>
          <w:lang w:val="en-GB" w:eastAsia="en-US"/>
        </w:rPr>
        <w:t xml:space="preserve">(slika 1.2), osim Deskriptora 3 (Komercijalno ribarstvo) za koji se GES procjenjuje </w:t>
      </w:r>
      <w:r>
        <w:rPr>
          <w:rFonts w:eastAsiaTheme="minorHAnsi" w:cs="Calibri"/>
          <w:szCs w:val="22"/>
          <w:lang w:val="en-GB" w:eastAsia="en-US"/>
        </w:rPr>
        <w:t>p</w:t>
      </w:r>
      <w:r w:rsidR="00D87C18">
        <w:rPr>
          <w:rFonts w:eastAsiaTheme="minorHAnsi" w:cs="Calibri"/>
          <w:szCs w:val="22"/>
          <w:lang w:val="en-GB" w:eastAsia="en-US"/>
        </w:rPr>
        <w:t>o</w:t>
      </w:r>
      <w:r>
        <w:rPr>
          <w:rFonts w:eastAsiaTheme="minorHAnsi" w:cs="Calibri"/>
          <w:szCs w:val="22"/>
          <w:lang w:val="en-GB" w:eastAsia="en-US"/>
        </w:rPr>
        <w:t xml:space="preserve"> </w:t>
      </w:r>
      <w:r w:rsidR="00D87C18" w:rsidRPr="00D87C18">
        <w:rPr>
          <w:rFonts w:eastAsia="Calibri" w:cs="Calibri"/>
          <w:iCs/>
          <w:szCs w:val="22"/>
          <w:lang w:val="en-GB" w:eastAsia="en-US"/>
        </w:rPr>
        <w:t>geografski</w:t>
      </w:r>
      <w:r w:rsidR="00D87C18">
        <w:rPr>
          <w:rFonts w:eastAsia="Calibri" w:cs="Calibri"/>
          <w:iCs/>
          <w:szCs w:val="22"/>
          <w:lang w:val="en-GB" w:eastAsia="en-US"/>
        </w:rPr>
        <w:t>m</w:t>
      </w:r>
      <w:r w:rsidR="00D87C18" w:rsidRPr="00D87C18">
        <w:rPr>
          <w:rFonts w:eastAsia="Calibri" w:cs="Calibri"/>
          <w:iCs/>
          <w:szCs w:val="22"/>
          <w:lang w:val="en-GB" w:eastAsia="en-US"/>
        </w:rPr>
        <w:t xml:space="preserve"> pod-područj</w:t>
      </w:r>
      <w:r w:rsidR="00D87C18">
        <w:rPr>
          <w:rFonts w:eastAsia="Calibri" w:cs="Calibri"/>
          <w:iCs/>
          <w:szCs w:val="22"/>
          <w:lang w:val="en-GB" w:eastAsia="en-US"/>
        </w:rPr>
        <w:t>ima</w:t>
      </w:r>
      <w:r w:rsidR="00D87C18" w:rsidRPr="00D87C18">
        <w:rPr>
          <w:rFonts w:eastAsia="Calibri" w:cs="Calibri"/>
          <w:iCs/>
          <w:szCs w:val="22"/>
          <w:lang w:val="en-GB" w:eastAsia="en-US"/>
        </w:rPr>
        <w:t xml:space="preserve"> (GSA) </w:t>
      </w:r>
      <w:r w:rsidR="00D87C18">
        <w:rPr>
          <w:rFonts w:eastAsia="Calibri" w:cs="Calibri"/>
          <w:iCs/>
          <w:szCs w:val="22"/>
          <w:lang w:val="en-GB" w:eastAsia="en-US"/>
        </w:rPr>
        <w:t xml:space="preserve">jadranske podregije </w:t>
      </w:r>
      <w:r w:rsidR="00D87C18" w:rsidRPr="00D87C18">
        <w:rPr>
          <w:rFonts w:eastAsia="Calibri" w:cs="Calibri"/>
          <w:iCs/>
          <w:szCs w:val="22"/>
          <w:lang w:val="en-GB" w:eastAsia="en-US"/>
        </w:rPr>
        <w:t>prema Generalnoj komisiji za ribarstvo Mediterana (GFCM)</w:t>
      </w:r>
      <w:r w:rsidR="00D87C18">
        <w:rPr>
          <w:rFonts w:eastAsia="Calibri" w:cs="Calibri"/>
          <w:iCs/>
          <w:szCs w:val="22"/>
          <w:lang w:val="en-GB" w:eastAsia="en-US"/>
        </w:rPr>
        <w:t xml:space="preserve"> (slia 1.3) i</w:t>
      </w:r>
      <w:r w:rsidRPr="009303A6">
        <w:rPr>
          <w:rFonts w:eastAsiaTheme="minorHAnsi" w:cs="Calibri"/>
          <w:szCs w:val="22"/>
          <w:lang w:val="en-GB" w:eastAsia="en-US"/>
        </w:rPr>
        <w:t xml:space="preserve"> </w:t>
      </w:r>
      <w:r w:rsidR="00D87C18">
        <w:rPr>
          <w:rFonts w:eastAsiaTheme="minorHAnsi" w:cs="Calibri"/>
          <w:szCs w:val="22"/>
          <w:lang w:val="en-GB" w:eastAsia="en-US"/>
        </w:rPr>
        <w:t>D</w:t>
      </w:r>
      <w:r w:rsidRPr="009303A6">
        <w:rPr>
          <w:rFonts w:eastAsiaTheme="minorHAnsi" w:cs="Calibri"/>
          <w:szCs w:val="22"/>
          <w:lang w:val="en-GB" w:eastAsia="en-US"/>
        </w:rPr>
        <w:t>eskriptora 4 (</w:t>
      </w:r>
      <w:r w:rsidR="00D87C18">
        <w:rPr>
          <w:rFonts w:eastAsiaTheme="minorHAnsi" w:cs="Calibri"/>
          <w:szCs w:val="22"/>
          <w:lang w:val="en-GB" w:eastAsia="en-US"/>
        </w:rPr>
        <w:t>P</w:t>
      </w:r>
      <w:r w:rsidRPr="009303A6">
        <w:rPr>
          <w:rFonts w:eastAsiaTheme="minorHAnsi" w:cs="Calibri"/>
          <w:szCs w:val="22"/>
          <w:lang w:val="en-GB" w:eastAsia="en-US"/>
        </w:rPr>
        <w:t>rehrambene mreže). Međutim, treba napomenuti da su vr</w:t>
      </w:r>
      <w:r>
        <w:rPr>
          <w:rFonts w:eastAsiaTheme="minorHAnsi" w:cs="Calibri"/>
          <w:szCs w:val="22"/>
          <w:lang w:val="en-GB" w:eastAsia="en-US"/>
        </w:rPr>
        <w:t>ij</w:t>
      </w:r>
      <w:r w:rsidRPr="009303A6">
        <w:rPr>
          <w:rFonts w:eastAsiaTheme="minorHAnsi" w:cs="Calibri"/>
          <w:szCs w:val="22"/>
          <w:lang w:val="en-GB" w:eastAsia="en-US"/>
        </w:rPr>
        <w:t>ednosti korišćene za proc</w:t>
      </w:r>
      <w:r>
        <w:rPr>
          <w:rFonts w:eastAsiaTheme="minorHAnsi" w:cs="Calibri"/>
          <w:szCs w:val="22"/>
          <w:lang w:val="en-GB" w:eastAsia="en-US"/>
        </w:rPr>
        <w:t>j</w:t>
      </w:r>
      <w:r w:rsidRPr="009303A6">
        <w:rPr>
          <w:rFonts w:eastAsiaTheme="minorHAnsi" w:cs="Calibri"/>
          <w:szCs w:val="22"/>
          <w:lang w:val="en-GB" w:eastAsia="en-US"/>
        </w:rPr>
        <w:t xml:space="preserve">enu svih ostalih deskriptora upoređivane na nivou Jadrana i Mediterana </w:t>
      </w:r>
      <w:r>
        <w:rPr>
          <w:rFonts w:eastAsiaTheme="minorHAnsi" w:cs="Calibri"/>
          <w:szCs w:val="22"/>
          <w:lang w:val="en-GB" w:eastAsia="en-US"/>
        </w:rPr>
        <w:t>u najvećoj mogućoj mjeri</w:t>
      </w:r>
      <w:r w:rsidRPr="009303A6">
        <w:rPr>
          <w:rFonts w:eastAsiaTheme="minorHAnsi" w:cs="Calibri"/>
          <w:szCs w:val="22"/>
          <w:lang w:val="en-GB" w:eastAsia="en-US"/>
        </w:rPr>
        <w:t>.</w:t>
      </w:r>
    </w:p>
    <w:p w14:paraId="1D0EF4D3" w14:textId="3FB20860" w:rsidR="00D97080" w:rsidRPr="00D97080" w:rsidRDefault="00D97080" w:rsidP="00D97080">
      <w:pPr>
        <w:autoSpaceDE w:val="0"/>
        <w:autoSpaceDN w:val="0"/>
        <w:adjustRightInd w:val="0"/>
        <w:spacing w:before="0" w:after="160"/>
        <w:rPr>
          <w:rFonts w:eastAsiaTheme="minorHAnsi" w:cs="Calibri"/>
          <w:szCs w:val="22"/>
          <w:lang w:val="en-GB" w:eastAsia="en-US"/>
        </w:rPr>
      </w:pPr>
      <w:r w:rsidRPr="00373444">
        <w:rPr>
          <w:rFonts w:eastAsiaTheme="minorHAnsi" w:cs="Calibri"/>
          <w:szCs w:val="22"/>
          <w:lang w:val="en-GB" w:eastAsia="en-US"/>
        </w:rPr>
        <w:t>Treba napomenuti da Jadran kao podreg</w:t>
      </w:r>
      <w:r>
        <w:rPr>
          <w:rFonts w:eastAsiaTheme="minorHAnsi" w:cs="Calibri"/>
          <w:szCs w:val="22"/>
          <w:lang w:val="en-GB" w:eastAsia="en-US"/>
        </w:rPr>
        <w:t>ion</w:t>
      </w:r>
      <w:r w:rsidRPr="00373444">
        <w:rPr>
          <w:rFonts w:eastAsiaTheme="minorHAnsi" w:cs="Calibri"/>
          <w:szCs w:val="22"/>
          <w:lang w:val="en-GB" w:eastAsia="en-US"/>
        </w:rPr>
        <w:t>, zajedno sa Crnom Gorom, dijeli još pet zemalja</w:t>
      </w:r>
      <w:r w:rsidR="00D87C18">
        <w:rPr>
          <w:rFonts w:eastAsiaTheme="minorHAnsi" w:cs="Calibri"/>
          <w:szCs w:val="22"/>
          <w:lang w:val="en-GB" w:eastAsia="en-US"/>
        </w:rPr>
        <w:t xml:space="preserve"> pa je</w:t>
      </w:r>
      <w:r w:rsidRPr="00373444">
        <w:rPr>
          <w:rFonts w:eastAsiaTheme="minorHAnsi" w:cs="Calibri"/>
          <w:szCs w:val="22"/>
          <w:lang w:val="en-GB" w:eastAsia="en-US"/>
        </w:rPr>
        <w:t xml:space="preserve"> za postizanje ciljeva GES-a potrebna jača saradnja između njih u budućnosti. Šestgodišnji ciklus upravljanja</w:t>
      </w:r>
      <w:r>
        <w:rPr>
          <w:rFonts w:eastAsiaTheme="minorHAnsi" w:cs="Calibri"/>
          <w:szCs w:val="22"/>
          <w:lang w:val="en-GB" w:eastAsia="en-US"/>
        </w:rPr>
        <w:t>,</w:t>
      </w:r>
      <w:r w:rsidRPr="00373444">
        <w:rPr>
          <w:rFonts w:eastAsiaTheme="minorHAnsi" w:cs="Calibri"/>
          <w:szCs w:val="22"/>
          <w:lang w:val="en-GB" w:eastAsia="en-US"/>
        </w:rPr>
        <w:t xml:space="preserve"> zasnovan na razvoju GES-a i ciljeva</w:t>
      </w:r>
      <w:r>
        <w:rPr>
          <w:rFonts w:eastAsiaTheme="minorHAnsi" w:cs="Calibri"/>
          <w:szCs w:val="22"/>
          <w:lang w:val="en-GB" w:eastAsia="en-US"/>
        </w:rPr>
        <w:t>,</w:t>
      </w:r>
      <w:r w:rsidRPr="00373444">
        <w:rPr>
          <w:rFonts w:eastAsiaTheme="minorHAnsi" w:cs="Calibri"/>
          <w:szCs w:val="22"/>
          <w:lang w:val="en-GB" w:eastAsia="en-US"/>
        </w:rPr>
        <w:t xml:space="preserve"> pružiće državama članicama EU mogućnosti za reviziju korisnosti i efikasnosti u definisanju GES-a, ekoloških ciljeva i </w:t>
      </w:r>
      <w:r>
        <w:rPr>
          <w:rFonts w:eastAsiaTheme="minorHAnsi" w:cs="Calibri"/>
          <w:szCs w:val="22"/>
          <w:lang w:val="en-GB" w:eastAsia="en-US"/>
        </w:rPr>
        <w:t>indikatora</w:t>
      </w:r>
      <w:r w:rsidRPr="00373444">
        <w:rPr>
          <w:rFonts w:eastAsiaTheme="minorHAnsi" w:cs="Calibri"/>
          <w:szCs w:val="22"/>
          <w:lang w:val="en-GB" w:eastAsia="en-US"/>
        </w:rPr>
        <w:t>, uzimajući u obzir stečeno iskustvo, moguće prilagođavanje novim normama i standardima na nacionalnom i međunarodnom nivou, kao i napredak u naučnom znanju i opremi.</w:t>
      </w:r>
      <w:r>
        <w:rPr>
          <w:rFonts w:eastAsiaTheme="minorHAnsi" w:cs="Calibri"/>
          <w:szCs w:val="22"/>
          <w:lang w:val="en-GB" w:eastAsia="en-US"/>
        </w:rPr>
        <w:t xml:space="preserve"> </w:t>
      </w:r>
      <w:r w:rsidRPr="00373444">
        <w:rPr>
          <w:rFonts w:eastAsiaTheme="minorHAnsi" w:cs="Calibri"/>
          <w:szCs w:val="22"/>
          <w:lang w:val="en-GB" w:eastAsia="en-US"/>
        </w:rPr>
        <w:t xml:space="preserve">Koliko god je to pogodno i izvodljivo, države članice koriste postojeće strukture regionalne institucionalne saradnje, uključujući regionalne konvencije o moru (član 6. </w:t>
      </w:r>
      <w:r>
        <w:rPr>
          <w:rFonts w:eastAsiaTheme="minorHAnsi" w:cs="Calibri"/>
          <w:szCs w:val="22"/>
          <w:lang w:val="en-GB" w:eastAsia="en-US"/>
        </w:rPr>
        <w:t>ODMS</w:t>
      </w:r>
      <w:r w:rsidRPr="00373444">
        <w:rPr>
          <w:rFonts w:eastAsiaTheme="minorHAnsi" w:cs="Calibri"/>
          <w:szCs w:val="22"/>
          <w:lang w:val="en-GB" w:eastAsia="en-US"/>
        </w:rPr>
        <w:t>-a). Kako je Crna Gora dio mediteranskog regiona, ova saradnja se odvija putem Barselonske konvencije čiji je opšti cilj implementacij</w:t>
      </w:r>
      <w:r w:rsidR="00D0012B">
        <w:rPr>
          <w:rFonts w:eastAsiaTheme="minorHAnsi" w:cs="Calibri"/>
          <w:szCs w:val="22"/>
          <w:lang w:val="en-GB" w:eastAsia="en-US"/>
        </w:rPr>
        <w:t>a ekosistemskog pristupa za</w:t>
      </w:r>
      <w:r>
        <w:rPr>
          <w:rFonts w:eastAsiaTheme="minorHAnsi" w:cs="Calibri"/>
          <w:szCs w:val="22"/>
          <w:lang w:val="en-GB" w:eastAsia="en-US"/>
        </w:rPr>
        <w:t xml:space="preserve"> </w:t>
      </w:r>
      <w:r w:rsidRPr="00373444">
        <w:rPr>
          <w:rFonts w:eastAsiaTheme="minorHAnsi" w:cs="Calibri"/>
          <w:szCs w:val="22"/>
          <w:lang w:val="en-GB" w:eastAsia="en-US"/>
        </w:rPr>
        <w:t xml:space="preserve">postizanje i/ili održavanje dobrog stanja </w:t>
      </w:r>
      <w:r w:rsidR="00D0012B">
        <w:rPr>
          <w:rFonts w:eastAsiaTheme="minorHAnsi" w:cs="Calibri"/>
          <w:szCs w:val="22"/>
          <w:lang w:val="en-GB" w:eastAsia="en-US"/>
        </w:rPr>
        <w:t xml:space="preserve">morske sredine </w:t>
      </w:r>
      <w:r w:rsidRPr="00373444">
        <w:rPr>
          <w:rFonts w:eastAsiaTheme="minorHAnsi" w:cs="Calibri"/>
          <w:szCs w:val="22"/>
          <w:lang w:val="en-GB" w:eastAsia="en-US"/>
        </w:rPr>
        <w:t xml:space="preserve">(GES) </w:t>
      </w:r>
      <w:r>
        <w:rPr>
          <w:rFonts w:eastAsiaTheme="minorHAnsi" w:cs="Calibri"/>
          <w:szCs w:val="22"/>
          <w:lang w:val="en-GB" w:eastAsia="en-US"/>
        </w:rPr>
        <w:t>Mediterana</w:t>
      </w:r>
      <w:r w:rsidRPr="00373444">
        <w:rPr>
          <w:rFonts w:eastAsiaTheme="minorHAnsi" w:cs="Calibri"/>
          <w:szCs w:val="22"/>
          <w:lang w:val="en-GB" w:eastAsia="en-US"/>
        </w:rPr>
        <w:t xml:space="preserve"> pod vizijom „</w:t>
      </w:r>
      <w:r w:rsidRPr="00D97080">
        <w:rPr>
          <w:rFonts w:eastAsiaTheme="minorHAnsi" w:cs="Calibri"/>
          <w:i/>
          <w:szCs w:val="22"/>
          <w:lang w:val="en-GB" w:eastAsia="en-US"/>
        </w:rPr>
        <w:t>Zdrav Mediteran sa morskim i obalnim ekosistemima koji su produktivni i biološki raznoliki u korist sadašnjih i budućih generacija “.</w:t>
      </w:r>
    </w:p>
    <w:p w14:paraId="79D024A5" w14:textId="723ABB39" w:rsidR="002957E7" w:rsidRDefault="002957E7" w:rsidP="000735D6">
      <w:pPr>
        <w:spacing w:before="0" w:after="0"/>
        <w:rPr>
          <w:rFonts w:eastAsia="Calibri" w:cs="Calibri"/>
          <w:color w:val="0070C0"/>
          <w:szCs w:val="22"/>
          <w:lang w:val="en-GB" w:eastAsia="en-US"/>
        </w:rPr>
      </w:pPr>
      <w:r w:rsidRPr="002957E7">
        <w:rPr>
          <w:rFonts w:eastAsia="Calibri" w:cs="Calibri"/>
          <w:szCs w:val="22"/>
          <w:lang w:val="en-GB" w:eastAsia="en-US"/>
        </w:rPr>
        <w:t xml:space="preserve">Prema </w:t>
      </w:r>
      <w:r w:rsidR="00D0012B">
        <w:rPr>
          <w:rFonts w:eastAsia="Calibri" w:cs="Calibri"/>
          <w:szCs w:val="22"/>
          <w:lang w:val="en-GB" w:eastAsia="en-US"/>
        </w:rPr>
        <w:t xml:space="preserve">svemu gore navedenom </w:t>
      </w:r>
      <w:r w:rsidR="00D255FC">
        <w:rPr>
          <w:rFonts w:eastAsia="Calibri" w:cs="Calibri"/>
          <w:szCs w:val="22"/>
          <w:lang w:val="en-GB" w:eastAsia="en-US"/>
        </w:rPr>
        <w:t>i</w:t>
      </w:r>
      <w:r w:rsidR="00D0012B">
        <w:rPr>
          <w:rFonts w:eastAsia="Calibri" w:cs="Calibri"/>
          <w:szCs w:val="22"/>
          <w:lang w:val="en-GB" w:eastAsia="en-US"/>
        </w:rPr>
        <w:t xml:space="preserve"> </w:t>
      </w:r>
      <w:r w:rsidRPr="002957E7">
        <w:rPr>
          <w:rFonts w:eastAsia="Calibri" w:cs="Calibri"/>
          <w:szCs w:val="22"/>
          <w:lang w:val="en-GB" w:eastAsia="en-US"/>
        </w:rPr>
        <w:t xml:space="preserve">karakteristikama </w:t>
      </w:r>
      <w:r w:rsidR="00D255FC">
        <w:rPr>
          <w:rFonts w:eastAsia="Calibri" w:cs="Calibri"/>
          <w:szCs w:val="22"/>
          <w:lang w:val="en-GB" w:eastAsia="en-US"/>
        </w:rPr>
        <w:t>svakog pojedinog deskriptora</w:t>
      </w:r>
      <w:r w:rsidRPr="002957E7">
        <w:rPr>
          <w:rFonts w:eastAsia="Calibri" w:cs="Calibri"/>
          <w:szCs w:val="22"/>
          <w:lang w:val="en-GB" w:eastAsia="en-US"/>
        </w:rPr>
        <w:t>, ovaj izv</w:t>
      </w:r>
      <w:r>
        <w:rPr>
          <w:rFonts w:eastAsia="Calibri" w:cs="Calibri"/>
          <w:szCs w:val="22"/>
          <w:lang w:val="en-GB" w:eastAsia="en-US"/>
        </w:rPr>
        <w:t>j</w:t>
      </w:r>
      <w:r w:rsidRPr="002957E7">
        <w:rPr>
          <w:rFonts w:eastAsia="Calibri" w:cs="Calibri"/>
          <w:szCs w:val="22"/>
          <w:lang w:val="en-GB" w:eastAsia="en-US"/>
        </w:rPr>
        <w:t>eštaj je strukturiran u dva dijela:</w:t>
      </w:r>
    </w:p>
    <w:p w14:paraId="38C2BCE3" w14:textId="77777777" w:rsidR="002957E7" w:rsidRDefault="002957E7" w:rsidP="000735D6">
      <w:pPr>
        <w:spacing w:before="0" w:after="0"/>
        <w:rPr>
          <w:rFonts w:eastAsia="Calibri" w:cs="Calibri"/>
          <w:color w:val="0070C0"/>
          <w:szCs w:val="22"/>
          <w:lang w:val="en-GB" w:eastAsia="en-US"/>
        </w:rPr>
      </w:pPr>
    </w:p>
    <w:p w14:paraId="123116AA" w14:textId="1A5D8728" w:rsidR="002957E7" w:rsidRDefault="000240E8" w:rsidP="000735D6">
      <w:pPr>
        <w:spacing w:before="0" w:after="0"/>
        <w:rPr>
          <w:rFonts w:eastAsia="Calibri" w:cs="Calibri"/>
          <w:szCs w:val="22"/>
          <w:lang w:val="en-GB" w:eastAsia="en-US"/>
        </w:rPr>
      </w:pPr>
      <w:r>
        <w:rPr>
          <w:rFonts w:eastAsiaTheme="minorHAnsi" w:cstheme="minorBidi"/>
          <w:szCs w:val="22"/>
          <w:lang w:val="en-GB" w:eastAsia="en-US"/>
        </w:rPr>
        <w:t>Prvi dio (</w:t>
      </w:r>
      <w:r w:rsidR="000735D6" w:rsidRPr="000735D6">
        <w:rPr>
          <w:rFonts w:eastAsiaTheme="minorHAnsi" w:cstheme="minorBidi"/>
          <w:szCs w:val="22"/>
          <w:lang w:val="en-GB" w:eastAsia="en-US"/>
        </w:rPr>
        <w:t>Dio I</w:t>
      </w:r>
      <w:r>
        <w:rPr>
          <w:rFonts w:eastAsiaTheme="minorHAnsi" w:cstheme="minorBidi"/>
          <w:szCs w:val="22"/>
          <w:lang w:val="en-GB" w:eastAsia="en-US"/>
        </w:rPr>
        <w:t>)</w:t>
      </w:r>
      <w:r w:rsidR="000735D6" w:rsidRPr="000735D6">
        <w:rPr>
          <w:rFonts w:eastAsiaTheme="minorHAnsi" w:cstheme="minorBidi"/>
          <w:szCs w:val="22"/>
          <w:lang w:val="en-GB" w:eastAsia="en-US"/>
        </w:rPr>
        <w:t xml:space="preserve"> pruža kriterijume i metodološke standarde za utvrđivanje dobrog stanja </w:t>
      </w:r>
      <w:r w:rsidR="00362B5C">
        <w:rPr>
          <w:rFonts w:eastAsiaTheme="minorHAnsi" w:cstheme="minorBidi"/>
          <w:szCs w:val="22"/>
          <w:lang w:val="en-GB" w:eastAsia="en-US"/>
        </w:rPr>
        <w:t>morske</w:t>
      </w:r>
      <w:r w:rsidR="000735D6" w:rsidRPr="000735D6">
        <w:rPr>
          <w:rFonts w:eastAsiaTheme="minorHAnsi" w:cstheme="minorBidi"/>
          <w:szCs w:val="22"/>
          <w:lang w:val="en-GB" w:eastAsia="en-US"/>
        </w:rPr>
        <w:t xml:space="preserve"> sredine pretežnih pritisaka i uticaja prema članu 8 (1) (b) Direktive 2008/56/EC i vođen indikativnom listom elemenata iz Aneksa III Direktive</w:t>
      </w:r>
      <w:r w:rsidR="000735D6" w:rsidRPr="000735D6">
        <w:rPr>
          <w:rFonts w:eastAsiaTheme="minorHAnsi"/>
        </w:rPr>
        <w:t xml:space="preserve"> Komisije</w:t>
      </w:r>
      <w:r w:rsidR="000735D6" w:rsidRPr="000735D6">
        <w:rPr>
          <w:rFonts w:eastAsiaTheme="minorHAnsi" w:cstheme="minorBidi"/>
          <w:szCs w:val="22"/>
          <w:lang w:val="en-GB" w:eastAsia="en-US"/>
        </w:rPr>
        <w:t xml:space="preserve"> 2017/845 o izmjeni Direktive 2008/56</w:t>
      </w:r>
      <w:r w:rsidR="000735D6">
        <w:rPr>
          <w:rFonts w:eastAsiaTheme="minorHAnsi" w:cstheme="minorBidi"/>
          <w:szCs w:val="22"/>
          <w:lang w:val="en-GB" w:eastAsia="en-US"/>
        </w:rPr>
        <w:t>/</w:t>
      </w:r>
      <w:r w:rsidR="000735D6" w:rsidRPr="000735D6">
        <w:rPr>
          <w:rFonts w:eastAsiaTheme="minorHAnsi" w:cstheme="minorBidi"/>
          <w:szCs w:val="22"/>
          <w:lang w:val="en-GB" w:eastAsia="en-US"/>
        </w:rPr>
        <w:t>EC.</w:t>
      </w:r>
      <w:r w:rsidR="00131076" w:rsidRPr="001C6CCA">
        <w:rPr>
          <w:rFonts w:eastAsia="Calibri" w:cs="Calibri"/>
          <w:szCs w:val="22"/>
          <w:lang w:val="en-GB" w:eastAsia="en-US"/>
        </w:rPr>
        <w:t xml:space="preserve"> </w:t>
      </w:r>
      <w:bookmarkStart w:id="14" w:name="_Hlk67842396"/>
      <w:r>
        <w:rPr>
          <w:rFonts w:eastAsia="Calibri" w:cs="Calibri"/>
          <w:szCs w:val="22"/>
          <w:lang w:val="en-GB" w:eastAsia="en-US"/>
        </w:rPr>
        <w:t>Relevantni antropogeni pritisci kojima su povezani određeni deskriptori su:</w:t>
      </w:r>
      <w:r w:rsidR="002957E7" w:rsidRPr="002957E7">
        <w:rPr>
          <w:rFonts w:eastAsia="Calibri" w:cs="Calibri"/>
          <w:szCs w:val="22"/>
          <w:lang w:val="en-GB" w:eastAsia="en-US"/>
        </w:rPr>
        <w:t xml:space="preserve"> biološki pritisci (</w:t>
      </w:r>
      <w:r w:rsidR="00D255FC">
        <w:rPr>
          <w:rFonts w:eastAsia="Calibri" w:cs="Calibri"/>
          <w:szCs w:val="22"/>
          <w:lang w:val="en-GB" w:eastAsia="en-US"/>
        </w:rPr>
        <w:t>D</w:t>
      </w:r>
      <w:r w:rsidR="002957E7" w:rsidRPr="002957E7">
        <w:rPr>
          <w:rFonts w:eastAsia="Calibri" w:cs="Calibri"/>
          <w:szCs w:val="22"/>
          <w:lang w:val="en-GB" w:eastAsia="en-US"/>
        </w:rPr>
        <w:t>eskriptori 2 i 3), fizički pritisci (</w:t>
      </w:r>
      <w:r w:rsidR="00D255FC">
        <w:rPr>
          <w:rFonts w:eastAsia="Calibri" w:cs="Calibri"/>
          <w:szCs w:val="22"/>
          <w:lang w:val="en-GB" w:eastAsia="en-US"/>
        </w:rPr>
        <w:t>D</w:t>
      </w:r>
      <w:r w:rsidR="002957E7" w:rsidRPr="002957E7">
        <w:rPr>
          <w:rFonts w:eastAsia="Calibri" w:cs="Calibri"/>
          <w:szCs w:val="22"/>
          <w:lang w:val="en-GB" w:eastAsia="en-US"/>
        </w:rPr>
        <w:t xml:space="preserve">eskriptori 6 i 7) i </w:t>
      </w:r>
      <w:r w:rsidR="00D255FC">
        <w:rPr>
          <w:rFonts w:eastAsia="Calibri" w:cs="Calibri"/>
          <w:szCs w:val="22"/>
          <w:lang w:val="en-GB" w:eastAsia="en-US"/>
        </w:rPr>
        <w:t xml:space="preserve">unos </w:t>
      </w:r>
      <w:r w:rsidR="002957E7" w:rsidRPr="002957E7">
        <w:rPr>
          <w:rFonts w:eastAsia="Calibri" w:cs="Calibri"/>
          <w:szCs w:val="22"/>
          <w:lang w:val="en-GB" w:eastAsia="en-US"/>
        </w:rPr>
        <w:t>supstanc</w:t>
      </w:r>
      <w:r w:rsidR="00D255FC">
        <w:rPr>
          <w:rFonts w:eastAsia="Calibri" w:cs="Calibri"/>
          <w:szCs w:val="22"/>
          <w:lang w:val="en-GB" w:eastAsia="en-US"/>
        </w:rPr>
        <w:t>i</w:t>
      </w:r>
      <w:r w:rsidR="002957E7" w:rsidRPr="002957E7">
        <w:rPr>
          <w:rFonts w:eastAsia="Calibri" w:cs="Calibri"/>
          <w:szCs w:val="22"/>
          <w:lang w:val="en-GB" w:eastAsia="en-US"/>
        </w:rPr>
        <w:t xml:space="preserve">, </w:t>
      </w:r>
      <w:r w:rsidR="002957E7">
        <w:rPr>
          <w:rFonts w:eastAsia="Calibri" w:cs="Calibri"/>
          <w:szCs w:val="22"/>
          <w:lang w:val="en-GB" w:eastAsia="en-US"/>
        </w:rPr>
        <w:t>otpad</w:t>
      </w:r>
      <w:r w:rsidR="00D255FC">
        <w:rPr>
          <w:rFonts w:eastAsia="Calibri" w:cs="Calibri"/>
          <w:szCs w:val="22"/>
          <w:lang w:val="en-GB" w:eastAsia="en-US"/>
        </w:rPr>
        <w:t>a</w:t>
      </w:r>
      <w:r w:rsidR="002957E7" w:rsidRPr="002957E7">
        <w:rPr>
          <w:rFonts w:eastAsia="Calibri" w:cs="Calibri"/>
          <w:szCs w:val="22"/>
          <w:lang w:val="en-GB" w:eastAsia="en-US"/>
        </w:rPr>
        <w:t xml:space="preserve"> i energij</w:t>
      </w:r>
      <w:r w:rsidR="00D255FC">
        <w:rPr>
          <w:rFonts w:eastAsia="Calibri" w:cs="Calibri"/>
          <w:szCs w:val="22"/>
          <w:lang w:val="en-GB" w:eastAsia="en-US"/>
        </w:rPr>
        <w:t>e</w:t>
      </w:r>
      <w:r w:rsidR="002957E7" w:rsidRPr="002957E7">
        <w:rPr>
          <w:rFonts w:eastAsia="Calibri" w:cs="Calibri"/>
          <w:szCs w:val="22"/>
          <w:lang w:val="en-GB" w:eastAsia="en-US"/>
        </w:rPr>
        <w:t xml:space="preserve"> (</w:t>
      </w:r>
      <w:r w:rsidR="00D255FC">
        <w:rPr>
          <w:rFonts w:eastAsia="Calibri" w:cs="Calibri"/>
          <w:szCs w:val="22"/>
          <w:lang w:val="en-GB" w:eastAsia="en-US"/>
        </w:rPr>
        <w:t>D</w:t>
      </w:r>
      <w:r w:rsidR="002957E7" w:rsidRPr="002957E7">
        <w:rPr>
          <w:rFonts w:eastAsia="Calibri" w:cs="Calibri"/>
          <w:szCs w:val="22"/>
          <w:lang w:val="en-GB" w:eastAsia="en-US"/>
        </w:rPr>
        <w:t xml:space="preserve">eskriptori 5, 8, 9, 10 i 11), </w:t>
      </w:r>
      <w:r w:rsidR="002957E7" w:rsidRPr="002957E7">
        <w:rPr>
          <w:rFonts w:eastAsiaTheme="minorHAnsi" w:cstheme="minorBidi"/>
          <w:szCs w:val="22"/>
          <w:lang w:val="en-GB" w:eastAsia="en-US"/>
        </w:rPr>
        <w:t xml:space="preserve">kako je navedeno u Aneksu </w:t>
      </w:r>
      <w:r w:rsidR="002957E7" w:rsidRPr="002957E7">
        <w:rPr>
          <w:rFonts w:eastAsia="Calibri" w:cs="Calibri"/>
          <w:szCs w:val="22"/>
          <w:lang w:val="en-GB" w:eastAsia="en-US"/>
        </w:rPr>
        <w:t>III Direktivi 2008/56</w:t>
      </w:r>
      <w:r w:rsidR="002957E7">
        <w:rPr>
          <w:rFonts w:eastAsia="Calibri" w:cs="Calibri"/>
          <w:szCs w:val="22"/>
          <w:lang w:val="en-GB" w:eastAsia="en-US"/>
        </w:rPr>
        <w:t>/E</w:t>
      </w:r>
      <w:r w:rsidR="002957E7" w:rsidRPr="002957E7">
        <w:rPr>
          <w:rFonts w:eastAsia="Calibri" w:cs="Calibri"/>
          <w:szCs w:val="22"/>
          <w:lang w:val="en-GB" w:eastAsia="en-US"/>
        </w:rPr>
        <w:t>C.</w:t>
      </w:r>
      <w:bookmarkEnd w:id="14"/>
    </w:p>
    <w:p w14:paraId="055188FC" w14:textId="003F45EA" w:rsidR="00131076" w:rsidRPr="000735D6" w:rsidRDefault="00131076" w:rsidP="000735D6">
      <w:pPr>
        <w:spacing w:before="0" w:after="0"/>
        <w:rPr>
          <w:rFonts w:eastAsia="Calibri" w:cs="Calibri"/>
          <w:color w:val="0070C0"/>
          <w:szCs w:val="22"/>
          <w:lang w:val="en-GB" w:eastAsia="en-US"/>
        </w:rPr>
      </w:pPr>
      <w:r w:rsidRPr="000735D6">
        <w:rPr>
          <w:rFonts w:eastAsia="Calibri" w:cs="Calibri"/>
          <w:color w:val="0070C0"/>
          <w:szCs w:val="22"/>
          <w:lang w:val="en-GB" w:eastAsia="en-US"/>
        </w:rPr>
        <w:t xml:space="preserve"> </w:t>
      </w:r>
      <w:bookmarkStart w:id="15" w:name="_Hlk67939608"/>
    </w:p>
    <w:bookmarkEnd w:id="15"/>
    <w:p w14:paraId="6A7BFFFF" w14:textId="768CFD70" w:rsidR="002957E7" w:rsidRDefault="000240E8" w:rsidP="002957E7">
      <w:pPr>
        <w:spacing w:before="0" w:after="0"/>
        <w:rPr>
          <w:rFonts w:eastAsiaTheme="minorHAnsi" w:cstheme="minorBidi"/>
          <w:szCs w:val="22"/>
          <w:lang w:val="en-GB" w:eastAsia="en-US"/>
        </w:rPr>
      </w:pPr>
      <w:r>
        <w:rPr>
          <w:rFonts w:eastAsiaTheme="minorHAnsi" w:cstheme="minorBidi"/>
          <w:szCs w:val="22"/>
          <w:lang w:val="en-GB" w:eastAsia="en-US"/>
        </w:rPr>
        <w:t>Drugi dio (</w:t>
      </w:r>
      <w:r w:rsidR="000735D6" w:rsidRPr="000735D6">
        <w:rPr>
          <w:rFonts w:eastAsiaTheme="minorHAnsi" w:cstheme="minorBidi"/>
          <w:szCs w:val="22"/>
          <w:lang w:val="en-GB" w:eastAsia="en-US"/>
        </w:rPr>
        <w:t>Dio II</w:t>
      </w:r>
      <w:r>
        <w:rPr>
          <w:rFonts w:eastAsiaTheme="minorHAnsi" w:cstheme="minorBidi"/>
          <w:szCs w:val="22"/>
          <w:lang w:val="en-GB" w:eastAsia="en-US"/>
        </w:rPr>
        <w:t>)</w:t>
      </w:r>
      <w:r w:rsidR="000735D6" w:rsidRPr="000735D6">
        <w:rPr>
          <w:rFonts w:eastAsiaTheme="minorHAnsi" w:cstheme="minorBidi"/>
          <w:szCs w:val="22"/>
          <w:lang w:val="en-GB" w:eastAsia="en-US"/>
        </w:rPr>
        <w:t xml:space="preserve"> detaljno opisuje kriterijume i metodološke standarde za utvrđivanje dobrog stanja </w:t>
      </w:r>
      <w:r w:rsidR="00CB6577">
        <w:rPr>
          <w:rFonts w:eastAsiaTheme="minorHAnsi" w:cstheme="minorBidi"/>
          <w:szCs w:val="22"/>
          <w:lang w:val="en-GB" w:eastAsia="en-US"/>
        </w:rPr>
        <w:t>morske</w:t>
      </w:r>
      <w:r w:rsidR="000735D6" w:rsidRPr="000735D6">
        <w:rPr>
          <w:rFonts w:eastAsiaTheme="minorHAnsi" w:cstheme="minorBidi"/>
          <w:szCs w:val="22"/>
          <w:lang w:val="en-GB" w:eastAsia="en-US"/>
        </w:rPr>
        <w:t xml:space="preserve"> sredine u odnosu na procjenu stanja prema članu 8 (1) (a) Direktive 2008/56/ EC i vođen indikativnom listom elemenata iz Aneksa III Direktive Komisije 2017/845 o izmjeni Direktive 2008/56/EC</w:t>
      </w:r>
      <w:r>
        <w:rPr>
          <w:rFonts w:eastAsiaTheme="minorHAnsi" w:cstheme="minorBidi"/>
          <w:szCs w:val="22"/>
          <w:lang w:val="en-GB" w:eastAsia="en-US"/>
        </w:rPr>
        <w:t xml:space="preserve"> a koji povezuju deskriptore sa relevantnim elementima ekosistema kako slijedi: </w:t>
      </w:r>
      <w:r w:rsidR="00131076" w:rsidRPr="001C6CCA">
        <w:rPr>
          <w:rFonts w:cs="Calibri"/>
          <w:szCs w:val="22"/>
          <w:lang w:val="en-GB"/>
        </w:rPr>
        <w:t xml:space="preserve"> </w:t>
      </w:r>
    </w:p>
    <w:p w14:paraId="727576D4" w14:textId="1116D549" w:rsidR="002957E7" w:rsidRPr="002957E7" w:rsidRDefault="002957E7" w:rsidP="002957E7">
      <w:pPr>
        <w:spacing w:before="0" w:after="160"/>
        <w:rPr>
          <w:rFonts w:eastAsiaTheme="minorHAnsi" w:cstheme="minorBidi"/>
          <w:szCs w:val="22"/>
          <w:lang w:val="en-GB" w:eastAsia="en-US"/>
        </w:rPr>
      </w:pPr>
      <w:r w:rsidRPr="002957E7">
        <w:rPr>
          <w:rFonts w:eastAsiaTheme="minorHAnsi" w:cstheme="minorBidi"/>
          <w:szCs w:val="22"/>
          <w:lang w:val="en-GB" w:eastAsia="en-US"/>
        </w:rPr>
        <w:t>grupe vrsta ptica, sisara, gmizavaca i riba (Deskriptor 1), pelagična</w:t>
      </w:r>
      <w:r>
        <w:rPr>
          <w:rFonts w:eastAsiaTheme="minorHAnsi" w:cstheme="minorBidi"/>
          <w:szCs w:val="22"/>
          <w:lang w:val="en-GB" w:eastAsia="en-US"/>
        </w:rPr>
        <w:t xml:space="preserve"> staništa (Deskriptor 1), bentos</w:t>
      </w:r>
      <w:r w:rsidRPr="002957E7">
        <w:rPr>
          <w:rFonts w:eastAsiaTheme="minorHAnsi" w:cstheme="minorBidi"/>
          <w:szCs w:val="22"/>
          <w:lang w:val="en-GB" w:eastAsia="en-US"/>
        </w:rPr>
        <w:t>ka staništa (Deskriptori 1 i 6) i ekosistemi, uključujući prehrambene mreže (Deskriptori 1 i 4), kako je navedeno u Aneksu III Direktive 2008/56/EC (1).</w:t>
      </w:r>
    </w:p>
    <w:p w14:paraId="09848A6C" w14:textId="61DED599" w:rsidR="002957E7" w:rsidRDefault="002957E7" w:rsidP="00F5120E">
      <w:pPr>
        <w:spacing w:before="0" w:after="160"/>
        <w:rPr>
          <w:rFonts w:eastAsiaTheme="minorHAnsi" w:cstheme="minorBidi"/>
          <w:szCs w:val="22"/>
          <w:lang w:val="en-GB" w:eastAsia="en-US"/>
        </w:rPr>
      </w:pPr>
      <w:r w:rsidRPr="002957E7">
        <w:rPr>
          <w:rFonts w:eastAsiaTheme="minorHAnsi" w:cstheme="minorBidi"/>
          <w:szCs w:val="22"/>
          <w:lang w:val="en-GB" w:eastAsia="en-US"/>
        </w:rPr>
        <w:t xml:space="preserve">Svaki deskriptor pokriva sledeće: (i) </w:t>
      </w:r>
      <w:r>
        <w:rPr>
          <w:rFonts w:eastAsiaTheme="minorHAnsi" w:cstheme="minorBidi"/>
          <w:szCs w:val="22"/>
          <w:lang w:val="en-GB" w:eastAsia="en-US"/>
        </w:rPr>
        <w:t>osnovne informacije</w:t>
      </w:r>
      <w:r w:rsidRPr="002957E7">
        <w:rPr>
          <w:rFonts w:eastAsiaTheme="minorHAnsi" w:cstheme="minorBidi"/>
          <w:szCs w:val="22"/>
          <w:lang w:val="en-GB" w:eastAsia="en-US"/>
        </w:rPr>
        <w:t>; (ii) rezime trenutnog stanja iz početne proc</w:t>
      </w:r>
      <w:r>
        <w:rPr>
          <w:rFonts w:eastAsiaTheme="minorHAnsi" w:cstheme="minorBidi"/>
          <w:szCs w:val="22"/>
          <w:lang w:val="en-GB" w:eastAsia="en-US"/>
        </w:rPr>
        <w:t>j</w:t>
      </w:r>
      <w:r w:rsidRPr="002957E7">
        <w:rPr>
          <w:rFonts w:eastAsiaTheme="minorHAnsi" w:cstheme="minorBidi"/>
          <w:szCs w:val="22"/>
          <w:lang w:val="en-GB" w:eastAsia="en-US"/>
        </w:rPr>
        <w:t xml:space="preserve">ene; (iii) </w:t>
      </w:r>
      <w:r w:rsidR="00A5342E">
        <w:rPr>
          <w:rFonts w:eastAsiaTheme="minorHAnsi" w:cstheme="minorBidi"/>
          <w:szCs w:val="22"/>
          <w:lang w:val="en-GB" w:eastAsia="en-US"/>
        </w:rPr>
        <w:t xml:space="preserve">pristup utvrđivanju </w:t>
      </w:r>
      <w:r w:rsidRPr="002957E7">
        <w:rPr>
          <w:rFonts w:eastAsiaTheme="minorHAnsi" w:cstheme="minorBidi"/>
          <w:szCs w:val="22"/>
          <w:lang w:val="en-GB" w:eastAsia="en-US"/>
        </w:rPr>
        <w:t>karakteristik</w:t>
      </w:r>
      <w:r w:rsidR="00A5342E">
        <w:rPr>
          <w:rFonts w:eastAsiaTheme="minorHAnsi" w:cstheme="minorBidi"/>
          <w:szCs w:val="22"/>
          <w:lang w:val="en-GB" w:eastAsia="en-US"/>
        </w:rPr>
        <w:t>a</w:t>
      </w:r>
      <w:r w:rsidRPr="002957E7">
        <w:rPr>
          <w:rFonts w:eastAsiaTheme="minorHAnsi" w:cstheme="minorBidi"/>
          <w:szCs w:val="22"/>
          <w:lang w:val="en-GB" w:eastAsia="en-US"/>
        </w:rPr>
        <w:t xml:space="preserve"> GES-a i povezane ciljeve i indikatore; (iv) pristup </w:t>
      </w:r>
      <w:r w:rsidR="00D255FC">
        <w:rPr>
          <w:rFonts w:eastAsiaTheme="minorHAnsi" w:cstheme="minorBidi"/>
          <w:szCs w:val="22"/>
          <w:lang w:val="en-GB" w:eastAsia="en-US"/>
        </w:rPr>
        <w:t>definisanju c</w:t>
      </w:r>
      <w:r w:rsidRPr="002957E7">
        <w:rPr>
          <w:rFonts w:eastAsiaTheme="minorHAnsi" w:cstheme="minorBidi"/>
          <w:szCs w:val="22"/>
          <w:lang w:val="en-GB" w:eastAsia="en-US"/>
        </w:rPr>
        <w:t xml:space="preserve">iljeva za </w:t>
      </w:r>
      <w:r w:rsidR="00D255FC">
        <w:rPr>
          <w:rFonts w:eastAsiaTheme="minorHAnsi" w:cstheme="minorBidi"/>
          <w:szCs w:val="22"/>
          <w:lang w:val="en-GB" w:eastAsia="en-US"/>
        </w:rPr>
        <w:t>postizanje i/ili održavanje GES-a</w:t>
      </w:r>
      <w:r>
        <w:rPr>
          <w:rFonts w:eastAsiaTheme="minorHAnsi" w:cstheme="minorBidi"/>
          <w:szCs w:val="22"/>
          <w:lang w:val="en-GB" w:eastAsia="en-US"/>
        </w:rPr>
        <w:t xml:space="preserve">; i (v) rezime ključnih nedostataka </w:t>
      </w:r>
      <w:r w:rsidRPr="002957E7">
        <w:rPr>
          <w:rFonts w:eastAsiaTheme="minorHAnsi" w:cstheme="minorBidi"/>
          <w:szCs w:val="22"/>
          <w:lang w:val="en-GB" w:eastAsia="en-US"/>
        </w:rPr>
        <w:t>i razvojnih potreba.</w:t>
      </w:r>
    </w:p>
    <w:p w14:paraId="57EE3A9B" w14:textId="34CF9E55" w:rsidR="00131076" w:rsidRPr="002957E7" w:rsidRDefault="000735D6" w:rsidP="00131076">
      <w:pPr>
        <w:autoSpaceDE w:val="0"/>
        <w:autoSpaceDN w:val="0"/>
        <w:adjustRightInd w:val="0"/>
        <w:spacing w:before="0" w:after="160"/>
        <w:rPr>
          <w:rFonts w:eastAsia="Calibri" w:cs="Calibri"/>
          <w:b/>
          <w:szCs w:val="22"/>
          <w:lang w:val="en-GB" w:eastAsia="en-US"/>
        </w:rPr>
      </w:pPr>
      <w:r w:rsidRPr="002957E7">
        <w:rPr>
          <w:rFonts w:eastAsia="Calibri" w:cs="Calibri"/>
          <w:b/>
          <w:szCs w:val="22"/>
          <w:lang w:val="en-GB" w:eastAsia="en-US"/>
        </w:rPr>
        <w:t>DIO</w:t>
      </w:r>
      <w:r w:rsidR="00247CB5" w:rsidRPr="002957E7">
        <w:rPr>
          <w:rFonts w:eastAsia="Calibri" w:cs="Calibri"/>
          <w:b/>
          <w:szCs w:val="22"/>
          <w:lang w:val="en-GB" w:eastAsia="en-US"/>
        </w:rPr>
        <w:t xml:space="preserve"> I</w:t>
      </w:r>
      <w:r w:rsidR="00131076" w:rsidRPr="002957E7">
        <w:rPr>
          <w:rFonts w:eastAsia="Calibri" w:cs="Calibri"/>
          <w:b/>
          <w:szCs w:val="22"/>
          <w:lang w:val="en-GB" w:eastAsia="en-US"/>
        </w:rPr>
        <w:t xml:space="preserve">: </w:t>
      </w:r>
      <w:r w:rsidR="002957E7" w:rsidRPr="002957E7">
        <w:rPr>
          <w:rFonts w:eastAsia="Calibri" w:cs="Calibri"/>
          <w:b/>
          <w:szCs w:val="22"/>
          <w:lang w:val="en-GB" w:eastAsia="en-US"/>
        </w:rPr>
        <w:t>Deskriptori povezani sa relevantnim antropogenim pritiscima</w:t>
      </w:r>
    </w:p>
    <w:p w14:paraId="36D848DE" w14:textId="00999D5F" w:rsidR="000735D6" w:rsidRPr="001C6CCA" w:rsidRDefault="000735D6" w:rsidP="00131076">
      <w:pPr>
        <w:spacing w:before="0" w:after="160"/>
        <w:rPr>
          <w:rFonts w:eastAsia="Calibri" w:cs="Calibri"/>
          <w:color w:val="000000"/>
          <w:szCs w:val="22"/>
          <w:lang w:val="en-GB" w:eastAsia="en-US"/>
        </w:rPr>
      </w:pPr>
      <w:r w:rsidRPr="000735D6">
        <w:rPr>
          <w:rFonts w:cs="Stag Sans Book"/>
          <w:b/>
          <w:color w:val="000000"/>
          <w:szCs w:val="22"/>
          <w:lang w:val="en-GB"/>
        </w:rPr>
        <w:t>Deskriptor 2 -  Strane vrste</w:t>
      </w:r>
      <w:r>
        <w:rPr>
          <w:rFonts w:cs="Stag Sans Book"/>
          <w:color w:val="000000"/>
          <w:szCs w:val="22"/>
          <w:lang w:val="en-GB"/>
        </w:rPr>
        <w:t xml:space="preserve"> </w:t>
      </w:r>
      <w:r w:rsidRPr="001D6381">
        <w:rPr>
          <w:rFonts w:cs="Stag Sans Book"/>
          <w:color w:val="000000"/>
          <w:szCs w:val="22"/>
          <w:lang w:val="en-GB"/>
        </w:rPr>
        <w:t>odnos</w:t>
      </w:r>
      <w:r>
        <w:rPr>
          <w:rFonts w:cs="Stag Sans Book"/>
          <w:color w:val="000000"/>
          <w:szCs w:val="22"/>
          <w:lang w:val="en-GB"/>
        </w:rPr>
        <w:t>e se</w:t>
      </w:r>
      <w:r w:rsidRPr="001D6381">
        <w:rPr>
          <w:rFonts w:cs="Stag Sans Book"/>
          <w:color w:val="000000"/>
          <w:szCs w:val="22"/>
          <w:lang w:val="en-GB"/>
        </w:rPr>
        <w:t xml:space="preserve"> na prisustvo </w:t>
      </w:r>
      <w:r w:rsidR="00A5342E">
        <w:rPr>
          <w:rFonts w:cs="Stag Sans Book"/>
          <w:color w:val="000000"/>
          <w:szCs w:val="22"/>
          <w:lang w:val="en-GB"/>
        </w:rPr>
        <w:t xml:space="preserve">stranih </w:t>
      </w:r>
      <w:r w:rsidRPr="001D6381">
        <w:rPr>
          <w:rFonts w:cs="Stag Sans Book"/>
          <w:color w:val="000000"/>
          <w:szCs w:val="22"/>
          <w:lang w:val="en-GB"/>
        </w:rPr>
        <w:t>(</w:t>
      </w:r>
      <w:r w:rsidR="00A5342E">
        <w:rPr>
          <w:rFonts w:cs="Stag Sans Book"/>
          <w:color w:val="000000"/>
          <w:szCs w:val="22"/>
          <w:lang w:val="en-GB"/>
        </w:rPr>
        <w:t>alohtonih</w:t>
      </w:r>
      <w:r w:rsidRPr="001D6381">
        <w:rPr>
          <w:rFonts w:cs="Stag Sans Book"/>
          <w:color w:val="000000"/>
          <w:szCs w:val="22"/>
          <w:lang w:val="en-GB"/>
        </w:rPr>
        <w:t>) vrsta koje, prema Zakonu o stranim i invazivnim alohtonim vrstama biljaka, životinja i gljiva, predstavljaju bilo koju pojedinačnu živu vrstu, podvrstu ili nižu taksonomsku grupu životinja, biljaka, gljiva ili mikroorganizama unesenih izvan njihovog prirodnog područja, uključujući njihove djelove, polne ćelije, sjeme, jaja ili propagule ovih vrsta, kao i hibride, sorte ili pasmine sposobne za opstanak i dalju reprodukciju</w:t>
      </w:r>
      <w:r>
        <w:rPr>
          <w:rFonts w:cs="Stag Sans Book"/>
          <w:color w:val="000000"/>
          <w:szCs w:val="22"/>
          <w:lang w:val="en-GB"/>
        </w:rPr>
        <w:t xml:space="preserve"> </w:t>
      </w:r>
      <w:r w:rsidRPr="000735D6">
        <w:rPr>
          <w:rFonts w:cs="Stag Sans Book"/>
          <w:color w:val="000000"/>
          <w:szCs w:val="22"/>
          <w:lang w:val="en-GB"/>
        </w:rPr>
        <w:t>(„Službeni list Crne Gore“, br. 18/2019).</w:t>
      </w:r>
      <w:r w:rsidR="00AD2390" w:rsidRPr="00AD2390">
        <w:t xml:space="preserve"> </w:t>
      </w:r>
      <w:r w:rsidR="00AD2390">
        <w:t xml:space="preserve">Ukupno </w:t>
      </w:r>
      <w:r w:rsidR="00AD2390" w:rsidRPr="00AD2390">
        <w:rPr>
          <w:rFonts w:cs="Stag Sans Book"/>
          <w:color w:val="000000"/>
          <w:szCs w:val="22"/>
          <w:lang w:val="en-GB"/>
        </w:rPr>
        <w:t xml:space="preserve">36 </w:t>
      </w:r>
      <w:r w:rsidR="00AD2390">
        <w:rPr>
          <w:rFonts w:cs="Stag Sans Book"/>
          <w:color w:val="000000"/>
          <w:szCs w:val="22"/>
          <w:lang w:val="en-GB"/>
        </w:rPr>
        <w:t xml:space="preserve">stranih vrsta </w:t>
      </w:r>
      <w:r w:rsidR="00AD2390" w:rsidRPr="00AD2390">
        <w:rPr>
          <w:rFonts w:cs="Stag Sans Book"/>
          <w:color w:val="000000"/>
          <w:szCs w:val="22"/>
          <w:lang w:val="en-GB"/>
        </w:rPr>
        <w:t>uspostav</w:t>
      </w:r>
      <w:r w:rsidR="00AD2390">
        <w:rPr>
          <w:rFonts w:cs="Stag Sans Book"/>
          <w:color w:val="000000"/>
          <w:szCs w:val="22"/>
          <w:lang w:val="en-GB"/>
        </w:rPr>
        <w:t xml:space="preserve">ljeno je </w:t>
      </w:r>
      <w:r w:rsidR="00AD2390" w:rsidRPr="00AD2390">
        <w:rPr>
          <w:rFonts w:cs="Stag Sans Book"/>
          <w:color w:val="000000"/>
          <w:szCs w:val="22"/>
          <w:lang w:val="en-GB"/>
        </w:rPr>
        <w:t>u moru Crne Gore, ali nema dovoljno podataka za proc</w:t>
      </w:r>
      <w:r w:rsidR="00AD2390">
        <w:rPr>
          <w:rFonts w:cs="Stag Sans Book"/>
          <w:color w:val="000000"/>
          <w:szCs w:val="22"/>
          <w:lang w:val="en-GB"/>
        </w:rPr>
        <w:t>j</w:t>
      </w:r>
      <w:r w:rsidR="00AD2390" w:rsidRPr="00AD2390">
        <w:rPr>
          <w:rFonts w:cs="Stag Sans Book"/>
          <w:color w:val="000000"/>
          <w:szCs w:val="22"/>
          <w:lang w:val="en-GB"/>
        </w:rPr>
        <w:t xml:space="preserve">enu njihovog štetnog uticaja. Međutim, </w:t>
      </w:r>
      <w:r w:rsidR="00A5342E">
        <w:rPr>
          <w:rFonts w:cs="Stag Sans Book"/>
          <w:color w:val="000000"/>
          <w:szCs w:val="22"/>
          <w:lang w:val="en-GB"/>
        </w:rPr>
        <w:t xml:space="preserve">u ovom tekstu </w:t>
      </w:r>
      <w:r w:rsidR="00AD2390" w:rsidRPr="00AD2390">
        <w:rPr>
          <w:rFonts w:cs="Stag Sans Book"/>
          <w:color w:val="000000"/>
          <w:szCs w:val="22"/>
          <w:lang w:val="en-GB"/>
        </w:rPr>
        <w:t>pripremljen je osnovni nacionalni pregled postojeć</w:t>
      </w:r>
      <w:r w:rsidR="00AD2390">
        <w:rPr>
          <w:rFonts w:cs="Stag Sans Book"/>
          <w:color w:val="000000"/>
          <w:szCs w:val="22"/>
          <w:lang w:val="en-GB"/>
        </w:rPr>
        <w:t>ih stranih vrsta</w:t>
      </w:r>
      <w:r w:rsidR="00AD2390" w:rsidRPr="00AD2390">
        <w:rPr>
          <w:rFonts w:cs="Stag Sans Book"/>
          <w:color w:val="000000"/>
          <w:szCs w:val="22"/>
          <w:lang w:val="en-GB"/>
        </w:rPr>
        <w:t xml:space="preserve"> koji bi trebao da bude osnova za kontinuiran</w:t>
      </w:r>
      <w:r w:rsidR="00D61B02">
        <w:rPr>
          <w:rFonts w:cs="Stag Sans Book"/>
          <w:color w:val="000000"/>
          <w:szCs w:val="22"/>
          <w:lang w:val="en-GB"/>
        </w:rPr>
        <w:t>o</w:t>
      </w:r>
      <w:r w:rsidR="00AD2390">
        <w:rPr>
          <w:rFonts w:cs="Stag Sans Book"/>
          <w:color w:val="000000"/>
          <w:szCs w:val="22"/>
          <w:lang w:val="en-GB"/>
        </w:rPr>
        <w:t xml:space="preserve"> </w:t>
      </w:r>
      <w:r w:rsidR="00D61B02">
        <w:rPr>
          <w:rFonts w:cs="Stag Sans Book"/>
          <w:color w:val="000000"/>
          <w:szCs w:val="22"/>
          <w:lang w:val="en-GB"/>
        </w:rPr>
        <w:t>praćenje stanja z</w:t>
      </w:r>
      <w:r w:rsidR="00AD2390" w:rsidRPr="00AD2390">
        <w:rPr>
          <w:rFonts w:cs="Stag Sans Book"/>
          <w:color w:val="000000"/>
          <w:szCs w:val="22"/>
          <w:lang w:val="en-GB"/>
        </w:rPr>
        <w:t>a buduću proc</w:t>
      </w:r>
      <w:r w:rsidR="00AD2390">
        <w:rPr>
          <w:rFonts w:cs="Stag Sans Book"/>
          <w:color w:val="000000"/>
          <w:szCs w:val="22"/>
          <w:lang w:val="en-GB"/>
        </w:rPr>
        <w:t>j</w:t>
      </w:r>
      <w:r w:rsidR="00AD2390" w:rsidRPr="00AD2390">
        <w:rPr>
          <w:rFonts w:cs="Stag Sans Book"/>
          <w:color w:val="000000"/>
          <w:szCs w:val="22"/>
          <w:lang w:val="en-GB"/>
        </w:rPr>
        <w:t xml:space="preserve">enu GES-a u okviru 6-godišnjeg ciklusa </w:t>
      </w:r>
      <w:r w:rsidR="00AD2390">
        <w:rPr>
          <w:rFonts w:cs="Stag Sans Book"/>
          <w:color w:val="000000"/>
          <w:szCs w:val="22"/>
          <w:lang w:val="en-GB"/>
        </w:rPr>
        <w:t xml:space="preserve">ODMS-a. </w:t>
      </w:r>
    </w:p>
    <w:p w14:paraId="47D3A1E5" w14:textId="28089835" w:rsidR="00C9607F" w:rsidRPr="00C9607F" w:rsidRDefault="00C9607F" w:rsidP="00C9607F">
      <w:pPr>
        <w:spacing w:before="0" w:after="160"/>
        <w:rPr>
          <w:rFonts w:eastAsia="Calibri" w:cs="Calibri"/>
          <w:color w:val="000000"/>
          <w:szCs w:val="22"/>
          <w:lang w:val="en-GB" w:eastAsia="en-US"/>
        </w:rPr>
      </w:pPr>
      <w:r>
        <w:rPr>
          <w:rFonts w:eastAsia="Calibri" w:cs="Calibri"/>
          <w:color w:val="000000"/>
          <w:szCs w:val="22"/>
          <w:lang w:val="en-GB" w:eastAsia="en-US"/>
        </w:rPr>
        <w:t xml:space="preserve">Usljed </w:t>
      </w:r>
      <w:r w:rsidRPr="00C9607F">
        <w:rPr>
          <w:rFonts w:eastAsia="Calibri" w:cs="Calibri"/>
          <w:color w:val="000000"/>
          <w:szCs w:val="22"/>
          <w:lang w:val="en-GB" w:eastAsia="en-US"/>
        </w:rPr>
        <w:t xml:space="preserve">nedostatka informacija o </w:t>
      </w:r>
      <w:r>
        <w:rPr>
          <w:rFonts w:eastAsia="Calibri" w:cs="Calibri"/>
          <w:color w:val="000000"/>
          <w:szCs w:val="22"/>
          <w:lang w:val="en-GB" w:eastAsia="en-US"/>
        </w:rPr>
        <w:t xml:space="preserve">postojećoj brojnosti, rasprostanjenosti, </w:t>
      </w:r>
      <w:r w:rsidRPr="00C9607F">
        <w:rPr>
          <w:rFonts w:eastAsia="Calibri" w:cs="Calibri"/>
          <w:color w:val="000000"/>
          <w:szCs w:val="22"/>
          <w:lang w:val="en-GB" w:eastAsia="en-US"/>
        </w:rPr>
        <w:t xml:space="preserve"> i uticajima invazivn</w:t>
      </w:r>
      <w:r>
        <w:rPr>
          <w:rFonts w:eastAsia="Calibri" w:cs="Calibri"/>
          <w:color w:val="000000"/>
          <w:szCs w:val="22"/>
          <w:lang w:val="en-GB" w:eastAsia="en-US"/>
        </w:rPr>
        <w:t>ih stranih vrsta</w:t>
      </w:r>
      <w:r w:rsidRPr="00C9607F">
        <w:rPr>
          <w:rFonts w:eastAsia="Calibri" w:cs="Calibri"/>
          <w:color w:val="000000"/>
          <w:szCs w:val="22"/>
          <w:lang w:val="en-GB" w:eastAsia="en-US"/>
        </w:rPr>
        <w:t xml:space="preserve"> i vrlo visokih troškova i nedostatka izvodljivosti povezanih sa </w:t>
      </w:r>
      <w:r>
        <w:rPr>
          <w:rFonts w:eastAsia="Calibri" w:cs="Calibri"/>
          <w:color w:val="000000"/>
          <w:szCs w:val="22"/>
          <w:lang w:val="en-GB" w:eastAsia="en-US"/>
        </w:rPr>
        <w:t>obuhvatnijim</w:t>
      </w:r>
      <w:r w:rsidRPr="00C9607F">
        <w:rPr>
          <w:rFonts w:eastAsia="Calibri" w:cs="Calibri"/>
          <w:color w:val="000000"/>
          <w:szCs w:val="22"/>
          <w:lang w:val="en-GB" w:eastAsia="en-US"/>
        </w:rPr>
        <w:t xml:space="preserve"> programima upravljanja ili iskor</w:t>
      </w:r>
      <w:r>
        <w:rPr>
          <w:rFonts w:eastAsia="Calibri" w:cs="Calibri"/>
          <w:color w:val="000000"/>
          <w:szCs w:val="22"/>
          <w:lang w:val="en-GB" w:eastAsia="en-US"/>
        </w:rPr>
        <w:t>jenjivanja, ciljevi ovog D</w:t>
      </w:r>
      <w:r w:rsidRPr="00C9607F">
        <w:rPr>
          <w:rFonts w:eastAsia="Calibri" w:cs="Calibri"/>
          <w:color w:val="000000"/>
          <w:szCs w:val="22"/>
          <w:lang w:val="en-GB" w:eastAsia="en-US"/>
        </w:rPr>
        <w:t>eskriptora su operativni ciljevi, usm</w:t>
      </w:r>
      <w:r>
        <w:rPr>
          <w:rFonts w:eastAsia="Calibri" w:cs="Calibri"/>
          <w:color w:val="000000"/>
          <w:szCs w:val="22"/>
          <w:lang w:val="en-GB" w:eastAsia="en-US"/>
        </w:rPr>
        <w:t>j</w:t>
      </w:r>
      <w:r w:rsidRPr="00C9607F">
        <w:rPr>
          <w:rFonts w:eastAsia="Calibri" w:cs="Calibri"/>
          <w:color w:val="000000"/>
          <w:szCs w:val="22"/>
          <w:lang w:val="en-GB" w:eastAsia="en-US"/>
        </w:rPr>
        <w:t>ereni na smanje</w:t>
      </w:r>
      <w:r>
        <w:rPr>
          <w:rFonts w:eastAsia="Calibri" w:cs="Calibri"/>
          <w:color w:val="000000"/>
          <w:szCs w:val="22"/>
          <w:lang w:val="en-GB" w:eastAsia="en-US"/>
        </w:rPr>
        <w:t>nje rizika od uvođenja i širenja stranih vrsta</w:t>
      </w:r>
      <w:r w:rsidRPr="00C9607F">
        <w:rPr>
          <w:rFonts w:eastAsia="Calibri" w:cs="Calibri"/>
          <w:color w:val="000000"/>
          <w:szCs w:val="22"/>
          <w:lang w:val="en-GB" w:eastAsia="en-US"/>
        </w:rPr>
        <w:t xml:space="preserve"> (efikasnijim upravljanjem </w:t>
      </w:r>
      <w:r>
        <w:rPr>
          <w:rFonts w:eastAsia="Calibri" w:cs="Calibri"/>
          <w:color w:val="000000"/>
          <w:szCs w:val="22"/>
          <w:lang w:val="en-GB" w:eastAsia="en-US"/>
        </w:rPr>
        <w:t>ključnim</w:t>
      </w:r>
      <w:r w:rsidRPr="001D6381">
        <w:rPr>
          <w:rFonts w:eastAsia="Calibri" w:cs="Calibri"/>
          <w:color w:val="000000"/>
          <w:szCs w:val="22"/>
          <w:lang w:val="en-GB" w:eastAsia="en-US"/>
        </w:rPr>
        <w:t xml:space="preserve"> putev</w:t>
      </w:r>
      <w:r>
        <w:rPr>
          <w:rFonts w:eastAsia="Calibri" w:cs="Calibri"/>
          <w:color w:val="000000"/>
          <w:szCs w:val="22"/>
          <w:lang w:val="en-GB" w:eastAsia="en-US"/>
        </w:rPr>
        <w:t>ima</w:t>
      </w:r>
      <w:r w:rsidRPr="001D6381">
        <w:rPr>
          <w:rFonts w:eastAsia="Calibri" w:cs="Calibri"/>
          <w:color w:val="000000"/>
          <w:szCs w:val="22"/>
          <w:lang w:val="en-GB" w:eastAsia="en-US"/>
        </w:rPr>
        <w:t xml:space="preserve"> i vektor</w:t>
      </w:r>
      <w:r>
        <w:rPr>
          <w:rFonts w:eastAsia="Calibri" w:cs="Calibri"/>
          <w:color w:val="000000"/>
          <w:szCs w:val="22"/>
          <w:lang w:val="en-GB" w:eastAsia="en-US"/>
        </w:rPr>
        <w:t>ima</w:t>
      </w:r>
      <w:r w:rsidRPr="001D6381">
        <w:rPr>
          <w:rFonts w:eastAsia="Calibri" w:cs="Calibri"/>
          <w:color w:val="000000"/>
          <w:szCs w:val="22"/>
          <w:lang w:val="en-GB" w:eastAsia="en-US"/>
        </w:rPr>
        <w:t xml:space="preserve"> unošenja i širenja</w:t>
      </w:r>
      <w:r w:rsidRPr="00C9607F">
        <w:rPr>
          <w:rFonts w:eastAsia="Calibri" w:cs="Calibri"/>
          <w:color w:val="000000"/>
          <w:szCs w:val="22"/>
          <w:lang w:val="en-GB" w:eastAsia="en-US"/>
        </w:rPr>
        <w:t xml:space="preserve">) i uspostavljanje planova upravljanja za postupanje sa ključnim vrstama visokog rizika </w:t>
      </w:r>
      <w:r w:rsidRPr="001D6381">
        <w:rPr>
          <w:rFonts w:eastAsia="Calibri" w:cs="Calibri"/>
          <w:color w:val="000000"/>
          <w:szCs w:val="22"/>
          <w:lang w:val="en-GB" w:eastAsia="en-US"/>
        </w:rPr>
        <w:t>ukoliko stignu u CG vode</w:t>
      </w:r>
      <w:r>
        <w:rPr>
          <w:rFonts w:eastAsia="Calibri" w:cs="Calibri"/>
          <w:color w:val="000000"/>
          <w:szCs w:val="22"/>
          <w:lang w:val="en-GB" w:eastAsia="en-US"/>
        </w:rPr>
        <w:t>.</w:t>
      </w:r>
    </w:p>
    <w:p w14:paraId="7F54DE54" w14:textId="53D8BFB5" w:rsidR="00A209C0" w:rsidRDefault="00A209C0" w:rsidP="00A209C0">
      <w:pPr>
        <w:spacing w:before="0" w:after="160"/>
        <w:rPr>
          <w:rFonts w:eastAsia="Calibri"/>
          <w:szCs w:val="22"/>
          <w:lang w:val="sr-Latn-ME" w:eastAsia="en-US"/>
        </w:rPr>
      </w:pPr>
      <w:r w:rsidRPr="005F4D7E">
        <w:rPr>
          <w:rFonts w:eastAsia="Calibri"/>
          <w:szCs w:val="22"/>
          <w:lang w:val="sr-Latn-ME" w:eastAsia="en-US"/>
        </w:rPr>
        <w:t>Proc</w:t>
      </w:r>
      <w:r>
        <w:rPr>
          <w:rFonts w:eastAsia="Calibri"/>
          <w:szCs w:val="22"/>
          <w:lang w:val="sr-Latn-ME" w:eastAsia="en-US"/>
        </w:rPr>
        <w:t>jena stanja stokov</w:t>
      </w:r>
      <w:r w:rsidRPr="005F4D7E">
        <w:rPr>
          <w:rFonts w:eastAsia="Calibri"/>
          <w:szCs w:val="22"/>
          <w:lang w:val="sr-Latn-ME" w:eastAsia="en-US"/>
        </w:rPr>
        <w:t>a</w:t>
      </w:r>
      <w:r>
        <w:rPr>
          <w:rFonts w:eastAsia="Calibri"/>
          <w:szCs w:val="22"/>
          <w:lang w:val="sr-Latn-ME" w:eastAsia="en-US"/>
        </w:rPr>
        <w:t xml:space="preserve"> u Crnoj Gori </w:t>
      </w:r>
      <w:r w:rsidRPr="00A209C0">
        <w:rPr>
          <w:rFonts w:eastAsia="Calibri"/>
          <w:b/>
          <w:szCs w:val="22"/>
          <w:lang w:val="sr-Latn-ME" w:eastAsia="en-US"/>
        </w:rPr>
        <w:t xml:space="preserve">(Deskriptor 3-  Populacije svih riba i rakova koji se komercijalno eksploatišu) </w:t>
      </w:r>
      <w:r w:rsidRPr="005F4D7E">
        <w:rPr>
          <w:rFonts w:eastAsia="Calibri"/>
          <w:szCs w:val="22"/>
          <w:lang w:val="sr-Latn-ME" w:eastAsia="en-US"/>
        </w:rPr>
        <w:t>vrš</w:t>
      </w:r>
      <w:r>
        <w:rPr>
          <w:rFonts w:eastAsia="Calibri"/>
          <w:szCs w:val="22"/>
          <w:lang w:val="sr-Latn-ME" w:eastAsia="en-US"/>
        </w:rPr>
        <w:t>i</w:t>
      </w:r>
      <w:r w:rsidRPr="005F4D7E">
        <w:rPr>
          <w:rFonts w:eastAsia="Calibri"/>
          <w:szCs w:val="22"/>
          <w:lang w:val="sr-Latn-ME" w:eastAsia="en-US"/>
        </w:rPr>
        <w:t xml:space="preserve"> se u okviru GFCM radnih grupa na nivou </w:t>
      </w:r>
      <w:r w:rsidR="00D61B02">
        <w:rPr>
          <w:rFonts w:eastAsia="Calibri"/>
          <w:szCs w:val="22"/>
          <w:lang w:val="sr-Latn-ME" w:eastAsia="en-US"/>
        </w:rPr>
        <w:t xml:space="preserve">ribolovne zone </w:t>
      </w:r>
      <w:r w:rsidRPr="005F4D7E">
        <w:rPr>
          <w:rFonts w:eastAsia="Calibri"/>
          <w:szCs w:val="22"/>
          <w:lang w:val="sr-Latn-ME" w:eastAsia="en-US"/>
        </w:rPr>
        <w:t>GSA</w:t>
      </w:r>
      <w:r>
        <w:rPr>
          <w:rFonts w:eastAsia="Calibri"/>
          <w:szCs w:val="22"/>
          <w:lang w:val="sr-Latn-ME" w:eastAsia="en-US"/>
        </w:rPr>
        <w:t xml:space="preserve"> 18</w:t>
      </w:r>
      <w:r w:rsidRPr="005F4D7E">
        <w:rPr>
          <w:rFonts w:eastAsia="Calibri"/>
          <w:szCs w:val="22"/>
          <w:lang w:val="sr-Latn-ME" w:eastAsia="en-US"/>
        </w:rPr>
        <w:t xml:space="preserve"> ili na nivou čitavog Jadrana</w:t>
      </w:r>
      <w:r>
        <w:rPr>
          <w:rFonts w:eastAsia="Calibri"/>
          <w:szCs w:val="22"/>
          <w:lang w:val="sr-Latn-ME" w:eastAsia="en-US"/>
        </w:rPr>
        <w:t xml:space="preserve"> (</w:t>
      </w:r>
      <w:r w:rsidR="00D61B02">
        <w:rPr>
          <w:rFonts w:eastAsia="Calibri"/>
          <w:szCs w:val="22"/>
          <w:lang w:val="sr-Latn-ME" w:eastAsia="en-US"/>
        </w:rPr>
        <w:t xml:space="preserve">ribolovne zone </w:t>
      </w:r>
      <w:r>
        <w:rPr>
          <w:rFonts w:eastAsia="Calibri"/>
          <w:szCs w:val="22"/>
          <w:lang w:val="sr-Latn-ME" w:eastAsia="en-US"/>
        </w:rPr>
        <w:t>GSA 17 i 18)</w:t>
      </w:r>
      <w:r w:rsidRPr="005F4D7E">
        <w:rPr>
          <w:rFonts w:eastAsia="Calibri"/>
          <w:szCs w:val="22"/>
          <w:lang w:val="sr-Latn-ME" w:eastAsia="en-US"/>
        </w:rPr>
        <w:t>. Proc</w:t>
      </w:r>
      <w:r>
        <w:rPr>
          <w:rFonts w:eastAsia="Calibri"/>
          <w:szCs w:val="22"/>
          <w:lang w:val="sr-Latn-ME" w:eastAsia="en-US"/>
        </w:rPr>
        <w:t>j</w:t>
      </w:r>
      <w:r w:rsidRPr="005F4D7E">
        <w:rPr>
          <w:rFonts w:eastAsia="Calibri"/>
          <w:szCs w:val="22"/>
          <w:lang w:val="sr-Latn-ME" w:eastAsia="en-US"/>
        </w:rPr>
        <w:t>ene, kao i referentne tačke za kriterijume D3C1</w:t>
      </w:r>
      <w:r w:rsidR="00A5342E">
        <w:rPr>
          <w:rFonts w:eastAsia="Calibri"/>
          <w:szCs w:val="22"/>
          <w:lang w:val="sr-Latn-ME" w:eastAsia="en-US"/>
        </w:rPr>
        <w:t xml:space="preserve"> -</w:t>
      </w:r>
      <w:r w:rsidRPr="005F4D7E">
        <w:rPr>
          <w:rFonts w:eastAsia="Calibri"/>
          <w:szCs w:val="22"/>
          <w:lang w:val="sr-Latn-ME" w:eastAsia="en-US"/>
        </w:rPr>
        <w:t xml:space="preserve"> Stopa </w:t>
      </w:r>
      <w:r>
        <w:rPr>
          <w:rFonts w:eastAsia="Calibri"/>
          <w:szCs w:val="22"/>
          <w:lang w:val="sr-Latn-ME" w:eastAsia="en-US"/>
        </w:rPr>
        <w:t xml:space="preserve">ribolovne smrtnosti </w:t>
      </w:r>
      <w:r w:rsidRPr="005F4D7E">
        <w:rPr>
          <w:rFonts w:eastAsia="Calibri"/>
          <w:szCs w:val="22"/>
          <w:lang w:val="sr-Latn-ME" w:eastAsia="en-US"/>
        </w:rPr>
        <w:t xml:space="preserve">i kriterijum D3C2 </w:t>
      </w:r>
      <w:r w:rsidR="00A5342E">
        <w:rPr>
          <w:rFonts w:eastAsia="Calibri"/>
          <w:szCs w:val="22"/>
          <w:lang w:val="sr-Latn-ME" w:eastAsia="en-US"/>
        </w:rPr>
        <w:t xml:space="preserve">- </w:t>
      </w:r>
      <w:r>
        <w:rPr>
          <w:rFonts w:eastAsia="Calibri"/>
          <w:szCs w:val="22"/>
          <w:lang w:val="sr-Latn-ME" w:eastAsia="en-US"/>
        </w:rPr>
        <w:t xml:space="preserve">Biomasa mrijestećeg stoka </w:t>
      </w:r>
      <w:r w:rsidRPr="005F4D7E">
        <w:rPr>
          <w:rFonts w:eastAsia="Calibri"/>
          <w:szCs w:val="22"/>
          <w:lang w:val="sr-Latn-ME" w:eastAsia="en-US"/>
        </w:rPr>
        <w:t>su u</w:t>
      </w:r>
      <w:r>
        <w:rPr>
          <w:rFonts w:eastAsia="Calibri"/>
          <w:szCs w:val="22"/>
          <w:lang w:val="sr-Latn-ME" w:eastAsia="en-US"/>
        </w:rPr>
        <w:t>svojene na regionalnom nivou u okviru</w:t>
      </w:r>
      <w:r w:rsidRPr="005F4D7E">
        <w:rPr>
          <w:rFonts w:eastAsia="Calibri"/>
          <w:szCs w:val="22"/>
          <w:lang w:val="sr-Latn-ME" w:eastAsia="en-US"/>
        </w:rPr>
        <w:t xml:space="preserve"> GFCM. </w:t>
      </w:r>
      <w:r>
        <w:rPr>
          <w:rFonts w:eastAsia="Calibri"/>
          <w:szCs w:val="22"/>
          <w:lang w:val="sr-Latn-ME" w:eastAsia="en-US"/>
        </w:rPr>
        <w:t>Za kriterijum D3C3</w:t>
      </w:r>
      <w:r w:rsidR="00A5342E">
        <w:rPr>
          <w:rFonts w:eastAsia="Calibri"/>
          <w:szCs w:val="22"/>
          <w:lang w:val="sr-Latn-ME" w:eastAsia="en-US"/>
        </w:rPr>
        <w:t xml:space="preserve"> -</w:t>
      </w:r>
      <w:r>
        <w:rPr>
          <w:rFonts w:eastAsia="Calibri"/>
          <w:szCs w:val="22"/>
          <w:lang w:val="sr-Latn-ME" w:eastAsia="en-US"/>
        </w:rPr>
        <w:t xml:space="preserve"> S</w:t>
      </w:r>
      <w:r w:rsidRPr="005F4D7E">
        <w:rPr>
          <w:rFonts w:eastAsia="Calibri"/>
          <w:szCs w:val="22"/>
          <w:lang w:val="sr-Latn-ME" w:eastAsia="en-US"/>
        </w:rPr>
        <w:t>tarosn</w:t>
      </w:r>
      <w:r w:rsidR="00A5342E">
        <w:rPr>
          <w:rFonts w:eastAsia="Calibri"/>
          <w:szCs w:val="22"/>
          <w:lang w:val="sr-Latn-ME" w:eastAsia="en-US"/>
        </w:rPr>
        <w:t>a</w:t>
      </w:r>
      <w:r w:rsidRPr="005F4D7E">
        <w:rPr>
          <w:rFonts w:eastAsia="Calibri"/>
          <w:szCs w:val="22"/>
          <w:lang w:val="sr-Latn-ME" w:eastAsia="en-US"/>
        </w:rPr>
        <w:t xml:space="preserve"> i dužinsk</w:t>
      </w:r>
      <w:r w:rsidR="00A5342E">
        <w:rPr>
          <w:rFonts w:eastAsia="Calibri"/>
          <w:szCs w:val="22"/>
          <w:lang w:val="sr-Latn-ME" w:eastAsia="en-US"/>
        </w:rPr>
        <w:t>a</w:t>
      </w:r>
      <w:r w:rsidRPr="005F4D7E">
        <w:rPr>
          <w:rFonts w:eastAsia="Calibri"/>
          <w:szCs w:val="22"/>
          <w:lang w:val="sr-Latn-ME" w:eastAsia="en-US"/>
        </w:rPr>
        <w:t xml:space="preserve"> raspod</w:t>
      </w:r>
      <w:r>
        <w:rPr>
          <w:rFonts w:eastAsia="Calibri"/>
          <w:szCs w:val="22"/>
          <w:lang w:val="sr-Latn-ME" w:eastAsia="en-US"/>
        </w:rPr>
        <w:t>jel</w:t>
      </w:r>
      <w:r w:rsidR="00A5342E">
        <w:rPr>
          <w:rFonts w:eastAsia="Calibri"/>
          <w:szCs w:val="22"/>
          <w:lang w:val="sr-Latn-ME" w:eastAsia="en-US"/>
        </w:rPr>
        <w:t xml:space="preserve">a </w:t>
      </w:r>
      <w:r>
        <w:rPr>
          <w:rFonts w:eastAsia="Calibri"/>
          <w:szCs w:val="22"/>
          <w:lang w:val="sr-Latn-ME" w:eastAsia="en-US"/>
        </w:rPr>
        <w:t>jedinki</w:t>
      </w:r>
      <w:r w:rsidRPr="005F4D7E">
        <w:rPr>
          <w:rFonts w:eastAsia="Calibri"/>
          <w:szCs w:val="22"/>
          <w:lang w:val="sr-Latn-ME" w:eastAsia="en-US"/>
        </w:rPr>
        <w:t xml:space="preserve"> u populaciji, određene referentne tačke nisu utvrđene na regionalnom nivou, </w:t>
      </w:r>
      <w:r w:rsidRPr="00800EA3">
        <w:rPr>
          <w:rFonts w:eastAsia="Calibri"/>
          <w:szCs w:val="22"/>
          <w:lang w:val="sr-Latn-ME" w:eastAsia="en-US"/>
        </w:rPr>
        <w:t xml:space="preserve">dok su vrijednosti za </w:t>
      </w:r>
      <w:r w:rsidR="00800EA3">
        <w:rPr>
          <w:rFonts w:eastAsia="Calibri"/>
          <w:szCs w:val="22"/>
          <w:lang w:val="sr-Latn-ME" w:eastAsia="en-US"/>
        </w:rPr>
        <w:t xml:space="preserve">taj </w:t>
      </w:r>
      <w:r w:rsidRPr="00800EA3">
        <w:rPr>
          <w:rFonts w:eastAsia="Calibri"/>
          <w:szCs w:val="22"/>
          <w:lang w:val="sr-Latn-ME" w:eastAsia="en-US"/>
        </w:rPr>
        <w:t>sekundarni indikator određene nacionalnim zakonodavstvom.</w:t>
      </w:r>
    </w:p>
    <w:p w14:paraId="35D1A4EC" w14:textId="104A988A" w:rsidR="00A209C0" w:rsidRPr="00D716F4" w:rsidRDefault="00A209C0" w:rsidP="00A209C0">
      <w:pPr>
        <w:spacing w:before="0" w:after="160"/>
        <w:rPr>
          <w:rFonts w:eastAsia="Calibri" w:cs="Calibri"/>
          <w:szCs w:val="22"/>
          <w:lang w:val="sr-Latn-ME" w:eastAsia="en-US"/>
        </w:rPr>
      </w:pPr>
      <w:r>
        <w:rPr>
          <w:rFonts w:eastAsia="Calibri" w:cs="Calibri"/>
          <w:szCs w:val="22"/>
          <w:lang w:val="sr-Latn-ME" w:eastAsia="en-US"/>
        </w:rPr>
        <w:t>I</w:t>
      </w:r>
      <w:r w:rsidRPr="00375B33">
        <w:rPr>
          <w:rFonts w:eastAsia="Calibri" w:cs="Calibri"/>
          <w:szCs w:val="22"/>
          <w:lang w:val="sr-Latn-ME" w:eastAsia="en-US"/>
        </w:rPr>
        <w:t xml:space="preserve">zbor vrsta </w:t>
      </w:r>
      <w:r w:rsidR="00A5342E">
        <w:rPr>
          <w:rFonts w:eastAsia="Calibri" w:cs="Calibri"/>
          <w:szCs w:val="22"/>
          <w:lang w:val="sr-Latn-ME" w:eastAsia="en-US"/>
        </w:rPr>
        <w:t xml:space="preserve">za procjenu GES-a </w:t>
      </w:r>
      <w:r w:rsidRPr="00375B33">
        <w:rPr>
          <w:rFonts w:eastAsia="Calibri" w:cs="Calibri"/>
          <w:szCs w:val="22"/>
          <w:lang w:val="sr-Latn-ME" w:eastAsia="en-US"/>
        </w:rPr>
        <w:t>zasnovan je na priručniku DCRF (GFCM, 2018</w:t>
      </w:r>
      <w:r>
        <w:rPr>
          <w:rStyle w:val="FootnoteReference"/>
          <w:rFonts w:eastAsia="Calibri"/>
          <w:szCs w:val="22"/>
          <w:lang w:val="sr-Latn-ME" w:eastAsia="en-US"/>
        </w:rPr>
        <w:footnoteReference w:id="3"/>
      </w:r>
      <w:r w:rsidRPr="00375B33">
        <w:rPr>
          <w:rFonts w:eastAsia="Calibri" w:cs="Calibri"/>
          <w:szCs w:val="22"/>
          <w:lang w:val="sr-Latn-ME" w:eastAsia="en-US"/>
        </w:rPr>
        <w:t>) koji utvrđuje da su trenutno „glavne komercijalne vrste“ one koje zajedno predstavljaj</w:t>
      </w:r>
      <w:r>
        <w:rPr>
          <w:rFonts w:eastAsia="Calibri" w:cs="Calibri"/>
          <w:szCs w:val="22"/>
          <w:lang w:val="sr-Latn-ME" w:eastAsia="en-US"/>
        </w:rPr>
        <w:t xml:space="preserve">u 90% težine ukupnog </w:t>
      </w:r>
      <w:r w:rsidR="00912B47">
        <w:rPr>
          <w:rFonts w:eastAsia="Calibri" w:cs="Calibri"/>
          <w:szCs w:val="22"/>
          <w:lang w:val="sr-Latn-ME" w:eastAsia="en-US"/>
        </w:rPr>
        <w:t>ulova</w:t>
      </w:r>
      <w:r w:rsidRPr="00375B33">
        <w:rPr>
          <w:rFonts w:eastAsia="Calibri" w:cs="Calibri"/>
          <w:szCs w:val="22"/>
          <w:lang w:val="sr-Latn-ME" w:eastAsia="en-US"/>
        </w:rPr>
        <w:t xml:space="preserve"> u zemlji. Dodatni kriterijumi koji se koriste su prioritetne vrste koje su pod regionalnim propisima o upravljanj</w:t>
      </w:r>
      <w:r>
        <w:rPr>
          <w:rFonts w:eastAsia="Calibri" w:cs="Calibri"/>
          <w:szCs w:val="22"/>
          <w:lang w:val="sr-Latn-ME" w:eastAsia="en-US"/>
        </w:rPr>
        <w:t>u, kriterijumi zajedničkih stokova</w:t>
      </w:r>
      <w:r w:rsidRPr="00375B33">
        <w:rPr>
          <w:rFonts w:eastAsia="Calibri" w:cs="Calibri"/>
          <w:szCs w:val="22"/>
          <w:lang w:val="sr-Latn-ME" w:eastAsia="en-US"/>
        </w:rPr>
        <w:t xml:space="preserve"> i postojanje dostupnih podataka o određenim vrstama. Tako su odabrane sledeće </w:t>
      </w:r>
      <w:r w:rsidR="00912B47">
        <w:rPr>
          <w:rFonts w:eastAsia="Calibri" w:cs="Calibri"/>
          <w:szCs w:val="22"/>
          <w:lang w:val="sr-Latn-ME" w:eastAsia="en-US"/>
        </w:rPr>
        <w:t>prioritetne vrste</w:t>
      </w:r>
      <w:r w:rsidRPr="00375B33">
        <w:rPr>
          <w:rFonts w:eastAsia="Calibri" w:cs="Calibri"/>
          <w:szCs w:val="22"/>
          <w:lang w:val="sr-Latn-ME" w:eastAsia="en-US"/>
        </w:rPr>
        <w:t xml:space="preserve">: pridnene vrste </w:t>
      </w:r>
      <w:r w:rsidRPr="00375B33">
        <w:rPr>
          <w:rFonts w:eastAsia="Calibri" w:cs="Calibri"/>
          <w:i/>
          <w:szCs w:val="22"/>
          <w:lang w:val="sr-Latn-ME" w:eastAsia="en-US"/>
        </w:rPr>
        <w:t>Merluccius merluccius</w:t>
      </w:r>
      <w:r w:rsidRPr="00375B33">
        <w:rPr>
          <w:rFonts w:eastAsia="Calibri" w:cs="Calibri"/>
          <w:szCs w:val="22"/>
          <w:lang w:val="sr-Latn-ME" w:eastAsia="en-US"/>
        </w:rPr>
        <w:t xml:space="preserve">, </w:t>
      </w:r>
      <w:r w:rsidRPr="00375B33">
        <w:rPr>
          <w:rFonts w:eastAsia="Calibri" w:cs="Calibri"/>
          <w:i/>
          <w:szCs w:val="22"/>
          <w:lang w:val="sr-Latn-ME" w:eastAsia="en-US"/>
        </w:rPr>
        <w:t>Mullus barbatus</w:t>
      </w:r>
      <w:r w:rsidRPr="00375B33">
        <w:rPr>
          <w:rFonts w:eastAsia="Calibri" w:cs="Calibri"/>
          <w:szCs w:val="22"/>
          <w:lang w:val="sr-Latn-ME" w:eastAsia="en-US"/>
        </w:rPr>
        <w:t xml:space="preserve"> i </w:t>
      </w:r>
      <w:r w:rsidRPr="00375B33">
        <w:rPr>
          <w:rFonts w:eastAsia="Calibri" w:cs="Calibri"/>
          <w:i/>
          <w:szCs w:val="22"/>
          <w:lang w:val="sr-Latn-ME" w:eastAsia="en-US"/>
        </w:rPr>
        <w:t>Parapenaeus longirostris</w:t>
      </w:r>
      <w:r>
        <w:rPr>
          <w:rFonts w:eastAsia="Calibri" w:cs="Calibri"/>
          <w:szCs w:val="22"/>
          <w:lang w:val="sr-Latn-ME" w:eastAsia="en-US"/>
        </w:rPr>
        <w:t>, pelagične</w:t>
      </w:r>
      <w:r w:rsidRPr="00375B33">
        <w:rPr>
          <w:rFonts w:eastAsia="Calibri" w:cs="Calibri"/>
          <w:szCs w:val="22"/>
          <w:lang w:val="sr-Latn-ME" w:eastAsia="en-US"/>
        </w:rPr>
        <w:t xml:space="preserve"> vrste </w:t>
      </w:r>
      <w:r w:rsidRPr="00375B33">
        <w:rPr>
          <w:rFonts w:eastAsia="Calibri" w:cs="Calibri"/>
          <w:i/>
          <w:szCs w:val="22"/>
          <w:lang w:val="sr-Latn-ME" w:eastAsia="en-US"/>
        </w:rPr>
        <w:t>Engraulis encrasicolus</w:t>
      </w:r>
      <w:r w:rsidRPr="00375B33">
        <w:rPr>
          <w:rFonts w:eastAsia="Calibri" w:cs="Calibri"/>
          <w:szCs w:val="22"/>
          <w:lang w:val="sr-Latn-ME" w:eastAsia="en-US"/>
        </w:rPr>
        <w:t xml:space="preserve"> i </w:t>
      </w:r>
      <w:r w:rsidRPr="00375B33">
        <w:rPr>
          <w:rFonts w:eastAsia="Calibri" w:cs="Calibri"/>
          <w:i/>
          <w:szCs w:val="22"/>
          <w:lang w:val="sr-Latn-ME" w:eastAsia="en-US"/>
        </w:rPr>
        <w:t>Sardina pilchardus</w:t>
      </w:r>
      <w:r w:rsidRPr="00375B33">
        <w:rPr>
          <w:rFonts w:eastAsia="Calibri" w:cs="Calibri"/>
          <w:szCs w:val="22"/>
          <w:lang w:val="sr-Latn-ME" w:eastAsia="en-US"/>
        </w:rPr>
        <w:t>.</w:t>
      </w:r>
    </w:p>
    <w:p w14:paraId="5A46871F" w14:textId="536452CA" w:rsidR="00B0576A" w:rsidRPr="00B0576A" w:rsidRDefault="00A209C0" w:rsidP="007B138E">
      <w:pPr>
        <w:spacing w:before="0" w:after="160"/>
        <w:rPr>
          <w:rFonts w:cs="Calibri"/>
          <w:szCs w:val="22"/>
          <w:lang w:val="en-GB" w:eastAsia="en-US"/>
        </w:rPr>
      </w:pPr>
      <w:r w:rsidRPr="00A209C0">
        <w:rPr>
          <w:b/>
          <w:szCs w:val="22"/>
          <w:lang w:val="sr-Latn-ME" w:eastAsia="en-US"/>
        </w:rPr>
        <w:t>GES za odabrane pridnene vrste nije postignut</w:t>
      </w:r>
      <w:r w:rsidRPr="00A209C0">
        <w:rPr>
          <w:szCs w:val="22"/>
          <w:lang w:val="sr-Latn-ME" w:eastAsia="en-US"/>
        </w:rPr>
        <w:t xml:space="preserve">, ali opadajući trend u ribolovnoj smrtnosti (F) možda pokazuje šansu za oporavak stokova ovih vrsta na nivou Jadrana, pod uslovom da se ribolovni mortalitet i dalje nastavi smanjivati, </w:t>
      </w:r>
      <w:r w:rsidR="00013068">
        <w:rPr>
          <w:szCs w:val="22"/>
          <w:lang w:val="sr-Latn-ME" w:eastAsia="en-US"/>
        </w:rPr>
        <w:t xml:space="preserve">a </w:t>
      </w:r>
      <w:r w:rsidRPr="00A209C0">
        <w:rPr>
          <w:szCs w:val="22"/>
          <w:lang w:val="sr-Latn-ME" w:eastAsia="en-US"/>
        </w:rPr>
        <w:t xml:space="preserve">biomasa stoka rasti. </w:t>
      </w:r>
      <w:r>
        <w:rPr>
          <w:szCs w:val="22"/>
          <w:lang w:val="sr-Latn-ME" w:eastAsia="en-US"/>
        </w:rPr>
        <w:t xml:space="preserve"> </w:t>
      </w:r>
      <w:r w:rsidR="007B138E" w:rsidRPr="007B138E">
        <w:rPr>
          <w:b/>
          <w:szCs w:val="22"/>
          <w:lang w:val="sr-Latn-ME" w:eastAsia="en-US"/>
        </w:rPr>
        <w:t>Mala pelagična riba (sardina i inćun)</w:t>
      </w:r>
      <w:r w:rsidR="007B138E" w:rsidRPr="007B138E">
        <w:rPr>
          <w:szCs w:val="22"/>
          <w:lang w:val="sr-Latn-ME" w:eastAsia="en-US"/>
        </w:rPr>
        <w:t xml:space="preserve"> s obzirom na </w:t>
      </w:r>
      <w:r w:rsidR="007B138E">
        <w:rPr>
          <w:szCs w:val="22"/>
          <w:lang w:val="sr-Latn-ME" w:eastAsia="en-US"/>
        </w:rPr>
        <w:t>ribolovnu</w:t>
      </w:r>
      <w:r w:rsidR="007B138E" w:rsidRPr="00A209C0">
        <w:rPr>
          <w:szCs w:val="22"/>
          <w:lang w:val="sr-Latn-ME" w:eastAsia="en-US"/>
        </w:rPr>
        <w:t xml:space="preserve"> smrtnosti </w:t>
      </w:r>
      <w:r w:rsidR="007B138E" w:rsidRPr="007B138E">
        <w:rPr>
          <w:szCs w:val="22"/>
          <w:lang w:val="sr-Latn-ME" w:eastAsia="en-US"/>
        </w:rPr>
        <w:t xml:space="preserve">i biomasu </w:t>
      </w:r>
      <w:r w:rsidR="007B138E" w:rsidRPr="00A209C0">
        <w:rPr>
          <w:szCs w:val="22"/>
          <w:lang w:val="sr-Latn-ME" w:eastAsia="en-US"/>
        </w:rPr>
        <w:t xml:space="preserve">mrijestećeg stoka </w:t>
      </w:r>
      <w:r w:rsidR="007B138E">
        <w:rPr>
          <w:szCs w:val="22"/>
          <w:lang w:val="sr-Latn-ME" w:eastAsia="en-US"/>
        </w:rPr>
        <w:t>se prekomjereno izlovljava s</w:t>
      </w:r>
      <w:r w:rsidR="007B138E" w:rsidRPr="007B138E">
        <w:rPr>
          <w:szCs w:val="22"/>
          <w:lang w:val="sr-Latn-ME" w:eastAsia="en-US"/>
        </w:rPr>
        <w:t>a relativno visokom biomasom</w:t>
      </w:r>
      <w:r w:rsidR="007B138E">
        <w:rPr>
          <w:szCs w:val="22"/>
          <w:lang w:val="sr-Latn-ME" w:eastAsia="en-US"/>
        </w:rPr>
        <w:t xml:space="preserve">. </w:t>
      </w:r>
      <w:r w:rsidRPr="00A209C0">
        <w:rPr>
          <w:szCs w:val="22"/>
          <w:lang w:val="sr-Latn-ME" w:eastAsia="en-US"/>
        </w:rPr>
        <w:t>Trenutni plan upravljanja za malu p</w:t>
      </w:r>
      <w:r w:rsidR="007B138E">
        <w:rPr>
          <w:szCs w:val="22"/>
          <w:lang w:val="sr-Latn-ME" w:eastAsia="en-US"/>
        </w:rPr>
        <w:t xml:space="preserve">elagičnu ribu </w:t>
      </w:r>
      <w:r w:rsidRPr="00A209C0">
        <w:rPr>
          <w:szCs w:val="22"/>
          <w:lang w:val="sr-Latn-ME" w:eastAsia="en-US"/>
        </w:rPr>
        <w:t xml:space="preserve">na Jadranu reguliše zaštitu </w:t>
      </w:r>
      <w:r w:rsidR="00912B47">
        <w:rPr>
          <w:szCs w:val="22"/>
          <w:lang w:val="sr-Latn-ME" w:eastAsia="en-US"/>
        </w:rPr>
        <w:t>lokacija</w:t>
      </w:r>
      <w:r w:rsidRPr="00A209C0">
        <w:rPr>
          <w:szCs w:val="22"/>
          <w:lang w:val="sr-Latn-ME" w:eastAsia="en-US"/>
        </w:rPr>
        <w:t xml:space="preserve"> mrijesta, sa ciljem da osigura oporavak ovih vrsta na nivou Jadrana. </w:t>
      </w:r>
      <w:r w:rsidR="00B0576A" w:rsidRPr="00B0576A">
        <w:rPr>
          <w:rFonts w:cs="Calibri"/>
          <w:szCs w:val="22"/>
          <w:lang w:val="en-GB" w:eastAsia="en-US"/>
        </w:rPr>
        <w:t xml:space="preserve">Ipak, treba imati </w:t>
      </w:r>
      <w:r w:rsidR="00B0576A">
        <w:rPr>
          <w:rFonts w:cs="Calibri"/>
          <w:szCs w:val="22"/>
          <w:lang w:val="en-GB" w:eastAsia="en-US"/>
        </w:rPr>
        <w:t xml:space="preserve">u vidu </w:t>
      </w:r>
      <w:r w:rsidR="00B0576A" w:rsidRPr="00B0576A">
        <w:rPr>
          <w:rFonts w:cs="Calibri"/>
          <w:szCs w:val="22"/>
          <w:lang w:val="en-GB" w:eastAsia="en-US"/>
        </w:rPr>
        <w:t xml:space="preserve">da crnogorsko ribarstvo </w:t>
      </w:r>
      <w:r w:rsidR="00B0576A">
        <w:rPr>
          <w:rFonts w:cs="Calibri"/>
          <w:szCs w:val="22"/>
          <w:lang w:val="en-GB" w:eastAsia="en-US"/>
        </w:rPr>
        <w:t xml:space="preserve">eksploatiše </w:t>
      </w:r>
      <w:r w:rsidR="00B0576A" w:rsidRPr="00B0576A">
        <w:rPr>
          <w:rFonts w:cs="Calibri"/>
          <w:szCs w:val="22"/>
          <w:lang w:val="en-GB" w:eastAsia="en-US"/>
        </w:rPr>
        <w:t xml:space="preserve">samo mali dio zaliha sardine i inćuna u poređenju sa Italijom i Hrvatskom. Biološki podaci prikupljeni </w:t>
      </w:r>
      <w:r w:rsidR="00B0576A">
        <w:rPr>
          <w:rFonts w:cs="Calibri"/>
          <w:szCs w:val="22"/>
          <w:lang w:val="en-GB" w:eastAsia="en-US"/>
        </w:rPr>
        <w:t xml:space="preserve">istraživanjima ove dvije vrste u crnogorskim vodama </w:t>
      </w:r>
      <w:r w:rsidR="00B0576A" w:rsidRPr="00B0576A">
        <w:rPr>
          <w:rFonts w:cs="Calibri"/>
          <w:szCs w:val="22"/>
          <w:lang w:val="en-GB" w:eastAsia="en-US"/>
        </w:rPr>
        <w:t xml:space="preserve">sugerišu da </w:t>
      </w:r>
      <w:r w:rsidR="00FC32DA">
        <w:rPr>
          <w:rFonts w:cs="Calibri"/>
          <w:szCs w:val="22"/>
          <w:lang w:val="en-GB" w:eastAsia="en-US"/>
        </w:rPr>
        <w:t>taj riblji fond nije pod značajnijim antropogenim pritiscima</w:t>
      </w:r>
      <w:r w:rsidR="00B0576A">
        <w:rPr>
          <w:rFonts w:cs="Calibri"/>
          <w:szCs w:val="22"/>
          <w:lang w:val="en-GB" w:eastAsia="en-US"/>
        </w:rPr>
        <w:t xml:space="preserve">, odnosno GES </w:t>
      </w:r>
      <w:r w:rsidR="00912B47">
        <w:rPr>
          <w:rFonts w:cs="Calibri"/>
          <w:szCs w:val="22"/>
          <w:lang w:val="en-GB" w:eastAsia="en-US"/>
        </w:rPr>
        <w:t>je postignut</w:t>
      </w:r>
      <w:r w:rsidR="00B0576A" w:rsidRPr="00B0576A">
        <w:rPr>
          <w:rFonts w:cs="Calibri"/>
          <w:szCs w:val="22"/>
          <w:lang w:val="en-GB" w:eastAsia="en-US"/>
        </w:rPr>
        <w:t xml:space="preserve"> za sardine i inćune</w:t>
      </w:r>
      <w:r w:rsidR="00912B47">
        <w:rPr>
          <w:rFonts w:cs="Calibri"/>
          <w:szCs w:val="22"/>
          <w:lang w:val="en-GB" w:eastAsia="en-US"/>
        </w:rPr>
        <w:t xml:space="preserve"> u crnogorsko</w:t>
      </w:r>
      <w:r w:rsidR="00FC32DA">
        <w:rPr>
          <w:rFonts w:cs="Calibri"/>
          <w:szCs w:val="22"/>
          <w:lang w:val="en-GB" w:eastAsia="en-US"/>
        </w:rPr>
        <w:t>m</w:t>
      </w:r>
      <w:r w:rsidR="00912B47">
        <w:rPr>
          <w:rFonts w:cs="Calibri"/>
          <w:szCs w:val="22"/>
          <w:lang w:val="en-GB" w:eastAsia="en-US"/>
        </w:rPr>
        <w:t xml:space="preserve"> dijelu Jadrana.</w:t>
      </w:r>
    </w:p>
    <w:p w14:paraId="0733228B" w14:textId="57C88BF5" w:rsidR="007B138E" w:rsidRDefault="00FC32DA" w:rsidP="00B0576A">
      <w:pPr>
        <w:spacing w:before="0" w:after="0"/>
        <w:rPr>
          <w:rFonts w:cs="Calibri"/>
          <w:bCs/>
          <w:szCs w:val="22"/>
          <w:lang w:val="sr-Latn-ME" w:eastAsia="en-US"/>
        </w:rPr>
      </w:pPr>
      <w:r>
        <w:rPr>
          <w:rFonts w:cs="Calibri"/>
          <w:bCs/>
          <w:szCs w:val="22"/>
          <w:lang w:val="sr-Latn-ME" w:eastAsia="en-US"/>
        </w:rPr>
        <w:t>C</w:t>
      </w:r>
      <w:r w:rsidR="007B138E" w:rsidRPr="007B138E">
        <w:rPr>
          <w:rFonts w:cs="Calibri"/>
          <w:bCs/>
          <w:szCs w:val="22"/>
          <w:lang w:val="sr-Latn-ME" w:eastAsia="en-US"/>
        </w:rPr>
        <w:t xml:space="preserve">iljevi ka postizanju dobrog stanja </w:t>
      </w:r>
      <w:r>
        <w:rPr>
          <w:rFonts w:cs="Calibri"/>
          <w:bCs/>
          <w:szCs w:val="22"/>
          <w:lang w:val="sr-Latn-ME" w:eastAsia="en-US"/>
        </w:rPr>
        <w:t xml:space="preserve">morske </w:t>
      </w:r>
      <w:r w:rsidR="007B138E" w:rsidRPr="007B138E">
        <w:rPr>
          <w:rFonts w:cs="Calibri"/>
          <w:bCs/>
          <w:szCs w:val="22"/>
          <w:lang w:val="sr-Latn-ME" w:eastAsia="en-US"/>
        </w:rPr>
        <w:t xml:space="preserve">sredine </w:t>
      </w:r>
      <w:r>
        <w:rPr>
          <w:rFonts w:cs="Calibri"/>
          <w:bCs/>
          <w:szCs w:val="22"/>
          <w:lang w:val="sr-Latn-ME" w:eastAsia="en-US"/>
        </w:rPr>
        <w:t xml:space="preserve">u odnosu na </w:t>
      </w:r>
      <w:r w:rsidR="007B138E" w:rsidRPr="007B138E">
        <w:rPr>
          <w:rFonts w:cs="Calibri"/>
          <w:bCs/>
          <w:szCs w:val="22"/>
          <w:lang w:val="sr-Latn-ME" w:eastAsia="en-US"/>
        </w:rPr>
        <w:t>Deskriptor 3</w:t>
      </w:r>
      <w:r w:rsidR="007B138E">
        <w:rPr>
          <w:rFonts w:cs="Calibri"/>
          <w:bCs/>
          <w:szCs w:val="22"/>
          <w:lang w:val="sr-Latn-ME" w:eastAsia="en-US"/>
        </w:rPr>
        <w:t xml:space="preserve"> imaju za cilj </w:t>
      </w:r>
      <w:r w:rsidR="007B138E" w:rsidRPr="00EC2753">
        <w:rPr>
          <w:rFonts w:cs="Calibri"/>
          <w:bCs/>
          <w:szCs w:val="22"/>
          <w:lang w:val="sr-Latn-ME" w:eastAsia="en-US"/>
        </w:rPr>
        <w:t>smanjenje postojećih pritisaka na morske resurse</w:t>
      </w:r>
      <w:r>
        <w:rPr>
          <w:rFonts w:cs="Calibri"/>
          <w:bCs/>
          <w:szCs w:val="22"/>
          <w:lang w:val="sr-Latn-ME" w:eastAsia="en-US"/>
        </w:rPr>
        <w:t xml:space="preserve"> u svrhu o</w:t>
      </w:r>
      <w:r w:rsidR="007B138E">
        <w:rPr>
          <w:rFonts w:cs="Calibri"/>
          <w:bCs/>
          <w:szCs w:val="22"/>
          <w:lang w:val="sr-Latn-ME" w:eastAsia="en-US"/>
        </w:rPr>
        <w:t>sigura</w:t>
      </w:r>
      <w:r>
        <w:rPr>
          <w:rFonts w:cs="Calibri"/>
          <w:bCs/>
          <w:szCs w:val="22"/>
          <w:lang w:val="sr-Latn-ME" w:eastAsia="en-US"/>
        </w:rPr>
        <w:t xml:space="preserve">vanja </w:t>
      </w:r>
      <w:r w:rsidR="007B138E" w:rsidRPr="00EC2753">
        <w:rPr>
          <w:rFonts w:cs="Calibri"/>
          <w:bCs/>
          <w:szCs w:val="22"/>
          <w:lang w:val="sr-Latn-ME" w:eastAsia="en-US"/>
        </w:rPr>
        <w:t>živi</w:t>
      </w:r>
      <w:r>
        <w:rPr>
          <w:rFonts w:cs="Calibri"/>
          <w:bCs/>
          <w:szCs w:val="22"/>
          <w:lang w:val="sr-Latn-ME" w:eastAsia="en-US"/>
        </w:rPr>
        <w:t>h</w:t>
      </w:r>
      <w:r w:rsidR="007B138E" w:rsidRPr="00EC2753">
        <w:rPr>
          <w:rFonts w:cs="Calibri"/>
          <w:bCs/>
          <w:szCs w:val="22"/>
          <w:lang w:val="sr-Latn-ME" w:eastAsia="en-US"/>
        </w:rPr>
        <w:t xml:space="preserve"> resurs</w:t>
      </w:r>
      <w:r>
        <w:rPr>
          <w:rFonts w:cs="Calibri"/>
          <w:bCs/>
          <w:szCs w:val="22"/>
          <w:lang w:val="sr-Latn-ME" w:eastAsia="en-US"/>
        </w:rPr>
        <w:t>a</w:t>
      </w:r>
      <w:r w:rsidR="007B138E" w:rsidRPr="00EC2753">
        <w:rPr>
          <w:rFonts w:cs="Calibri"/>
          <w:bCs/>
          <w:szCs w:val="22"/>
          <w:lang w:val="sr-Latn-ME" w:eastAsia="en-US"/>
        </w:rPr>
        <w:t xml:space="preserve"> u sigurnim biološkim granicama i </w:t>
      </w:r>
      <w:r w:rsidR="007B138E">
        <w:rPr>
          <w:rFonts w:cs="Calibri"/>
          <w:bCs/>
          <w:szCs w:val="22"/>
          <w:lang w:val="sr-Latn-ME" w:eastAsia="en-US"/>
        </w:rPr>
        <w:t>da osiguraju održivo ribarstvo. Mjere</w:t>
      </w:r>
      <w:r w:rsidR="007B138E" w:rsidRPr="00EC2753">
        <w:rPr>
          <w:rFonts w:cs="Calibri"/>
          <w:bCs/>
          <w:szCs w:val="22"/>
          <w:lang w:val="sr-Latn-ME" w:eastAsia="en-US"/>
        </w:rPr>
        <w:t xml:space="preserve"> s</w:t>
      </w:r>
      <w:r w:rsidR="007B138E">
        <w:rPr>
          <w:rFonts w:cs="Calibri"/>
          <w:bCs/>
          <w:szCs w:val="22"/>
          <w:lang w:val="sr-Latn-ME" w:eastAsia="en-US"/>
        </w:rPr>
        <w:t xml:space="preserve">manjenja </w:t>
      </w:r>
      <w:r>
        <w:rPr>
          <w:rFonts w:cs="Calibri"/>
          <w:bCs/>
          <w:szCs w:val="22"/>
          <w:lang w:val="sr-Latn-ME" w:eastAsia="en-US"/>
        </w:rPr>
        <w:t xml:space="preserve">pritisaka </w:t>
      </w:r>
      <w:r w:rsidR="007B138E">
        <w:rPr>
          <w:rFonts w:cs="Calibri"/>
          <w:bCs/>
          <w:szCs w:val="22"/>
          <w:lang w:val="sr-Latn-ME" w:eastAsia="en-US"/>
        </w:rPr>
        <w:t>trebaju biti koncentris</w:t>
      </w:r>
      <w:r w:rsidR="007B138E" w:rsidRPr="00EC2753">
        <w:rPr>
          <w:rFonts w:cs="Calibri"/>
          <w:bCs/>
          <w:szCs w:val="22"/>
          <w:lang w:val="sr-Latn-ME" w:eastAsia="en-US"/>
        </w:rPr>
        <w:t>an</w:t>
      </w:r>
      <w:r w:rsidR="007B138E">
        <w:rPr>
          <w:rFonts w:cs="Calibri"/>
          <w:bCs/>
          <w:szCs w:val="22"/>
          <w:lang w:val="sr-Latn-ME" w:eastAsia="en-US"/>
        </w:rPr>
        <w:t>e</w:t>
      </w:r>
      <w:r w:rsidR="007B138E" w:rsidRPr="00EC2753">
        <w:rPr>
          <w:rFonts w:cs="Calibri"/>
          <w:bCs/>
          <w:szCs w:val="22"/>
          <w:lang w:val="sr-Latn-ME" w:eastAsia="en-US"/>
        </w:rPr>
        <w:t xml:space="preserve"> na najvažnije jadranske </w:t>
      </w:r>
      <w:r w:rsidR="007B138E">
        <w:rPr>
          <w:rFonts w:cs="Calibri"/>
          <w:bCs/>
          <w:szCs w:val="22"/>
          <w:lang w:val="sr-Latn-ME" w:eastAsia="en-US"/>
        </w:rPr>
        <w:t>stokove koji</w:t>
      </w:r>
      <w:r w:rsidR="007B138E" w:rsidRPr="00EC2753">
        <w:rPr>
          <w:rFonts w:cs="Calibri"/>
          <w:bCs/>
          <w:szCs w:val="22"/>
          <w:lang w:val="sr-Latn-ME" w:eastAsia="en-US"/>
        </w:rPr>
        <w:t xml:space="preserve"> se dijele između različitih nacionalnih flota i </w:t>
      </w:r>
      <w:r>
        <w:rPr>
          <w:rFonts w:cs="Calibri"/>
          <w:bCs/>
          <w:szCs w:val="22"/>
          <w:lang w:val="sr-Latn-ME" w:eastAsia="en-US"/>
        </w:rPr>
        <w:t xml:space="preserve">koje su </w:t>
      </w:r>
      <w:r w:rsidR="007B138E" w:rsidRPr="00EC2753">
        <w:rPr>
          <w:rFonts w:cs="Calibri"/>
          <w:bCs/>
          <w:szCs w:val="22"/>
          <w:lang w:val="sr-Latn-ME" w:eastAsia="en-US"/>
        </w:rPr>
        <w:t>pod najvećim ribolovnim pritiskom</w:t>
      </w:r>
      <w:r w:rsidR="00B0576A">
        <w:rPr>
          <w:rFonts w:cs="Calibri"/>
          <w:bCs/>
          <w:szCs w:val="22"/>
          <w:lang w:val="sr-Latn-ME" w:eastAsia="en-US"/>
        </w:rPr>
        <w:t>.</w:t>
      </w:r>
    </w:p>
    <w:p w14:paraId="14101937" w14:textId="73654147" w:rsidR="008002B4" w:rsidRPr="0046315C" w:rsidRDefault="000735D6" w:rsidP="008002B4">
      <w:pPr>
        <w:spacing w:before="0" w:after="0"/>
        <w:rPr>
          <w:rFonts w:eastAsia="Calibri"/>
          <w:szCs w:val="22"/>
          <w:lang w:eastAsia="en-US"/>
        </w:rPr>
      </w:pPr>
      <w:r w:rsidRPr="000735D6">
        <w:rPr>
          <w:rFonts w:eastAsia="Calibri" w:cs="Calibri"/>
          <w:b/>
          <w:color w:val="000000"/>
          <w:szCs w:val="22"/>
          <w:lang w:eastAsia="en-US"/>
        </w:rPr>
        <w:t>Eutrofikacija (Deskriptor 5)</w:t>
      </w:r>
      <w:r>
        <w:rPr>
          <w:rFonts w:eastAsia="Calibri" w:cs="Calibri"/>
          <w:b/>
          <w:color w:val="000000"/>
          <w:szCs w:val="22"/>
          <w:lang w:eastAsia="en-US"/>
        </w:rPr>
        <w:t xml:space="preserve"> </w:t>
      </w:r>
      <w:r w:rsidRPr="0046315C">
        <w:rPr>
          <w:rFonts w:eastAsia="Calibri" w:cs="Calibri"/>
          <w:color w:val="000000"/>
          <w:szCs w:val="22"/>
          <w:lang w:eastAsia="en-US"/>
        </w:rPr>
        <w:t>je proces obogaćivanja vode hranljivim supstancama, naročito jedinjenjima azota i/ili fosfora, što dovodi do povećanja primarne proizvodnje i biomase algi, promjena u ravnoteži hranljivih soli uzrokujući promjene ravnoteže među organizmima i degradaciju kvaliteta vode. Direktne ili indirektne posljedice eutrofikacije su nepoželjne ako je značajno narušeno stanje ekosistema i/ili održivo</w:t>
      </w:r>
      <w:r w:rsidR="006E7A44">
        <w:rPr>
          <w:rFonts w:eastAsia="Calibri" w:cs="Calibri"/>
          <w:color w:val="000000"/>
          <w:szCs w:val="22"/>
          <w:lang w:eastAsia="en-US"/>
        </w:rPr>
        <w:t xml:space="preserve"> iskorišć</w:t>
      </w:r>
      <w:r w:rsidRPr="0046315C">
        <w:rPr>
          <w:rFonts w:eastAsia="Calibri" w:cs="Calibri"/>
          <w:color w:val="000000"/>
          <w:szCs w:val="22"/>
          <w:lang w:eastAsia="en-US"/>
        </w:rPr>
        <w:t xml:space="preserve">avanje dobara i usluga, kao što je cvjetanje algi, nedostatak rastvorenog kiseonika, povlačenje morskih trava, mortalitet bentosnih organizama i/ili riba. </w:t>
      </w:r>
      <w:r w:rsidR="008002B4" w:rsidRPr="0046315C">
        <w:rPr>
          <w:rFonts w:eastAsia="Calibri"/>
          <w:szCs w:val="22"/>
          <w:lang w:eastAsia="en-US"/>
        </w:rPr>
        <w:t xml:space="preserve">Preovlađujući unosi hranljivih soli u priobalnom području Crne Gore potiču </w:t>
      </w:r>
      <w:r w:rsidR="003A057C">
        <w:rPr>
          <w:rFonts w:eastAsia="Calibri"/>
          <w:szCs w:val="22"/>
          <w:lang w:eastAsia="en-US"/>
        </w:rPr>
        <w:t xml:space="preserve">uglavnom </w:t>
      </w:r>
      <w:r w:rsidR="008002B4" w:rsidRPr="0046315C">
        <w:rPr>
          <w:rFonts w:eastAsia="Calibri"/>
          <w:szCs w:val="22"/>
          <w:lang w:eastAsia="en-US"/>
        </w:rPr>
        <w:t>iz otpadnih voda i rijeke Bojane. Međutim, tokom posl</w:t>
      </w:r>
      <w:r w:rsidR="006E7A44">
        <w:rPr>
          <w:rFonts w:eastAsia="Calibri"/>
          <w:szCs w:val="22"/>
          <w:lang w:eastAsia="en-US"/>
        </w:rPr>
        <w:t>j</w:t>
      </w:r>
      <w:r w:rsidR="008002B4" w:rsidRPr="0046315C">
        <w:rPr>
          <w:rFonts w:eastAsia="Calibri"/>
          <w:szCs w:val="22"/>
          <w:lang w:eastAsia="en-US"/>
        </w:rPr>
        <w:t>ednje dvije decenije, naročito poslije 2010. godine, uloženi su značajni napori u poboljšanje sistema sakupljanja, prečišćavanja i odvođenja otpadnih voda u obalnom području.</w:t>
      </w:r>
    </w:p>
    <w:p w14:paraId="778E1F4A" w14:textId="77777777" w:rsidR="008002B4" w:rsidRDefault="008002B4" w:rsidP="008002B4">
      <w:pPr>
        <w:autoSpaceDE w:val="0"/>
        <w:autoSpaceDN w:val="0"/>
        <w:adjustRightInd w:val="0"/>
        <w:spacing w:before="0" w:after="0"/>
        <w:rPr>
          <w:rFonts w:eastAsia="Calibri"/>
          <w:szCs w:val="22"/>
          <w:lang w:eastAsia="en-US"/>
        </w:rPr>
      </w:pPr>
    </w:p>
    <w:p w14:paraId="2D6B86E1" w14:textId="3298D376" w:rsidR="008002B4" w:rsidRPr="0046315C" w:rsidRDefault="008002B4" w:rsidP="008002B4">
      <w:pPr>
        <w:autoSpaceDE w:val="0"/>
        <w:autoSpaceDN w:val="0"/>
        <w:adjustRightInd w:val="0"/>
        <w:spacing w:before="0" w:after="0"/>
        <w:rPr>
          <w:rFonts w:eastAsia="Calibri"/>
          <w:szCs w:val="22"/>
          <w:lang w:eastAsia="en-US"/>
        </w:rPr>
      </w:pPr>
      <w:r>
        <w:rPr>
          <w:rFonts w:eastAsia="Calibri"/>
          <w:szCs w:val="22"/>
          <w:lang w:eastAsia="en-US"/>
        </w:rPr>
        <w:t>Procjena</w:t>
      </w:r>
      <w:r w:rsidRPr="0046315C">
        <w:rPr>
          <w:rFonts w:eastAsia="Calibri"/>
          <w:szCs w:val="22"/>
          <w:lang w:eastAsia="en-US"/>
        </w:rPr>
        <w:t xml:space="preserve"> dobrog stanja </w:t>
      </w:r>
      <w:r>
        <w:rPr>
          <w:rFonts w:eastAsia="Calibri"/>
          <w:szCs w:val="22"/>
          <w:lang w:eastAsia="en-US"/>
        </w:rPr>
        <w:t xml:space="preserve">životne sredine </w:t>
      </w:r>
      <w:r w:rsidRPr="0046315C">
        <w:rPr>
          <w:rFonts w:eastAsia="Calibri"/>
          <w:szCs w:val="22"/>
          <w:lang w:eastAsia="en-US"/>
        </w:rPr>
        <w:t>(</w:t>
      </w:r>
      <w:r>
        <w:rPr>
          <w:rFonts w:eastAsia="Calibri"/>
          <w:szCs w:val="22"/>
          <w:lang w:eastAsia="en-US"/>
        </w:rPr>
        <w:t>GES</w:t>
      </w:r>
      <w:r w:rsidRPr="0046315C">
        <w:rPr>
          <w:rFonts w:eastAsia="Calibri"/>
          <w:szCs w:val="22"/>
          <w:lang w:eastAsia="en-US"/>
        </w:rPr>
        <w:t xml:space="preserve">) </w:t>
      </w:r>
      <w:r>
        <w:rPr>
          <w:rFonts w:eastAsia="Calibri"/>
          <w:szCs w:val="22"/>
          <w:lang w:eastAsia="en-US"/>
        </w:rPr>
        <w:t>za</w:t>
      </w:r>
      <w:r w:rsidRPr="0046315C">
        <w:rPr>
          <w:rFonts w:eastAsia="Calibri"/>
          <w:szCs w:val="22"/>
          <w:lang w:eastAsia="en-US"/>
        </w:rPr>
        <w:t xml:space="preserve"> Deskriptora 5 – Eutrofikacija, </w:t>
      </w:r>
      <w:r>
        <w:rPr>
          <w:rFonts w:eastAsia="Calibri"/>
          <w:szCs w:val="22"/>
          <w:lang w:eastAsia="en-US"/>
        </w:rPr>
        <w:t xml:space="preserve">koja se zasniva na tri </w:t>
      </w:r>
      <w:r w:rsidRPr="0046315C">
        <w:rPr>
          <w:rFonts w:eastAsia="Calibri"/>
          <w:szCs w:val="22"/>
          <w:lang w:eastAsia="en-US"/>
        </w:rPr>
        <w:t xml:space="preserve"> primarn</w:t>
      </w:r>
      <w:r>
        <w:rPr>
          <w:rFonts w:eastAsia="Calibri"/>
          <w:szCs w:val="22"/>
          <w:lang w:eastAsia="en-US"/>
        </w:rPr>
        <w:t>a kriterijuma</w:t>
      </w:r>
      <w:r w:rsidRPr="0046315C">
        <w:rPr>
          <w:rFonts w:eastAsia="Calibri"/>
          <w:szCs w:val="22"/>
          <w:lang w:eastAsia="en-US"/>
        </w:rPr>
        <w:t xml:space="preserve"> (D5C1 – koncentracija hranljivih soli, D5C2 – hlorofil a, D5C5 – rastvoreni kiseonik u pridn</w:t>
      </w:r>
      <w:r>
        <w:rPr>
          <w:rFonts w:eastAsia="Calibri"/>
          <w:szCs w:val="22"/>
          <w:lang w:eastAsia="en-US"/>
        </w:rPr>
        <w:t>enom sloju vodenog stuba) i jed</w:t>
      </w:r>
      <w:r w:rsidRPr="0046315C">
        <w:rPr>
          <w:rFonts w:eastAsia="Calibri"/>
          <w:szCs w:val="22"/>
          <w:lang w:eastAsia="en-US"/>
        </w:rPr>
        <w:t>n</w:t>
      </w:r>
      <w:r>
        <w:rPr>
          <w:rFonts w:eastAsia="Calibri"/>
          <w:szCs w:val="22"/>
          <w:lang w:eastAsia="en-US"/>
        </w:rPr>
        <w:t>og</w:t>
      </w:r>
      <w:r w:rsidRPr="0046315C">
        <w:rPr>
          <w:rFonts w:eastAsia="Calibri"/>
          <w:szCs w:val="22"/>
          <w:lang w:eastAsia="en-US"/>
        </w:rPr>
        <w:t xml:space="preserve"> sekundarn</w:t>
      </w:r>
      <w:r>
        <w:rPr>
          <w:rFonts w:eastAsia="Calibri"/>
          <w:szCs w:val="22"/>
          <w:lang w:eastAsia="en-US"/>
        </w:rPr>
        <w:t xml:space="preserve">og </w:t>
      </w:r>
      <w:r w:rsidRPr="0046315C">
        <w:rPr>
          <w:rFonts w:eastAsia="Calibri"/>
          <w:szCs w:val="22"/>
          <w:lang w:eastAsia="en-US"/>
        </w:rPr>
        <w:t xml:space="preserve"> (D</w:t>
      </w:r>
      <w:r>
        <w:rPr>
          <w:rFonts w:eastAsia="Calibri"/>
          <w:szCs w:val="22"/>
          <w:lang w:eastAsia="en-US"/>
        </w:rPr>
        <w:t xml:space="preserve">5C3 – štetno cvjetanje algi) </w:t>
      </w:r>
      <w:r w:rsidRPr="008002B4">
        <w:rPr>
          <w:rFonts w:eastAsia="Calibri"/>
          <w:szCs w:val="22"/>
          <w:lang w:eastAsia="en-US"/>
        </w:rPr>
        <w:t>pokazuje da</w:t>
      </w:r>
      <w:r>
        <w:rPr>
          <w:rFonts w:eastAsia="Calibri"/>
          <w:szCs w:val="22"/>
          <w:lang w:eastAsia="en-US"/>
        </w:rPr>
        <w:t xml:space="preserve"> </w:t>
      </w:r>
      <w:r w:rsidR="00013068">
        <w:rPr>
          <w:rFonts w:eastAsia="Calibri"/>
          <w:szCs w:val="22"/>
          <w:lang w:eastAsia="en-US"/>
        </w:rPr>
        <w:t xml:space="preserve">je </w:t>
      </w:r>
      <w:r>
        <w:rPr>
          <w:rFonts w:eastAsia="Calibri"/>
          <w:szCs w:val="22"/>
          <w:lang w:eastAsia="en-US"/>
        </w:rPr>
        <w:t>postignut GES.</w:t>
      </w:r>
      <w:r>
        <w:rPr>
          <w:szCs w:val="22"/>
          <w:lang w:eastAsia="en-US"/>
        </w:rPr>
        <w:t xml:space="preserve"> </w:t>
      </w:r>
      <w:r w:rsidRPr="0046315C">
        <w:rPr>
          <w:rFonts w:eastAsia="Calibri"/>
          <w:szCs w:val="22"/>
          <w:lang w:eastAsia="en-US"/>
        </w:rPr>
        <w:t>Eutrofikacija koju uzrokuje čovjek u crnogorskom dijelu Jadranskog mora je svedena na minimum, a morska voda crnogorskog primorja nije problematično područje ni u pogledu direktnog ni i</w:t>
      </w:r>
      <w:r>
        <w:rPr>
          <w:rFonts w:eastAsia="Calibri"/>
          <w:szCs w:val="22"/>
          <w:lang w:eastAsia="en-US"/>
        </w:rPr>
        <w:t xml:space="preserve">ndirektnog efekta eutrofikacije. </w:t>
      </w:r>
      <w:r w:rsidRPr="0046315C">
        <w:rPr>
          <w:rFonts w:eastAsia="Calibri"/>
          <w:szCs w:val="22"/>
          <w:lang w:eastAsia="en-US"/>
        </w:rPr>
        <w:t>Samo su izolovani slučajevi eutrofikacije zabilježeni u unutrašnjem dijelu Boke Kotorske.</w:t>
      </w:r>
    </w:p>
    <w:p w14:paraId="288EAAAE" w14:textId="77777777" w:rsidR="008002B4" w:rsidRDefault="008002B4" w:rsidP="008002B4">
      <w:pPr>
        <w:autoSpaceDE w:val="0"/>
        <w:autoSpaceDN w:val="0"/>
        <w:adjustRightInd w:val="0"/>
        <w:spacing w:before="0" w:after="0"/>
        <w:rPr>
          <w:szCs w:val="22"/>
          <w:lang w:eastAsia="en-US"/>
        </w:rPr>
      </w:pPr>
    </w:p>
    <w:p w14:paraId="5C0B6C77" w14:textId="4DDA5B02" w:rsidR="008002B4" w:rsidRDefault="008002B4" w:rsidP="008002B4">
      <w:pPr>
        <w:autoSpaceDE w:val="0"/>
        <w:autoSpaceDN w:val="0"/>
        <w:adjustRightInd w:val="0"/>
        <w:spacing w:before="0" w:after="160"/>
        <w:rPr>
          <w:rFonts w:eastAsia="Calibri" w:cs="Calibri"/>
          <w:color w:val="000000"/>
          <w:szCs w:val="22"/>
          <w:lang w:eastAsia="en-US"/>
        </w:rPr>
      </w:pPr>
      <w:r w:rsidRPr="0046315C">
        <w:rPr>
          <w:rFonts w:eastAsia="Calibri" w:cs="Calibri"/>
          <w:color w:val="000000"/>
          <w:szCs w:val="22"/>
          <w:lang w:eastAsia="en-US"/>
        </w:rPr>
        <w:t>Ciljevi za postizanje/održavanje dobrog stanja životne sredine za Deskriptor 5 razvijeni su korišćenjem</w:t>
      </w:r>
      <w:r>
        <w:rPr>
          <w:rFonts w:eastAsia="Calibri" w:cs="Calibri"/>
          <w:color w:val="000000"/>
          <w:szCs w:val="22"/>
          <w:lang w:eastAsia="en-US"/>
        </w:rPr>
        <w:t xml:space="preserve"> pristupa zasnovanog na riziku. </w:t>
      </w:r>
      <w:r w:rsidR="00013068">
        <w:rPr>
          <w:rFonts w:eastAsia="Calibri" w:cs="Calibri"/>
          <w:color w:val="000000"/>
          <w:szCs w:val="22"/>
          <w:lang w:eastAsia="en-US"/>
        </w:rPr>
        <w:t>U područjima u kojima ne postoje problem</w:t>
      </w:r>
      <w:r w:rsidR="00585E84">
        <w:rPr>
          <w:rFonts w:eastAsia="Calibri" w:cs="Calibri"/>
          <w:color w:val="000000"/>
          <w:szCs w:val="22"/>
          <w:lang w:eastAsia="en-US"/>
        </w:rPr>
        <w:t>i</w:t>
      </w:r>
      <w:r w:rsidR="00013068">
        <w:rPr>
          <w:rFonts w:eastAsia="Calibri" w:cs="Calibri"/>
          <w:color w:val="000000"/>
          <w:szCs w:val="22"/>
          <w:lang w:eastAsia="en-US"/>
        </w:rPr>
        <w:t xml:space="preserve"> sa e</w:t>
      </w:r>
      <w:r w:rsidRPr="0046315C">
        <w:rPr>
          <w:rFonts w:eastAsia="Calibri" w:cs="Calibri"/>
          <w:color w:val="000000"/>
          <w:szCs w:val="22"/>
          <w:lang w:eastAsia="en-US"/>
        </w:rPr>
        <w:t xml:space="preserve">utrofikacijom, cilj je jednostavno održavanje </w:t>
      </w:r>
      <w:r w:rsidR="00585E84">
        <w:rPr>
          <w:rFonts w:eastAsia="Calibri" w:cs="Calibri"/>
          <w:color w:val="000000"/>
          <w:szCs w:val="22"/>
          <w:lang w:eastAsia="en-US"/>
        </w:rPr>
        <w:t xml:space="preserve">takvog </w:t>
      </w:r>
      <w:r w:rsidRPr="0046315C">
        <w:rPr>
          <w:rFonts w:eastAsia="Calibri" w:cs="Calibri"/>
          <w:color w:val="000000"/>
          <w:szCs w:val="22"/>
          <w:lang w:eastAsia="en-US"/>
        </w:rPr>
        <w:t xml:space="preserve">stanja, ali za područja koja su identifikovana kao problematična područja u odnosu na eutrofikaciju, razvijen je sveobuhvatniji skup ciljeva </w:t>
      </w:r>
      <w:r w:rsidR="006E7A44">
        <w:rPr>
          <w:rFonts w:eastAsia="Calibri" w:cs="Calibri"/>
          <w:color w:val="000000"/>
          <w:szCs w:val="22"/>
          <w:lang w:eastAsia="en-US"/>
        </w:rPr>
        <w:t>u svrhu poboljšanja i</w:t>
      </w:r>
      <w:r w:rsidR="00585E84">
        <w:rPr>
          <w:rFonts w:eastAsia="Calibri" w:cs="Calibri"/>
          <w:color w:val="000000"/>
          <w:szCs w:val="22"/>
          <w:lang w:eastAsia="en-US"/>
        </w:rPr>
        <w:t xml:space="preserve"> postizanja dobrog stanja morske sredine.</w:t>
      </w:r>
    </w:p>
    <w:p w14:paraId="0C611912" w14:textId="30F3BDD0" w:rsidR="001B7328" w:rsidRDefault="008002B4" w:rsidP="001B7328">
      <w:pPr>
        <w:spacing w:before="0" w:after="0" w:line="259" w:lineRule="auto"/>
        <w:rPr>
          <w:rFonts w:cs="Calibri"/>
          <w:szCs w:val="22"/>
          <w:lang w:val="en-GB" w:eastAsia="en-US"/>
        </w:rPr>
      </w:pPr>
      <w:r w:rsidRPr="002B5096">
        <w:rPr>
          <w:rFonts w:eastAsia="Calibri"/>
          <w:szCs w:val="22"/>
          <w:lang w:val="en-GB" w:eastAsia="en-US"/>
        </w:rPr>
        <w:t>Proc</w:t>
      </w:r>
      <w:r>
        <w:rPr>
          <w:rFonts w:eastAsia="Calibri"/>
          <w:szCs w:val="22"/>
          <w:lang w:val="en-GB" w:eastAsia="en-US"/>
        </w:rPr>
        <w:t>j</w:t>
      </w:r>
      <w:r w:rsidRPr="002B5096">
        <w:rPr>
          <w:rFonts w:eastAsia="Calibri"/>
          <w:szCs w:val="22"/>
          <w:lang w:val="en-GB" w:eastAsia="en-US"/>
        </w:rPr>
        <w:t xml:space="preserve">ena i ciljevi GES-a </w:t>
      </w:r>
      <w:r>
        <w:rPr>
          <w:rFonts w:eastAsia="Calibri"/>
          <w:szCs w:val="22"/>
          <w:lang w:val="en-GB" w:eastAsia="en-US"/>
        </w:rPr>
        <w:t xml:space="preserve">za </w:t>
      </w:r>
      <w:r w:rsidRPr="008002B4">
        <w:rPr>
          <w:rFonts w:eastAsia="Calibri"/>
          <w:b/>
          <w:szCs w:val="22"/>
          <w:lang w:val="en-GB" w:eastAsia="en-US"/>
        </w:rPr>
        <w:t>Deskriptor 7</w:t>
      </w:r>
      <w:r>
        <w:rPr>
          <w:rFonts w:eastAsia="Calibri"/>
          <w:b/>
          <w:szCs w:val="22"/>
          <w:lang w:val="en-GB" w:eastAsia="en-US"/>
        </w:rPr>
        <w:t xml:space="preserve"> </w:t>
      </w:r>
      <w:r w:rsidRPr="001C6CCA">
        <w:rPr>
          <w:rFonts w:eastAsia="Calibri" w:cs="Calibri"/>
          <w:b/>
          <w:szCs w:val="22"/>
          <w:lang w:val="en-GB" w:eastAsia="en-US"/>
        </w:rPr>
        <w:t xml:space="preserve">– </w:t>
      </w:r>
      <w:r w:rsidRPr="008002B4">
        <w:rPr>
          <w:rFonts w:eastAsia="Calibri"/>
          <w:b/>
          <w:szCs w:val="22"/>
          <w:lang w:val="en-GB" w:eastAsia="en-US"/>
        </w:rPr>
        <w:t>Trajna promjena hidrografskih uslova</w:t>
      </w:r>
      <w:r w:rsidRPr="008002B4">
        <w:rPr>
          <w:rFonts w:eastAsia="Calibri"/>
          <w:szCs w:val="22"/>
          <w:lang w:val="en-GB" w:eastAsia="en-US"/>
        </w:rPr>
        <w:t xml:space="preserve"> </w:t>
      </w:r>
      <w:r w:rsidRPr="002B5096">
        <w:rPr>
          <w:rFonts w:eastAsia="Calibri"/>
          <w:szCs w:val="22"/>
          <w:lang w:val="en-GB" w:eastAsia="en-US"/>
        </w:rPr>
        <w:t xml:space="preserve">zasnivaju se na kvantifikovanju obima, distribucije i </w:t>
      </w:r>
      <w:r>
        <w:rPr>
          <w:rFonts w:eastAsia="Calibri"/>
          <w:szCs w:val="22"/>
          <w:lang w:val="en-GB" w:eastAsia="en-US"/>
        </w:rPr>
        <w:t>ozbiljnosti</w:t>
      </w:r>
      <w:r w:rsidRPr="002B5096">
        <w:rPr>
          <w:rFonts w:eastAsia="Calibri"/>
          <w:szCs w:val="22"/>
          <w:lang w:val="en-GB" w:eastAsia="en-US"/>
        </w:rPr>
        <w:t xml:space="preserve"> trajnih prom</w:t>
      </w:r>
      <w:r>
        <w:rPr>
          <w:rFonts w:eastAsia="Calibri"/>
          <w:szCs w:val="22"/>
          <w:lang w:val="en-GB" w:eastAsia="en-US"/>
        </w:rPr>
        <w:t>j</w:t>
      </w:r>
      <w:r w:rsidRPr="002B5096">
        <w:rPr>
          <w:rFonts w:eastAsia="Calibri"/>
          <w:szCs w:val="22"/>
          <w:lang w:val="en-GB" w:eastAsia="en-US"/>
        </w:rPr>
        <w:t xml:space="preserve">ena u hidrografskim uslovima kao rezultat </w:t>
      </w:r>
      <w:r>
        <w:rPr>
          <w:rFonts w:eastAsia="Calibri"/>
          <w:szCs w:val="22"/>
          <w:lang w:val="en-GB" w:eastAsia="en-US"/>
        </w:rPr>
        <w:t>ljudske</w:t>
      </w:r>
      <w:r w:rsidRPr="002B5096">
        <w:rPr>
          <w:rFonts w:eastAsia="Calibri"/>
          <w:szCs w:val="22"/>
          <w:lang w:val="en-GB" w:eastAsia="en-US"/>
        </w:rPr>
        <w:t xml:space="preserve"> aktivnosti. GES se postiže kada su glavne komponente ekosistema u skladu sa preovlađujućim prirodnim uslovima i ne pokazuju značajne štetne prom</w:t>
      </w:r>
      <w:r>
        <w:rPr>
          <w:rFonts w:eastAsia="Calibri"/>
          <w:szCs w:val="22"/>
          <w:lang w:val="en-GB" w:eastAsia="en-US"/>
        </w:rPr>
        <w:t>j</w:t>
      </w:r>
      <w:r w:rsidRPr="002B5096">
        <w:rPr>
          <w:rFonts w:eastAsia="Calibri"/>
          <w:szCs w:val="22"/>
          <w:lang w:val="en-GB" w:eastAsia="en-US"/>
        </w:rPr>
        <w:t>ene izazvane ljudskom aktivnošću.</w:t>
      </w:r>
      <w:r>
        <w:rPr>
          <w:rFonts w:eastAsia="Calibri"/>
          <w:szCs w:val="22"/>
          <w:lang w:val="en-GB" w:eastAsia="en-US"/>
        </w:rPr>
        <w:t xml:space="preserve"> </w:t>
      </w:r>
      <w:r>
        <w:rPr>
          <w:rFonts w:cs="Calibri"/>
          <w:szCs w:val="22"/>
          <w:lang w:val="en-GB" w:eastAsia="en-US"/>
        </w:rPr>
        <w:t xml:space="preserve">GES </w:t>
      </w:r>
      <w:r w:rsidRPr="008002B4">
        <w:rPr>
          <w:rFonts w:cs="Calibri"/>
          <w:szCs w:val="22"/>
          <w:lang w:val="en-GB" w:eastAsia="en-US"/>
        </w:rPr>
        <w:t>za Deskriptor 7</w:t>
      </w:r>
      <w:r>
        <w:rPr>
          <w:rFonts w:cs="Calibri"/>
          <w:szCs w:val="22"/>
          <w:lang w:val="en-GB" w:eastAsia="en-US"/>
        </w:rPr>
        <w:t xml:space="preserve"> je postignut budući da </w:t>
      </w:r>
      <w:r w:rsidRPr="008002B4">
        <w:rPr>
          <w:rFonts w:cs="Calibri"/>
          <w:szCs w:val="22"/>
          <w:lang w:val="en-GB" w:eastAsia="en-US"/>
        </w:rPr>
        <w:t>hidrografsk</w:t>
      </w:r>
      <w:r w:rsidR="003A057C">
        <w:rPr>
          <w:rFonts w:cs="Calibri"/>
          <w:szCs w:val="22"/>
          <w:lang w:val="en-GB" w:eastAsia="en-US"/>
        </w:rPr>
        <w:t>e karakteristike</w:t>
      </w:r>
      <w:r w:rsidRPr="008002B4">
        <w:rPr>
          <w:rFonts w:cs="Calibri"/>
          <w:szCs w:val="22"/>
          <w:lang w:val="en-GB" w:eastAsia="en-US"/>
        </w:rPr>
        <w:t xml:space="preserve"> ne ukazuju na trajnu prom</w:t>
      </w:r>
      <w:r>
        <w:rPr>
          <w:rFonts w:cs="Calibri"/>
          <w:szCs w:val="22"/>
          <w:lang w:val="en-GB" w:eastAsia="en-US"/>
        </w:rPr>
        <w:t>j</w:t>
      </w:r>
      <w:r w:rsidRPr="008002B4">
        <w:rPr>
          <w:rFonts w:cs="Calibri"/>
          <w:szCs w:val="22"/>
          <w:lang w:val="en-GB" w:eastAsia="en-US"/>
        </w:rPr>
        <w:t xml:space="preserve">enu hidrografskih uslova </w:t>
      </w:r>
      <w:r>
        <w:rPr>
          <w:rFonts w:cs="Calibri"/>
          <w:szCs w:val="22"/>
          <w:lang w:val="en-GB" w:eastAsia="en-US"/>
        </w:rPr>
        <w:t xml:space="preserve">u </w:t>
      </w:r>
      <w:r w:rsidRPr="008002B4">
        <w:rPr>
          <w:rFonts w:cs="Calibri"/>
          <w:szCs w:val="22"/>
          <w:lang w:val="en-GB" w:eastAsia="en-US"/>
        </w:rPr>
        <w:t>Jadransko</w:t>
      </w:r>
      <w:r>
        <w:rPr>
          <w:rFonts w:cs="Calibri"/>
          <w:szCs w:val="22"/>
          <w:lang w:val="en-GB" w:eastAsia="en-US"/>
        </w:rPr>
        <w:t>m</w:t>
      </w:r>
      <w:r w:rsidRPr="008002B4">
        <w:rPr>
          <w:rFonts w:cs="Calibri"/>
          <w:szCs w:val="22"/>
          <w:lang w:val="en-GB" w:eastAsia="en-US"/>
        </w:rPr>
        <w:t xml:space="preserve"> mor</w:t>
      </w:r>
      <w:r>
        <w:rPr>
          <w:rFonts w:cs="Calibri"/>
          <w:szCs w:val="22"/>
          <w:lang w:val="en-GB" w:eastAsia="en-US"/>
        </w:rPr>
        <w:t xml:space="preserve">u Crne Gore.  </w:t>
      </w:r>
      <w:r w:rsidRPr="008002B4">
        <w:rPr>
          <w:rFonts w:cs="Calibri"/>
          <w:szCs w:val="22"/>
          <w:lang w:val="en-GB" w:eastAsia="en-US"/>
        </w:rPr>
        <w:t xml:space="preserve">Međutim, pretpostavlja se da bi se </w:t>
      </w:r>
      <w:r w:rsidR="00961DC1">
        <w:rPr>
          <w:rFonts w:cs="Calibri"/>
          <w:szCs w:val="22"/>
          <w:lang w:val="en-GB" w:eastAsia="en-US"/>
        </w:rPr>
        <w:t xml:space="preserve">za </w:t>
      </w:r>
      <w:r w:rsidR="006E7A44">
        <w:rPr>
          <w:rFonts w:cs="Calibri"/>
          <w:szCs w:val="22"/>
          <w:lang w:val="en-GB" w:eastAsia="en-US"/>
        </w:rPr>
        <w:t xml:space="preserve">ovaj </w:t>
      </w:r>
      <w:r w:rsidR="006E7A44" w:rsidRPr="008002B4">
        <w:rPr>
          <w:rFonts w:cs="Calibri"/>
          <w:szCs w:val="22"/>
          <w:lang w:val="en-GB" w:eastAsia="en-US"/>
        </w:rPr>
        <w:t>deskriptor</w:t>
      </w:r>
      <w:r w:rsidRPr="008002B4">
        <w:rPr>
          <w:rFonts w:cs="Calibri"/>
          <w:szCs w:val="22"/>
          <w:lang w:val="en-GB" w:eastAsia="en-US"/>
        </w:rPr>
        <w:t xml:space="preserve"> trebale uzeti u obzir samo velike aktivnosti koje zahtjevaju procjenu uticaja na životnu sredinu (EIA). U takvoj procjeni moraju se uzeti u obzir svi relevantni uticaji na </w:t>
      </w:r>
      <w:r w:rsidR="00961DC1">
        <w:rPr>
          <w:rFonts w:cs="Calibri"/>
          <w:szCs w:val="22"/>
          <w:lang w:val="en-GB" w:eastAsia="en-US"/>
        </w:rPr>
        <w:t xml:space="preserve">morsku </w:t>
      </w:r>
      <w:r w:rsidRPr="008002B4">
        <w:rPr>
          <w:rFonts w:cs="Calibri"/>
          <w:szCs w:val="22"/>
          <w:lang w:val="en-GB" w:eastAsia="en-US"/>
        </w:rPr>
        <w:t xml:space="preserve">sredinu i shodno tome, štetni uticaji koji se odnose na ovaj GES deskriptor treba da budu razmotreni </w:t>
      </w:r>
      <w:r w:rsidR="00961DC1">
        <w:rPr>
          <w:rFonts w:cs="Calibri"/>
          <w:szCs w:val="22"/>
          <w:lang w:val="en-GB" w:eastAsia="en-US"/>
        </w:rPr>
        <w:t xml:space="preserve">izradom </w:t>
      </w:r>
      <w:r w:rsidRPr="008002B4">
        <w:rPr>
          <w:rFonts w:cs="Calibri"/>
          <w:szCs w:val="22"/>
          <w:lang w:val="en-GB" w:eastAsia="en-US"/>
        </w:rPr>
        <w:t>procjen</w:t>
      </w:r>
      <w:r w:rsidR="00961DC1">
        <w:rPr>
          <w:rFonts w:cs="Calibri"/>
          <w:szCs w:val="22"/>
          <w:lang w:val="en-GB" w:eastAsia="en-US"/>
        </w:rPr>
        <w:t>e</w:t>
      </w:r>
      <w:r w:rsidRPr="008002B4">
        <w:rPr>
          <w:rFonts w:cs="Calibri"/>
          <w:szCs w:val="22"/>
          <w:lang w:val="en-GB" w:eastAsia="en-US"/>
        </w:rPr>
        <w:t xml:space="preserve"> </w:t>
      </w:r>
      <w:r w:rsidR="00961DC1">
        <w:rPr>
          <w:rFonts w:cs="Calibri"/>
          <w:szCs w:val="22"/>
          <w:lang w:val="en-GB" w:eastAsia="en-US"/>
        </w:rPr>
        <w:t xml:space="preserve">uticaja određenog zahvata </w:t>
      </w:r>
      <w:r w:rsidRPr="008002B4">
        <w:rPr>
          <w:rFonts w:cs="Calibri"/>
          <w:szCs w:val="22"/>
          <w:lang w:val="en-GB" w:eastAsia="en-US"/>
        </w:rPr>
        <w:t>na životnu sredinu</w:t>
      </w:r>
      <w:r w:rsidR="00961DC1">
        <w:rPr>
          <w:rFonts w:cs="Calibri"/>
          <w:szCs w:val="22"/>
          <w:lang w:val="en-GB" w:eastAsia="en-US"/>
        </w:rPr>
        <w:t xml:space="preserve"> </w:t>
      </w:r>
      <w:r w:rsidR="006E7A44">
        <w:rPr>
          <w:rFonts w:cs="Calibri"/>
          <w:szCs w:val="22"/>
          <w:lang w:val="en-GB" w:eastAsia="en-US"/>
        </w:rPr>
        <w:t>(</w:t>
      </w:r>
      <w:r w:rsidR="00961DC1">
        <w:rPr>
          <w:rFonts w:cs="Calibri"/>
          <w:szCs w:val="22"/>
          <w:lang w:val="en-GB" w:eastAsia="en-US"/>
        </w:rPr>
        <w:t>EIA)</w:t>
      </w:r>
      <w:r w:rsidRPr="008002B4">
        <w:rPr>
          <w:rFonts w:cs="Calibri"/>
          <w:szCs w:val="22"/>
          <w:lang w:val="en-GB" w:eastAsia="en-US"/>
        </w:rPr>
        <w:t>.</w:t>
      </w:r>
    </w:p>
    <w:p w14:paraId="11C5AE8E" w14:textId="77777777" w:rsidR="006E7A44" w:rsidRDefault="006E7A44" w:rsidP="001B7328">
      <w:pPr>
        <w:spacing w:before="0" w:after="0" w:line="259" w:lineRule="auto"/>
        <w:rPr>
          <w:rFonts w:cs="Calibri"/>
          <w:szCs w:val="22"/>
          <w:lang w:val="en-GB" w:eastAsia="en-US"/>
        </w:rPr>
      </w:pPr>
    </w:p>
    <w:p w14:paraId="1ABE4162" w14:textId="72F15033" w:rsidR="001B7328" w:rsidRDefault="001B7328" w:rsidP="00C8019E">
      <w:pPr>
        <w:autoSpaceDE w:val="0"/>
        <w:autoSpaceDN w:val="0"/>
        <w:adjustRightInd w:val="0"/>
        <w:spacing w:before="0" w:after="160"/>
        <w:rPr>
          <w:rFonts w:eastAsia="Calibri" w:cs="Arial"/>
          <w:color w:val="000000"/>
          <w:szCs w:val="22"/>
          <w:lang w:val="en-GB" w:eastAsia="en-US"/>
        </w:rPr>
      </w:pPr>
      <w:r>
        <w:rPr>
          <w:rFonts w:eastAsia="Calibri" w:cs="Arial"/>
          <w:color w:val="000000"/>
          <w:szCs w:val="22"/>
          <w:lang w:val="en-GB" w:eastAsia="en-US"/>
        </w:rPr>
        <w:t>Utvrđeni</w:t>
      </w:r>
      <w:r w:rsidRPr="001B7328">
        <w:rPr>
          <w:rFonts w:eastAsia="Calibri" w:cs="Arial"/>
          <w:color w:val="000000"/>
          <w:szCs w:val="22"/>
          <w:lang w:val="en-GB" w:eastAsia="en-US"/>
        </w:rPr>
        <w:t xml:space="preserve"> cilj za Deskriptor 7 odražava činjenicu da </w:t>
      </w:r>
      <w:r w:rsidR="00961DC1">
        <w:rPr>
          <w:rFonts w:eastAsia="Calibri" w:cs="Arial"/>
          <w:color w:val="000000"/>
          <w:szCs w:val="22"/>
          <w:lang w:val="en-GB" w:eastAsia="en-US"/>
        </w:rPr>
        <w:t xml:space="preserve">se </w:t>
      </w:r>
      <w:r w:rsidRPr="001B7328">
        <w:rPr>
          <w:rFonts w:eastAsia="Calibri" w:cs="Arial"/>
          <w:color w:val="000000"/>
          <w:szCs w:val="22"/>
          <w:lang w:val="en-GB" w:eastAsia="en-US"/>
        </w:rPr>
        <w:t>očekuje</w:t>
      </w:r>
      <w:r w:rsidR="00961DC1">
        <w:rPr>
          <w:rFonts w:eastAsia="Calibri" w:cs="Arial"/>
          <w:color w:val="000000"/>
          <w:szCs w:val="22"/>
          <w:lang w:val="en-GB" w:eastAsia="en-US"/>
        </w:rPr>
        <w:t xml:space="preserve"> </w:t>
      </w:r>
      <w:r w:rsidRPr="001B7328">
        <w:rPr>
          <w:rFonts w:eastAsia="Calibri" w:cs="Arial"/>
          <w:color w:val="000000"/>
          <w:szCs w:val="22"/>
          <w:lang w:val="en-GB" w:eastAsia="en-US"/>
        </w:rPr>
        <w:t>postići GES prema trenutnim režimima licenciranja</w:t>
      </w:r>
      <w:r w:rsidRPr="00AD451F">
        <w:rPr>
          <w:rFonts w:eastAsia="Calibri" w:cs="Arial"/>
          <w:color w:val="000000"/>
          <w:szCs w:val="22"/>
          <w:lang w:val="en-GB" w:eastAsia="en-US"/>
        </w:rPr>
        <w:t>. U tom kontekstu, cilj bi zaht</w:t>
      </w:r>
      <w:r>
        <w:rPr>
          <w:rFonts w:eastAsia="Calibri" w:cs="Arial"/>
          <w:color w:val="000000"/>
          <w:szCs w:val="22"/>
          <w:lang w:val="en-GB" w:eastAsia="en-US"/>
        </w:rPr>
        <w:t>ij</w:t>
      </w:r>
      <w:r w:rsidRPr="00AD451F">
        <w:rPr>
          <w:rFonts w:eastAsia="Calibri" w:cs="Arial"/>
          <w:color w:val="000000"/>
          <w:szCs w:val="22"/>
          <w:lang w:val="en-GB" w:eastAsia="en-US"/>
        </w:rPr>
        <w:t>evao da se sv</w:t>
      </w:r>
      <w:r>
        <w:rPr>
          <w:rFonts w:eastAsia="Calibri" w:cs="Arial"/>
          <w:color w:val="000000"/>
          <w:szCs w:val="22"/>
          <w:lang w:val="en-GB" w:eastAsia="en-US"/>
        </w:rPr>
        <w:t xml:space="preserve">a nova </w:t>
      </w:r>
      <w:r w:rsidR="00961DC1">
        <w:rPr>
          <w:rFonts w:eastAsia="Calibri" w:cs="Arial"/>
          <w:color w:val="000000"/>
          <w:szCs w:val="22"/>
          <w:lang w:val="en-GB" w:eastAsia="en-US"/>
        </w:rPr>
        <w:t xml:space="preserve">gradnja </w:t>
      </w:r>
      <w:r w:rsidRPr="00AD451F">
        <w:rPr>
          <w:rFonts w:eastAsia="Calibri" w:cs="Arial"/>
          <w:color w:val="000000"/>
          <w:szCs w:val="22"/>
          <w:lang w:val="en-GB" w:eastAsia="en-US"/>
        </w:rPr>
        <w:t>nastav</w:t>
      </w:r>
      <w:r w:rsidR="00961DC1">
        <w:rPr>
          <w:rFonts w:eastAsia="Calibri" w:cs="Arial"/>
          <w:color w:val="000000"/>
          <w:szCs w:val="22"/>
          <w:lang w:val="en-GB" w:eastAsia="en-US"/>
        </w:rPr>
        <w:t>i</w:t>
      </w:r>
      <w:r w:rsidRPr="00AD451F">
        <w:rPr>
          <w:rFonts w:eastAsia="Calibri" w:cs="Arial"/>
          <w:color w:val="000000"/>
          <w:szCs w:val="22"/>
          <w:lang w:val="en-GB" w:eastAsia="en-US"/>
        </w:rPr>
        <w:t xml:space="preserve"> </w:t>
      </w:r>
      <w:r>
        <w:rPr>
          <w:rFonts w:eastAsia="Calibri" w:cs="Arial"/>
          <w:color w:val="000000"/>
          <w:szCs w:val="22"/>
          <w:lang w:val="en-GB" w:eastAsia="en-US"/>
        </w:rPr>
        <w:t xml:space="preserve">usklađivati </w:t>
      </w:r>
      <w:r w:rsidRPr="00AD451F">
        <w:rPr>
          <w:rFonts w:eastAsia="Calibri" w:cs="Arial"/>
          <w:color w:val="000000"/>
          <w:szCs w:val="22"/>
          <w:lang w:val="en-GB" w:eastAsia="en-US"/>
        </w:rPr>
        <w:t>sa postojećim regulatornim režimom o</w:t>
      </w:r>
      <w:r w:rsidR="00961DC1">
        <w:rPr>
          <w:rFonts w:eastAsia="Calibri" w:cs="Arial"/>
          <w:color w:val="000000"/>
          <w:szCs w:val="22"/>
          <w:lang w:val="en-GB" w:eastAsia="en-US"/>
        </w:rPr>
        <w:t xml:space="preserve">bezbjeđujući </w:t>
      </w:r>
      <w:r w:rsidRPr="00AD451F">
        <w:rPr>
          <w:rFonts w:eastAsia="Calibri" w:cs="Arial"/>
          <w:color w:val="000000"/>
          <w:szCs w:val="22"/>
          <w:lang w:val="en-GB" w:eastAsia="en-US"/>
        </w:rPr>
        <w:t xml:space="preserve">odgovarajuće razmatranje svih potencijalnih kumulativnih i kombinovanih uticaja na </w:t>
      </w:r>
      <w:r w:rsidR="00C727EB">
        <w:rPr>
          <w:rFonts w:eastAsia="Calibri" w:cs="Arial"/>
          <w:color w:val="000000"/>
          <w:szCs w:val="22"/>
          <w:lang w:val="en-GB" w:eastAsia="en-US"/>
        </w:rPr>
        <w:t>morsku</w:t>
      </w:r>
      <w:r w:rsidRPr="00AD451F">
        <w:rPr>
          <w:rFonts w:eastAsia="Calibri" w:cs="Arial"/>
          <w:color w:val="000000"/>
          <w:szCs w:val="22"/>
          <w:lang w:val="en-GB" w:eastAsia="en-US"/>
        </w:rPr>
        <w:t xml:space="preserve"> </w:t>
      </w:r>
      <w:r w:rsidR="00C727EB">
        <w:rPr>
          <w:rFonts w:eastAsia="Calibri" w:cs="Arial"/>
          <w:color w:val="000000"/>
          <w:szCs w:val="22"/>
          <w:lang w:val="en-GB" w:eastAsia="en-US"/>
        </w:rPr>
        <w:t xml:space="preserve">sredinu </w:t>
      </w:r>
      <w:r w:rsidRPr="00AD451F">
        <w:rPr>
          <w:rFonts w:eastAsia="Calibri" w:cs="Arial"/>
          <w:color w:val="000000"/>
          <w:szCs w:val="22"/>
          <w:lang w:val="en-GB" w:eastAsia="en-US"/>
        </w:rPr>
        <w:t>na najprikladnij</w:t>
      </w:r>
      <w:r w:rsidR="00C727EB">
        <w:rPr>
          <w:rFonts w:eastAsia="Calibri" w:cs="Arial"/>
          <w:color w:val="000000"/>
          <w:szCs w:val="22"/>
          <w:lang w:val="en-GB" w:eastAsia="en-US"/>
        </w:rPr>
        <w:t xml:space="preserve">im prostornim mjerilima </w:t>
      </w:r>
      <w:r>
        <w:rPr>
          <w:rFonts w:eastAsia="Calibri" w:cs="Arial"/>
          <w:color w:val="000000"/>
          <w:szCs w:val="22"/>
          <w:lang w:val="en-GB" w:eastAsia="en-US"/>
        </w:rPr>
        <w:t xml:space="preserve">kako GES </w:t>
      </w:r>
      <w:r w:rsidR="00C727EB">
        <w:rPr>
          <w:rFonts w:eastAsia="Calibri" w:cs="Arial"/>
          <w:color w:val="000000"/>
          <w:szCs w:val="22"/>
          <w:lang w:val="en-GB" w:eastAsia="en-US"/>
        </w:rPr>
        <w:t xml:space="preserve">za Deskriptor 7 </w:t>
      </w:r>
      <w:r>
        <w:rPr>
          <w:rFonts w:eastAsia="Calibri" w:cs="Arial"/>
          <w:color w:val="000000"/>
          <w:szCs w:val="22"/>
          <w:lang w:val="en-GB" w:eastAsia="en-US"/>
        </w:rPr>
        <w:t>ne bi bio ugrožen.</w:t>
      </w:r>
    </w:p>
    <w:p w14:paraId="1974E34D" w14:textId="4EBC14F3" w:rsidR="00741496" w:rsidRDefault="00741496" w:rsidP="00741496">
      <w:pPr>
        <w:autoSpaceDE w:val="0"/>
        <w:autoSpaceDN w:val="0"/>
        <w:adjustRightInd w:val="0"/>
        <w:rPr>
          <w:rFonts w:eastAsia="Calibri" w:cs="Calibri"/>
          <w:lang w:val="en-GB"/>
        </w:rPr>
      </w:pPr>
      <w:r w:rsidRPr="005A1C76">
        <w:rPr>
          <w:rFonts w:eastAsia="Calibri" w:cs="Calibri"/>
          <w:lang w:val="en-GB"/>
        </w:rPr>
        <w:t xml:space="preserve">Karakteristike dobrog stanja </w:t>
      </w:r>
      <w:r w:rsidR="003A057C">
        <w:rPr>
          <w:rFonts w:eastAsia="Calibri" w:cs="Calibri"/>
          <w:lang w:val="en-GB"/>
        </w:rPr>
        <w:t>morske</w:t>
      </w:r>
      <w:r w:rsidRPr="005A1C76">
        <w:rPr>
          <w:rFonts w:eastAsia="Calibri" w:cs="Calibri"/>
          <w:lang w:val="en-GB"/>
        </w:rPr>
        <w:t xml:space="preserve"> sredine (GES) </w:t>
      </w:r>
      <w:r w:rsidR="003A057C">
        <w:rPr>
          <w:rFonts w:eastAsia="Calibri" w:cs="Calibri"/>
          <w:lang w:val="en-GB"/>
        </w:rPr>
        <w:t xml:space="preserve">u odnosu na </w:t>
      </w:r>
      <w:r w:rsidRPr="00741496">
        <w:rPr>
          <w:rFonts w:eastAsia="Calibri" w:cs="Calibri"/>
          <w:b/>
          <w:lang w:val="en-GB"/>
        </w:rPr>
        <w:t xml:space="preserve">Deskriptor 8 – Kontaminanti </w:t>
      </w:r>
      <w:r w:rsidRPr="005A1C76">
        <w:rPr>
          <w:rFonts w:eastAsia="Calibri" w:cs="Calibri"/>
          <w:lang w:val="en-GB"/>
        </w:rPr>
        <w:t>u morsko</w:t>
      </w:r>
      <w:r>
        <w:rPr>
          <w:rFonts w:eastAsia="Calibri" w:cs="Calibri"/>
          <w:lang w:val="en-GB"/>
        </w:rPr>
        <w:t>j</w:t>
      </w:r>
      <w:r w:rsidRPr="005A1C76">
        <w:rPr>
          <w:rFonts w:eastAsia="Calibri" w:cs="Calibri"/>
          <w:lang w:val="en-GB"/>
        </w:rPr>
        <w:t xml:space="preserve"> sredini su koncentracije zagađ</w:t>
      </w:r>
      <w:r w:rsidR="003A057C">
        <w:rPr>
          <w:rFonts w:eastAsia="Calibri" w:cs="Calibri"/>
          <w:lang w:val="en-GB"/>
        </w:rPr>
        <w:t xml:space="preserve">ujućih </w:t>
      </w:r>
      <w:r w:rsidR="00503772">
        <w:rPr>
          <w:rFonts w:eastAsia="Calibri" w:cs="Calibri"/>
          <w:lang w:val="en-GB"/>
        </w:rPr>
        <w:t xml:space="preserve">materija </w:t>
      </w:r>
      <w:r w:rsidRPr="005A1C76">
        <w:rPr>
          <w:rFonts w:eastAsia="Calibri" w:cs="Calibri"/>
          <w:lang w:val="en-GB"/>
        </w:rPr>
        <w:t>u morsko</w:t>
      </w:r>
      <w:r>
        <w:rPr>
          <w:rFonts w:eastAsia="Calibri" w:cs="Calibri"/>
          <w:lang w:val="en-GB"/>
        </w:rPr>
        <w:t>j sredini</w:t>
      </w:r>
      <w:r w:rsidRPr="005A1C76">
        <w:rPr>
          <w:rFonts w:eastAsia="Calibri" w:cs="Calibri"/>
          <w:lang w:val="en-GB"/>
        </w:rPr>
        <w:t xml:space="preserve"> (tj. u vodi, sedimentu i bioti) unutar dogovorenih nivoa pri čemu se štetni efekti na organizme, populacije, i biološk</w:t>
      </w:r>
      <w:r w:rsidR="00585E84">
        <w:rPr>
          <w:rFonts w:eastAsia="Calibri" w:cs="Calibri"/>
          <w:lang w:val="en-GB"/>
        </w:rPr>
        <w:t>e</w:t>
      </w:r>
      <w:r w:rsidRPr="005A1C76">
        <w:rPr>
          <w:rFonts w:eastAsia="Calibri" w:cs="Calibri"/>
          <w:lang w:val="en-GB"/>
        </w:rPr>
        <w:t xml:space="preserve"> proces</w:t>
      </w:r>
      <w:r w:rsidR="00585E84">
        <w:rPr>
          <w:rFonts w:eastAsia="Calibri" w:cs="Calibri"/>
          <w:lang w:val="en-GB"/>
        </w:rPr>
        <w:t>e</w:t>
      </w:r>
      <w:r w:rsidRPr="005A1C76">
        <w:rPr>
          <w:rFonts w:eastAsia="Calibri" w:cs="Calibri"/>
          <w:lang w:val="en-GB"/>
        </w:rPr>
        <w:t xml:space="preserve"> ne dešavaju. Ov</w:t>
      </w:r>
      <w:r w:rsidR="00C727EB">
        <w:rPr>
          <w:rFonts w:eastAsia="Calibri" w:cs="Calibri"/>
          <w:lang w:val="en-GB"/>
        </w:rPr>
        <w:t>e</w:t>
      </w:r>
      <w:r w:rsidRPr="005A1C76">
        <w:rPr>
          <w:rFonts w:eastAsia="Calibri" w:cs="Calibri"/>
          <w:lang w:val="en-GB"/>
        </w:rPr>
        <w:t xml:space="preserve"> zagađ</w:t>
      </w:r>
      <w:r w:rsidR="00C727EB">
        <w:rPr>
          <w:rFonts w:eastAsia="Calibri" w:cs="Calibri"/>
          <w:lang w:val="en-GB"/>
        </w:rPr>
        <w:t xml:space="preserve">ujuće materije </w:t>
      </w:r>
      <w:r w:rsidRPr="005A1C76">
        <w:rPr>
          <w:rFonts w:eastAsia="Calibri" w:cs="Calibri"/>
          <w:lang w:val="en-GB"/>
        </w:rPr>
        <w:t>uključuju sintetička jedinjenja, nesintetička jedinjenja i druge supstance koje se smatraju zagađ</w:t>
      </w:r>
      <w:r w:rsidR="00C727EB">
        <w:rPr>
          <w:rFonts w:eastAsia="Calibri" w:cs="Calibri"/>
          <w:lang w:val="en-GB"/>
        </w:rPr>
        <w:t>ujućim materijama</w:t>
      </w:r>
      <w:r w:rsidRPr="005A1C76">
        <w:rPr>
          <w:rFonts w:eastAsia="Calibri" w:cs="Calibri"/>
          <w:lang w:val="en-GB"/>
        </w:rPr>
        <w:t>, bilo da su čvrste, tečne ili gasovite.</w:t>
      </w:r>
    </w:p>
    <w:p w14:paraId="57D5E726" w14:textId="2B56EB4B" w:rsidR="00131076" w:rsidRPr="00741496" w:rsidRDefault="00741496" w:rsidP="00741496">
      <w:pPr>
        <w:autoSpaceDE w:val="0"/>
        <w:autoSpaceDN w:val="0"/>
        <w:adjustRightInd w:val="0"/>
        <w:rPr>
          <w:rFonts w:eastAsia="Calibri" w:cs="Calibri"/>
          <w:lang w:val="en-GB"/>
        </w:rPr>
      </w:pPr>
      <w:r w:rsidRPr="00741496">
        <w:rPr>
          <w:rFonts w:eastAsia="Calibri" w:cs="Calibri"/>
          <w:szCs w:val="22"/>
          <w:lang w:val="en-GB"/>
        </w:rPr>
        <w:t>Prema</w:t>
      </w:r>
      <w:r w:rsidRPr="00741496">
        <w:rPr>
          <w:rFonts w:cs="Calibri"/>
          <w:szCs w:val="22"/>
          <w:lang w:val="sr-Latn-ME"/>
        </w:rPr>
        <w:t xml:space="preserve"> </w:t>
      </w:r>
      <w:r w:rsidRPr="00741496">
        <w:rPr>
          <w:rFonts w:cs="Calibri"/>
          <w:szCs w:val="22"/>
          <w:lang w:val="en-GB"/>
        </w:rPr>
        <w:t>UNEP/MAP</w:t>
      </w:r>
      <w:r w:rsidRPr="00741496">
        <w:rPr>
          <w:rFonts w:cs="Calibri"/>
          <w:szCs w:val="22"/>
          <w:vertAlign w:val="superscript"/>
          <w:lang w:val="en-GB"/>
        </w:rPr>
        <w:footnoteReference w:id="4"/>
      </w:r>
      <w:r w:rsidRPr="00741496">
        <w:rPr>
          <w:rFonts w:cs="Calibri"/>
          <w:szCs w:val="22"/>
          <w:lang w:val="en-GB"/>
        </w:rPr>
        <w:t xml:space="preserve"> i OSPAR</w:t>
      </w:r>
      <w:r w:rsidRPr="00741496">
        <w:rPr>
          <w:rFonts w:cs="Calibri"/>
          <w:szCs w:val="22"/>
          <w:vertAlign w:val="superscript"/>
          <w:lang w:val="en-GB"/>
        </w:rPr>
        <w:footnoteReference w:id="5"/>
      </w:r>
      <w:r w:rsidRPr="00741496">
        <w:rPr>
          <w:rFonts w:cs="Calibri"/>
          <w:szCs w:val="22"/>
          <w:lang w:val="en-GB"/>
        </w:rPr>
        <w:t xml:space="preserve"> kriterijumima i graničnim vrijednostima, GES nije postignut za</w:t>
      </w:r>
      <w:r w:rsidRPr="00741496">
        <w:rPr>
          <w:rFonts w:cs="Calibri"/>
          <w:szCs w:val="22"/>
          <w:lang w:val="sr-Latn-ME"/>
        </w:rPr>
        <w:t xml:space="preserve"> kriterijum D8C1 ni za sediment ni za biotu.</w:t>
      </w:r>
      <w:r w:rsidRPr="00741496">
        <w:rPr>
          <w:szCs w:val="22"/>
          <w:lang w:val="en-GB"/>
        </w:rPr>
        <w:t xml:space="preserve"> GES je postignut </w:t>
      </w:r>
      <w:r w:rsidR="00503772">
        <w:rPr>
          <w:szCs w:val="22"/>
          <w:lang w:val="en-GB"/>
        </w:rPr>
        <w:t xml:space="preserve">samo </w:t>
      </w:r>
      <w:r w:rsidRPr="00741496">
        <w:rPr>
          <w:szCs w:val="22"/>
          <w:lang w:val="en-GB"/>
        </w:rPr>
        <w:t xml:space="preserve">za morsku vodu u skladu sa </w:t>
      </w:r>
      <w:r>
        <w:rPr>
          <w:szCs w:val="22"/>
          <w:lang w:val="en-GB"/>
        </w:rPr>
        <w:t>Direktivom Komisije</w:t>
      </w:r>
      <w:r w:rsidRPr="00741496">
        <w:rPr>
          <w:szCs w:val="22"/>
          <w:lang w:val="en-GB"/>
        </w:rPr>
        <w:t xml:space="preserve"> 2013/39/EU</w:t>
      </w:r>
      <w:r w:rsidRPr="00741496">
        <w:rPr>
          <w:szCs w:val="22"/>
          <w:vertAlign w:val="superscript"/>
          <w:lang w:val="en-GB"/>
        </w:rPr>
        <w:footnoteReference w:id="6"/>
      </w:r>
      <w:r>
        <w:rPr>
          <w:szCs w:val="22"/>
          <w:lang w:val="en-GB"/>
        </w:rPr>
        <w:t>. Međutim, treba napomenuti da</w:t>
      </w:r>
      <w:r w:rsidRPr="00741496">
        <w:rPr>
          <w:szCs w:val="22"/>
          <w:lang w:val="en-GB"/>
        </w:rPr>
        <w:t xml:space="preserve"> su p</w:t>
      </w:r>
      <w:r>
        <w:rPr>
          <w:rFonts w:cs="Calibri"/>
          <w:szCs w:val="22"/>
          <w:lang w:val="en-GB"/>
        </w:rPr>
        <w:t xml:space="preserve">osmatrane lokacije izložene </w:t>
      </w:r>
      <w:r w:rsidRPr="00741496">
        <w:rPr>
          <w:rFonts w:cs="Calibri"/>
          <w:szCs w:val="22"/>
          <w:lang w:val="en-GB"/>
        </w:rPr>
        <w:t>značajnom antropognemom uticaju (“Hot Spot” lokacije)</w:t>
      </w:r>
      <w:r w:rsidR="00503772">
        <w:rPr>
          <w:rFonts w:cs="Calibri"/>
          <w:szCs w:val="22"/>
          <w:lang w:val="en-GB"/>
        </w:rPr>
        <w:t xml:space="preserve"> te da m</w:t>
      </w:r>
      <w:r w:rsidR="00B0576A" w:rsidRPr="00B0576A">
        <w:rPr>
          <w:rFonts w:eastAsia="Calibri" w:cs="Calibri"/>
          <w:szCs w:val="22"/>
          <w:lang w:val="en-GB" w:eastAsia="en-US"/>
        </w:rPr>
        <w:t>režu lokacija za monitoring treba proširiti na priobalne lokacije otvoreno</w:t>
      </w:r>
      <w:r w:rsidR="00585E84">
        <w:rPr>
          <w:rFonts w:eastAsia="Calibri" w:cs="Calibri"/>
          <w:szCs w:val="22"/>
          <w:lang w:val="en-GB" w:eastAsia="en-US"/>
        </w:rPr>
        <w:t>g</w:t>
      </w:r>
      <w:r w:rsidR="00B0576A" w:rsidRPr="00B0576A">
        <w:rPr>
          <w:rFonts w:eastAsia="Calibri" w:cs="Calibri"/>
          <w:szCs w:val="22"/>
          <w:lang w:val="en-GB" w:eastAsia="en-US"/>
        </w:rPr>
        <w:t xml:space="preserve"> mor</w:t>
      </w:r>
      <w:r w:rsidR="00585E84">
        <w:rPr>
          <w:rFonts w:eastAsia="Calibri" w:cs="Calibri"/>
          <w:szCs w:val="22"/>
          <w:lang w:val="en-GB" w:eastAsia="en-US"/>
        </w:rPr>
        <w:t>a</w:t>
      </w:r>
      <w:r w:rsidR="00B0576A" w:rsidRPr="00B0576A">
        <w:rPr>
          <w:rFonts w:eastAsia="Calibri" w:cs="Calibri"/>
          <w:szCs w:val="22"/>
          <w:lang w:val="en-GB" w:eastAsia="en-US"/>
        </w:rPr>
        <w:t xml:space="preserve"> i offshore lokacije kako bi se </w:t>
      </w:r>
      <w:r w:rsidR="00585E84">
        <w:rPr>
          <w:rFonts w:eastAsia="Calibri" w:cs="Calibri"/>
          <w:szCs w:val="22"/>
          <w:lang w:val="en-GB" w:eastAsia="en-US"/>
        </w:rPr>
        <w:t>utvrdilo</w:t>
      </w:r>
      <w:r w:rsidR="00B0576A" w:rsidRPr="00B0576A">
        <w:rPr>
          <w:rFonts w:eastAsia="Calibri" w:cs="Calibri"/>
          <w:szCs w:val="22"/>
          <w:lang w:val="en-GB" w:eastAsia="en-US"/>
        </w:rPr>
        <w:t xml:space="preserve"> realno stanje </w:t>
      </w:r>
      <w:r w:rsidR="00590DBC">
        <w:rPr>
          <w:rFonts w:eastAsia="Calibri" w:cs="Calibri"/>
          <w:szCs w:val="22"/>
          <w:lang w:val="en-GB" w:eastAsia="en-US"/>
        </w:rPr>
        <w:t>morske sredine Crne Gore u odnosu na Deskriptor 8.</w:t>
      </w:r>
    </w:p>
    <w:p w14:paraId="3948E9C5" w14:textId="371D7B41" w:rsidR="00CA5756" w:rsidRPr="001B7328" w:rsidRDefault="00741496" w:rsidP="00741496">
      <w:pPr>
        <w:rPr>
          <w:rFonts w:cs="Calibri"/>
          <w:color w:val="0070C0"/>
          <w:szCs w:val="22"/>
          <w:lang w:val="en-GB"/>
        </w:rPr>
      </w:pPr>
      <w:bookmarkStart w:id="16" w:name="_Hlk67927897"/>
      <w:r w:rsidRPr="005A1C76">
        <w:rPr>
          <w:rFonts w:eastAsia="Calibri" w:cs="Calibri"/>
          <w:lang w:val="en-GB"/>
        </w:rPr>
        <w:t xml:space="preserve">Ciljevi predloženi za </w:t>
      </w:r>
      <w:r w:rsidR="00503772">
        <w:rPr>
          <w:rFonts w:eastAsia="Calibri" w:cs="Calibri"/>
          <w:lang w:val="en-GB"/>
        </w:rPr>
        <w:t xml:space="preserve">postizanje/održavanje </w:t>
      </w:r>
      <w:r>
        <w:rPr>
          <w:rFonts w:eastAsia="Calibri" w:cs="Calibri"/>
          <w:lang w:val="en-GB"/>
        </w:rPr>
        <w:t>GES</w:t>
      </w:r>
      <w:r w:rsidR="00503772">
        <w:rPr>
          <w:rFonts w:eastAsia="Calibri" w:cs="Calibri"/>
          <w:lang w:val="en-GB"/>
        </w:rPr>
        <w:t xml:space="preserve">-a </w:t>
      </w:r>
      <w:r>
        <w:rPr>
          <w:rFonts w:eastAsia="Calibri" w:cs="Calibri"/>
          <w:lang w:val="en-GB"/>
        </w:rPr>
        <w:t xml:space="preserve">za </w:t>
      </w:r>
      <w:r w:rsidR="00503772">
        <w:rPr>
          <w:rFonts w:eastAsia="Calibri" w:cs="Calibri"/>
          <w:lang w:val="en-GB"/>
        </w:rPr>
        <w:t xml:space="preserve">Deskriptor 8 </w:t>
      </w:r>
      <w:r w:rsidRPr="005A1C76">
        <w:rPr>
          <w:rFonts w:eastAsia="Calibri" w:cs="Calibri"/>
          <w:lang w:val="en-GB"/>
        </w:rPr>
        <w:t>zasnivaju se na postojećim ciljevima prema Okvirnoj direktivi o vodama i OSPAR</w:t>
      </w:r>
      <w:r w:rsidR="00503772">
        <w:rPr>
          <w:rFonts w:eastAsia="Calibri" w:cs="Calibri"/>
          <w:lang w:val="en-GB"/>
        </w:rPr>
        <w:t xml:space="preserve"> konvenciji koji zahtjevaju </w:t>
      </w:r>
      <w:r w:rsidRPr="005A1C76">
        <w:rPr>
          <w:rFonts w:eastAsia="Calibri" w:cs="Calibri"/>
          <w:lang w:val="en-GB"/>
        </w:rPr>
        <w:t>da koncentracije i efekti zagađ</w:t>
      </w:r>
      <w:r w:rsidR="00503772">
        <w:rPr>
          <w:rFonts w:eastAsia="Calibri" w:cs="Calibri"/>
          <w:lang w:val="en-GB"/>
        </w:rPr>
        <w:t xml:space="preserve">ujućih materija </w:t>
      </w:r>
      <w:r w:rsidRPr="005A1C76">
        <w:rPr>
          <w:rFonts w:eastAsia="Calibri" w:cs="Calibri"/>
          <w:lang w:val="en-GB"/>
        </w:rPr>
        <w:t>u morsko</w:t>
      </w:r>
      <w:r w:rsidR="00EF06BB">
        <w:rPr>
          <w:rFonts w:eastAsia="Calibri" w:cs="Calibri"/>
          <w:lang w:val="en-GB"/>
        </w:rPr>
        <w:t>j</w:t>
      </w:r>
      <w:r w:rsidRPr="005A1C76">
        <w:rPr>
          <w:rFonts w:eastAsia="Calibri" w:cs="Calibri"/>
          <w:lang w:val="en-GB"/>
        </w:rPr>
        <w:t xml:space="preserve"> </w:t>
      </w:r>
      <w:r w:rsidR="00EF06BB">
        <w:rPr>
          <w:rFonts w:eastAsia="Calibri" w:cs="Calibri"/>
          <w:lang w:val="en-GB"/>
        </w:rPr>
        <w:t>sredini</w:t>
      </w:r>
      <w:r w:rsidRPr="005A1C76">
        <w:rPr>
          <w:rFonts w:eastAsia="Calibri" w:cs="Calibri"/>
          <w:lang w:val="en-GB"/>
        </w:rPr>
        <w:t xml:space="preserve"> budu na nivou dogovorenom postojećim zakonodavstvom i međunarodnim obavezama</w:t>
      </w:r>
      <w:bookmarkEnd w:id="16"/>
      <w:r>
        <w:rPr>
          <w:rFonts w:eastAsia="Calibri" w:cs="Calibri"/>
          <w:lang w:val="en-GB"/>
        </w:rPr>
        <w:t>.</w:t>
      </w:r>
    </w:p>
    <w:p w14:paraId="5F875BC0" w14:textId="16A687AD" w:rsidR="00971473" w:rsidRPr="00AD2390" w:rsidRDefault="00131076" w:rsidP="00971473">
      <w:r w:rsidRPr="00B0576A">
        <w:rPr>
          <w:rFonts w:eastAsia="Calibri" w:cs="Calibri"/>
          <w:b/>
          <w:szCs w:val="22"/>
          <w:lang w:val="en-GB" w:eastAsia="en-US"/>
        </w:rPr>
        <w:t>D</w:t>
      </w:r>
      <w:r w:rsidR="00DA6B61" w:rsidRPr="00B0576A">
        <w:rPr>
          <w:rFonts w:eastAsia="Calibri" w:cs="Calibri"/>
          <w:b/>
          <w:szCs w:val="22"/>
          <w:lang w:val="en-GB" w:eastAsia="en-US"/>
        </w:rPr>
        <w:t>eskriptor</w:t>
      </w:r>
      <w:r w:rsidRPr="00B0576A">
        <w:rPr>
          <w:rFonts w:eastAsia="Calibri" w:cs="Calibri"/>
          <w:b/>
          <w:szCs w:val="22"/>
          <w:lang w:val="en-GB" w:eastAsia="en-US"/>
        </w:rPr>
        <w:t xml:space="preserve"> 9 - </w:t>
      </w:r>
      <w:r w:rsidR="00DA6B61" w:rsidRPr="00B0576A">
        <w:rPr>
          <w:rFonts w:eastAsia="Calibri" w:cs="Calibri"/>
          <w:b/>
          <w:bCs/>
          <w:szCs w:val="22"/>
          <w:lang w:val="en-GB" w:eastAsia="en-US"/>
        </w:rPr>
        <w:t xml:space="preserve">kontaminanti u ribi i drugim </w:t>
      </w:r>
      <w:r w:rsidR="00565974">
        <w:rPr>
          <w:rFonts w:eastAsia="Calibri" w:cs="Calibri"/>
          <w:b/>
          <w:bCs/>
          <w:szCs w:val="22"/>
          <w:lang w:val="en-GB" w:eastAsia="en-US"/>
        </w:rPr>
        <w:t xml:space="preserve">morskim organizmima </w:t>
      </w:r>
      <w:r w:rsidR="00DA6B61" w:rsidRPr="00B0576A">
        <w:rPr>
          <w:rFonts w:eastAsia="Calibri" w:cs="Calibri"/>
          <w:b/>
          <w:bCs/>
          <w:szCs w:val="22"/>
          <w:lang w:val="en-GB" w:eastAsia="en-US"/>
        </w:rPr>
        <w:t xml:space="preserve">namijenjenim prehrani ljudi </w:t>
      </w:r>
      <w:r w:rsidR="00DA6B61" w:rsidRPr="00B0576A">
        <w:rPr>
          <w:rFonts w:eastAsia="Calibri" w:cs="Calibri"/>
          <w:lang w:val="en-GB"/>
        </w:rPr>
        <w:t xml:space="preserve">ima za cilj  da osigura da kontaminanti, posebno organske supstance i teški metali koji se nalaze u ribama </w:t>
      </w:r>
      <w:r w:rsidR="00DA6B61" w:rsidRPr="005A1C76">
        <w:rPr>
          <w:rFonts w:eastAsia="Calibri" w:cs="Calibri"/>
          <w:color w:val="000000"/>
          <w:lang w:val="en-GB"/>
        </w:rPr>
        <w:t>i školjkama namijenjenim za ljudsku ishranu, ne prelaze granične vrijednosti propisane zakonodavstvom ili drugim sporazumima.</w:t>
      </w:r>
      <w:r w:rsidR="00DA6B61" w:rsidRPr="00DA6B61">
        <w:rPr>
          <w:rFonts w:eastAsia="Calibri" w:cs="Calibri"/>
          <w:lang w:val="en-GB"/>
        </w:rPr>
        <w:t xml:space="preserve"> </w:t>
      </w:r>
      <w:r w:rsidR="00DA6B61" w:rsidRPr="005A1C76">
        <w:rPr>
          <w:rFonts w:eastAsia="Calibri" w:cs="Calibri"/>
          <w:lang w:val="en-GB"/>
        </w:rPr>
        <w:t>Da bi se postigao dobar status (GES)</w:t>
      </w:r>
      <w:r w:rsidR="00DA6B61">
        <w:rPr>
          <w:rFonts w:eastAsia="Calibri" w:cs="Calibri"/>
          <w:lang w:val="en-GB"/>
        </w:rPr>
        <w:t xml:space="preserve"> za ovaj </w:t>
      </w:r>
      <w:r w:rsidR="00DA6B61" w:rsidRPr="00971473">
        <w:rPr>
          <w:rFonts w:eastAsia="Calibri" w:cs="Calibri"/>
          <w:szCs w:val="22"/>
          <w:lang w:val="en-GB"/>
        </w:rPr>
        <w:t>des</w:t>
      </w:r>
      <w:r w:rsidR="00971473" w:rsidRPr="00971473">
        <w:rPr>
          <w:rFonts w:eastAsia="Calibri" w:cs="Calibri"/>
          <w:szCs w:val="22"/>
          <w:lang w:val="en-GB"/>
        </w:rPr>
        <w:t>kriptor</w:t>
      </w:r>
      <w:r w:rsidR="00DA6B61" w:rsidRPr="00971473">
        <w:rPr>
          <w:rFonts w:eastAsia="Calibri" w:cs="Calibri"/>
          <w:szCs w:val="22"/>
          <w:lang w:val="en-GB"/>
        </w:rPr>
        <w:t xml:space="preserve"> </w:t>
      </w:r>
      <w:r w:rsidR="00971473">
        <w:rPr>
          <w:szCs w:val="22"/>
          <w:lang w:val="en-GB"/>
        </w:rPr>
        <w:t>n</w:t>
      </w:r>
      <w:r w:rsidR="00971473" w:rsidRPr="00971473">
        <w:rPr>
          <w:szCs w:val="22"/>
          <w:lang w:val="en-GB"/>
        </w:rPr>
        <w:t xml:space="preserve">ivoi kontaminanata u jestivim tkivima školjki ​​ulovljenih ili uzgajanih u divljini ne </w:t>
      </w:r>
      <w:r w:rsidR="00971473">
        <w:rPr>
          <w:szCs w:val="22"/>
          <w:lang w:val="en-GB"/>
        </w:rPr>
        <w:t xml:space="preserve">smije da prelazi maksimalne nivoe </w:t>
      </w:r>
      <w:r w:rsidR="00EF06BB">
        <w:rPr>
          <w:szCs w:val="22"/>
          <w:lang w:val="en-GB"/>
        </w:rPr>
        <w:t>prikazane</w:t>
      </w:r>
      <w:r w:rsidR="00971473">
        <w:rPr>
          <w:szCs w:val="22"/>
          <w:lang w:val="en-GB"/>
        </w:rPr>
        <w:t xml:space="preserve"> u Regulativi Komisije broj</w:t>
      </w:r>
      <w:r w:rsidR="00971473" w:rsidRPr="00971473">
        <w:rPr>
          <w:szCs w:val="22"/>
          <w:lang w:val="en-GB"/>
        </w:rPr>
        <w:t>. 1881/2006.</w:t>
      </w:r>
      <w:r w:rsidR="00AD2390" w:rsidRPr="00AD2390">
        <w:t xml:space="preserve"> </w:t>
      </w:r>
      <w:r w:rsidR="00AD2390">
        <w:t xml:space="preserve"> </w:t>
      </w:r>
      <w:r w:rsidR="00AD2390">
        <w:rPr>
          <w:szCs w:val="22"/>
          <w:lang w:val="en-GB"/>
        </w:rPr>
        <w:t xml:space="preserve">Predloženi ciljevi </w:t>
      </w:r>
      <w:r w:rsidR="00AD2390" w:rsidRPr="00AD2390">
        <w:rPr>
          <w:szCs w:val="22"/>
          <w:lang w:val="en-GB"/>
        </w:rPr>
        <w:t xml:space="preserve"> koji vode ka </w:t>
      </w:r>
      <w:r w:rsidR="00565974">
        <w:rPr>
          <w:szCs w:val="22"/>
          <w:lang w:val="en-GB"/>
        </w:rPr>
        <w:t>napretku</w:t>
      </w:r>
      <w:r w:rsidR="00AD2390" w:rsidRPr="00AD2390">
        <w:rPr>
          <w:szCs w:val="22"/>
          <w:lang w:val="en-GB"/>
        </w:rPr>
        <w:t xml:space="preserve"> u postizanju/održavanju GES-a za Deskriptor 9 razvijeni su prim</w:t>
      </w:r>
      <w:r w:rsidR="00AD2390">
        <w:rPr>
          <w:szCs w:val="22"/>
          <w:lang w:val="en-GB"/>
        </w:rPr>
        <w:t>j</w:t>
      </w:r>
      <w:r w:rsidR="00AD2390" w:rsidRPr="00AD2390">
        <w:rPr>
          <w:szCs w:val="22"/>
          <w:lang w:val="en-GB"/>
        </w:rPr>
        <w:t>enom pristupa zasnovanog na riziku.</w:t>
      </w:r>
    </w:p>
    <w:p w14:paraId="4E3A602D" w14:textId="77777777" w:rsidR="002C0B50" w:rsidRPr="002C0B50" w:rsidRDefault="002C0B50" w:rsidP="002C0B50">
      <w:pPr>
        <w:rPr>
          <w:rFonts w:cs="Calibri"/>
          <w:szCs w:val="22"/>
          <w:lang w:val="sr-Latn-RS" w:eastAsia="en-US"/>
        </w:rPr>
      </w:pPr>
      <w:r w:rsidRPr="002C0B50">
        <w:rPr>
          <w:rFonts w:cs="Calibri"/>
          <w:b/>
          <w:bCs/>
          <w:szCs w:val="22"/>
          <w:lang w:val="sr-Latn-RS" w:eastAsia="en-US"/>
        </w:rPr>
        <w:t>Pitanje otpada u moru (Deskriptor 10)</w:t>
      </w:r>
      <w:r w:rsidRPr="002C0B50">
        <w:rPr>
          <w:rFonts w:cs="Calibri"/>
          <w:szCs w:val="22"/>
          <w:lang w:val="sr-Latn-RS" w:eastAsia="en-US"/>
        </w:rPr>
        <w:t xml:space="preserve"> prepoznato je kao jedna od glavnih prijetnji i pritisaka na morske ekosisteme u Sredozemnom moru. Nedavna istraživanja o količini plastike u Sredozemnom moru pokazala su da se Crna Gora nalazi među prvih 10 zemalja koje doprinose ukupnoj količini plastike koja dospijeva u Sredozemno more, sa 8,7 kg plastike po stanovniku godišnje, koje je najvećim dijelom posljedica lošeg upravljanja </w:t>
      </w:r>
      <w:r w:rsidRPr="002C0B50">
        <w:rPr>
          <w:rFonts w:eastAsia="Calibri" w:cs="Calibri"/>
          <w:szCs w:val="22"/>
          <w:lang w:val="sr-Latn-RS" w:eastAsia="en-US"/>
        </w:rPr>
        <w:t>otpadom</w:t>
      </w:r>
      <w:r w:rsidRPr="002C0B50">
        <w:rPr>
          <w:rFonts w:eastAsia="Calibri" w:cs="Calibri"/>
          <w:szCs w:val="22"/>
          <w:vertAlign w:val="superscript"/>
          <w:lang w:val="sr-Latn-RS" w:eastAsia="en-US"/>
        </w:rPr>
        <w:footnoteReference w:id="7"/>
      </w:r>
      <w:r w:rsidRPr="002C0B50">
        <w:rPr>
          <w:rFonts w:eastAsia="Calibri" w:cs="Calibri"/>
          <w:szCs w:val="22"/>
          <w:lang w:val="sr-Latn-RS" w:eastAsia="en-US"/>
        </w:rPr>
        <w:t>.</w:t>
      </w:r>
    </w:p>
    <w:p w14:paraId="308873B1" w14:textId="77777777" w:rsidR="002C0B50" w:rsidRPr="002C0B50" w:rsidRDefault="002C0B50" w:rsidP="002C0B50">
      <w:pPr>
        <w:rPr>
          <w:rFonts w:cs="Calibri"/>
          <w:szCs w:val="22"/>
          <w:lang w:val="sr-Latn-RS" w:eastAsia="en-US"/>
        </w:rPr>
      </w:pPr>
      <w:r w:rsidRPr="002C0B50">
        <w:rPr>
          <w:rFonts w:cs="Calibri"/>
          <w:szCs w:val="22"/>
          <w:lang w:val="sr-Latn-RS" w:eastAsia="en-US"/>
        </w:rPr>
        <w:t>GES za otpad u moru nije postignut jer količina otpada na obali prevazilazi EU granične vrijednosti praga za otpad na plažama. Zbog nepostojanja vrijednosti praga za plutajući otpad i otpad na morskom dnu, nije moguće procjeniti GES, ali se pretpostavlja da GES nije postignut jer su se vrijednosti plutajućeg otpada na istraživanom području Crne Gore kretale od 58,33-167,9 komada/km</w:t>
      </w:r>
      <w:r w:rsidRPr="002C0B50">
        <w:rPr>
          <w:rFonts w:cs="Calibri"/>
          <w:szCs w:val="22"/>
          <w:vertAlign w:val="superscript"/>
          <w:lang w:val="sr-Latn-RS" w:eastAsia="en-US"/>
        </w:rPr>
        <w:t>2</w:t>
      </w:r>
      <w:r w:rsidRPr="002C0B50">
        <w:rPr>
          <w:rFonts w:cs="Calibri"/>
          <w:szCs w:val="22"/>
          <w:lang w:val="sr-Latn-RS" w:eastAsia="en-US"/>
        </w:rPr>
        <w:t xml:space="preserve"> sa prosječnom vrijednošću od 122,65 komada/km</w:t>
      </w:r>
      <w:r w:rsidRPr="002C0B50">
        <w:rPr>
          <w:rFonts w:cs="Calibri"/>
          <w:szCs w:val="22"/>
          <w:vertAlign w:val="superscript"/>
          <w:lang w:val="sr-Latn-RS" w:eastAsia="en-US"/>
        </w:rPr>
        <w:t>2</w:t>
      </w:r>
      <w:r w:rsidRPr="002C0B50">
        <w:rPr>
          <w:rFonts w:cs="Calibri"/>
          <w:szCs w:val="22"/>
          <w:lang w:val="sr-Latn-RS" w:eastAsia="en-US"/>
        </w:rPr>
        <w:t>; a otpada na morskom dnu od 10,1-1290,3 komada/km</w:t>
      </w:r>
      <w:r w:rsidRPr="002C0B50">
        <w:rPr>
          <w:rFonts w:cs="Calibri"/>
          <w:szCs w:val="22"/>
          <w:vertAlign w:val="superscript"/>
          <w:lang w:val="sr-Latn-RS" w:eastAsia="en-US"/>
        </w:rPr>
        <w:t>2</w:t>
      </w:r>
      <w:r w:rsidRPr="002C0B50">
        <w:rPr>
          <w:rFonts w:cs="Calibri"/>
          <w:szCs w:val="22"/>
          <w:lang w:val="sr-Latn-RS" w:eastAsia="en-US"/>
        </w:rPr>
        <w:t>, sa prosječnom vrijednošću od 260,67 komada/km</w:t>
      </w:r>
      <w:r w:rsidRPr="002C0B50">
        <w:rPr>
          <w:rFonts w:cs="Calibri"/>
          <w:szCs w:val="22"/>
          <w:vertAlign w:val="superscript"/>
          <w:lang w:val="sr-Latn-RS" w:eastAsia="en-US"/>
        </w:rPr>
        <w:t>2</w:t>
      </w:r>
      <w:r w:rsidRPr="002C0B50">
        <w:rPr>
          <w:rFonts w:cs="Calibri"/>
          <w:szCs w:val="22"/>
          <w:lang w:val="sr-Latn-RS" w:eastAsia="en-US"/>
        </w:rPr>
        <w:t>.</w:t>
      </w:r>
    </w:p>
    <w:p w14:paraId="46EA46EA" w14:textId="2A26B0B7" w:rsidR="002C0B50" w:rsidRPr="002C0B50" w:rsidRDefault="002C0B50" w:rsidP="002C0B50">
      <w:pPr>
        <w:rPr>
          <w:rFonts w:cs="Calibri"/>
          <w:szCs w:val="22"/>
          <w:lang w:val="sr-Latn-RS" w:eastAsia="en-US"/>
        </w:rPr>
      </w:pPr>
      <w:r w:rsidRPr="002C0B50">
        <w:rPr>
          <w:rFonts w:cs="Calibri"/>
          <w:szCs w:val="22"/>
          <w:lang w:val="sr-Latn-RS" w:eastAsia="en-US"/>
        </w:rPr>
        <w:t>Zbog našeg ograničenog razumijevanja trenutnih nivoa zagađenja, svojstava i uticaja otpada u moru, nije moguće predložiti kvantitativne ciljeve koji ukazuju na tačku na kojoj bi se postigao GES, tj. definisala vrijednost praga. Umjesto toga, razvijen je cilj zasnovan na trendu za otpad u obalnim područjima koji zahtijeva apsolutno smanjenje vidljivih komada otpada na obali unutar određenih kategorija (npr. plastika, otpad povezan sa sektorom ribarstva).</w:t>
      </w:r>
    </w:p>
    <w:p w14:paraId="6EF5D851" w14:textId="4A0146FE" w:rsidR="007D777B" w:rsidRDefault="007D777B" w:rsidP="007D777B">
      <w:pPr>
        <w:autoSpaceDE w:val="0"/>
        <w:autoSpaceDN w:val="0"/>
        <w:adjustRightInd w:val="0"/>
        <w:spacing w:before="0" w:after="240"/>
        <w:rPr>
          <w:rFonts w:eastAsia="Calibri" w:cs="Calibri"/>
          <w:szCs w:val="22"/>
          <w:lang w:val="sq-AL" w:eastAsia="en-US"/>
        </w:rPr>
      </w:pPr>
      <w:r w:rsidRPr="007D777B">
        <w:rPr>
          <w:rFonts w:eastAsia="Calibri" w:cs="Calibri"/>
          <w:b/>
          <w:szCs w:val="22"/>
          <w:lang w:val="en-GB" w:eastAsia="en-US"/>
        </w:rPr>
        <w:t>Antropogeni unosi zvuka (Deskriptor 11)</w:t>
      </w:r>
      <w:r w:rsidRPr="007D777B">
        <w:rPr>
          <w:rFonts w:eastAsia="Calibri" w:cs="Calibri"/>
          <w:szCs w:val="22"/>
          <w:lang w:val="en-GB" w:eastAsia="en-US"/>
        </w:rPr>
        <w:t xml:space="preserve"> mogu na razne načine potencijalno uticati na morske organizme. </w:t>
      </w:r>
      <w:r>
        <w:rPr>
          <w:rFonts w:eastAsia="Calibri" w:cs="Calibri"/>
          <w:bCs/>
          <w:szCs w:val="22"/>
          <w:lang w:val="sq-AL" w:eastAsia="en-US"/>
        </w:rPr>
        <w:t xml:space="preserve">Kontinuirani zvuk može degradirati </w:t>
      </w:r>
      <w:r>
        <w:rPr>
          <w:rFonts w:eastAsia="Calibri" w:cs="Calibri"/>
          <w:bCs/>
          <w:color w:val="000000"/>
          <w:szCs w:val="22"/>
          <w:lang w:val="sq-AL" w:eastAsia="en-US"/>
        </w:rPr>
        <w:t>stanište</w:t>
      </w:r>
      <w:r w:rsidR="00800EA3">
        <w:rPr>
          <w:rFonts w:eastAsia="Calibri" w:cs="Calibri"/>
          <w:bCs/>
          <w:color w:val="000000"/>
          <w:szCs w:val="22"/>
          <w:lang w:val="sq-AL" w:eastAsia="en-US"/>
        </w:rPr>
        <w:t xml:space="preserve"> zvuka</w:t>
      </w:r>
      <w:r>
        <w:rPr>
          <w:rFonts w:eastAsia="Calibri" w:cs="Calibri"/>
          <w:bCs/>
          <w:color w:val="000000"/>
          <w:szCs w:val="22"/>
          <w:lang w:val="sq-AL" w:eastAsia="en-US"/>
        </w:rPr>
        <w:t xml:space="preserve">, prikrivajući biološki relevantne signale kao što su klikovi eholokacije, što otežava ili onemogućava pronalazak </w:t>
      </w:r>
      <w:r>
        <w:rPr>
          <w:rFonts w:eastAsia="Calibri" w:cs="Calibri"/>
          <w:bCs/>
          <w:szCs w:val="22"/>
          <w:lang w:val="sq-AL" w:eastAsia="en-US"/>
        </w:rPr>
        <w:t xml:space="preserve">partnera, lociranje hrane ili otkrivanje predatora. </w:t>
      </w:r>
      <w:r>
        <w:rPr>
          <w:rFonts w:eastAsia="Calibri" w:cs="Calibri"/>
          <w:szCs w:val="22"/>
          <w:lang w:val="sq-AL" w:eastAsia="en-US"/>
        </w:rPr>
        <w:t>Impulsni zvukovi mogu dovesti do različitog ponašanja, kao što su izbjegavanje područja hranjenja ili mriješćenja, ili mogu rezultirati fiziološkim efektima kao što su privremena ili trajna oštećenja organa sluha, a na vrlo visokim nivoima, čak i smrću.</w:t>
      </w:r>
    </w:p>
    <w:p w14:paraId="54DFD7A1" w14:textId="432A7413" w:rsidR="00B0576A" w:rsidRPr="004C5A17" w:rsidRDefault="00B0576A" w:rsidP="004C5A17">
      <w:pPr>
        <w:spacing w:before="0"/>
        <w:contextualSpacing/>
        <w:rPr>
          <w:szCs w:val="22"/>
          <w:lang w:val="en-GB" w:eastAsia="en-US"/>
        </w:rPr>
      </w:pPr>
      <w:r w:rsidRPr="0047259B">
        <w:rPr>
          <w:szCs w:val="22"/>
          <w:lang w:val="en-GB" w:eastAsia="en-US"/>
        </w:rPr>
        <w:t xml:space="preserve">Trenutno nema dovoljno podataka koji bi pružili kvantitativnu procjenu </w:t>
      </w:r>
      <w:r>
        <w:rPr>
          <w:szCs w:val="22"/>
          <w:lang w:val="en-GB" w:eastAsia="en-US"/>
        </w:rPr>
        <w:t xml:space="preserve">postojećeg </w:t>
      </w:r>
      <w:r w:rsidRPr="0047259B">
        <w:rPr>
          <w:szCs w:val="22"/>
          <w:lang w:val="en-GB" w:eastAsia="en-US"/>
        </w:rPr>
        <w:t xml:space="preserve">stanja antropogenog podvodnog zvuka u </w:t>
      </w:r>
      <w:r>
        <w:rPr>
          <w:szCs w:val="22"/>
          <w:lang w:val="en-GB" w:eastAsia="en-US"/>
        </w:rPr>
        <w:t xml:space="preserve">morskim vodama Crne Gore budući da </w:t>
      </w:r>
      <w:r w:rsidRPr="00B0576A">
        <w:rPr>
          <w:szCs w:val="22"/>
          <w:lang w:val="en-GB" w:eastAsia="en-US"/>
        </w:rPr>
        <w:t xml:space="preserve">za taj deskriptor do sada nije </w:t>
      </w:r>
      <w:r>
        <w:rPr>
          <w:szCs w:val="22"/>
          <w:lang w:val="en-GB" w:eastAsia="en-US"/>
        </w:rPr>
        <w:t>uspostavljen program monitoringa</w:t>
      </w:r>
      <w:r w:rsidRPr="00B0576A">
        <w:rPr>
          <w:szCs w:val="22"/>
          <w:lang w:val="en-GB" w:eastAsia="en-US"/>
        </w:rPr>
        <w:t>.</w:t>
      </w:r>
      <w:r>
        <w:rPr>
          <w:szCs w:val="22"/>
          <w:lang w:val="en-GB" w:eastAsia="en-US"/>
        </w:rPr>
        <w:t xml:space="preserve"> </w:t>
      </w:r>
      <w:r w:rsidR="00D419DD" w:rsidRPr="00D419DD">
        <w:rPr>
          <w:szCs w:val="22"/>
          <w:lang w:val="en-GB" w:eastAsia="en-US"/>
        </w:rPr>
        <w:t>Međutim, na osnovu podataka pritiska iz pomorskog saobraćaja,</w:t>
      </w:r>
      <w:r w:rsidR="00D419DD" w:rsidRPr="00D419DD">
        <w:t xml:space="preserve"> </w:t>
      </w:r>
      <w:r w:rsidR="00D419DD" w:rsidRPr="00D419DD">
        <w:rPr>
          <w:szCs w:val="22"/>
          <w:lang w:val="en-GB" w:eastAsia="en-US"/>
        </w:rPr>
        <w:t>unos antropogenog impuls</w:t>
      </w:r>
      <w:r w:rsidR="00D419DD">
        <w:rPr>
          <w:szCs w:val="22"/>
          <w:lang w:val="en-GB" w:eastAsia="en-US"/>
        </w:rPr>
        <w:t>nog</w:t>
      </w:r>
      <w:r w:rsidR="00D419DD" w:rsidRPr="00D419DD">
        <w:rPr>
          <w:szCs w:val="22"/>
          <w:lang w:val="en-GB" w:eastAsia="en-US"/>
        </w:rPr>
        <w:t xml:space="preserve"> zvuka</w:t>
      </w:r>
      <w:r w:rsidR="00D419DD">
        <w:rPr>
          <w:szCs w:val="22"/>
          <w:lang w:val="en-GB" w:eastAsia="en-US"/>
        </w:rPr>
        <w:t xml:space="preserve"> </w:t>
      </w:r>
      <w:r w:rsidRPr="005A60C8">
        <w:rPr>
          <w:szCs w:val="22"/>
          <w:lang w:val="en-GB" w:eastAsia="en-US"/>
        </w:rPr>
        <w:t xml:space="preserve">procjenjuje </w:t>
      </w:r>
      <w:r w:rsidR="00D419DD">
        <w:rPr>
          <w:szCs w:val="22"/>
          <w:lang w:val="en-GB" w:eastAsia="en-US"/>
        </w:rPr>
        <w:t xml:space="preserve">se </w:t>
      </w:r>
      <w:r w:rsidRPr="005A60C8">
        <w:rPr>
          <w:szCs w:val="22"/>
          <w:lang w:val="en-GB" w:eastAsia="en-US"/>
        </w:rPr>
        <w:t>na srednjem nivou u blizini glavnih pravaca do i iz Bara i Bok</w:t>
      </w:r>
      <w:r>
        <w:rPr>
          <w:szCs w:val="22"/>
          <w:lang w:val="en-GB" w:eastAsia="en-US"/>
        </w:rPr>
        <w:t>okotorskog zaliva</w:t>
      </w:r>
      <w:r w:rsidRPr="005A60C8">
        <w:rPr>
          <w:szCs w:val="22"/>
          <w:lang w:val="en-GB" w:eastAsia="en-US"/>
        </w:rPr>
        <w:t>. U</w:t>
      </w:r>
      <w:r>
        <w:rPr>
          <w:szCs w:val="22"/>
          <w:lang w:val="en-GB" w:eastAsia="en-US"/>
        </w:rPr>
        <w:t>nos</w:t>
      </w:r>
      <w:r w:rsidRPr="005A60C8">
        <w:rPr>
          <w:szCs w:val="22"/>
          <w:lang w:val="en-GB" w:eastAsia="en-US"/>
        </w:rPr>
        <w:t xml:space="preserve"> može biti visok kod ulaza i unutar Bok</w:t>
      </w:r>
      <w:r>
        <w:rPr>
          <w:szCs w:val="22"/>
          <w:lang w:val="en-GB" w:eastAsia="en-US"/>
        </w:rPr>
        <w:t xml:space="preserve">okotorskog zaliva u ljetnjoj </w:t>
      </w:r>
      <w:r w:rsidRPr="005A60C8">
        <w:rPr>
          <w:szCs w:val="22"/>
          <w:lang w:val="en-GB" w:eastAsia="en-US"/>
        </w:rPr>
        <w:t>sezoni zbog pojačanog prometa turistič</w:t>
      </w:r>
      <w:r>
        <w:rPr>
          <w:szCs w:val="22"/>
          <w:lang w:val="en-GB" w:eastAsia="en-US"/>
        </w:rPr>
        <w:t>kih, rekreativnih brodova i kruzera.</w:t>
      </w:r>
    </w:p>
    <w:p w14:paraId="2A6017BA" w14:textId="524A212B" w:rsidR="00B0576A" w:rsidRPr="00D419DD" w:rsidRDefault="00D419DD" w:rsidP="00D419DD">
      <w:pPr>
        <w:spacing w:before="0" w:after="160"/>
        <w:contextualSpacing/>
        <w:rPr>
          <w:szCs w:val="22"/>
          <w:lang w:val="en-GB" w:eastAsia="en-US"/>
        </w:rPr>
      </w:pPr>
      <w:r w:rsidRPr="004C5A17">
        <w:rPr>
          <w:szCs w:val="22"/>
          <w:lang w:val="en-GB" w:eastAsia="en-US"/>
        </w:rPr>
        <w:t xml:space="preserve">Zbog visokog nivoa nesigurnosti u vezi sa uticajem buke, </w:t>
      </w:r>
      <w:r w:rsidR="00565974" w:rsidRPr="004C5A17">
        <w:rPr>
          <w:szCs w:val="22"/>
          <w:lang w:val="en-GB" w:eastAsia="en-US"/>
        </w:rPr>
        <w:t>nije bilo moguće p</w:t>
      </w:r>
      <w:r w:rsidRPr="004C5A17">
        <w:rPr>
          <w:szCs w:val="22"/>
          <w:lang w:val="en-GB" w:eastAsia="en-US"/>
        </w:rPr>
        <w:t>reporuč</w:t>
      </w:r>
      <w:r w:rsidR="00565974" w:rsidRPr="004C5A17">
        <w:rPr>
          <w:szCs w:val="22"/>
          <w:lang w:val="en-GB" w:eastAsia="en-US"/>
        </w:rPr>
        <w:t>iti</w:t>
      </w:r>
      <w:r w:rsidRPr="004C5A17">
        <w:rPr>
          <w:szCs w:val="22"/>
          <w:lang w:val="en-GB" w:eastAsia="en-US"/>
        </w:rPr>
        <w:t xml:space="preserve"> određeni cilj za postizanje/održavanje GES-a za Deskriptor 11</w:t>
      </w:r>
      <w:r w:rsidR="00565974" w:rsidRPr="004C5A17">
        <w:rPr>
          <w:szCs w:val="22"/>
          <w:lang w:val="en-GB" w:eastAsia="en-US"/>
        </w:rPr>
        <w:t>,</w:t>
      </w:r>
      <w:r w:rsidRPr="004C5A17">
        <w:rPr>
          <w:szCs w:val="22"/>
          <w:lang w:val="en-GB" w:eastAsia="en-US"/>
        </w:rPr>
        <w:t xml:space="preserve"> bilo za impulsne zvukove bilo za ambijentalne zvukove za koje smatraju da su ekvivalentni GES-u. Umjesto toga, koncipiran je operativni cilj za impulsne zvukove i razvijen je indikator za nadzor ambijentalnih zvukova.</w:t>
      </w:r>
    </w:p>
    <w:p w14:paraId="63B2C9A9" w14:textId="77777777" w:rsidR="00D419DD" w:rsidRDefault="00D419DD" w:rsidP="00131076">
      <w:pPr>
        <w:autoSpaceDE w:val="0"/>
        <w:autoSpaceDN w:val="0"/>
        <w:adjustRightInd w:val="0"/>
        <w:spacing w:before="0" w:after="160"/>
        <w:rPr>
          <w:rFonts w:eastAsia="Calibri" w:cs="Calibri"/>
          <w:b/>
          <w:color w:val="0070C0"/>
          <w:szCs w:val="22"/>
          <w:lang w:val="en-GB" w:eastAsia="en-US"/>
        </w:rPr>
      </w:pPr>
    </w:p>
    <w:p w14:paraId="01897484" w14:textId="4375D309" w:rsidR="00AD2390" w:rsidRPr="00AD2390" w:rsidRDefault="00AD2390" w:rsidP="008C3D55">
      <w:pPr>
        <w:spacing w:before="0" w:after="160"/>
        <w:rPr>
          <w:rFonts w:eastAsia="Calibri" w:cs="Calibri"/>
          <w:b/>
          <w:szCs w:val="22"/>
          <w:lang w:val="en-GB" w:eastAsia="en-US"/>
        </w:rPr>
      </w:pPr>
      <w:r w:rsidRPr="00AD2390">
        <w:rPr>
          <w:rFonts w:eastAsia="Calibri" w:cs="Calibri"/>
          <w:b/>
          <w:szCs w:val="22"/>
          <w:lang w:val="en-GB" w:eastAsia="en-US"/>
        </w:rPr>
        <w:t>DIO II: Deskriptori povezani sa relevantnim elementima ekosistema</w:t>
      </w:r>
    </w:p>
    <w:p w14:paraId="495DCDA2" w14:textId="4DB6AF2B" w:rsidR="008C3D55" w:rsidRPr="00B35C1D" w:rsidRDefault="008C3D55" w:rsidP="008C3D55">
      <w:pPr>
        <w:spacing w:before="0" w:after="160"/>
        <w:rPr>
          <w:rFonts w:cs="Calibri"/>
          <w:color w:val="000000"/>
          <w:szCs w:val="22"/>
          <w:lang w:val="en-GB"/>
        </w:rPr>
      </w:pPr>
      <w:r w:rsidRPr="008C3D55">
        <w:rPr>
          <w:rFonts w:cs="Calibri"/>
          <w:szCs w:val="22"/>
          <w:lang w:val="en-GB"/>
        </w:rPr>
        <w:t>Drugi d</w:t>
      </w:r>
      <w:r>
        <w:rPr>
          <w:rFonts w:cs="Calibri"/>
          <w:szCs w:val="22"/>
          <w:lang w:val="en-GB"/>
        </w:rPr>
        <w:t>i</w:t>
      </w:r>
      <w:r w:rsidRPr="008C3D55">
        <w:rPr>
          <w:rFonts w:cs="Calibri"/>
          <w:szCs w:val="22"/>
          <w:lang w:val="en-GB"/>
        </w:rPr>
        <w:t>o ovog dokumenta razmatra deskriptore povezane sa relevantnim elementima ekosistema: grupe vrsta ptica, sisara, gmizavaca i riba (Deskriptor 1), pelagična</w:t>
      </w:r>
      <w:r>
        <w:rPr>
          <w:rFonts w:cs="Calibri"/>
          <w:szCs w:val="22"/>
          <w:lang w:val="en-GB"/>
        </w:rPr>
        <w:t xml:space="preserve"> staništa (Deskriptor 1), bentos</w:t>
      </w:r>
      <w:r w:rsidRPr="008C3D55">
        <w:rPr>
          <w:rFonts w:cs="Calibri"/>
          <w:szCs w:val="22"/>
          <w:lang w:val="en-GB"/>
        </w:rPr>
        <w:t>ka staništa (Deskriptori 1 i 6) i ekosisteme, uključujući prehrambene mreže (deskriptori 1 i 4), kako su navedeni u Aneksu III Direktive 2008/56</w:t>
      </w:r>
      <w:r>
        <w:rPr>
          <w:rFonts w:cs="Calibri"/>
          <w:szCs w:val="22"/>
          <w:lang w:val="en-GB"/>
        </w:rPr>
        <w:t>/</w:t>
      </w:r>
      <w:r w:rsidRPr="008C3D55">
        <w:rPr>
          <w:rFonts w:cs="Calibri"/>
          <w:szCs w:val="22"/>
          <w:lang w:val="en-GB"/>
        </w:rPr>
        <w:t xml:space="preserve">EC. </w:t>
      </w:r>
      <w:r w:rsidRPr="00B35C1D">
        <w:rPr>
          <w:rFonts w:cs="Calibri"/>
          <w:color w:val="000000"/>
          <w:szCs w:val="22"/>
          <w:lang w:val="en-GB"/>
        </w:rPr>
        <w:t xml:space="preserve">Deskriptori 1, 4 i 6  smatraju </w:t>
      </w:r>
      <w:r w:rsidR="00565974">
        <w:rPr>
          <w:rFonts w:cs="Calibri"/>
          <w:color w:val="000000"/>
          <w:szCs w:val="22"/>
          <w:lang w:val="en-GB"/>
        </w:rPr>
        <w:t xml:space="preserve"> se </w:t>
      </w:r>
      <w:r w:rsidRPr="00B35C1D">
        <w:rPr>
          <w:rFonts w:cs="Calibri"/>
          <w:color w:val="000000"/>
          <w:szCs w:val="22"/>
          <w:lang w:val="en-GB"/>
        </w:rPr>
        <w:t>„</w:t>
      </w:r>
      <w:r>
        <w:rPr>
          <w:rFonts w:cs="Calibri"/>
          <w:color w:val="000000"/>
          <w:szCs w:val="22"/>
          <w:lang w:val="en-GB"/>
        </w:rPr>
        <w:t>deskriptorima stanja“</w:t>
      </w:r>
      <w:r w:rsidRPr="00B35C1D">
        <w:rPr>
          <w:rFonts w:cs="Calibri"/>
          <w:color w:val="000000"/>
          <w:szCs w:val="22"/>
          <w:lang w:val="en-GB"/>
        </w:rPr>
        <w:t xml:space="preserve">, na koje </w:t>
      </w:r>
      <w:r>
        <w:rPr>
          <w:rFonts w:cs="Calibri"/>
          <w:color w:val="000000"/>
          <w:szCs w:val="22"/>
          <w:lang w:val="en-GB"/>
        </w:rPr>
        <w:t xml:space="preserve">utiču, vrlo često kumulativno, drugi deskriptori </w:t>
      </w:r>
      <w:r w:rsidRPr="00B35C1D">
        <w:rPr>
          <w:rFonts w:cs="Calibri"/>
          <w:color w:val="000000"/>
          <w:szCs w:val="22"/>
          <w:lang w:val="en-GB"/>
        </w:rPr>
        <w:t xml:space="preserve"> koji se fokusiraju na pritiske i uticaje</w:t>
      </w:r>
      <w:r>
        <w:rPr>
          <w:rFonts w:cs="Calibri"/>
          <w:color w:val="000000"/>
          <w:szCs w:val="22"/>
          <w:lang w:val="en-GB"/>
        </w:rPr>
        <w:t>.</w:t>
      </w:r>
      <w:r w:rsidRPr="00B35C1D">
        <w:rPr>
          <w:rFonts w:cs="Calibri"/>
          <w:color w:val="000000"/>
          <w:szCs w:val="22"/>
          <w:lang w:val="en-GB"/>
        </w:rPr>
        <w:t xml:space="preserve">. </w:t>
      </w:r>
    </w:p>
    <w:p w14:paraId="44D4D88A" w14:textId="4141796C" w:rsidR="007D777B" w:rsidRPr="00B1178A" w:rsidRDefault="007D777B" w:rsidP="007D777B">
      <w:pPr>
        <w:spacing w:before="0" w:after="120"/>
        <w:rPr>
          <w:rFonts w:eastAsia="Calibri"/>
          <w:lang w:val="en-GB"/>
        </w:rPr>
      </w:pPr>
      <w:r w:rsidRPr="004550B8">
        <w:rPr>
          <w:rFonts w:eastAsia="Calibri"/>
          <w:bCs/>
          <w:szCs w:val="22"/>
          <w:lang w:val="en-GB" w:eastAsia="en-US"/>
        </w:rPr>
        <w:t xml:space="preserve">Pregled i status </w:t>
      </w:r>
      <w:r w:rsidRPr="007D777B">
        <w:rPr>
          <w:rFonts w:eastAsia="Calibri"/>
          <w:b/>
          <w:bCs/>
          <w:szCs w:val="22"/>
          <w:lang w:val="en-GB" w:eastAsia="en-US"/>
        </w:rPr>
        <w:t>morskih i priobalnih</w:t>
      </w:r>
      <w:r w:rsidRPr="004550B8">
        <w:rPr>
          <w:rFonts w:eastAsia="Calibri"/>
          <w:bCs/>
          <w:szCs w:val="22"/>
          <w:lang w:val="en-GB" w:eastAsia="en-US"/>
        </w:rPr>
        <w:t xml:space="preserve"> ptica Crne Gore </w:t>
      </w:r>
      <w:r>
        <w:rPr>
          <w:rFonts w:eastAsia="Calibri"/>
          <w:bCs/>
          <w:szCs w:val="22"/>
          <w:lang w:val="en-GB" w:eastAsia="en-US"/>
        </w:rPr>
        <w:t>pokazuje da m</w:t>
      </w:r>
      <w:r w:rsidRPr="004550B8">
        <w:rPr>
          <w:rFonts w:eastAsia="Calibri"/>
          <w:bCs/>
          <w:szCs w:val="22"/>
          <w:lang w:val="en-GB" w:eastAsia="en-US"/>
        </w:rPr>
        <w:t xml:space="preserve">eđu 25 </w:t>
      </w:r>
      <w:r>
        <w:rPr>
          <w:rFonts w:eastAsia="Calibri"/>
          <w:bCs/>
          <w:szCs w:val="22"/>
          <w:lang w:val="en-GB" w:eastAsia="en-US"/>
        </w:rPr>
        <w:t>vrsta navedenih u Aneksu II SPA/</w:t>
      </w:r>
      <w:r w:rsidRPr="004550B8">
        <w:rPr>
          <w:rFonts w:eastAsia="Calibri"/>
          <w:bCs/>
          <w:szCs w:val="22"/>
          <w:lang w:val="en-GB" w:eastAsia="en-US"/>
        </w:rPr>
        <w:t xml:space="preserve">BD </w:t>
      </w:r>
      <w:r w:rsidRPr="008C3D55">
        <w:rPr>
          <w:rFonts w:eastAsia="Calibri"/>
          <w:bCs/>
          <w:szCs w:val="22"/>
          <w:lang w:val="en-GB" w:eastAsia="en-US"/>
        </w:rPr>
        <w:t>protokola</w:t>
      </w:r>
      <w:r w:rsidRPr="008C3D55">
        <w:rPr>
          <w:rFonts w:eastAsia="Calibri" w:cs="Calibri"/>
          <w:szCs w:val="22"/>
          <w:vertAlign w:val="superscript"/>
          <w:lang w:val="en-GB" w:eastAsia="en-US"/>
        </w:rPr>
        <w:footnoteReference w:id="8"/>
      </w:r>
      <w:r w:rsidRPr="008C3D55">
        <w:rPr>
          <w:rFonts w:eastAsia="Calibri" w:cs="Calibri"/>
          <w:szCs w:val="22"/>
          <w:lang w:val="en-GB" w:eastAsia="en-US"/>
        </w:rPr>
        <w:t>,</w:t>
      </w:r>
      <w:r w:rsidRPr="008C3D55">
        <w:rPr>
          <w:rFonts w:eastAsia="Calibri"/>
          <w:bCs/>
          <w:szCs w:val="22"/>
          <w:lang w:val="en-GB" w:eastAsia="en-US"/>
        </w:rPr>
        <w:t xml:space="preserve"> </w:t>
      </w:r>
      <w:r w:rsidRPr="008C3D55">
        <w:rPr>
          <w:rFonts w:cstheme="minorHAnsi"/>
          <w:lang w:val="sr-Latn-ME"/>
        </w:rPr>
        <w:t>19 vrsta ptica se redovno posmatra u Crnoj Gori, uključujući 8 gnjezdarica</w:t>
      </w:r>
      <w:r w:rsidRPr="008C3D55">
        <w:rPr>
          <w:rFonts w:eastAsia="Calibri"/>
          <w:bCs/>
          <w:szCs w:val="22"/>
          <w:lang w:val="en-GB" w:eastAsia="en-US"/>
        </w:rPr>
        <w:t xml:space="preserve">. Ove vrste ptica uočene su u delti rijeke </w:t>
      </w:r>
      <w:r w:rsidRPr="004550B8">
        <w:rPr>
          <w:rFonts w:eastAsia="Calibri"/>
          <w:bCs/>
          <w:szCs w:val="22"/>
          <w:lang w:val="en-GB" w:eastAsia="en-US"/>
        </w:rPr>
        <w:t>Bojane</w:t>
      </w:r>
      <w:r w:rsidR="00F25ED5">
        <w:rPr>
          <w:rFonts w:eastAsia="Calibri"/>
          <w:bCs/>
          <w:szCs w:val="22"/>
          <w:lang w:val="en-GB" w:eastAsia="en-US"/>
        </w:rPr>
        <w:t xml:space="preserve"> </w:t>
      </w:r>
      <w:r w:rsidR="0044459C">
        <w:rPr>
          <w:rFonts w:eastAsia="Calibri"/>
          <w:bCs/>
          <w:szCs w:val="22"/>
          <w:lang w:val="en-GB" w:eastAsia="en-US"/>
        </w:rPr>
        <w:t>i</w:t>
      </w:r>
      <w:r w:rsidR="00F25ED5">
        <w:rPr>
          <w:rFonts w:eastAsia="Calibri"/>
          <w:bCs/>
          <w:szCs w:val="22"/>
          <w:lang w:val="en-GB" w:eastAsia="en-US"/>
        </w:rPr>
        <w:t xml:space="preserve"> </w:t>
      </w:r>
      <w:r w:rsidRPr="004550B8">
        <w:rPr>
          <w:rFonts w:eastAsia="Calibri"/>
          <w:bCs/>
          <w:szCs w:val="22"/>
          <w:lang w:val="en-GB" w:eastAsia="en-US"/>
        </w:rPr>
        <w:t>na otvorenom moru</w:t>
      </w:r>
      <w:r w:rsidR="006C59F3">
        <w:rPr>
          <w:rFonts w:eastAsia="Calibri"/>
          <w:bCs/>
          <w:szCs w:val="22"/>
          <w:lang w:val="en-GB" w:eastAsia="en-US"/>
        </w:rPr>
        <w:t xml:space="preserve">, a </w:t>
      </w:r>
      <w:r w:rsidRPr="006B594E">
        <w:rPr>
          <w:bCs/>
          <w:lang w:val="sr-Latn-ME"/>
        </w:rPr>
        <w:t xml:space="preserve">postoji </w:t>
      </w:r>
      <w:r>
        <w:rPr>
          <w:bCs/>
          <w:lang w:val="sr-Latn-ME"/>
        </w:rPr>
        <w:t xml:space="preserve">i </w:t>
      </w:r>
      <w:r w:rsidRPr="006B594E">
        <w:rPr>
          <w:bCs/>
          <w:lang w:val="sr-Latn-ME"/>
        </w:rPr>
        <w:t>jedan nalaz posmatranja</w:t>
      </w:r>
      <w:r>
        <w:rPr>
          <w:rFonts w:eastAsia="Calibri"/>
          <w:bCs/>
          <w:szCs w:val="22"/>
          <w:lang w:val="en-GB" w:eastAsia="en-US"/>
        </w:rPr>
        <w:t xml:space="preserve"> vrste </w:t>
      </w:r>
      <w:r w:rsidRPr="001C6CCA">
        <w:rPr>
          <w:rFonts w:eastAsia="Calibri"/>
          <w:i/>
          <w:iCs/>
          <w:szCs w:val="20"/>
          <w:lang w:val="en-GB" w:eastAsia="en-US"/>
        </w:rPr>
        <w:t xml:space="preserve">Larus audouinii </w:t>
      </w:r>
      <w:r w:rsidR="008C0B37">
        <w:rPr>
          <w:rFonts w:eastAsia="Calibri"/>
          <w:bCs/>
          <w:szCs w:val="22"/>
          <w:lang w:val="en-GB" w:eastAsia="en-US"/>
        </w:rPr>
        <w:t>na</w:t>
      </w:r>
      <w:r w:rsidRPr="004550B8">
        <w:rPr>
          <w:rFonts w:eastAsia="Calibri"/>
          <w:bCs/>
          <w:szCs w:val="22"/>
          <w:lang w:val="en-GB" w:eastAsia="en-US"/>
        </w:rPr>
        <w:t xml:space="preserve"> moru ispred </w:t>
      </w:r>
      <w:r w:rsidRPr="006107D0">
        <w:rPr>
          <w:rFonts w:eastAsia="Calibri"/>
          <w:bCs/>
          <w:szCs w:val="22"/>
          <w:lang w:val="en-GB" w:eastAsia="en-US"/>
        </w:rPr>
        <w:t>Specijalnog ornitološkog rezervata Tivatska solila</w:t>
      </w:r>
      <w:r>
        <w:rPr>
          <w:rFonts w:eastAsia="Calibri"/>
          <w:bCs/>
          <w:szCs w:val="22"/>
          <w:lang w:val="en-GB" w:eastAsia="en-US"/>
        </w:rPr>
        <w:t>.</w:t>
      </w:r>
    </w:p>
    <w:p w14:paraId="415DFFD4" w14:textId="55D85374" w:rsidR="007D777B" w:rsidRPr="000A3C9A" w:rsidRDefault="007D777B" w:rsidP="000A3C9A">
      <w:pPr>
        <w:spacing w:before="0" w:after="160" w:line="259" w:lineRule="auto"/>
        <w:rPr>
          <w:rFonts w:eastAsia="Calibri"/>
          <w:szCs w:val="22"/>
          <w:lang w:val="hr-HR" w:eastAsia="en-US"/>
        </w:rPr>
      </w:pPr>
      <w:r w:rsidRPr="007D777B">
        <w:rPr>
          <w:rFonts w:eastAsia="Calibri"/>
          <w:szCs w:val="22"/>
          <w:lang w:val="hr-HR" w:eastAsia="en-US"/>
        </w:rPr>
        <w:t>Pojava pravih vrsta morskih ptica</w:t>
      </w:r>
      <w:r w:rsidR="006C59F3">
        <w:rPr>
          <w:rFonts w:eastAsia="Calibri"/>
          <w:szCs w:val="22"/>
          <w:lang w:val="hr-HR" w:eastAsia="en-US"/>
        </w:rPr>
        <w:t xml:space="preserve"> </w:t>
      </w:r>
      <w:r w:rsidR="006C59F3" w:rsidRPr="00C9445A">
        <w:rPr>
          <w:rFonts w:eastAsia="Calibri"/>
          <w:szCs w:val="22"/>
          <w:lang w:val="hr-HR" w:eastAsia="en-US"/>
        </w:rPr>
        <w:t>(</w:t>
      </w:r>
      <w:r w:rsidR="006C59F3" w:rsidRPr="00C9445A">
        <w:rPr>
          <w:rFonts w:eastAsia="Calibri"/>
          <w:i/>
          <w:iCs/>
          <w:szCs w:val="22"/>
          <w:lang w:val="hr-HR" w:eastAsia="en-US"/>
        </w:rPr>
        <w:t>Calonectris diomedea</w:t>
      </w:r>
      <w:r w:rsidR="006C59F3" w:rsidRPr="00C9445A">
        <w:rPr>
          <w:rFonts w:eastAsia="Calibri"/>
          <w:szCs w:val="22"/>
          <w:lang w:val="hr-HR" w:eastAsia="en-US"/>
        </w:rPr>
        <w:t xml:space="preserve">, </w:t>
      </w:r>
      <w:r w:rsidR="006C59F3" w:rsidRPr="00C9445A">
        <w:rPr>
          <w:rFonts w:eastAsia="Calibri"/>
          <w:i/>
          <w:iCs/>
          <w:szCs w:val="22"/>
          <w:lang w:val="hr-HR" w:eastAsia="en-US"/>
        </w:rPr>
        <w:t>Puffinus yelkouan</w:t>
      </w:r>
      <w:r w:rsidR="006C59F3" w:rsidRPr="00C9445A">
        <w:rPr>
          <w:rFonts w:eastAsia="Calibri"/>
          <w:szCs w:val="22"/>
          <w:lang w:val="hr-HR" w:eastAsia="en-US"/>
        </w:rPr>
        <w:t xml:space="preserve">, </w:t>
      </w:r>
      <w:r w:rsidR="006C59F3" w:rsidRPr="00C9445A">
        <w:rPr>
          <w:rFonts w:eastAsia="Calibri"/>
          <w:i/>
          <w:iCs/>
          <w:szCs w:val="22"/>
          <w:lang w:val="hr-HR" w:eastAsia="en-US"/>
        </w:rPr>
        <w:t xml:space="preserve">Phalacrocorax aristotelis desmarestii </w:t>
      </w:r>
      <w:r w:rsidR="006C59F3" w:rsidRPr="00C9445A">
        <w:rPr>
          <w:rFonts w:eastAsia="Calibri"/>
          <w:szCs w:val="22"/>
          <w:lang w:val="hr-HR" w:eastAsia="en-US"/>
        </w:rPr>
        <w:t xml:space="preserve">and </w:t>
      </w:r>
      <w:r w:rsidR="006C59F3" w:rsidRPr="00C9445A">
        <w:rPr>
          <w:rFonts w:eastAsia="Calibri"/>
          <w:i/>
          <w:iCs/>
          <w:szCs w:val="22"/>
          <w:lang w:val="hr-HR" w:eastAsia="en-US"/>
        </w:rPr>
        <w:t>Larus audouinii</w:t>
      </w:r>
      <w:r w:rsidR="006C59F3" w:rsidRPr="00C9445A">
        <w:rPr>
          <w:rFonts w:eastAsia="Calibri"/>
          <w:szCs w:val="22"/>
          <w:lang w:val="hr-HR" w:eastAsia="en-US"/>
        </w:rPr>
        <w:t>)</w:t>
      </w:r>
      <w:r w:rsidR="006C59F3">
        <w:rPr>
          <w:rFonts w:eastAsia="Calibri"/>
          <w:szCs w:val="22"/>
          <w:lang w:val="hr-HR" w:eastAsia="en-US"/>
        </w:rPr>
        <w:t xml:space="preserve"> </w:t>
      </w:r>
      <w:r w:rsidRPr="007D777B">
        <w:rPr>
          <w:rFonts w:eastAsia="Calibri"/>
          <w:szCs w:val="22"/>
          <w:lang w:val="hr-HR" w:eastAsia="en-US"/>
        </w:rPr>
        <w:t xml:space="preserve"> </w:t>
      </w:r>
      <w:r w:rsidR="00F25ED5">
        <w:rPr>
          <w:rFonts w:eastAsia="Calibri"/>
          <w:szCs w:val="22"/>
          <w:lang w:val="hr-HR" w:eastAsia="en-US"/>
        </w:rPr>
        <w:t xml:space="preserve">u crnogorskom dijelu Jadrana </w:t>
      </w:r>
      <w:r w:rsidRPr="007D777B">
        <w:rPr>
          <w:rFonts w:eastAsia="Calibri"/>
          <w:szCs w:val="22"/>
          <w:lang w:val="hr-HR" w:eastAsia="en-US"/>
        </w:rPr>
        <w:t xml:space="preserve">sporadično se registruje izvan sezone </w:t>
      </w:r>
      <w:r>
        <w:rPr>
          <w:rFonts w:eastAsia="Calibri"/>
          <w:szCs w:val="22"/>
          <w:lang w:val="hr-HR" w:eastAsia="en-US"/>
        </w:rPr>
        <w:t>gniježđenja</w:t>
      </w:r>
      <w:r w:rsidRPr="007D777B">
        <w:rPr>
          <w:rFonts w:eastAsia="Calibri"/>
          <w:szCs w:val="22"/>
          <w:lang w:val="hr-HR" w:eastAsia="en-US"/>
        </w:rPr>
        <w:t xml:space="preserve"> kada </w:t>
      </w:r>
      <w:r w:rsidR="000A3C9A">
        <w:rPr>
          <w:rFonts w:eastAsia="Calibri"/>
          <w:szCs w:val="22"/>
          <w:lang w:val="hr-HR" w:eastAsia="en-US"/>
        </w:rPr>
        <w:t>skitaju</w:t>
      </w:r>
      <w:r w:rsidRPr="007D777B">
        <w:rPr>
          <w:rFonts w:eastAsia="Calibri"/>
          <w:szCs w:val="22"/>
          <w:lang w:val="hr-HR" w:eastAsia="en-US"/>
        </w:rPr>
        <w:t xml:space="preserve"> Jadranom</w:t>
      </w:r>
      <w:r w:rsidR="006C59F3">
        <w:rPr>
          <w:rFonts w:eastAsia="Calibri"/>
          <w:szCs w:val="22"/>
          <w:lang w:val="hr-HR" w:eastAsia="en-US"/>
        </w:rPr>
        <w:t xml:space="preserve">, dok im se glavna </w:t>
      </w:r>
      <w:r w:rsidR="000A3C9A" w:rsidRPr="000A3C9A">
        <w:rPr>
          <w:rFonts w:eastAsia="Calibri"/>
          <w:szCs w:val="22"/>
          <w:lang w:val="hr-HR" w:eastAsia="en-US"/>
        </w:rPr>
        <w:t>staništa nalaz</w:t>
      </w:r>
      <w:r w:rsidR="006C59F3">
        <w:rPr>
          <w:rFonts w:eastAsia="Calibri"/>
          <w:szCs w:val="22"/>
          <w:lang w:val="hr-HR" w:eastAsia="en-US"/>
        </w:rPr>
        <w:t>e</w:t>
      </w:r>
      <w:r w:rsidR="000A3C9A" w:rsidRPr="000A3C9A">
        <w:rPr>
          <w:rFonts w:eastAsia="Calibri"/>
          <w:szCs w:val="22"/>
          <w:lang w:val="hr-HR" w:eastAsia="en-US"/>
        </w:rPr>
        <w:t xml:space="preserve"> u središnjem i sjevernom dijelu Jadrana</w:t>
      </w:r>
      <w:r w:rsidR="006C59F3">
        <w:rPr>
          <w:rFonts w:eastAsia="Calibri"/>
          <w:szCs w:val="22"/>
          <w:lang w:val="hr-HR" w:eastAsia="en-US"/>
        </w:rPr>
        <w:t>.</w:t>
      </w:r>
      <w:r w:rsidR="006C59F3" w:rsidRPr="006C59F3">
        <w:rPr>
          <w:rFonts w:eastAsia="Calibri"/>
          <w:szCs w:val="22"/>
          <w:lang w:val="hr-HR" w:eastAsia="en-US"/>
        </w:rPr>
        <w:t xml:space="preserve"> </w:t>
      </w:r>
      <w:r w:rsidR="0044459C">
        <w:rPr>
          <w:rFonts w:eastAsia="Calibri"/>
          <w:szCs w:val="22"/>
          <w:lang w:val="hr-HR" w:eastAsia="en-US"/>
        </w:rPr>
        <w:t>Z</w:t>
      </w:r>
      <w:r w:rsidR="006C59F3" w:rsidRPr="004550B8">
        <w:rPr>
          <w:rFonts w:eastAsia="Calibri"/>
          <w:szCs w:val="22"/>
          <w:lang w:val="hr-HR" w:eastAsia="en-US"/>
        </w:rPr>
        <w:t xml:space="preserve">ajednica </w:t>
      </w:r>
      <w:r w:rsidR="0044459C">
        <w:rPr>
          <w:rFonts w:eastAsia="Calibri"/>
          <w:szCs w:val="22"/>
          <w:lang w:val="hr-HR" w:eastAsia="en-US"/>
        </w:rPr>
        <w:t xml:space="preserve">pravih </w:t>
      </w:r>
      <w:r w:rsidR="006C59F3" w:rsidRPr="004550B8">
        <w:rPr>
          <w:rFonts w:eastAsia="Calibri"/>
          <w:szCs w:val="22"/>
          <w:lang w:val="hr-HR" w:eastAsia="en-US"/>
        </w:rPr>
        <w:t xml:space="preserve">morskih ptica u Jadranskom moru </w:t>
      </w:r>
      <w:r w:rsidR="006C59F3" w:rsidRPr="000A3C9A">
        <w:rPr>
          <w:rFonts w:eastAsia="Calibri"/>
          <w:szCs w:val="22"/>
          <w:lang w:val="hr-HR" w:eastAsia="en-US"/>
        </w:rPr>
        <w:t>u velikoj m</w:t>
      </w:r>
      <w:r w:rsidR="006C59F3">
        <w:rPr>
          <w:rFonts w:eastAsia="Calibri"/>
          <w:szCs w:val="22"/>
          <w:lang w:val="hr-HR" w:eastAsia="en-US"/>
        </w:rPr>
        <w:t>j</w:t>
      </w:r>
      <w:r w:rsidR="006C59F3" w:rsidRPr="000A3C9A">
        <w:rPr>
          <w:rFonts w:eastAsia="Calibri"/>
          <w:szCs w:val="22"/>
          <w:lang w:val="hr-HR" w:eastAsia="en-US"/>
        </w:rPr>
        <w:t>eri zavis</w:t>
      </w:r>
      <w:r w:rsidR="006C59F3">
        <w:rPr>
          <w:rFonts w:eastAsia="Calibri"/>
          <w:szCs w:val="22"/>
          <w:lang w:val="hr-HR" w:eastAsia="en-US"/>
        </w:rPr>
        <w:t>i</w:t>
      </w:r>
      <w:r w:rsidR="006C59F3" w:rsidRPr="000A3C9A">
        <w:rPr>
          <w:rFonts w:eastAsia="Calibri"/>
          <w:szCs w:val="22"/>
          <w:lang w:val="hr-HR" w:eastAsia="en-US"/>
        </w:rPr>
        <w:t xml:space="preserve"> od održavanja dobrog statusa morsk</w:t>
      </w:r>
      <w:r w:rsidR="006C59F3">
        <w:rPr>
          <w:rFonts w:eastAsia="Calibri"/>
          <w:szCs w:val="22"/>
          <w:lang w:val="hr-HR" w:eastAsia="en-US"/>
        </w:rPr>
        <w:t>e sredine</w:t>
      </w:r>
      <w:r w:rsidR="006C59F3" w:rsidRPr="000A3C9A">
        <w:rPr>
          <w:rFonts w:eastAsia="Calibri"/>
          <w:szCs w:val="22"/>
          <w:lang w:val="hr-HR" w:eastAsia="en-US"/>
        </w:rPr>
        <w:t xml:space="preserve">, jer se hrane </w:t>
      </w:r>
      <w:r w:rsidR="006C59F3">
        <w:rPr>
          <w:rFonts w:eastAsia="Calibri"/>
          <w:szCs w:val="22"/>
          <w:lang w:val="hr-HR" w:eastAsia="en-US"/>
        </w:rPr>
        <w:t>organizmima iz mora</w:t>
      </w:r>
      <w:r w:rsidR="006C59F3" w:rsidRPr="000A3C9A">
        <w:rPr>
          <w:rFonts w:eastAsia="Calibri"/>
          <w:szCs w:val="22"/>
          <w:lang w:val="hr-HR" w:eastAsia="en-US"/>
        </w:rPr>
        <w:t>, uglavnom na velikim površinama</w:t>
      </w:r>
      <w:r w:rsidR="006C59F3">
        <w:rPr>
          <w:rFonts w:eastAsia="Calibri"/>
          <w:szCs w:val="22"/>
          <w:lang w:val="hr-HR" w:eastAsia="en-US"/>
        </w:rPr>
        <w:t xml:space="preserve">. </w:t>
      </w:r>
    </w:p>
    <w:p w14:paraId="4E4F53EA" w14:textId="7B2427F2" w:rsidR="00C9607F" w:rsidRPr="00484783" w:rsidRDefault="00484783" w:rsidP="00484783">
      <w:pPr>
        <w:autoSpaceDE w:val="0"/>
        <w:autoSpaceDN w:val="0"/>
        <w:adjustRightInd w:val="0"/>
        <w:spacing w:before="0" w:after="160"/>
        <w:rPr>
          <w:rFonts w:eastAsia="Calibri" w:cs="Calibri"/>
          <w:color w:val="000000"/>
          <w:szCs w:val="22"/>
          <w:lang w:val="en-GB" w:eastAsia="en-US"/>
        </w:rPr>
      </w:pPr>
      <w:r>
        <w:rPr>
          <w:rFonts w:eastAsia="Calibri" w:cs="Calibri"/>
          <w:color w:val="000000"/>
          <w:szCs w:val="22"/>
          <w:lang w:val="en-GB" w:eastAsia="en-US"/>
        </w:rPr>
        <w:t>Postojeći podaci</w:t>
      </w:r>
      <w:r w:rsidRPr="00BB7371">
        <w:rPr>
          <w:rFonts w:eastAsia="Calibri" w:cs="Calibri"/>
          <w:color w:val="000000"/>
          <w:szCs w:val="22"/>
          <w:lang w:val="en-GB" w:eastAsia="en-US"/>
        </w:rPr>
        <w:t xml:space="preserve"> </w:t>
      </w:r>
      <w:r w:rsidR="006C59F3">
        <w:rPr>
          <w:rFonts w:eastAsia="Calibri" w:cs="Calibri"/>
          <w:color w:val="000000"/>
          <w:szCs w:val="22"/>
          <w:lang w:val="en-GB" w:eastAsia="en-US"/>
        </w:rPr>
        <w:t xml:space="preserve">o morskim </w:t>
      </w:r>
      <w:r w:rsidR="0044459C">
        <w:rPr>
          <w:rFonts w:eastAsia="Calibri" w:cs="Calibri"/>
          <w:color w:val="000000"/>
          <w:szCs w:val="22"/>
          <w:lang w:val="en-GB" w:eastAsia="en-US"/>
        </w:rPr>
        <w:t>i</w:t>
      </w:r>
      <w:r w:rsidR="006C59F3">
        <w:rPr>
          <w:rFonts w:eastAsia="Calibri" w:cs="Calibri"/>
          <w:color w:val="000000"/>
          <w:szCs w:val="22"/>
          <w:lang w:val="en-GB" w:eastAsia="en-US"/>
        </w:rPr>
        <w:t xml:space="preserve"> obalnim pticama na području Crne Gore </w:t>
      </w:r>
      <w:r w:rsidRPr="00BB7371">
        <w:rPr>
          <w:rFonts w:eastAsia="Calibri" w:cs="Calibri"/>
          <w:color w:val="000000"/>
          <w:szCs w:val="22"/>
          <w:lang w:val="en-GB" w:eastAsia="en-US"/>
        </w:rPr>
        <w:t>omogućili su proc</w:t>
      </w:r>
      <w:r>
        <w:rPr>
          <w:rFonts w:eastAsia="Calibri" w:cs="Calibri"/>
          <w:color w:val="000000"/>
          <w:szCs w:val="22"/>
          <w:lang w:val="en-GB" w:eastAsia="en-US"/>
        </w:rPr>
        <w:t>j</w:t>
      </w:r>
      <w:r w:rsidRPr="00BB7371">
        <w:rPr>
          <w:rFonts w:eastAsia="Calibri" w:cs="Calibri"/>
          <w:color w:val="000000"/>
          <w:szCs w:val="22"/>
          <w:lang w:val="en-GB" w:eastAsia="en-US"/>
        </w:rPr>
        <w:t>enu GES</w:t>
      </w:r>
      <w:r w:rsidR="00DF168E">
        <w:rPr>
          <w:rFonts w:eastAsia="Calibri" w:cs="Calibri"/>
          <w:color w:val="000000"/>
          <w:szCs w:val="22"/>
          <w:lang w:val="en-GB" w:eastAsia="en-US"/>
        </w:rPr>
        <w:t>-a</w:t>
      </w:r>
      <w:r w:rsidRPr="00BB7371">
        <w:rPr>
          <w:rFonts w:eastAsia="Calibri" w:cs="Calibri"/>
          <w:color w:val="000000"/>
          <w:szCs w:val="22"/>
          <w:lang w:val="en-GB" w:eastAsia="en-US"/>
        </w:rPr>
        <w:t xml:space="preserve"> samo za </w:t>
      </w:r>
      <w:r>
        <w:rPr>
          <w:rFonts w:eastAsia="Calibri" w:cs="Calibri"/>
          <w:color w:val="000000"/>
          <w:szCs w:val="22"/>
          <w:lang w:val="en-GB" w:eastAsia="en-US"/>
        </w:rPr>
        <w:t>gnjezdarice</w:t>
      </w:r>
      <w:r w:rsidR="006C59F3">
        <w:rPr>
          <w:rFonts w:eastAsia="Calibri" w:cs="Calibri"/>
          <w:color w:val="000000"/>
          <w:szCs w:val="22"/>
          <w:lang w:val="en-GB" w:eastAsia="en-US"/>
        </w:rPr>
        <w:t xml:space="preserve">. </w:t>
      </w:r>
      <w:r w:rsidRPr="00BB7371">
        <w:rPr>
          <w:rFonts w:eastAsia="Calibri" w:cs="Calibri"/>
          <w:color w:val="000000"/>
          <w:szCs w:val="22"/>
          <w:lang w:val="en-GB" w:eastAsia="en-US"/>
        </w:rPr>
        <w:t xml:space="preserve">Za većinu ovih vrsta, za sada je postignut GES, ali </w:t>
      </w:r>
      <w:r w:rsidR="006C59F3">
        <w:rPr>
          <w:rFonts w:eastAsia="Calibri" w:cs="Calibri"/>
          <w:color w:val="000000"/>
          <w:szCs w:val="22"/>
          <w:lang w:val="en-GB" w:eastAsia="en-US"/>
        </w:rPr>
        <w:t xml:space="preserve">se </w:t>
      </w:r>
      <w:r w:rsidRPr="00BB7371">
        <w:rPr>
          <w:rFonts w:eastAsia="Calibri" w:cs="Calibri"/>
          <w:color w:val="000000"/>
          <w:szCs w:val="22"/>
          <w:lang w:val="en-GB" w:eastAsia="en-US"/>
        </w:rPr>
        <w:t xml:space="preserve">već </w:t>
      </w:r>
      <w:r w:rsidR="004B7307">
        <w:rPr>
          <w:rFonts w:eastAsia="Calibri" w:cs="Calibri"/>
          <w:color w:val="000000"/>
          <w:szCs w:val="22"/>
          <w:lang w:val="en-GB" w:eastAsia="en-US"/>
        </w:rPr>
        <w:t>uočavaju</w:t>
      </w:r>
      <w:r w:rsidRPr="00BB7371">
        <w:rPr>
          <w:rFonts w:eastAsia="Calibri" w:cs="Calibri"/>
          <w:color w:val="000000"/>
          <w:szCs w:val="22"/>
          <w:lang w:val="en-GB" w:eastAsia="en-US"/>
        </w:rPr>
        <w:t xml:space="preserve"> određeni negativni efekti na populacije ptica </w:t>
      </w:r>
      <w:r>
        <w:rPr>
          <w:rFonts w:eastAsia="Calibri" w:cs="Calibri"/>
          <w:color w:val="000000"/>
          <w:szCs w:val="22"/>
          <w:lang w:val="en-GB" w:eastAsia="en-US"/>
        </w:rPr>
        <w:t>na području Ulcinjske solane</w:t>
      </w:r>
      <w:r w:rsidRPr="00BB7371">
        <w:rPr>
          <w:rFonts w:eastAsia="Calibri" w:cs="Calibri"/>
          <w:color w:val="000000"/>
          <w:szCs w:val="22"/>
          <w:lang w:val="en-GB" w:eastAsia="en-US"/>
        </w:rPr>
        <w:t xml:space="preserve">, posebno </w:t>
      </w:r>
      <w:r>
        <w:rPr>
          <w:rFonts w:eastAsia="Calibri" w:cs="Calibri"/>
          <w:color w:val="000000"/>
          <w:szCs w:val="22"/>
          <w:lang w:val="en-GB" w:eastAsia="en-US"/>
        </w:rPr>
        <w:t xml:space="preserve">kad je riječ o vrsti </w:t>
      </w:r>
      <w:r w:rsidRPr="001C6CCA">
        <w:rPr>
          <w:rFonts w:eastAsia="Calibri" w:cs="Calibri"/>
          <w:i/>
          <w:iCs/>
          <w:color w:val="000000"/>
          <w:szCs w:val="22"/>
          <w:lang w:val="en-GB" w:eastAsia="en-US"/>
        </w:rPr>
        <w:t xml:space="preserve">Phoenicopterus </w:t>
      </w:r>
      <w:r w:rsidRPr="001C6CCA">
        <w:rPr>
          <w:rFonts w:eastAsia="Calibri" w:cs="Calibri"/>
          <w:color w:val="000000"/>
          <w:szCs w:val="22"/>
          <w:lang w:val="en-GB" w:eastAsia="en-US"/>
        </w:rPr>
        <w:t>roseus</w:t>
      </w:r>
      <w:r w:rsidRPr="00BB7371">
        <w:rPr>
          <w:rFonts w:eastAsia="Calibri" w:cs="Calibri"/>
          <w:color w:val="000000"/>
          <w:szCs w:val="22"/>
          <w:lang w:val="en-GB" w:eastAsia="en-US"/>
        </w:rPr>
        <w:t xml:space="preserve">, </w:t>
      </w:r>
      <w:r>
        <w:rPr>
          <w:rFonts w:eastAsia="Calibri" w:cs="Calibri"/>
          <w:color w:val="000000"/>
          <w:szCs w:val="22"/>
          <w:lang w:val="en-GB" w:eastAsia="en-US"/>
        </w:rPr>
        <w:t>kod koje je razmnožavanje neuspješno već godinama.</w:t>
      </w:r>
      <w:r w:rsidRPr="00BB7371">
        <w:rPr>
          <w:rFonts w:eastAsia="Calibri" w:cs="Calibri"/>
          <w:color w:val="000000"/>
          <w:szCs w:val="22"/>
          <w:lang w:val="en-GB" w:eastAsia="en-US"/>
        </w:rPr>
        <w:t xml:space="preserve"> </w:t>
      </w:r>
      <w:r w:rsidR="004B7307">
        <w:rPr>
          <w:rFonts w:eastAsia="Calibri" w:cs="Calibri"/>
          <w:color w:val="000000"/>
          <w:szCs w:val="22"/>
          <w:lang w:val="en-GB" w:eastAsia="en-US"/>
        </w:rPr>
        <w:t xml:space="preserve">Za prave morske ptice </w:t>
      </w:r>
      <w:r w:rsidRPr="00BB7371">
        <w:rPr>
          <w:rFonts w:eastAsia="Calibri" w:cs="Calibri"/>
          <w:color w:val="000000"/>
          <w:szCs w:val="22"/>
          <w:lang w:val="en-GB" w:eastAsia="en-US"/>
        </w:rPr>
        <w:t>GES se nije mogao u potpunosti proc</w:t>
      </w:r>
      <w:r>
        <w:rPr>
          <w:rFonts w:eastAsia="Calibri" w:cs="Calibri"/>
          <w:color w:val="000000"/>
          <w:szCs w:val="22"/>
          <w:lang w:val="en-GB" w:eastAsia="en-US"/>
        </w:rPr>
        <w:t>ij</w:t>
      </w:r>
      <w:r w:rsidRPr="00BB7371">
        <w:rPr>
          <w:rFonts w:eastAsia="Calibri" w:cs="Calibri"/>
          <w:color w:val="000000"/>
          <w:szCs w:val="22"/>
          <w:lang w:val="en-GB" w:eastAsia="en-US"/>
        </w:rPr>
        <w:t>eniti zbog nedostatka podataka.</w:t>
      </w:r>
    </w:p>
    <w:p w14:paraId="545322EE" w14:textId="469873EC" w:rsidR="00C9607F" w:rsidRDefault="00C9607F" w:rsidP="001C6CCA">
      <w:pPr>
        <w:shd w:val="clear" w:color="auto" w:fill="FFFFFF"/>
        <w:spacing w:before="0" w:after="160"/>
        <w:textAlignment w:val="baseline"/>
        <w:rPr>
          <w:rFonts w:eastAsia="Calibri" w:cs="Calibri"/>
          <w:szCs w:val="22"/>
          <w:lang w:val="en-GB" w:eastAsia="hr-HR"/>
        </w:rPr>
      </w:pPr>
      <w:r w:rsidRPr="00C9607F">
        <w:rPr>
          <w:rFonts w:eastAsia="Calibri" w:cs="Calibri"/>
          <w:szCs w:val="22"/>
          <w:lang w:val="en-GB" w:eastAsia="hr-HR"/>
        </w:rPr>
        <w:t xml:space="preserve">Što se tiče </w:t>
      </w:r>
      <w:r w:rsidRPr="00C9607F">
        <w:rPr>
          <w:rFonts w:eastAsia="Calibri" w:cs="Calibri"/>
          <w:b/>
          <w:szCs w:val="22"/>
          <w:lang w:val="en-GB" w:eastAsia="hr-HR"/>
        </w:rPr>
        <w:t>morskih sisara,</w:t>
      </w:r>
      <w:r w:rsidRPr="00C9607F">
        <w:rPr>
          <w:rFonts w:eastAsia="Calibri" w:cs="Calibri"/>
          <w:szCs w:val="22"/>
          <w:lang w:val="en-GB" w:eastAsia="hr-HR"/>
        </w:rPr>
        <w:t xml:space="preserve"> </w:t>
      </w:r>
      <w:r w:rsidR="00484783" w:rsidRPr="00016698">
        <w:rPr>
          <w:szCs w:val="22"/>
          <w:lang w:val="en-GB"/>
        </w:rPr>
        <w:t>dv</w:t>
      </w:r>
      <w:r w:rsidR="00484783">
        <w:rPr>
          <w:szCs w:val="22"/>
          <w:lang w:val="en-GB"/>
        </w:rPr>
        <w:t>ije</w:t>
      </w:r>
      <w:r w:rsidR="00484783" w:rsidRPr="00016698">
        <w:rPr>
          <w:szCs w:val="22"/>
          <w:lang w:val="en-GB"/>
        </w:rPr>
        <w:t xml:space="preserve"> vrste </w:t>
      </w:r>
      <w:r w:rsidR="00484783">
        <w:rPr>
          <w:szCs w:val="22"/>
          <w:lang w:val="en-GB"/>
        </w:rPr>
        <w:t>morskih sisara</w:t>
      </w:r>
      <w:r w:rsidR="00484783" w:rsidRPr="00016698">
        <w:rPr>
          <w:szCs w:val="22"/>
          <w:lang w:val="en-GB"/>
        </w:rPr>
        <w:t xml:space="preserve"> </w:t>
      </w:r>
      <w:r w:rsidR="00484783">
        <w:rPr>
          <w:szCs w:val="22"/>
          <w:lang w:val="en-GB"/>
        </w:rPr>
        <w:t xml:space="preserve">smatraju se </w:t>
      </w:r>
      <w:r w:rsidR="00484783" w:rsidRPr="00016698">
        <w:rPr>
          <w:szCs w:val="22"/>
          <w:lang w:val="en-GB"/>
        </w:rPr>
        <w:t>redovno prisutnim u Jadranskom mor</w:t>
      </w:r>
      <w:r w:rsidR="00484783">
        <w:rPr>
          <w:szCs w:val="22"/>
          <w:lang w:val="en-GB"/>
        </w:rPr>
        <w:t>u</w:t>
      </w:r>
      <w:r w:rsidRPr="00C9607F">
        <w:rPr>
          <w:rFonts w:eastAsia="Calibri" w:cs="Calibri"/>
          <w:szCs w:val="22"/>
          <w:lang w:val="en-GB" w:eastAsia="hr-HR"/>
        </w:rPr>
        <w:t xml:space="preserve">: </w:t>
      </w:r>
      <w:r w:rsidR="00484783">
        <w:rPr>
          <w:szCs w:val="22"/>
        </w:rPr>
        <w:t>obični kljunasti delfin (</w:t>
      </w:r>
      <w:r w:rsidR="00484783" w:rsidRPr="00E6555D">
        <w:rPr>
          <w:i/>
          <w:szCs w:val="22"/>
        </w:rPr>
        <w:t>Tursiops truncatus</w:t>
      </w:r>
      <w:r w:rsidR="00484783">
        <w:rPr>
          <w:szCs w:val="22"/>
        </w:rPr>
        <w:t>) i prugasti delfin (</w:t>
      </w:r>
      <w:r w:rsidR="00484783" w:rsidRPr="00E6555D">
        <w:rPr>
          <w:i/>
          <w:szCs w:val="22"/>
        </w:rPr>
        <w:t>Stenella coeruleoalba</w:t>
      </w:r>
      <w:r w:rsidR="00484783">
        <w:rPr>
          <w:szCs w:val="22"/>
        </w:rPr>
        <w:t>).</w:t>
      </w:r>
      <w:r w:rsidRPr="00C9607F">
        <w:rPr>
          <w:rFonts w:eastAsia="Calibri" w:cs="Calibri"/>
          <w:szCs w:val="22"/>
          <w:lang w:val="en-GB" w:eastAsia="hr-HR"/>
        </w:rPr>
        <w:t xml:space="preserve"> Za nekoliko kriterijuma defini</w:t>
      </w:r>
      <w:r w:rsidR="00484783">
        <w:rPr>
          <w:rFonts w:eastAsia="Calibri" w:cs="Calibri"/>
          <w:szCs w:val="22"/>
          <w:lang w:val="en-GB" w:eastAsia="hr-HR"/>
        </w:rPr>
        <w:t>sanih Odlukom Komisije 2017/845/</w:t>
      </w:r>
      <w:r w:rsidRPr="00C9607F">
        <w:rPr>
          <w:rFonts w:eastAsia="Calibri" w:cs="Calibri"/>
          <w:szCs w:val="22"/>
          <w:lang w:val="en-GB" w:eastAsia="hr-HR"/>
        </w:rPr>
        <w:t xml:space="preserve">EU </w:t>
      </w:r>
      <w:r w:rsidR="00484783" w:rsidRPr="00527ACB">
        <w:rPr>
          <w:rFonts w:cs="Calibri"/>
          <w:szCs w:val="22"/>
          <w:lang w:val="en-GB" w:eastAsia="hr-HR"/>
        </w:rPr>
        <w:t>nije bilo moguće proc</w:t>
      </w:r>
      <w:r w:rsidR="00484783">
        <w:rPr>
          <w:rFonts w:cs="Calibri"/>
          <w:szCs w:val="22"/>
          <w:lang w:val="en-GB" w:eastAsia="hr-HR"/>
        </w:rPr>
        <w:t>ij</w:t>
      </w:r>
      <w:r w:rsidR="00484783" w:rsidRPr="00527ACB">
        <w:rPr>
          <w:rFonts w:cs="Calibri"/>
          <w:szCs w:val="22"/>
          <w:lang w:val="en-GB" w:eastAsia="hr-HR"/>
        </w:rPr>
        <w:t>eniti GES, zbog nedostatka ili ograničenja postojećih i dostupnih podataka</w:t>
      </w:r>
      <w:r w:rsidR="004B7307">
        <w:rPr>
          <w:rFonts w:cs="Calibri"/>
          <w:szCs w:val="22"/>
          <w:lang w:val="en-GB" w:eastAsia="hr-HR"/>
        </w:rPr>
        <w:t>.</w:t>
      </w:r>
      <w:r w:rsidRPr="00C9607F">
        <w:rPr>
          <w:rFonts w:eastAsia="Calibri" w:cs="Calibri"/>
          <w:szCs w:val="22"/>
          <w:lang w:val="en-GB" w:eastAsia="hr-HR"/>
        </w:rPr>
        <w:t xml:space="preserve"> </w:t>
      </w:r>
      <w:r w:rsidR="00484783">
        <w:rPr>
          <w:rFonts w:cs="Calibri"/>
          <w:szCs w:val="22"/>
          <w:lang w:val="en-GB" w:eastAsia="hr-HR"/>
        </w:rPr>
        <w:t xml:space="preserve">Konkretno za </w:t>
      </w:r>
      <w:r w:rsidR="00484783" w:rsidRPr="00527ACB">
        <w:rPr>
          <w:rFonts w:cs="Calibri"/>
          <w:szCs w:val="22"/>
          <w:lang w:val="en-GB" w:eastAsia="hr-HR"/>
        </w:rPr>
        <w:t xml:space="preserve">brojnost populacije i </w:t>
      </w:r>
      <w:r w:rsidR="00484783">
        <w:rPr>
          <w:rFonts w:cs="Calibri"/>
          <w:szCs w:val="22"/>
          <w:lang w:val="en-GB" w:eastAsia="hr-HR"/>
        </w:rPr>
        <w:t xml:space="preserve">rasprostranjenost </w:t>
      </w:r>
      <w:r w:rsidR="00484783" w:rsidRPr="00527ACB">
        <w:rPr>
          <w:rFonts w:cs="Calibri"/>
          <w:szCs w:val="22"/>
          <w:lang w:val="en-GB" w:eastAsia="hr-HR"/>
        </w:rPr>
        <w:t>vrsta, podaci iz dv</w:t>
      </w:r>
      <w:r w:rsidR="00484783">
        <w:rPr>
          <w:rFonts w:cs="Calibri"/>
          <w:szCs w:val="22"/>
          <w:lang w:val="en-GB" w:eastAsia="hr-HR"/>
        </w:rPr>
        <w:t>a s</w:t>
      </w:r>
      <w:r w:rsidR="00484783" w:rsidRPr="00527ACB">
        <w:rPr>
          <w:rFonts w:cs="Calibri"/>
          <w:szCs w:val="22"/>
          <w:lang w:val="en-GB" w:eastAsia="hr-HR"/>
        </w:rPr>
        <w:t xml:space="preserve">provedena </w:t>
      </w:r>
      <w:r w:rsidR="00484783">
        <w:rPr>
          <w:rFonts w:cs="Calibri"/>
          <w:szCs w:val="22"/>
          <w:lang w:val="en-GB" w:eastAsia="hr-HR"/>
        </w:rPr>
        <w:t>vazdušna istraživanja</w:t>
      </w:r>
      <w:r w:rsidR="00484783" w:rsidRPr="00527ACB">
        <w:rPr>
          <w:rFonts w:cs="Calibri"/>
          <w:szCs w:val="22"/>
          <w:lang w:val="en-GB" w:eastAsia="hr-HR"/>
        </w:rPr>
        <w:t xml:space="preserve"> </w:t>
      </w:r>
      <w:r w:rsidR="00484783" w:rsidRPr="00C9607F">
        <w:rPr>
          <w:rFonts w:eastAsia="Calibri" w:cs="Calibri"/>
          <w:szCs w:val="22"/>
          <w:lang w:val="en-GB" w:eastAsia="hr-HR"/>
        </w:rPr>
        <w:t>(2010. i 2013.</w:t>
      </w:r>
      <w:r w:rsidR="00484783" w:rsidRPr="00484783">
        <w:rPr>
          <w:rFonts w:cs="Calibri"/>
          <w:szCs w:val="22"/>
          <w:lang w:val="en-GB"/>
        </w:rPr>
        <w:t xml:space="preserve"> </w:t>
      </w:r>
      <w:r w:rsidR="00484783">
        <w:rPr>
          <w:rFonts w:cs="Calibri"/>
          <w:szCs w:val="22"/>
          <w:lang w:val="en-GB"/>
        </w:rPr>
        <w:t>godine</w:t>
      </w:r>
      <w:r w:rsidR="00484783" w:rsidRPr="00C9607F">
        <w:rPr>
          <w:rFonts w:eastAsia="Calibri" w:cs="Calibri"/>
          <w:szCs w:val="22"/>
          <w:lang w:val="en-GB" w:eastAsia="hr-HR"/>
        </w:rPr>
        <w:t xml:space="preserve">) </w:t>
      </w:r>
      <w:r w:rsidR="00484783" w:rsidRPr="00527ACB">
        <w:rPr>
          <w:rFonts w:cs="Calibri"/>
          <w:szCs w:val="22"/>
          <w:lang w:val="en-GB" w:eastAsia="hr-HR"/>
        </w:rPr>
        <w:t xml:space="preserve">cijelog Jadrana i </w:t>
      </w:r>
      <w:r w:rsidR="00484783" w:rsidRPr="00C21AA8">
        <w:rPr>
          <w:rFonts w:eastAsia="Calibri"/>
          <w:lang w:val="sq-AL"/>
        </w:rPr>
        <w:t>foto-identifikaci</w:t>
      </w:r>
      <w:r w:rsidR="00484783">
        <w:rPr>
          <w:rFonts w:eastAsia="Calibri"/>
          <w:lang w:val="sq-AL"/>
        </w:rPr>
        <w:t>ono istraživanje</w:t>
      </w:r>
      <w:r w:rsidR="00484783" w:rsidRPr="00C21AA8">
        <w:rPr>
          <w:rFonts w:eastAsia="Calibri"/>
          <w:lang w:val="sq-AL"/>
        </w:rPr>
        <w:t xml:space="preserve"> </w:t>
      </w:r>
      <w:r w:rsidR="00484783" w:rsidRPr="00527ACB">
        <w:rPr>
          <w:rFonts w:cs="Calibri"/>
          <w:szCs w:val="22"/>
          <w:lang w:val="en-GB" w:eastAsia="hr-HR"/>
        </w:rPr>
        <w:t xml:space="preserve">teritorijalnih voda </w:t>
      </w:r>
      <w:r w:rsidR="00484783">
        <w:rPr>
          <w:rFonts w:cs="Calibri"/>
          <w:szCs w:val="22"/>
          <w:lang w:val="en-GB" w:eastAsia="hr-HR"/>
        </w:rPr>
        <w:t xml:space="preserve">Crne Gore </w:t>
      </w:r>
      <w:r w:rsidR="00484783">
        <w:rPr>
          <w:rFonts w:cs="Calibri"/>
          <w:szCs w:val="22"/>
          <w:lang w:val="en-GB"/>
        </w:rPr>
        <w:t>(2013. i 2020. godine)</w:t>
      </w:r>
      <w:r w:rsidR="00484783" w:rsidRPr="00C9607F">
        <w:rPr>
          <w:rFonts w:eastAsia="Calibri" w:cs="Calibri"/>
          <w:szCs w:val="22"/>
          <w:lang w:val="en-GB" w:eastAsia="hr-HR"/>
        </w:rPr>
        <w:t xml:space="preserve"> </w:t>
      </w:r>
      <w:r w:rsidR="00484783" w:rsidRPr="00527ACB">
        <w:rPr>
          <w:rFonts w:cs="Calibri"/>
          <w:szCs w:val="22"/>
          <w:lang w:val="en-GB" w:eastAsia="hr-HR"/>
        </w:rPr>
        <w:t xml:space="preserve">ne pokazuju pad ili </w:t>
      </w:r>
      <w:r w:rsidR="00484783">
        <w:rPr>
          <w:rFonts w:cs="Calibri"/>
          <w:szCs w:val="22"/>
          <w:lang w:val="en-GB" w:eastAsia="hr-HR"/>
        </w:rPr>
        <w:t xml:space="preserve">uopšteno </w:t>
      </w:r>
      <w:r w:rsidR="00484783" w:rsidRPr="00527ACB">
        <w:rPr>
          <w:rFonts w:cs="Calibri"/>
          <w:szCs w:val="22"/>
          <w:lang w:val="en-GB" w:eastAsia="hr-HR"/>
        </w:rPr>
        <w:t>negativne trendove.</w:t>
      </w:r>
      <w:r w:rsidR="00484783">
        <w:rPr>
          <w:rFonts w:cs="Calibri"/>
          <w:szCs w:val="22"/>
          <w:lang w:val="en-GB" w:eastAsia="hr-HR"/>
        </w:rPr>
        <w:t xml:space="preserve"> </w:t>
      </w:r>
      <w:r w:rsidR="00484783" w:rsidRPr="00527ACB">
        <w:rPr>
          <w:rFonts w:cs="Calibri"/>
          <w:szCs w:val="22"/>
          <w:lang w:val="en-GB" w:eastAsia="hr-HR"/>
        </w:rPr>
        <w:t xml:space="preserve"> Ipak, u nedostatku dugoročnih serija podataka, nesigurno je donositi zaključke </w:t>
      </w:r>
      <w:r w:rsidR="0044459C">
        <w:rPr>
          <w:rFonts w:cs="Calibri"/>
          <w:szCs w:val="22"/>
          <w:lang w:val="en-GB" w:eastAsia="hr-HR"/>
        </w:rPr>
        <w:t xml:space="preserve">i </w:t>
      </w:r>
      <w:r w:rsidR="004B7307">
        <w:rPr>
          <w:rFonts w:cs="Calibri"/>
          <w:szCs w:val="22"/>
          <w:lang w:val="en-GB" w:eastAsia="hr-HR"/>
        </w:rPr>
        <w:t xml:space="preserve">procijeniti </w:t>
      </w:r>
      <w:r w:rsidR="00484783" w:rsidRPr="00527ACB">
        <w:rPr>
          <w:rFonts w:cs="Calibri"/>
          <w:szCs w:val="22"/>
          <w:lang w:val="en-GB" w:eastAsia="hr-HR"/>
        </w:rPr>
        <w:t>GES</w:t>
      </w:r>
      <w:r w:rsidR="005A7716">
        <w:rPr>
          <w:rFonts w:cs="Calibri"/>
          <w:szCs w:val="22"/>
          <w:lang w:val="en-GB" w:eastAsia="hr-HR"/>
        </w:rPr>
        <w:t xml:space="preserve"> za ove vrste organizama. </w:t>
      </w:r>
      <w:r w:rsidRPr="00C9607F">
        <w:rPr>
          <w:rFonts w:eastAsia="Calibri" w:cs="Calibri"/>
          <w:szCs w:val="22"/>
          <w:lang w:val="en-GB" w:eastAsia="hr-HR"/>
        </w:rPr>
        <w:t xml:space="preserve"> Isto važi i za </w:t>
      </w:r>
      <w:r w:rsidRPr="00484783">
        <w:rPr>
          <w:rFonts w:eastAsia="Calibri" w:cs="Calibri"/>
          <w:b/>
          <w:szCs w:val="22"/>
          <w:lang w:val="en-GB" w:eastAsia="hr-HR"/>
        </w:rPr>
        <w:t>morsku kornjaču</w:t>
      </w:r>
      <w:r w:rsidRPr="00C9607F">
        <w:rPr>
          <w:rFonts w:eastAsia="Calibri" w:cs="Calibri"/>
          <w:szCs w:val="22"/>
          <w:lang w:val="en-GB" w:eastAsia="hr-HR"/>
        </w:rPr>
        <w:t xml:space="preserve"> </w:t>
      </w:r>
      <w:r w:rsidRPr="00484783">
        <w:rPr>
          <w:rFonts w:eastAsia="Calibri" w:cs="Calibri"/>
          <w:i/>
          <w:szCs w:val="22"/>
          <w:lang w:val="en-GB" w:eastAsia="hr-HR"/>
        </w:rPr>
        <w:t>Caretta caretta</w:t>
      </w:r>
      <w:r w:rsidRPr="00C9607F">
        <w:rPr>
          <w:rFonts w:eastAsia="Calibri" w:cs="Calibri"/>
          <w:szCs w:val="22"/>
          <w:lang w:val="en-GB" w:eastAsia="hr-HR"/>
        </w:rPr>
        <w:t xml:space="preserve"> kao najrasprostranjeniju vrstu morskih kornjača na Jadranu.</w:t>
      </w:r>
    </w:p>
    <w:p w14:paraId="499D28F8" w14:textId="0099A43F" w:rsidR="00C9607F" w:rsidRDefault="00C9607F" w:rsidP="00B760B0">
      <w:pPr>
        <w:tabs>
          <w:tab w:val="left" w:pos="2823"/>
        </w:tabs>
        <w:rPr>
          <w:lang w:val="sr-Latn-RS"/>
        </w:rPr>
      </w:pPr>
      <w:r w:rsidRPr="00C9607F">
        <w:rPr>
          <w:lang w:val="sr-Latn-RS"/>
        </w:rPr>
        <w:t xml:space="preserve">GES ciljevi i indikatori su razvijeni za sisare, ribe i ptice koji pokrivaju Deskriptor 1 (Biodiverzitet) i Deskriptor 4 (Prehrambene mreže). Oni uključuju ciljeve i </w:t>
      </w:r>
      <w:r>
        <w:rPr>
          <w:lang w:val="sr-Latn-RS"/>
        </w:rPr>
        <w:t xml:space="preserve">indikatore </w:t>
      </w:r>
      <w:r w:rsidRPr="00C9607F">
        <w:rPr>
          <w:lang w:val="sr-Latn-RS"/>
        </w:rPr>
        <w:t xml:space="preserve">za </w:t>
      </w:r>
      <w:r>
        <w:rPr>
          <w:lang w:val="sr-Latn-RS"/>
        </w:rPr>
        <w:t>areal vrsta</w:t>
      </w:r>
      <w:r w:rsidRPr="00C9607F">
        <w:rPr>
          <w:lang w:val="sr-Latn-RS"/>
        </w:rPr>
        <w:t>, veličinu</w:t>
      </w:r>
      <w:r>
        <w:rPr>
          <w:lang w:val="sr-Latn-RS"/>
        </w:rPr>
        <w:t xml:space="preserve"> </w:t>
      </w:r>
      <w:r w:rsidRPr="00C9607F">
        <w:rPr>
          <w:lang w:val="sr-Latn-RS"/>
        </w:rPr>
        <w:t>i stanje populacije, kao i produktivnost ključnih vrsta/trofičnih grupa i brojnost/</w:t>
      </w:r>
      <w:r>
        <w:rPr>
          <w:lang w:val="sr-Latn-RS"/>
        </w:rPr>
        <w:t>rasprostranjenost</w:t>
      </w:r>
      <w:r w:rsidRPr="00C9607F">
        <w:rPr>
          <w:lang w:val="sr-Latn-RS"/>
        </w:rPr>
        <w:t xml:space="preserve"> ključnih trofičnih grupa.</w:t>
      </w:r>
    </w:p>
    <w:p w14:paraId="66C02FA0" w14:textId="559FC83F" w:rsidR="00B760B0" w:rsidRDefault="00B760B0" w:rsidP="00B760B0">
      <w:pPr>
        <w:tabs>
          <w:tab w:val="left" w:pos="2823"/>
        </w:tabs>
        <w:rPr>
          <w:lang w:val="sr-Latn-RS"/>
        </w:rPr>
      </w:pPr>
      <w:r w:rsidRPr="00B760B0">
        <w:rPr>
          <w:lang w:val="sr-Latn-RS"/>
        </w:rPr>
        <w:t>GES proc</w:t>
      </w:r>
      <w:r>
        <w:rPr>
          <w:lang w:val="sr-Latn-RS"/>
        </w:rPr>
        <w:t>j</w:t>
      </w:r>
      <w:r w:rsidRPr="00B760B0">
        <w:rPr>
          <w:lang w:val="sr-Latn-RS"/>
        </w:rPr>
        <w:t xml:space="preserve">ena </w:t>
      </w:r>
      <w:r w:rsidRPr="00AD2390">
        <w:rPr>
          <w:b/>
          <w:lang w:val="sr-Latn-RS"/>
        </w:rPr>
        <w:t>pelagičnog staništa u odnosu na Deskriptore 1 i 4,</w:t>
      </w:r>
      <w:r>
        <w:rPr>
          <w:lang w:val="sr-Latn-RS"/>
        </w:rPr>
        <w:t xml:space="preserve"> kao važnog segmenta</w:t>
      </w:r>
      <w:r w:rsidRPr="00B760B0">
        <w:rPr>
          <w:lang w:val="sr-Latn-RS"/>
        </w:rPr>
        <w:t xml:space="preserve"> ekosistema,</w:t>
      </w:r>
      <w:r>
        <w:rPr>
          <w:lang w:val="sr-Latn-RS"/>
        </w:rPr>
        <w:t xml:space="preserve"> zasnovana je </w:t>
      </w:r>
      <w:r w:rsidRPr="00B760B0">
        <w:rPr>
          <w:lang w:val="sr-Latn-RS"/>
        </w:rPr>
        <w:t>na fitoplanktonu, mezozooplanktonu i ihtioplanktonu. Visok biodiverzitet vrsta fitoplanktona, mala stopa štetnih cv</w:t>
      </w:r>
      <w:r w:rsidR="00AD2390">
        <w:rPr>
          <w:lang w:val="sr-Latn-RS"/>
        </w:rPr>
        <w:t>j</w:t>
      </w:r>
      <w:r w:rsidRPr="00B760B0">
        <w:rPr>
          <w:lang w:val="sr-Latn-RS"/>
        </w:rPr>
        <w:t xml:space="preserve">etanja, kao i relativno niska koncentracija </w:t>
      </w:r>
      <w:r w:rsidR="00AD2390">
        <w:rPr>
          <w:lang w:val="sr-Latn-RS"/>
        </w:rPr>
        <w:t>h</w:t>
      </w:r>
      <w:r w:rsidR="00AD2390" w:rsidRPr="00AD2390">
        <w:rPr>
          <w:lang w:val="sr-Latn-RS"/>
        </w:rPr>
        <w:t>lorofil</w:t>
      </w:r>
      <w:r w:rsidR="00AD2390">
        <w:rPr>
          <w:lang w:val="sr-Latn-RS"/>
        </w:rPr>
        <w:t>a</w:t>
      </w:r>
      <w:r w:rsidR="00AD2390" w:rsidRPr="00AD2390">
        <w:rPr>
          <w:lang w:val="sr-Latn-RS"/>
        </w:rPr>
        <w:t xml:space="preserve"> </w:t>
      </w:r>
      <w:r w:rsidR="00AD2390" w:rsidRPr="00AD2390">
        <w:rPr>
          <w:i/>
          <w:lang w:val="sr-Latn-RS"/>
        </w:rPr>
        <w:t xml:space="preserve">a </w:t>
      </w:r>
      <w:r w:rsidRPr="00B760B0">
        <w:rPr>
          <w:lang w:val="sr-Latn-RS"/>
        </w:rPr>
        <w:t xml:space="preserve">ukazuju da antropogeni pritisci nisu negativno uticali na zajednicu fitoplanktona. Na osnovu </w:t>
      </w:r>
      <w:r w:rsidR="00AD2390">
        <w:rPr>
          <w:lang w:val="sr-Latn-RS"/>
        </w:rPr>
        <w:t xml:space="preserve">raspoloživih </w:t>
      </w:r>
      <w:r w:rsidRPr="00B760B0">
        <w:rPr>
          <w:lang w:val="sr-Latn-RS"/>
        </w:rPr>
        <w:t>podataka za zoopl</w:t>
      </w:r>
      <w:r w:rsidR="00AD2390">
        <w:rPr>
          <w:lang w:val="sr-Latn-RS"/>
        </w:rPr>
        <w:t>ankton, GES je postignut za Bokokotorski zaliv</w:t>
      </w:r>
      <w:r w:rsidRPr="00B760B0">
        <w:rPr>
          <w:lang w:val="sr-Latn-RS"/>
        </w:rPr>
        <w:t>, ali ne postoje dugoročne serije podataka koje bi omogućile proc</w:t>
      </w:r>
      <w:r w:rsidR="00AD2390">
        <w:rPr>
          <w:lang w:val="sr-Latn-RS"/>
        </w:rPr>
        <w:t>j</w:t>
      </w:r>
      <w:r w:rsidRPr="00B760B0">
        <w:rPr>
          <w:lang w:val="sr-Latn-RS"/>
        </w:rPr>
        <w:t xml:space="preserve">enu GES-a za priobalno otvoreno more. Što se tiče </w:t>
      </w:r>
      <w:r w:rsidR="00AD2390">
        <w:rPr>
          <w:lang w:val="sr-Latn-RS"/>
        </w:rPr>
        <w:t>areala</w:t>
      </w:r>
      <w:r w:rsidRPr="00B760B0">
        <w:rPr>
          <w:lang w:val="sr-Latn-RS"/>
        </w:rPr>
        <w:t xml:space="preserve">, brojnosti i </w:t>
      </w:r>
      <w:r w:rsidR="00AD2390">
        <w:rPr>
          <w:lang w:val="sr-Latn-RS"/>
        </w:rPr>
        <w:t xml:space="preserve">diverziteta </w:t>
      </w:r>
      <w:r w:rsidRPr="00B760B0">
        <w:rPr>
          <w:lang w:val="sr-Latn-RS"/>
        </w:rPr>
        <w:t>ukupnog ihtioplanktona</w:t>
      </w:r>
      <w:r w:rsidR="00AD2390">
        <w:rPr>
          <w:lang w:val="sr-Latn-RS"/>
        </w:rPr>
        <w:t xml:space="preserve">, GES je postignut </w:t>
      </w:r>
      <w:r w:rsidRPr="00B760B0">
        <w:rPr>
          <w:lang w:val="sr-Latn-RS"/>
        </w:rPr>
        <w:t xml:space="preserve"> za područje Bokokotorskog zaliva, ali ne postoje dugoročne serije podataka koje bi omogućile procjenu GES-a za otvoreno more. Analize svih raspoloživih podataka o </w:t>
      </w:r>
      <w:r w:rsidR="00AD2390">
        <w:rPr>
          <w:lang w:val="sr-Latn-RS"/>
        </w:rPr>
        <w:t>arealu</w:t>
      </w:r>
      <w:r w:rsidRPr="00B760B0">
        <w:rPr>
          <w:lang w:val="sr-Latn-RS"/>
        </w:rPr>
        <w:t xml:space="preserve"> i </w:t>
      </w:r>
      <w:r w:rsidR="00AD2390">
        <w:rPr>
          <w:lang w:val="sr-Latn-RS"/>
        </w:rPr>
        <w:t xml:space="preserve">brojnosti </w:t>
      </w:r>
      <w:r w:rsidR="00AD2390" w:rsidRPr="00AD2390">
        <w:rPr>
          <w:lang w:val="sr-Latn-RS"/>
        </w:rPr>
        <w:t>ranih razvojnih stadijuma inćuna</w:t>
      </w:r>
      <w:r w:rsidR="00AD2390">
        <w:rPr>
          <w:lang w:val="sr-Latn-RS"/>
        </w:rPr>
        <w:t xml:space="preserve"> </w:t>
      </w:r>
      <w:r w:rsidRPr="00B760B0">
        <w:rPr>
          <w:lang w:val="sr-Latn-RS"/>
        </w:rPr>
        <w:t xml:space="preserve">ukazuju da je GES postignut za područje Bokokotorskog zaliva i </w:t>
      </w:r>
      <w:r w:rsidR="00AF2911">
        <w:rPr>
          <w:lang w:val="sr-Latn-RS"/>
        </w:rPr>
        <w:t xml:space="preserve">za </w:t>
      </w:r>
      <w:r w:rsidRPr="00B760B0">
        <w:rPr>
          <w:lang w:val="sr-Latn-RS"/>
        </w:rPr>
        <w:t>otvoreno more Crne Gore.</w:t>
      </w:r>
    </w:p>
    <w:p w14:paraId="156A9F6B" w14:textId="3B8309DB" w:rsidR="00B760B0" w:rsidRPr="00B760B0" w:rsidRDefault="00B760B0" w:rsidP="00131076">
      <w:pPr>
        <w:autoSpaceDE w:val="0"/>
        <w:autoSpaceDN w:val="0"/>
        <w:adjustRightInd w:val="0"/>
        <w:spacing w:before="0" w:after="160"/>
        <w:rPr>
          <w:rFonts w:eastAsia="Calibri" w:cs="Calibri"/>
          <w:szCs w:val="22"/>
          <w:lang w:val="en-GB" w:eastAsia="en-US"/>
        </w:rPr>
      </w:pPr>
      <w:r>
        <w:rPr>
          <w:rFonts w:eastAsia="Calibri" w:cs="Calibri"/>
          <w:bCs/>
          <w:color w:val="000000"/>
          <w:szCs w:val="22"/>
          <w:lang w:val="sr-Latn-RS" w:eastAsia="hr-HR"/>
        </w:rPr>
        <w:t xml:space="preserve">Ciljevi </w:t>
      </w:r>
      <w:r w:rsidRPr="00B760B0">
        <w:rPr>
          <w:rFonts w:eastAsia="Calibri" w:cs="Calibri"/>
          <w:bCs/>
          <w:color w:val="000000"/>
          <w:szCs w:val="22"/>
          <w:lang w:val="sr-Latn-RS" w:eastAsia="hr-HR"/>
        </w:rPr>
        <w:t xml:space="preserve">koji vode ka </w:t>
      </w:r>
      <w:r w:rsidR="0044459C">
        <w:rPr>
          <w:rFonts w:eastAsia="Calibri" w:cs="Calibri"/>
          <w:bCs/>
          <w:color w:val="000000"/>
          <w:szCs w:val="22"/>
          <w:lang w:val="sr-Latn-RS" w:eastAsia="hr-HR"/>
        </w:rPr>
        <w:t>napretku</w:t>
      </w:r>
      <w:r w:rsidRPr="00B760B0">
        <w:rPr>
          <w:rFonts w:eastAsia="Calibri" w:cs="Calibri"/>
          <w:bCs/>
          <w:color w:val="000000"/>
          <w:szCs w:val="22"/>
          <w:lang w:val="sr-Latn-RS" w:eastAsia="hr-HR"/>
        </w:rPr>
        <w:t xml:space="preserve"> u postizanju</w:t>
      </w:r>
      <w:r>
        <w:rPr>
          <w:rFonts w:eastAsia="Calibri" w:cs="Calibri"/>
          <w:bCs/>
          <w:color w:val="000000"/>
          <w:szCs w:val="22"/>
          <w:lang w:val="sr-Latn-RS" w:eastAsia="hr-HR"/>
        </w:rPr>
        <w:t>/održavanju GES-a</w:t>
      </w:r>
      <w:r w:rsidRPr="00B760B0">
        <w:rPr>
          <w:rFonts w:eastAsia="Calibri" w:cs="Calibri"/>
          <w:bCs/>
          <w:color w:val="000000"/>
          <w:szCs w:val="22"/>
          <w:lang w:val="sr-Latn-RS" w:eastAsia="hr-HR"/>
        </w:rPr>
        <w:t xml:space="preserve"> za pelagična staništa usredsređeni su na plankton </w:t>
      </w:r>
      <w:r>
        <w:rPr>
          <w:rFonts w:eastAsia="Calibri" w:cs="Calibri"/>
          <w:bCs/>
          <w:color w:val="000000"/>
          <w:szCs w:val="22"/>
          <w:lang w:val="sr-Latn-RS" w:eastAsia="hr-HR"/>
        </w:rPr>
        <w:t>koji</w:t>
      </w:r>
      <w:r w:rsidRPr="006612D6">
        <w:rPr>
          <w:rFonts w:eastAsia="Calibri" w:cs="Calibri"/>
          <w:bCs/>
          <w:color w:val="000000"/>
          <w:szCs w:val="22"/>
          <w:lang w:val="sr-Latn-RS" w:eastAsia="hr-HR"/>
        </w:rPr>
        <w:t xml:space="preserve"> ima presudnu ulogu u pelagičnoj prehrambenoj mreži</w:t>
      </w:r>
      <w:r>
        <w:rPr>
          <w:rFonts w:eastAsia="Calibri" w:cs="Calibri"/>
          <w:bCs/>
          <w:color w:val="000000"/>
          <w:szCs w:val="22"/>
          <w:lang w:val="sr-Latn-RS" w:eastAsia="hr-HR"/>
        </w:rPr>
        <w:t xml:space="preserve"> i</w:t>
      </w:r>
      <w:r w:rsidRPr="006612D6">
        <w:rPr>
          <w:rFonts w:eastAsia="Calibri" w:cs="Calibri"/>
          <w:bCs/>
          <w:color w:val="000000"/>
          <w:szCs w:val="22"/>
          <w:lang w:val="sr-Latn-RS" w:eastAsia="hr-HR"/>
        </w:rPr>
        <w:t xml:space="preserve"> morski ekosistem u cjelini.</w:t>
      </w:r>
      <w:r>
        <w:rPr>
          <w:rFonts w:eastAsia="Calibri" w:cs="Calibri"/>
          <w:bCs/>
          <w:color w:val="000000"/>
          <w:szCs w:val="22"/>
          <w:lang w:val="sr-Latn-RS" w:eastAsia="hr-HR"/>
        </w:rPr>
        <w:t xml:space="preserve"> </w:t>
      </w:r>
      <w:r w:rsidRPr="00B760B0">
        <w:rPr>
          <w:rFonts w:eastAsia="Calibri" w:cs="Calibri"/>
          <w:szCs w:val="22"/>
          <w:lang w:val="en-GB" w:eastAsia="en-US"/>
        </w:rPr>
        <w:t>Prom</w:t>
      </w:r>
      <w:r>
        <w:rPr>
          <w:rFonts w:eastAsia="Calibri" w:cs="Calibri"/>
          <w:szCs w:val="22"/>
          <w:lang w:val="en-GB" w:eastAsia="en-US"/>
        </w:rPr>
        <w:t>j</w:t>
      </w:r>
      <w:r w:rsidRPr="00B760B0">
        <w:rPr>
          <w:rFonts w:eastAsia="Calibri" w:cs="Calibri"/>
          <w:szCs w:val="22"/>
          <w:lang w:val="en-GB" w:eastAsia="en-US"/>
        </w:rPr>
        <w:t>ene u planktonu mogu biti uzrokovane klimatskim prom</w:t>
      </w:r>
      <w:r>
        <w:rPr>
          <w:rFonts w:eastAsia="Calibri" w:cs="Calibri"/>
          <w:szCs w:val="22"/>
          <w:lang w:val="en-GB" w:eastAsia="en-US"/>
        </w:rPr>
        <w:t>j</w:t>
      </w:r>
      <w:r w:rsidRPr="00B760B0">
        <w:rPr>
          <w:rFonts w:eastAsia="Calibri" w:cs="Calibri"/>
          <w:szCs w:val="22"/>
          <w:lang w:val="en-GB" w:eastAsia="en-US"/>
        </w:rPr>
        <w:t xml:space="preserve">enama, ali i ljudskim pritiscima, posebno eutrofikacijom i ribolovom. Ciljevi su </w:t>
      </w:r>
      <w:r>
        <w:rPr>
          <w:rFonts w:eastAsia="Calibri" w:cs="Calibri"/>
          <w:szCs w:val="22"/>
          <w:lang w:val="en-GB" w:eastAsia="en-US"/>
        </w:rPr>
        <w:t>koncipirani</w:t>
      </w:r>
      <w:r w:rsidRPr="00B760B0">
        <w:rPr>
          <w:rFonts w:eastAsia="Calibri" w:cs="Calibri"/>
          <w:szCs w:val="22"/>
          <w:lang w:val="en-GB" w:eastAsia="en-US"/>
        </w:rPr>
        <w:t xml:space="preserve"> da identifikuju prom</w:t>
      </w:r>
      <w:r>
        <w:rPr>
          <w:rFonts w:eastAsia="Calibri" w:cs="Calibri"/>
          <w:szCs w:val="22"/>
          <w:lang w:val="en-GB" w:eastAsia="en-US"/>
        </w:rPr>
        <w:t>j</w:t>
      </w:r>
      <w:r w:rsidRPr="00B760B0">
        <w:rPr>
          <w:rFonts w:eastAsia="Calibri" w:cs="Calibri"/>
          <w:szCs w:val="22"/>
          <w:lang w:val="en-GB" w:eastAsia="en-US"/>
        </w:rPr>
        <w:t xml:space="preserve">ene u planktonu izazvane ljudskim </w:t>
      </w:r>
      <w:r w:rsidR="0044459C">
        <w:rPr>
          <w:rFonts w:eastAsia="Calibri" w:cs="Calibri"/>
          <w:szCs w:val="22"/>
          <w:lang w:val="en-GB" w:eastAsia="en-US"/>
        </w:rPr>
        <w:t xml:space="preserve">aktivnostima </w:t>
      </w:r>
      <w:r w:rsidRPr="00B760B0">
        <w:rPr>
          <w:rFonts w:eastAsia="Calibri" w:cs="Calibri"/>
          <w:szCs w:val="22"/>
          <w:lang w:val="en-GB" w:eastAsia="en-US"/>
        </w:rPr>
        <w:t>i zaht</w:t>
      </w:r>
      <w:r>
        <w:rPr>
          <w:rFonts w:eastAsia="Calibri" w:cs="Calibri"/>
          <w:szCs w:val="22"/>
          <w:lang w:val="en-GB" w:eastAsia="en-US"/>
        </w:rPr>
        <w:t xml:space="preserve">ijevaju da </w:t>
      </w:r>
      <w:r w:rsidRPr="00B760B0">
        <w:rPr>
          <w:rFonts w:eastAsia="Calibri" w:cs="Calibri"/>
          <w:szCs w:val="22"/>
          <w:lang w:val="en-GB" w:eastAsia="en-US"/>
        </w:rPr>
        <w:t xml:space="preserve">antropogeni pokretači ne utiču na </w:t>
      </w:r>
      <w:r>
        <w:rPr>
          <w:rFonts w:eastAsia="Calibri" w:cs="Calibri"/>
          <w:szCs w:val="22"/>
          <w:lang w:val="en-GB" w:eastAsia="en-US"/>
        </w:rPr>
        <w:t>rasprostranjenost</w:t>
      </w:r>
      <w:r w:rsidRPr="00B760B0">
        <w:rPr>
          <w:rFonts w:eastAsia="Calibri" w:cs="Calibri"/>
          <w:szCs w:val="22"/>
          <w:lang w:val="en-GB" w:eastAsia="en-US"/>
        </w:rPr>
        <w:t xml:space="preserve">, strukturu, stanje i </w:t>
      </w:r>
      <w:r>
        <w:rPr>
          <w:rFonts w:eastAsia="Calibri" w:cs="Calibri"/>
          <w:szCs w:val="22"/>
          <w:lang w:val="en-GB" w:eastAsia="en-US"/>
        </w:rPr>
        <w:t>brojnost</w:t>
      </w:r>
      <w:r w:rsidRPr="00B760B0">
        <w:rPr>
          <w:rFonts w:eastAsia="Calibri" w:cs="Calibri"/>
          <w:szCs w:val="22"/>
          <w:lang w:val="en-GB" w:eastAsia="en-US"/>
        </w:rPr>
        <w:t xml:space="preserve"> zajednice planktona.</w:t>
      </w:r>
    </w:p>
    <w:p w14:paraId="4F528C32" w14:textId="2F847CB1" w:rsidR="00701301" w:rsidRPr="002A4FE5" w:rsidRDefault="00701301" w:rsidP="00B760B0">
      <w:pPr>
        <w:spacing w:before="0" w:after="0"/>
        <w:rPr>
          <w:rFonts w:eastAsia="Calibri" w:cs="Calibri"/>
          <w:szCs w:val="22"/>
          <w:lang w:val="sr-Latn-ME" w:eastAsia="en-US"/>
        </w:rPr>
      </w:pPr>
      <w:r w:rsidRPr="00B760B0">
        <w:rPr>
          <w:rFonts w:eastAsia="Calibri" w:cs="Calibri"/>
          <w:b/>
          <w:szCs w:val="22"/>
          <w:lang w:val="sr-Latn-ME" w:eastAsia="en-US"/>
        </w:rPr>
        <w:t>Tipovi staništa na morskom dnu (bentos)</w:t>
      </w:r>
      <w:r w:rsidR="00B760B0" w:rsidRPr="00B760B0">
        <w:rPr>
          <w:rFonts w:eastAsia="Calibri" w:cs="Calibri"/>
          <w:b/>
          <w:szCs w:val="22"/>
          <w:lang w:val="sr-Latn-ME" w:eastAsia="en-US"/>
        </w:rPr>
        <w:t xml:space="preserve">, relevantni za </w:t>
      </w:r>
      <w:r w:rsidR="00B760B0">
        <w:rPr>
          <w:rFonts w:eastAsia="Calibri" w:cs="Calibri"/>
          <w:b/>
          <w:szCs w:val="22"/>
          <w:lang w:val="sr-Latn-ME" w:eastAsia="en-US"/>
        </w:rPr>
        <w:t>D</w:t>
      </w:r>
      <w:r w:rsidR="00B760B0" w:rsidRPr="00B760B0">
        <w:rPr>
          <w:rFonts w:eastAsia="Calibri" w:cs="Calibri"/>
          <w:b/>
          <w:szCs w:val="22"/>
          <w:lang w:val="sr-Latn-ME" w:eastAsia="en-US"/>
        </w:rPr>
        <w:t>eskriptore 1 i 6</w:t>
      </w:r>
      <w:r w:rsidRPr="002A4FE5">
        <w:rPr>
          <w:rFonts w:eastAsia="Calibri" w:cs="Calibri"/>
          <w:szCs w:val="22"/>
          <w:lang w:val="sr-Latn-ME" w:eastAsia="en-US"/>
        </w:rPr>
        <w:t xml:space="preserve"> veoma su različiti u vodama Crne Gore, u rasponu od široko rasprostranjenih stanišnih tipova (poput plitkog sublitoralnog pijeska) do onih staništa koja imaju tendenciju da budu prostorno odvojena i ranjivija na ljudske pritiske (poput biogenog grebena). Bentoska morska staništa uključuju sve biološke zajednice povezane sa morskim dnom, kao i samu fizičku podlogu, od vrha plimske zone do dubokog mora. Mape rasprostranjenosti bentoskih staništa predstavljene su u </w:t>
      </w:r>
      <w:r w:rsidR="0044459C">
        <w:rPr>
          <w:rFonts w:eastAsia="Calibri" w:cs="Calibri"/>
          <w:szCs w:val="22"/>
          <w:lang w:val="sr-Latn-ME" w:eastAsia="en-US"/>
        </w:rPr>
        <w:t>Početnoj</w:t>
      </w:r>
      <w:r w:rsidRPr="002A4FE5">
        <w:rPr>
          <w:rFonts w:eastAsia="Calibri" w:cs="Calibri"/>
          <w:szCs w:val="22"/>
          <w:lang w:val="sr-Latn-ME" w:eastAsia="en-US"/>
        </w:rPr>
        <w:t xml:space="preserve"> procjeni </w:t>
      </w:r>
      <w:r w:rsidR="00E60DE4">
        <w:rPr>
          <w:rFonts w:eastAsia="Calibri" w:cs="Calibri"/>
          <w:szCs w:val="22"/>
          <w:lang w:val="sr-Latn-ME" w:eastAsia="en-US"/>
        </w:rPr>
        <w:t xml:space="preserve">stanja </w:t>
      </w:r>
      <w:r w:rsidRPr="002A4FE5">
        <w:rPr>
          <w:rFonts w:eastAsia="Calibri" w:cs="Calibri"/>
          <w:szCs w:val="22"/>
          <w:lang w:val="sr-Latn-ME" w:eastAsia="en-US"/>
        </w:rPr>
        <w:t xml:space="preserve">morske </w:t>
      </w:r>
      <w:r w:rsidR="00E60DE4">
        <w:rPr>
          <w:rFonts w:eastAsia="Calibri" w:cs="Calibri"/>
          <w:szCs w:val="22"/>
          <w:lang w:val="sr-Latn-ME" w:eastAsia="en-US"/>
        </w:rPr>
        <w:t>s</w:t>
      </w:r>
      <w:r w:rsidRPr="002A4FE5">
        <w:rPr>
          <w:rFonts w:eastAsia="Calibri" w:cs="Calibri"/>
          <w:szCs w:val="22"/>
          <w:lang w:val="sr-Latn-ME" w:eastAsia="en-US"/>
        </w:rPr>
        <w:t>redine Crne Gore (2020). Među njima su sledeća staništa izabrana kao prioritetna na subregionalnom nivou / Jadransko more:</w:t>
      </w:r>
    </w:p>
    <w:p w14:paraId="638B23C7" w14:textId="3D37941E" w:rsidR="00B760B0" w:rsidRPr="00B760B0" w:rsidRDefault="00701301" w:rsidP="000E2092">
      <w:pPr>
        <w:autoSpaceDE w:val="0"/>
        <w:autoSpaceDN w:val="0"/>
        <w:adjustRightInd w:val="0"/>
        <w:spacing w:before="0"/>
        <w:rPr>
          <w:rFonts w:eastAsia="Calibri" w:cs="Calibri"/>
          <w:i/>
          <w:color w:val="000000"/>
          <w:szCs w:val="22"/>
          <w:lang w:val="en-GB" w:eastAsia="en-US"/>
        </w:rPr>
      </w:pPr>
      <w:r w:rsidRPr="002A4FE5">
        <w:rPr>
          <w:rFonts w:eastAsia="Calibri" w:cs="Calibri"/>
          <w:color w:val="000000"/>
          <w:szCs w:val="22"/>
          <w:lang w:val="en-GB" w:eastAsia="en-US"/>
        </w:rPr>
        <w:t xml:space="preserve">Zajednice fotofilnih algi sa posebnim naglaskom na alge roda </w:t>
      </w:r>
      <w:r w:rsidRPr="002A4FE5">
        <w:rPr>
          <w:rFonts w:eastAsia="Calibri" w:cs="Calibri"/>
          <w:i/>
          <w:color w:val="000000"/>
          <w:szCs w:val="22"/>
          <w:lang w:val="en-GB" w:eastAsia="en-US"/>
        </w:rPr>
        <w:t>Cystoseira –Cystoseira amentacea</w:t>
      </w:r>
      <w:r w:rsidR="00B760B0">
        <w:rPr>
          <w:rFonts w:eastAsia="Calibri" w:cs="Calibri"/>
          <w:i/>
          <w:color w:val="000000"/>
          <w:szCs w:val="22"/>
          <w:lang w:val="en-GB" w:eastAsia="en-US"/>
        </w:rPr>
        <w:t xml:space="preserve">, </w:t>
      </w:r>
      <w:r w:rsidR="00B760B0">
        <w:rPr>
          <w:rFonts w:eastAsia="Calibri" w:cs="Calibri"/>
          <w:color w:val="000000"/>
          <w:szCs w:val="22"/>
          <w:lang w:val="en-GB" w:eastAsia="en-US"/>
        </w:rPr>
        <w:t>Liv</w:t>
      </w:r>
      <w:r w:rsidRPr="002A4FE5">
        <w:rPr>
          <w:rFonts w:eastAsia="Calibri" w:cs="Calibri"/>
          <w:color w:val="000000"/>
          <w:szCs w:val="22"/>
          <w:lang w:val="en-GB" w:eastAsia="en-US"/>
        </w:rPr>
        <w:t>ade posidonije</w:t>
      </w:r>
      <w:r w:rsidRPr="002A4FE5">
        <w:rPr>
          <w:rFonts w:eastAsia="Calibri" w:cs="Calibri"/>
          <w:i/>
          <w:color w:val="000000"/>
          <w:szCs w:val="22"/>
          <w:lang w:val="en-GB" w:eastAsia="en-US"/>
        </w:rPr>
        <w:t>– Posidonia oceanica</w:t>
      </w:r>
      <w:r w:rsidR="00B760B0">
        <w:rPr>
          <w:rFonts w:eastAsia="Calibri" w:cs="Calibri"/>
          <w:i/>
          <w:color w:val="000000"/>
          <w:szCs w:val="22"/>
          <w:lang w:val="en-GB" w:eastAsia="en-US"/>
        </w:rPr>
        <w:t xml:space="preserve">, </w:t>
      </w:r>
      <w:r w:rsidRPr="002A4FE5">
        <w:rPr>
          <w:rFonts w:eastAsia="Calibri" w:cs="Calibri"/>
          <w:color w:val="000000"/>
          <w:szCs w:val="22"/>
          <w:lang w:val="en-GB" w:eastAsia="en-US"/>
        </w:rPr>
        <w:t xml:space="preserve">Livade Cymodocee– </w:t>
      </w:r>
      <w:r w:rsidRPr="002A4FE5">
        <w:rPr>
          <w:rFonts w:eastAsia="Calibri" w:cs="Calibri"/>
          <w:i/>
          <w:color w:val="000000"/>
          <w:szCs w:val="22"/>
          <w:lang w:val="en-GB" w:eastAsia="en-US"/>
        </w:rPr>
        <w:t>Cymodocea nodosa</w:t>
      </w:r>
      <w:r w:rsidR="00B760B0">
        <w:rPr>
          <w:rFonts w:eastAsia="Calibri" w:cs="Calibri"/>
          <w:i/>
          <w:color w:val="000000"/>
          <w:szCs w:val="22"/>
          <w:lang w:val="en-GB" w:eastAsia="en-US"/>
        </w:rPr>
        <w:t xml:space="preserve"> I </w:t>
      </w:r>
      <w:r w:rsidRPr="002A4FE5">
        <w:rPr>
          <w:rFonts w:eastAsia="Calibri" w:cs="Calibri"/>
          <w:color w:val="000000"/>
          <w:szCs w:val="22"/>
          <w:lang w:val="en-GB" w:eastAsia="en-US"/>
        </w:rPr>
        <w:t>Koralne zajednice</w:t>
      </w:r>
      <w:r w:rsidRPr="002A4FE5">
        <w:rPr>
          <w:rFonts w:eastAsia="Calibri" w:cs="Calibri"/>
          <w:i/>
          <w:color w:val="000000"/>
          <w:szCs w:val="22"/>
          <w:lang w:val="en-GB" w:eastAsia="en-US"/>
        </w:rPr>
        <w:t>– Savalia savaglia</w:t>
      </w:r>
      <w:r w:rsidR="00B760B0">
        <w:rPr>
          <w:rFonts w:eastAsia="Calibri" w:cs="Calibri"/>
          <w:i/>
          <w:color w:val="000000"/>
          <w:szCs w:val="22"/>
          <w:lang w:val="en-GB" w:eastAsia="en-US"/>
        </w:rPr>
        <w:t>.</w:t>
      </w:r>
    </w:p>
    <w:p w14:paraId="0747ABF5" w14:textId="1383980C" w:rsidR="00701301" w:rsidRDefault="00701301" w:rsidP="00701301">
      <w:pPr>
        <w:autoSpaceDE w:val="0"/>
        <w:autoSpaceDN w:val="0"/>
        <w:adjustRightInd w:val="0"/>
        <w:spacing w:before="0" w:after="160"/>
        <w:rPr>
          <w:rFonts w:eastAsia="Calibri" w:cs="Calibri"/>
          <w:szCs w:val="22"/>
          <w:lang w:val="sr-Latn-ME" w:eastAsia="en-US"/>
        </w:rPr>
      </w:pPr>
      <w:r>
        <w:rPr>
          <w:rFonts w:cs="Calibri"/>
          <w:szCs w:val="22"/>
          <w:lang w:val="en-GB" w:eastAsia="en-US"/>
        </w:rPr>
        <w:t xml:space="preserve">Budući da </w:t>
      </w:r>
      <w:r w:rsidRPr="00701301">
        <w:rPr>
          <w:rFonts w:cs="Calibri"/>
          <w:szCs w:val="22"/>
          <w:lang w:val="en-GB" w:eastAsia="en-US"/>
        </w:rPr>
        <w:t>granične vr</w:t>
      </w:r>
      <w:r>
        <w:rPr>
          <w:rFonts w:cs="Calibri"/>
          <w:szCs w:val="22"/>
          <w:lang w:val="en-GB" w:eastAsia="en-US"/>
        </w:rPr>
        <w:t>ij</w:t>
      </w:r>
      <w:r w:rsidRPr="00701301">
        <w:rPr>
          <w:rFonts w:cs="Calibri"/>
          <w:szCs w:val="22"/>
          <w:lang w:val="en-GB" w:eastAsia="en-US"/>
        </w:rPr>
        <w:t xml:space="preserve">ednosti za </w:t>
      </w:r>
      <w:r>
        <w:rPr>
          <w:rFonts w:cs="Calibri"/>
          <w:szCs w:val="22"/>
          <w:lang w:val="en-GB" w:eastAsia="en-US"/>
        </w:rPr>
        <w:t>nivo podregiona ili regiona nisu zvanično utvrđene</w:t>
      </w:r>
      <w:r w:rsidRPr="00701301">
        <w:rPr>
          <w:rFonts w:cs="Calibri"/>
          <w:szCs w:val="22"/>
          <w:lang w:val="en-GB" w:eastAsia="en-US"/>
        </w:rPr>
        <w:t>, pristup proc</w:t>
      </w:r>
      <w:r>
        <w:rPr>
          <w:rFonts w:cs="Calibri"/>
          <w:szCs w:val="22"/>
          <w:lang w:val="en-GB" w:eastAsia="en-US"/>
        </w:rPr>
        <w:t>j</w:t>
      </w:r>
      <w:r w:rsidRPr="00701301">
        <w:rPr>
          <w:rFonts w:cs="Calibri"/>
          <w:szCs w:val="22"/>
          <w:lang w:val="en-GB" w:eastAsia="en-US"/>
        </w:rPr>
        <w:t>eni GES-a zasnovan je uglavnom na stručno</w:t>
      </w:r>
      <w:r>
        <w:rPr>
          <w:rFonts w:cs="Calibri"/>
          <w:szCs w:val="22"/>
          <w:lang w:val="en-GB" w:eastAsia="en-US"/>
        </w:rPr>
        <w:t xml:space="preserve">j procjeni </w:t>
      </w:r>
      <w:r w:rsidRPr="00701301">
        <w:rPr>
          <w:rFonts w:cs="Calibri"/>
          <w:szCs w:val="22"/>
          <w:lang w:val="en-GB" w:eastAsia="en-US"/>
        </w:rPr>
        <w:t xml:space="preserve">u odnosu na dostupne podatke i na izračunavanju pojedinačnih indeksa u zavisnosti od metodologije istraživanja odabranih staništa. </w:t>
      </w:r>
      <w:r w:rsidRPr="00701301">
        <w:rPr>
          <w:rFonts w:eastAsia="Calibri" w:cs="Calibri"/>
          <w:szCs w:val="22"/>
          <w:lang w:val="sr-Latn-ME" w:eastAsia="en-US"/>
        </w:rPr>
        <w:t>Na osnovu svih postojećih podataka o odabranim tipovima staništa moguće je djelimično procijeniti GES. Uopšteno, GES fotofilnih zajednica algi mogao bi se bolje procijeniti od onog na livadama koraligena i posidonije. Za procijenjene parametre, posebno stanje fotofilnih zajednica algi i koraligena u obalnom području, postoji indikacija da je GES postignut, uprkos sve većim pritiscima kao što su izgradnja nove infrastrukture i zagađenje vode, posebno u vezi sa urbanizacijom i turizmom. Međutim, da bismo u potpunosti razumjeli stanje bentoskih staništa, potrebno je sprovesti sistematičnija istraživanja kako bi se riješili svi nedostaci u znanju.</w:t>
      </w:r>
    </w:p>
    <w:p w14:paraId="181851BE" w14:textId="0B90322D" w:rsidR="00701301" w:rsidRPr="002A4FE5" w:rsidRDefault="00701301" w:rsidP="00701301">
      <w:pPr>
        <w:autoSpaceDE w:val="0"/>
        <w:autoSpaceDN w:val="0"/>
        <w:adjustRightInd w:val="0"/>
        <w:spacing w:before="0" w:after="160"/>
        <w:rPr>
          <w:rFonts w:eastAsia="Calibri" w:cs="Calibri"/>
          <w:szCs w:val="22"/>
          <w:lang w:val="sr-Latn-ME" w:eastAsia="en-US"/>
        </w:rPr>
      </w:pPr>
      <w:r w:rsidRPr="002A4FE5">
        <w:rPr>
          <w:rFonts w:eastAsia="Calibri" w:cs="Calibri"/>
          <w:szCs w:val="22"/>
          <w:lang w:val="sr-Latn-ME" w:eastAsia="en-US"/>
        </w:rPr>
        <w:t xml:space="preserve">Za staništa stijena i biogenih grebena ciljevi </w:t>
      </w:r>
      <w:r w:rsidR="00E60DE4">
        <w:rPr>
          <w:rFonts w:eastAsia="Calibri" w:cs="Calibri"/>
          <w:szCs w:val="22"/>
          <w:lang w:val="sr-Latn-ME" w:eastAsia="en-US"/>
        </w:rPr>
        <w:t xml:space="preserve">za postizanje/održavanje GES-a </w:t>
      </w:r>
      <w:r w:rsidRPr="002A4FE5">
        <w:rPr>
          <w:rFonts w:eastAsia="Calibri" w:cs="Calibri"/>
          <w:szCs w:val="22"/>
          <w:lang w:val="sr-Latn-ME" w:eastAsia="en-US"/>
        </w:rPr>
        <w:t xml:space="preserve">zasnivaju </w:t>
      </w:r>
      <w:r w:rsidR="00E60DE4">
        <w:rPr>
          <w:rFonts w:eastAsia="Calibri" w:cs="Calibri"/>
          <w:szCs w:val="22"/>
          <w:lang w:val="sr-Latn-ME" w:eastAsia="en-US"/>
        </w:rPr>
        <w:t xml:space="preserve">se </w:t>
      </w:r>
      <w:r w:rsidRPr="002A4FE5">
        <w:rPr>
          <w:rFonts w:eastAsia="Calibri" w:cs="Calibri"/>
          <w:szCs w:val="22"/>
          <w:lang w:val="sr-Latn-ME" w:eastAsia="en-US"/>
        </w:rPr>
        <w:t>na postojećim ciljevima prema Direktivi o staništima</w:t>
      </w:r>
      <w:r w:rsidR="00097CBF">
        <w:rPr>
          <w:rFonts w:eastAsia="Calibri" w:cs="Calibri"/>
          <w:szCs w:val="22"/>
          <w:lang w:val="sr-Latn-ME" w:eastAsia="en-US"/>
        </w:rPr>
        <w:t xml:space="preserve"> kojom je obuhvaćena zaštita većine ovih stanišnih tipova.</w:t>
      </w:r>
      <w:r w:rsidRPr="002A4FE5">
        <w:rPr>
          <w:rFonts w:eastAsia="Calibri" w:cs="Calibri"/>
          <w:szCs w:val="22"/>
          <w:lang w:val="sr-Latn-ME" w:eastAsia="en-US"/>
        </w:rPr>
        <w:t xml:space="preserve"> Ciljevi zahtijevaju da raspored i obim staništa stijena i biogenih grebena bude stabilan ili se povećava, koristeći </w:t>
      </w:r>
      <w:r w:rsidR="00097CBF">
        <w:rPr>
          <w:rFonts w:eastAsia="Calibri" w:cs="Calibri"/>
          <w:szCs w:val="22"/>
          <w:lang w:val="sr-Latn-ME" w:eastAsia="en-US"/>
        </w:rPr>
        <w:t>'</w:t>
      </w:r>
      <w:r w:rsidRPr="002A4FE5">
        <w:rPr>
          <w:rFonts w:eastAsia="Calibri" w:cs="Calibri"/>
          <w:szCs w:val="22"/>
          <w:lang w:val="sr-Latn-ME" w:eastAsia="en-US"/>
        </w:rPr>
        <w:t>Polazno referentno područje</w:t>
      </w:r>
      <w:r w:rsidR="00097CBF">
        <w:rPr>
          <w:rFonts w:eastAsia="Calibri" w:cs="Calibri"/>
          <w:szCs w:val="22"/>
          <w:lang w:val="sr-Latn-ME" w:eastAsia="en-US"/>
        </w:rPr>
        <w:t>'</w:t>
      </w:r>
      <w:r w:rsidRPr="002A4FE5">
        <w:rPr>
          <w:rFonts w:eastAsia="Calibri" w:cs="Calibri"/>
          <w:szCs w:val="22"/>
          <w:lang w:val="sr-Latn-ME" w:eastAsia="en-US"/>
        </w:rPr>
        <w:t xml:space="preserve"> i </w:t>
      </w:r>
      <w:r w:rsidR="00097CBF">
        <w:rPr>
          <w:rFonts w:eastAsia="Calibri" w:cs="Calibri"/>
          <w:szCs w:val="22"/>
          <w:lang w:val="sr-Latn-ME" w:eastAsia="en-US"/>
        </w:rPr>
        <w:t>'</w:t>
      </w:r>
      <w:r w:rsidRPr="002A4FE5">
        <w:rPr>
          <w:rFonts w:eastAsia="Calibri" w:cs="Calibri"/>
          <w:szCs w:val="22"/>
          <w:lang w:val="sr-Latn-ME" w:eastAsia="en-US"/>
        </w:rPr>
        <w:t>Povoljno referentno područje</w:t>
      </w:r>
      <w:r w:rsidR="00097CBF">
        <w:rPr>
          <w:rFonts w:eastAsia="Calibri" w:cs="Calibri"/>
          <w:szCs w:val="22"/>
          <w:lang w:val="sr-Latn-ME" w:eastAsia="en-US"/>
        </w:rPr>
        <w:t>'</w:t>
      </w:r>
      <w:r w:rsidRPr="002A4FE5">
        <w:rPr>
          <w:rFonts w:eastAsia="Calibri" w:cs="Calibri"/>
          <w:szCs w:val="22"/>
          <w:lang w:val="sr-Latn-ME" w:eastAsia="en-US"/>
        </w:rPr>
        <w:t xml:space="preserve"> prema Direktivi o staništima kao osnovnu liniju. </w:t>
      </w:r>
    </w:p>
    <w:p w14:paraId="0DB0879F" w14:textId="7611DA45" w:rsidR="00151BD7" w:rsidRPr="00701301" w:rsidRDefault="00151BD7" w:rsidP="00DA5C9D">
      <w:pPr>
        <w:spacing w:before="0"/>
        <w:rPr>
          <w:rFonts w:eastAsia="Calibri" w:cs="Calibri"/>
          <w:szCs w:val="22"/>
          <w:lang w:val="en-GB" w:eastAsia="en-US"/>
        </w:rPr>
      </w:pPr>
      <w:r w:rsidRPr="00151BD7">
        <w:rPr>
          <w:rFonts w:eastAsia="Calibri" w:cs="Calibri"/>
          <w:szCs w:val="22"/>
          <w:lang w:val="sr-Latn-ME" w:eastAsia="en-US"/>
        </w:rPr>
        <w:t xml:space="preserve">Za navedena sedimentna staništa (tj. ona staništa obuhvaćena postojećim zakonodavstvom) ciljevi </w:t>
      </w:r>
      <w:r w:rsidR="00097CBF">
        <w:rPr>
          <w:rFonts w:eastAsia="Calibri" w:cs="Calibri"/>
          <w:szCs w:val="22"/>
          <w:lang w:val="sr-Latn-ME" w:eastAsia="en-US"/>
        </w:rPr>
        <w:t xml:space="preserve">za postizanje/održavanje GES-a </w:t>
      </w:r>
      <w:r w:rsidRPr="00151BD7">
        <w:rPr>
          <w:rFonts w:eastAsia="Calibri" w:cs="Calibri"/>
          <w:szCs w:val="22"/>
          <w:lang w:val="sr-Latn-ME" w:eastAsia="en-US"/>
        </w:rPr>
        <w:t>su takođe zasnovani na postojećim zahtjevima prema Direktivi o staništima</w:t>
      </w:r>
      <w:r w:rsidRPr="00151BD7">
        <w:rPr>
          <w:rFonts w:eastAsia="Calibri" w:cs="Calibri"/>
          <w:szCs w:val="22"/>
          <w:vertAlign w:val="superscript"/>
          <w:lang w:val="en-GB" w:eastAsia="en-US"/>
        </w:rPr>
        <w:footnoteReference w:id="9"/>
      </w:r>
      <w:r w:rsidRPr="00151BD7">
        <w:rPr>
          <w:rFonts w:eastAsia="Calibri" w:cs="Calibri"/>
          <w:szCs w:val="22"/>
          <w:lang w:val="en-GB" w:eastAsia="en-US"/>
        </w:rPr>
        <w:t xml:space="preserve"> </w:t>
      </w:r>
      <w:r w:rsidRPr="00151BD7">
        <w:rPr>
          <w:rFonts w:eastAsia="Calibri" w:cs="Calibri"/>
          <w:szCs w:val="22"/>
          <w:lang w:val="sr-Latn-ME" w:eastAsia="en-US"/>
        </w:rPr>
        <w:t xml:space="preserve"> i Okvirnoj direktivi o vodama</w:t>
      </w:r>
      <w:r w:rsidRPr="00151BD7">
        <w:rPr>
          <w:rFonts w:eastAsia="Calibri" w:cs="Calibri"/>
          <w:szCs w:val="22"/>
          <w:vertAlign w:val="superscript"/>
          <w:lang w:val="en-GB" w:eastAsia="en-US"/>
        </w:rPr>
        <w:footnoteReference w:id="10"/>
      </w:r>
      <w:r w:rsidRPr="00151BD7">
        <w:rPr>
          <w:rFonts w:eastAsia="Calibri" w:cs="Calibri"/>
          <w:szCs w:val="22"/>
          <w:lang w:val="en-GB" w:eastAsia="en-US"/>
        </w:rPr>
        <w:t xml:space="preserve">. </w:t>
      </w:r>
      <w:r w:rsidRPr="00151BD7">
        <w:rPr>
          <w:rFonts w:eastAsia="Calibri" w:cs="Calibri"/>
          <w:szCs w:val="22"/>
          <w:lang w:val="sr-Latn-ME" w:eastAsia="en-US"/>
        </w:rPr>
        <w:t xml:space="preserve"> Međutim, veliki dio staništa sedimenata nije zaštićen postojećim zakonodavstvom. To su staništa definisana  kao pretežno sedimentna i razvijeni su novi ciljevi koji pokrivaju ta staništa. Ciljeve za ova staništa bilo je posebno teško razviti jer postoji značajan nedostatak podataka i razumevanja kako za sadašnje, tako i za željeno stanje, što znači da nije moguće postaviti ekološki značajne ciljne pragove </w:t>
      </w:r>
      <w:r>
        <w:rPr>
          <w:rFonts w:eastAsia="Calibri" w:cs="Calibri"/>
          <w:szCs w:val="22"/>
          <w:lang w:val="sr-Latn-ME" w:eastAsia="en-US"/>
        </w:rPr>
        <w:t>GES</w:t>
      </w:r>
      <w:r w:rsidRPr="00151BD7">
        <w:rPr>
          <w:rFonts w:eastAsia="Calibri" w:cs="Calibri"/>
          <w:szCs w:val="22"/>
          <w:lang w:val="sr-Latn-ME" w:eastAsia="en-US"/>
        </w:rPr>
        <w:t xml:space="preserve">-a. Iz tog razloga ciljevi za stanje pretežno sedimentnih staništa su ciljevi zasnovani na trendu, </w:t>
      </w:r>
      <w:r w:rsidR="00E049CB">
        <w:rPr>
          <w:rFonts w:eastAsia="Calibri" w:cs="Calibri"/>
          <w:szCs w:val="22"/>
          <w:lang w:val="sr-Latn-ME" w:eastAsia="en-US"/>
        </w:rPr>
        <w:t xml:space="preserve">te </w:t>
      </w:r>
      <w:r w:rsidRPr="00151BD7">
        <w:rPr>
          <w:rFonts w:eastAsia="Calibri" w:cs="Calibri"/>
          <w:szCs w:val="22"/>
          <w:lang w:val="sr-Latn-ME" w:eastAsia="en-US"/>
        </w:rPr>
        <w:t>ciljevi</w:t>
      </w:r>
      <w:r w:rsidR="00E049CB">
        <w:rPr>
          <w:rFonts w:eastAsia="Calibri" w:cs="Calibri"/>
          <w:szCs w:val="22"/>
          <w:lang w:val="sr-Latn-ME" w:eastAsia="en-US"/>
        </w:rPr>
        <w:t>ma</w:t>
      </w:r>
      <w:r w:rsidRPr="00151BD7">
        <w:rPr>
          <w:rFonts w:eastAsia="Calibri" w:cs="Calibri"/>
          <w:szCs w:val="22"/>
          <w:lang w:val="sr-Latn-ME" w:eastAsia="en-US"/>
        </w:rPr>
        <w:t xml:space="preserve"> pritiska, koji zahtijevaju smanjenje štetnog uticaja </w:t>
      </w:r>
      <w:r w:rsidRPr="00297721">
        <w:rPr>
          <w:rFonts w:eastAsia="Calibri" w:cs="Calibri"/>
          <w:szCs w:val="22"/>
          <w:lang w:val="sr-Latn-ME" w:eastAsia="en-US"/>
        </w:rPr>
        <w:t xml:space="preserve">čoveka na ova staništa. </w:t>
      </w:r>
      <w:r w:rsidR="00DA5C9D" w:rsidRPr="00DA5C9D">
        <w:rPr>
          <w:rFonts w:eastAsia="Calibri" w:cs="Calibri"/>
          <w:szCs w:val="22"/>
          <w:lang w:val="sr-Latn-ME" w:eastAsia="en-US"/>
        </w:rPr>
        <w:t>Trenut</w:t>
      </w:r>
      <w:r w:rsidR="001A5DE6">
        <w:rPr>
          <w:rFonts w:eastAsia="Calibri" w:cs="Calibri"/>
          <w:szCs w:val="22"/>
          <w:lang w:val="sr-Latn-ME" w:eastAsia="en-US"/>
        </w:rPr>
        <w:t>no</w:t>
      </w:r>
      <w:r w:rsidR="00DA5C9D" w:rsidRPr="00DA5C9D">
        <w:rPr>
          <w:rFonts w:eastAsia="Calibri" w:cs="Calibri"/>
          <w:szCs w:val="22"/>
          <w:lang w:val="sr-Latn-ME" w:eastAsia="en-US"/>
        </w:rPr>
        <w:t xml:space="preserve"> nije moguće kvantitativno defini</w:t>
      </w:r>
      <w:r w:rsidR="001A5DE6">
        <w:rPr>
          <w:rFonts w:eastAsia="Calibri" w:cs="Calibri"/>
          <w:szCs w:val="22"/>
          <w:lang w:val="sr-Latn-ME" w:eastAsia="en-US"/>
        </w:rPr>
        <w:t>sati</w:t>
      </w:r>
      <w:r w:rsidR="00DA5C9D" w:rsidRPr="00DA5C9D">
        <w:rPr>
          <w:rFonts w:eastAsia="Calibri" w:cs="Calibri"/>
          <w:szCs w:val="22"/>
          <w:lang w:val="sr-Latn-ME" w:eastAsia="en-US"/>
        </w:rPr>
        <w:t xml:space="preserve"> potreb</w:t>
      </w:r>
      <w:r w:rsidR="00DA5C9D">
        <w:rPr>
          <w:rFonts w:eastAsia="Calibri" w:cs="Calibri"/>
          <w:szCs w:val="22"/>
          <w:lang w:val="sr-Latn-ME" w:eastAsia="en-US"/>
        </w:rPr>
        <w:t xml:space="preserve">an nivo </w:t>
      </w:r>
      <w:r w:rsidR="00DA5C9D" w:rsidRPr="00DA5C9D">
        <w:rPr>
          <w:rFonts w:eastAsia="Calibri" w:cs="Calibri"/>
          <w:szCs w:val="22"/>
          <w:lang w:val="sr-Latn-ME" w:eastAsia="en-US"/>
        </w:rPr>
        <w:t>smanjenja ut</w:t>
      </w:r>
      <w:r w:rsidR="00DA5C9D">
        <w:rPr>
          <w:rFonts w:eastAsia="Calibri" w:cs="Calibri"/>
          <w:szCs w:val="22"/>
          <w:lang w:val="sr-Latn-ME" w:eastAsia="en-US"/>
        </w:rPr>
        <w:t>i</w:t>
      </w:r>
      <w:r w:rsidR="00DA5C9D" w:rsidRPr="00DA5C9D">
        <w:rPr>
          <w:rFonts w:eastAsia="Calibri" w:cs="Calibri"/>
          <w:szCs w:val="22"/>
          <w:lang w:val="sr-Latn-ME" w:eastAsia="en-US"/>
        </w:rPr>
        <w:t>caja, ali će se provesti daljnja istraživanja s ciljem pos</w:t>
      </w:r>
      <w:r w:rsidR="001A5DE6">
        <w:rPr>
          <w:rFonts w:eastAsia="Calibri" w:cs="Calibri"/>
          <w:szCs w:val="22"/>
          <w:lang w:val="sr-Latn-ME" w:eastAsia="en-US"/>
        </w:rPr>
        <w:t>tavljanja specifičnih, kvantifikovanih</w:t>
      </w:r>
      <w:r w:rsidR="00DA5C9D" w:rsidRPr="00DA5C9D">
        <w:rPr>
          <w:rFonts w:eastAsia="Calibri" w:cs="Calibri"/>
          <w:szCs w:val="22"/>
          <w:lang w:val="sr-Latn-ME" w:eastAsia="en-US"/>
        </w:rPr>
        <w:t xml:space="preserve"> ciljeva za prevladavajuća staništa sedimenata što je prije moguće u budućnosti.</w:t>
      </w:r>
      <w:r w:rsidR="00DA5C9D" w:rsidRPr="00701301">
        <w:rPr>
          <w:rFonts w:eastAsia="Calibri" w:cs="Calibri"/>
          <w:szCs w:val="22"/>
          <w:lang w:val="en-GB" w:eastAsia="en-US"/>
        </w:rPr>
        <w:t xml:space="preserve"> </w:t>
      </w:r>
    </w:p>
    <w:p w14:paraId="716A1B5C" w14:textId="77777777" w:rsidR="00A26241" w:rsidRPr="00741496" w:rsidRDefault="00D71066" w:rsidP="00A26241">
      <w:pPr>
        <w:autoSpaceDE w:val="0"/>
        <w:autoSpaceDN w:val="0"/>
        <w:adjustRightInd w:val="0"/>
        <w:spacing w:before="0" w:after="240"/>
        <w:rPr>
          <w:rFonts w:cs="Calibri"/>
          <w:color w:val="0070C0"/>
          <w:szCs w:val="22"/>
          <w:lang w:val="en-GB"/>
        </w:rPr>
      </w:pPr>
      <w:r w:rsidRPr="00D71066">
        <w:rPr>
          <w:rFonts w:cs="Calibri"/>
          <w:b/>
          <w:szCs w:val="22"/>
          <w:lang w:val="en-GB"/>
        </w:rPr>
        <w:t>Prehrambene mreže (Deskriptor 4)</w:t>
      </w:r>
      <w:r w:rsidRPr="00D71066">
        <w:rPr>
          <w:rFonts w:cs="Calibri"/>
          <w:szCs w:val="22"/>
          <w:lang w:val="en-GB"/>
        </w:rPr>
        <w:t xml:space="preserve"> definišu se kao </w:t>
      </w:r>
      <w:r w:rsidRPr="00D71066">
        <w:rPr>
          <w:rFonts w:eastAsia="Calibri" w:cs="Calibri"/>
          <w:iCs/>
          <w:szCs w:val="22"/>
          <w:lang w:val="en-GB"/>
        </w:rPr>
        <w:t>„mreže interakcija hranjenja između potrošača i njihove hrane“</w:t>
      </w:r>
      <w:r w:rsidRPr="00D71066">
        <w:rPr>
          <w:rFonts w:cs="Calibri"/>
          <w:szCs w:val="22"/>
          <w:lang w:val="en-GB"/>
        </w:rPr>
        <w:t xml:space="preserve">. </w:t>
      </w:r>
      <w:r w:rsidR="00A26241" w:rsidRPr="00007B1C">
        <w:rPr>
          <w:rFonts w:cs="Calibri"/>
          <w:color w:val="000000"/>
          <w:lang w:val="sq-AL"/>
        </w:rPr>
        <w:t>Jed</w:t>
      </w:r>
      <w:r w:rsidR="00A26241">
        <w:rPr>
          <w:rFonts w:cs="Calibri"/>
          <w:color w:val="000000"/>
          <w:lang w:val="sq-AL"/>
        </w:rPr>
        <w:t>an</w:t>
      </w:r>
      <w:r w:rsidR="00A26241" w:rsidRPr="00007B1C">
        <w:rPr>
          <w:rFonts w:cs="Calibri"/>
          <w:color w:val="000000"/>
          <w:lang w:val="sq-AL"/>
        </w:rPr>
        <w:t xml:space="preserve"> od najjednostavnijih načina za opisivanje složenih odnosa unutar mreža ishrane uzima u obzir relativnu zastupljenost i distribuciju vrst</w:t>
      </w:r>
      <w:r w:rsidR="00A26241">
        <w:rPr>
          <w:rFonts w:cs="Calibri"/>
          <w:color w:val="000000"/>
          <w:lang w:val="sq-AL"/>
        </w:rPr>
        <w:t>a koje sudjeluju u prehrambenim odnosima</w:t>
      </w:r>
      <w:r w:rsidR="00A26241" w:rsidRPr="00007B1C">
        <w:rPr>
          <w:rFonts w:cs="Calibri"/>
          <w:color w:val="000000"/>
          <w:lang w:val="sq-AL"/>
        </w:rPr>
        <w:t xml:space="preserve">. Kako se mreže ishrane uglavnom strukturiraju interakcijama plijena i predatora, veličina tijela predatora i obilje njihovog plijena odrediće snagu i pravac protoka energije kroz sistem. U ovom </w:t>
      </w:r>
      <w:r w:rsidR="00A26241">
        <w:rPr>
          <w:rFonts w:cs="Calibri"/>
          <w:color w:val="000000"/>
          <w:lang w:val="sq-AL"/>
        </w:rPr>
        <w:t>tekstu</w:t>
      </w:r>
      <w:r w:rsidR="00A26241" w:rsidRPr="00007B1C">
        <w:rPr>
          <w:rFonts w:cs="Calibri"/>
          <w:color w:val="000000"/>
          <w:lang w:val="sq-AL"/>
        </w:rPr>
        <w:t xml:space="preserve"> </w:t>
      </w:r>
      <w:r w:rsidR="00A26241">
        <w:rPr>
          <w:rFonts w:cs="Calibri"/>
          <w:color w:val="000000"/>
          <w:lang w:val="sq-AL"/>
        </w:rPr>
        <w:t xml:space="preserve">upravo </w:t>
      </w:r>
      <w:r w:rsidR="00A26241" w:rsidRPr="00007B1C">
        <w:rPr>
          <w:rFonts w:cs="Calibri"/>
          <w:color w:val="000000"/>
          <w:lang w:val="sq-AL"/>
        </w:rPr>
        <w:t>ove strukturne mjere se koriste za identifikovanje kriterijuma za dob</w:t>
      </w:r>
      <w:r w:rsidR="00A26241">
        <w:rPr>
          <w:rFonts w:cs="Calibri"/>
          <w:color w:val="000000"/>
          <w:lang w:val="sq-AL"/>
        </w:rPr>
        <w:t>ro stanje m</w:t>
      </w:r>
      <w:r w:rsidR="00A26241" w:rsidRPr="00007B1C">
        <w:rPr>
          <w:rFonts w:cs="Calibri"/>
          <w:color w:val="000000"/>
          <w:lang w:val="sq-AL"/>
        </w:rPr>
        <w:t>reža ishrane i predlažu jednostavne indikatore za evidenciju njihove stope promjen</w:t>
      </w:r>
      <w:r w:rsidR="00A26241">
        <w:rPr>
          <w:rFonts w:cs="Calibri"/>
          <w:color w:val="000000"/>
          <w:lang w:val="sq-AL"/>
        </w:rPr>
        <w:t>a</w:t>
      </w:r>
      <w:r w:rsidR="00A26241" w:rsidRPr="00007B1C">
        <w:rPr>
          <w:rFonts w:cs="Calibri"/>
          <w:color w:val="000000"/>
          <w:lang w:val="sq-AL"/>
        </w:rPr>
        <w:t>.</w:t>
      </w:r>
    </w:p>
    <w:p w14:paraId="48AF2F4B" w14:textId="562D3A1D" w:rsidR="00D71066" w:rsidRDefault="00D71066" w:rsidP="00131076">
      <w:pPr>
        <w:autoSpaceDE w:val="0"/>
        <w:autoSpaceDN w:val="0"/>
        <w:adjustRightInd w:val="0"/>
        <w:spacing w:before="0" w:after="240"/>
        <w:rPr>
          <w:rFonts w:cs="Calibri"/>
          <w:szCs w:val="22"/>
          <w:lang w:val="en-GB"/>
        </w:rPr>
      </w:pPr>
      <w:r w:rsidRPr="00D71066">
        <w:rPr>
          <w:rFonts w:cs="Calibri"/>
          <w:szCs w:val="22"/>
          <w:lang w:val="en-GB"/>
        </w:rPr>
        <w:t>Prehramben</w:t>
      </w:r>
      <w:r w:rsidR="00E049CB">
        <w:rPr>
          <w:rFonts w:cs="Calibri"/>
          <w:szCs w:val="22"/>
          <w:lang w:val="en-GB"/>
        </w:rPr>
        <w:t>a</w:t>
      </w:r>
      <w:r w:rsidRPr="00D71066">
        <w:rPr>
          <w:rFonts w:cs="Calibri"/>
          <w:szCs w:val="22"/>
          <w:lang w:val="en-GB"/>
        </w:rPr>
        <w:t xml:space="preserve"> mrež</w:t>
      </w:r>
      <w:r w:rsidR="00E049CB">
        <w:rPr>
          <w:rFonts w:cs="Calibri"/>
          <w:szCs w:val="22"/>
          <w:lang w:val="en-GB"/>
        </w:rPr>
        <w:t>a</w:t>
      </w:r>
      <w:r w:rsidRPr="00D71066">
        <w:rPr>
          <w:rFonts w:cs="Calibri"/>
          <w:szCs w:val="22"/>
          <w:lang w:val="en-GB"/>
        </w:rPr>
        <w:t xml:space="preserve"> koj</w:t>
      </w:r>
      <w:r w:rsidR="00E049CB">
        <w:rPr>
          <w:rFonts w:cs="Calibri"/>
          <w:szCs w:val="22"/>
          <w:lang w:val="en-GB"/>
        </w:rPr>
        <w:t>a</w:t>
      </w:r>
      <w:r w:rsidRPr="00D71066">
        <w:rPr>
          <w:rFonts w:cs="Calibri"/>
          <w:szCs w:val="22"/>
          <w:lang w:val="en-GB"/>
        </w:rPr>
        <w:t xml:space="preserve"> pravilno funkcioniše presudna je za cjelokupno zdravlje ekosistema. Imajući u vidu da su karakteristike elemenata pelagične prehrambene mreže za morsko područje Crne Gore u skladu sa </w:t>
      </w:r>
      <w:r w:rsidRPr="00151BD7">
        <w:rPr>
          <w:rFonts w:cs="Calibri"/>
          <w:szCs w:val="22"/>
          <w:lang w:val="en-GB"/>
        </w:rPr>
        <w:t xml:space="preserve">karakteristikama za čitav Jadran, </w:t>
      </w:r>
      <w:r w:rsidR="00DC6473">
        <w:rPr>
          <w:rFonts w:cs="Calibri"/>
          <w:szCs w:val="22"/>
          <w:lang w:val="en-GB"/>
        </w:rPr>
        <w:t xml:space="preserve">dobro stanje morske sredine u odnosu na </w:t>
      </w:r>
      <w:r w:rsidRPr="00151BD7">
        <w:rPr>
          <w:rFonts w:cs="Calibri"/>
          <w:szCs w:val="22"/>
          <w:lang w:val="en-GB"/>
        </w:rPr>
        <w:t>prehrambene mreže procjenjuje se na subregionalnom (jadranskom) nivou. Odabrani ključni elementi prehrambene mreže</w:t>
      </w:r>
      <w:r w:rsidR="00DA5C9D">
        <w:rPr>
          <w:rFonts w:cs="Calibri"/>
          <w:szCs w:val="22"/>
          <w:lang w:val="en-GB"/>
        </w:rPr>
        <w:t xml:space="preserve"> su</w:t>
      </w:r>
      <w:r w:rsidRPr="00151BD7">
        <w:rPr>
          <w:rFonts w:cs="Calibri"/>
          <w:szCs w:val="22"/>
          <w:lang w:val="en-GB"/>
        </w:rPr>
        <w:t>: fitoplankton - primarni proizvođači, mezozooplankton - ključn</w:t>
      </w:r>
      <w:r w:rsidR="000B0AF9">
        <w:rPr>
          <w:rFonts w:cs="Calibri"/>
          <w:szCs w:val="22"/>
          <w:lang w:val="en-GB"/>
        </w:rPr>
        <w:t>a</w:t>
      </w:r>
      <w:r w:rsidRPr="00151BD7">
        <w:rPr>
          <w:rFonts w:cs="Calibri"/>
          <w:szCs w:val="22"/>
          <w:lang w:val="en-GB"/>
        </w:rPr>
        <w:t xml:space="preserve"> vez</w:t>
      </w:r>
      <w:r w:rsidR="000B0AF9">
        <w:rPr>
          <w:rFonts w:cs="Calibri"/>
          <w:szCs w:val="22"/>
          <w:lang w:val="en-GB"/>
        </w:rPr>
        <w:t>a</w:t>
      </w:r>
      <w:r w:rsidRPr="00151BD7">
        <w:rPr>
          <w:rFonts w:cs="Calibri"/>
          <w:szCs w:val="22"/>
          <w:lang w:val="en-GB"/>
        </w:rPr>
        <w:t xml:space="preserve"> između primarne proizvodnje i ribe, mal</w:t>
      </w:r>
      <w:r w:rsidR="000B0AF9">
        <w:rPr>
          <w:rFonts w:cs="Calibri"/>
          <w:szCs w:val="22"/>
          <w:lang w:val="en-GB"/>
        </w:rPr>
        <w:t>a</w:t>
      </w:r>
      <w:r w:rsidRPr="00151BD7">
        <w:rPr>
          <w:rFonts w:cs="Calibri"/>
          <w:szCs w:val="22"/>
          <w:lang w:val="en-GB"/>
        </w:rPr>
        <w:t xml:space="preserve"> pelagičn</w:t>
      </w:r>
      <w:r w:rsidR="006E070C">
        <w:rPr>
          <w:rFonts w:cs="Calibri"/>
          <w:szCs w:val="22"/>
          <w:lang w:val="en-GB"/>
        </w:rPr>
        <w:t>a</w:t>
      </w:r>
      <w:r w:rsidRPr="00151BD7">
        <w:rPr>
          <w:rFonts w:cs="Calibri"/>
          <w:szCs w:val="22"/>
          <w:lang w:val="en-GB"/>
        </w:rPr>
        <w:t xml:space="preserve"> rib</w:t>
      </w:r>
      <w:r w:rsidR="00DC6473">
        <w:rPr>
          <w:rFonts w:cs="Calibri"/>
          <w:szCs w:val="22"/>
          <w:lang w:val="en-GB"/>
        </w:rPr>
        <w:t>a</w:t>
      </w:r>
      <w:r w:rsidRPr="00151BD7">
        <w:rPr>
          <w:rFonts w:cs="Calibri"/>
          <w:szCs w:val="22"/>
          <w:lang w:val="en-GB"/>
        </w:rPr>
        <w:t xml:space="preserve"> (ciljn</w:t>
      </w:r>
      <w:r w:rsidR="00DA5C9D">
        <w:rPr>
          <w:rFonts w:cs="Calibri"/>
          <w:szCs w:val="22"/>
          <w:lang w:val="en-GB"/>
        </w:rPr>
        <w:t>a</w:t>
      </w:r>
      <w:r w:rsidRPr="00151BD7">
        <w:rPr>
          <w:rFonts w:cs="Calibri"/>
          <w:szCs w:val="22"/>
          <w:lang w:val="en-GB"/>
        </w:rPr>
        <w:t xml:space="preserve"> vrste: Sardina, </w:t>
      </w:r>
      <w:r w:rsidRPr="00151BD7">
        <w:rPr>
          <w:rFonts w:eastAsia="Calibri" w:cs="Calibri"/>
          <w:i/>
          <w:iCs/>
          <w:szCs w:val="22"/>
          <w:lang w:val="en-GB" w:eastAsia="en-US"/>
        </w:rPr>
        <w:t>Sardina pilchardus</w:t>
      </w:r>
      <w:r w:rsidRPr="00151BD7">
        <w:rPr>
          <w:rFonts w:eastAsia="Calibri" w:cs="Calibri"/>
          <w:iCs/>
          <w:szCs w:val="22"/>
          <w:lang w:val="en-GB" w:eastAsia="en-US"/>
        </w:rPr>
        <w:t xml:space="preserve">) </w:t>
      </w:r>
      <w:r w:rsidR="00DC6473">
        <w:rPr>
          <w:rFonts w:eastAsia="Calibri" w:cs="Calibri"/>
          <w:iCs/>
          <w:szCs w:val="22"/>
          <w:lang w:val="en-GB" w:eastAsia="en-US"/>
        </w:rPr>
        <w:t xml:space="preserve">kao planktivorni organizam </w:t>
      </w:r>
      <w:r w:rsidRPr="00151BD7">
        <w:rPr>
          <w:rFonts w:cs="Calibri"/>
          <w:szCs w:val="22"/>
          <w:lang w:val="en-GB"/>
        </w:rPr>
        <w:t xml:space="preserve">i </w:t>
      </w:r>
      <w:r w:rsidR="00DA5C9D">
        <w:rPr>
          <w:rFonts w:cs="Calibri"/>
          <w:szCs w:val="22"/>
          <w:lang w:val="en-GB"/>
        </w:rPr>
        <w:t>krajnji</w:t>
      </w:r>
      <w:r w:rsidRPr="00151BD7">
        <w:rPr>
          <w:rFonts w:cs="Calibri"/>
          <w:szCs w:val="22"/>
          <w:lang w:val="en-GB"/>
        </w:rPr>
        <w:t xml:space="preserve"> grabežljivac (ciljn</w:t>
      </w:r>
      <w:r w:rsidR="00CD7C15">
        <w:rPr>
          <w:rFonts w:cs="Calibri"/>
          <w:szCs w:val="22"/>
          <w:lang w:val="en-GB"/>
        </w:rPr>
        <w:t>a</w:t>
      </w:r>
      <w:r w:rsidRPr="00151BD7">
        <w:rPr>
          <w:rFonts w:cs="Calibri"/>
          <w:szCs w:val="22"/>
          <w:lang w:val="en-GB"/>
        </w:rPr>
        <w:t xml:space="preserve"> vrst</w:t>
      </w:r>
      <w:r w:rsidR="00DC6473">
        <w:rPr>
          <w:rFonts w:cs="Calibri"/>
          <w:szCs w:val="22"/>
          <w:lang w:val="en-GB"/>
        </w:rPr>
        <w:t>a</w:t>
      </w:r>
      <w:r w:rsidRPr="00151BD7">
        <w:rPr>
          <w:rFonts w:cs="Calibri"/>
          <w:szCs w:val="22"/>
          <w:lang w:val="en-GB"/>
        </w:rPr>
        <w:t>: tuna)</w:t>
      </w:r>
      <w:r w:rsidR="00DC6473">
        <w:rPr>
          <w:rFonts w:cs="Calibri"/>
          <w:szCs w:val="22"/>
          <w:lang w:val="en-GB"/>
        </w:rPr>
        <w:t xml:space="preserve">. </w:t>
      </w:r>
      <w:r w:rsidRPr="00151BD7">
        <w:rPr>
          <w:rFonts w:cs="Calibri"/>
          <w:szCs w:val="22"/>
          <w:lang w:val="en-GB"/>
        </w:rPr>
        <w:t xml:space="preserve"> </w:t>
      </w:r>
      <w:r w:rsidR="00A26241">
        <w:rPr>
          <w:rFonts w:cs="Calibri"/>
          <w:szCs w:val="22"/>
          <w:lang w:val="en-GB"/>
        </w:rPr>
        <w:t xml:space="preserve">Analizom indikatora </w:t>
      </w:r>
      <w:r w:rsidR="00622E22">
        <w:rPr>
          <w:rFonts w:cs="Calibri"/>
          <w:szCs w:val="22"/>
          <w:lang w:val="en-GB"/>
        </w:rPr>
        <w:t xml:space="preserve">i </w:t>
      </w:r>
      <w:r w:rsidR="00A26241">
        <w:rPr>
          <w:rFonts w:cs="Calibri"/>
          <w:szCs w:val="22"/>
          <w:lang w:val="en-GB"/>
        </w:rPr>
        <w:t xml:space="preserve">parametara svakog od </w:t>
      </w:r>
      <w:r w:rsidR="00622E22">
        <w:rPr>
          <w:rFonts w:cs="Calibri"/>
          <w:szCs w:val="22"/>
          <w:lang w:val="en-GB"/>
        </w:rPr>
        <w:t xml:space="preserve">ključnih elemenata prehrambene mreže </w:t>
      </w:r>
      <w:r w:rsidR="001E52CC">
        <w:rPr>
          <w:rFonts w:cs="Calibri"/>
          <w:szCs w:val="22"/>
          <w:lang w:val="en-GB"/>
        </w:rPr>
        <w:t xml:space="preserve">prema kriterijima iz Odluke komisije 2017/848 </w:t>
      </w:r>
      <w:r w:rsidR="00622E22">
        <w:rPr>
          <w:rFonts w:cs="Calibri"/>
          <w:szCs w:val="22"/>
          <w:lang w:val="en-GB"/>
        </w:rPr>
        <w:t xml:space="preserve">utvrđeno je </w:t>
      </w:r>
      <w:r w:rsidR="001E52CC">
        <w:rPr>
          <w:rFonts w:cs="Calibri"/>
          <w:szCs w:val="22"/>
          <w:lang w:val="en-GB"/>
        </w:rPr>
        <w:t xml:space="preserve">da </w:t>
      </w:r>
      <w:r w:rsidR="00622E22">
        <w:rPr>
          <w:rFonts w:cs="Calibri"/>
          <w:szCs w:val="22"/>
          <w:lang w:val="en-GB"/>
        </w:rPr>
        <w:t xml:space="preserve">antropogeni pritisci nisu u značajnijoj mjeri uticali na njihov status što osigurava </w:t>
      </w:r>
      <w:r w:rsidRPr="00151BD7">
        <w:rPr>
          <w:rFonts w:cs="Calibri"/>
          <w:szCs w:val="22"/>
          <w:lang w:val="en-GB"/>
        </w:rPr>
        <w:t>održivost prehrambene mreže</w:t>
      </w:r>
      <w:r w:rsidR="00151BD7" w:rsidRPr="00151BD7">
        <w:rPr>
          <w:rFonts w:cs="Calibri"/>
          <w:szCs w:val="22"/>
          <w:lang w:val="en-GB"/>
        </w:rPr>
        <w:t xml:space="preserve"> u morskom ekosistemu </w:t>
      </w:r>
      <w:r w:rsidR="001E52CC">
        <w:rPr>
          <w:rFonts w:cs="Calibri"/>
          <w:szCs w:val="22"/>
          <w:lang w:val="en-GB"/>
        </w:rPr>
        <w:t>Jadrana</w:t>
      </w:r>
      <w:r w:rsidRPr="00151BD7">
        <w:rPr>
          <w:rFonts w:cs="Calibri"/>
          <w:szCs w:val="22"/>
          <w:lang w:val="en-GB"/>
        </w:rPr>
        <w:t>.</w:t>
      </w:r>
    </w:p>
    <w:p w14:paraId="566BFEBD" w14:textId="7986D77B" w:rsidR="00151BD7" w:rsidRDefault="00151BD7" w:rsidP="00151BD7">
      <w:pPr>
        <w:spacing w:before="0" w:after="160"/>
        <w:rPr>
          <w:rFonts w:eastAsia="Calibri" w:cs="Calibri"/>
          <w:szCs w:val="22"/>
          <w:lang w:val="en-GB" w:eastAsia="en-US"/>
        </w:rPr>
      </w:pPr>
      <w:r>
        <w:rPr>
          <w:rFonts w:eastAsia="Calibri" w:cs="Calibri"/>
          <w:szCs w:val="22"/>
          <w:lang w:val="en-GB" w:eastAsia="en-US"/>
        </w:rPr>
        <w:t xml:space="preserve">Imajući u vidu </w:t>
      </w:r>
      <w:r w:rsidR="00276EE8">
        <w:rPr>
          <w:rFonts w:eastAsia="Calibri" w:cs="Calibri"/>
          <w:szCs w:val="22"/>
          <w:lang w:val="en-GB" w:eastAsia="en-US"/>
        </w:rPr>
        <w:t xml:space="preserve">gore </w:t>
      </w:r>
      <w:r>
        <w:rPr>
          <w:rFonts w:eastAsia="Calibri" w:cs="Calibri"/>
          <w:szCs w:val="22"/>
          <w:lang w:val="en-GB" w:eastAsia="en-US"/>
        </w:rPr>
        <w:t>navedeno</w:t>
      </w:r>
      <w:r w:rsidR="00276EE8">
        <w:rPr>
          <w:rFonts w:eastAsia="Calibri" w:cs="Calibri"/>
          <w:szCs w:val="22"/>
          <w:lang w:val="en-GB" w:eastAsia="en-US"/>
        </w:rPr>
        <w:t xml:space="preserve"> za sve deskriptore</w:t>
      </w:r>
      <w:r>
        <w:rPr>
          <w:rFonts w:eastAsia="Calibri" w:cs="Calibri"/>
          <w:szCs w:val="22"/>
          <w:lang w:val="en-GB" w:eastAsia="en-US"/>
        </w:rPr>
        <w:t xml:space="preserve">, </w:t>
      </w:r>
      <w:r w:rsidRPr="002A59A1">
        <w:rPr>
          <w:rFonts w:eastAsia="Calibri" w:cs="Calibri"/>
          <w:szCs w:val="22"/>
          <w:lang w:val="en-GB" w:eastAsia="en-US"/>
        </w:rPr>
        <w:t xml:space="preserve">treba napomenuti da je ključno sredstvo za postizanje ciljeva </w:t>
      </w:r>
      <w:r>
        <w:rPr>
          <w:rFonts w:eastAsia="Calibri" w:cs="Calibri"/>
          <w:szCs w:val="22"/>
          <w:lang w:val="en-GB" w:eastAsia="en-US"/>
        </w:rPr>
        <w:t>ODMS</w:t>
      </w:r>
      <w:r w:rsidRPr="002A59A1">
        <w:rPr>
          <w:rFonts w:eastAsia="Calibri" w:cs="Calibri"/>
          <w:szCs w:val="22"/>
          <w:lang w:val="en-GB" w:eastAsia="en-US"/>
        </w:rPr>
        <w:t xml:space="preserve">-a i Barselonske konvencije, odnosno postizanje GES-a i ciljeva koji vode </w:t>
      </w:r>
      <w:r>
        <w:rPr>
          <w:rFonts w:eastAsia="Calibri" w:cs="Calibri"/>
          <w:szCs w:val="22"/>
          <w:lang w:val="en-GB" w:eastAsia="en-US"/>
        </w:rPr>
        <w:t>ka napretku u postizanju</w:t>
      </w:r>
      <w:r w:rsidRPr="002A59A1">
        <w:rPr>
          <w:rFonts w:eastAsia="Calibri" w:cs="Calibri"/>
          <w:szCs w:val="22"/>
          <w:lang w:val="en-GB" w:eastAsia="en-US"/>
        </w:rPr>
        <w:t>/održavanju dobr</w:t>
      </w:r>
      <w:r>
        <w:rPr>
          <w:rFonts w:eastAsia="Calibri" w:cs="Calibri"/>
          <w:szCs w:val="22"/>
          <w:lang w:val="en-GB" w:eastAsia="en-US"/>
        </w:rPr>
        <w:t>og stanja J</w:t>
      </w:r>
      <w:r w:rsidRPr="002A59A1">
        <w:rPr>
          <w:rFonts w:eastAsia="Calibri" w:cs="Calibri"/>
          <w:szCs w:val="22"/>
          <w:lang w:val="en-GB" w:eastAsia="en-US"/>
        </w:rPr>
        <w:t>adranskog mora pod suverenitetom Crne Gore, razvoj i sprovođenje Programa m</w:t>
      </w:r>
      <w:r>
        <w:rPr>
          <w:rFonts w:eastAsia="Calibri" w:cs="Calibri"/>
          <w:szCs w:val="22"/>
          <w:lang w:val="en-GB" w:eastAsia="en-US"/>
        </w:rPr>
        <w:t>j</w:t>
      </w:r>
      <w:r w:rsidRPr="002A59A1">
        <w:rPr>
          <w:rFonts w:eastAsia="Calibri" w:cs="Calibri"/>
          <w:szCs w:val="22"/>
          <w:lang w:val="en-GB" w:eastAsia="en-US"/>
        </w:rPr>
        <w:t xml:space="preserve">era (član 13 </w:t>
      </w:r>
      <w:r>
        <w:rPr>
          <w:rFonts w:eastAsia="Calibri" w:cs="Calibri"/>
          <w:szCs w:val="22"/>
          <w:lang w:val="en-GB" w:eastAsia="en-US"/>
        </w:rPr>
        <w:t>ODMS</w:t>
      </w:r>
      <w:r w:rsidRPr="002A59A1">
        <w:rPr>
          <w:rFonts w:eastAsia="Calibri" w:cs="Calibri"/>
          <w:szCs w:val="22"/>
          <w:lang w:val="en-GB" w:eastAsia="en-US"/>
        </w:rPr>
        <w:t>) ko</w:t>
      </w:r>
      <w:r>
        <w:rPr>
          <w:rFonts w:eastAsia="Calibri" w:cs="Calibri"/>
          <w:szCs w:val="22"/>
          <w:lang w:val="en-GB" w:eastAsia="en-US"/>
        </w:rPr>
        <w:t xml:space="preserve">ji predstavlja sljedeći </w:t>
      </w:r>
      <w:r w:rsidRPr="002A59A1">
        <w:rPr>
          <w:rFonts w:eastAsia="Calibri" w:cs="Calibri"/>
          <w:szCs w:val="22"/>
          <w:lang w:val="en-GB" w:eastAsia="en-US"/>
        </w:rPr>
        <w:t xml:space="preserve">ključni korak u </w:t>
      </w:r>
      <w:r>
        <w:rPr>
          <w:rFonts w:eastAsia="Calibri" w:cs="Calibri"/>
          <w:szCs w:val="22"/>
          <w:lang w:val="en-GB" w:eastAsia="en-US"/>
        </w:rPr>
        <w:t>implementaciji ODMS</w:t>
      </w:r>
      <w:r w:rsidRPr="002A59A1">
        <w:rPr>
          <w:rFonts w:eastAsia="Calibri" w:cs="Calibri"/>
          <w:szCs w:val="22"/>
          <w:lang w:val="en-GB" w:eastAsia="en-US"/>
        </w:rPr>
        <w:t>. Takođe je važno istaći da je pravilna prim</w:t>
      </w:r>
      <w:r>
        <w:rPr>
          <w:rFonts w:eastAsia="Calibri" w:cs="Calibri"/>
          <w:szCs w:val="22"/>
          <w:lang w:val="en-GB" w:eastAsia="en-US"/>
        </w:rPr>
        <w:t>j</w:t>
      </w:r>
      <w:r w:rsidRPr="002A59A1">
        <w:rPr>
          <w:rFonts w:eastAsia="Calibri" w:cs="Calibri"/>
          <w:szCs w:val="22"/>
          <w:lang w:val="en-GB" w:eastAsia="en-US"/>
        </w:rPr>
        <w:t>ena m</w:t>
      </w:r>
      <w:r>
        <w:rPr>
          <w:rFonts w:eastAsia="Calibri" w:cs="Calibri"/>
          <w:szCs w:val="22"/>
          <w:lang w:val="en-GB" w:eastAsia="en-US"/>
        </w:rPr>
        <w:t>j</w:t>
      </w:r>
      <w:r w:rsidRPr="002A59A1">
        <w:rPr>
          <w:rFonts w:eastAsia="Calibri" w:cs="Calibri"/>
          <w:szCs w:val="22"/>
          <w:lang w:val="en-GB" w:eastAsia="en-US"/>
        </w:rPr>
        <w:t>era za zaštitu morsk</w:t>
      </w:r>
      <w:r>
        <w:rPr>
          <w:rFonts w:eastAsia="Calibri" w:cs="Calibri"/>
          <w:szCs w:val="22"/>
          <w:lang w:val="en-GB" w:eastAsia="en-US"/>
        </w:rPr>
        <w:t>e sredine</w:t>
      </w:r>
      <w:r w:rsidRPr="002A59A1">
        <w:rPr>
          <w:rFonts w:eastAsia="Calibri" w:cs="Calibri"/>
          <w:szCs w:val="22"/>
          <w:lang w:val="en-GB" w:eastAsia="en-US"/>
        </w:rPr>
        <w:t xml:space="preserve"> u cilju olakšavanja i osiguranja održivosti korišćenja morskih resursa u korist sadašnjih i budućih generacija moguća samo uz spro</w:t>
      </w:r>
      <w:r>
        <w:rPr>
          <w:rFonts w:eastAsia="Calibri" w:cs="Calibri"/>
          <w:szCs w:val="22"/>
          <w:lang w:val="en-GB" w:eastAsia="en-US"/>
        </w:rPr>
        <w:t xml:space="preserve">vođenje kontinuiranog programa </w:t>
      </w:r>
      <w:r w:rsidR="00E049CB">
        <w:rPr>
          <w:rFonts w:eastAsia="Calibri" w:cs="Calibri"/>
          <w:szCs w:val="22"/>
          <w:lang w:val="en-GB" w:eastAsia="en-US"/>
        </w:rPr>
        <w:t>praćenja</w:t>
      </w:r>
      <w:r>
        <w:rPr>
          <w:rFonts w:eastAsia="Calibri" w:cs="Calibri"/>
          <w:szCs w:val="22"/>
          <w:lang w:val="en-GB" w:eastAsia="en-US"/>
        </w:rPr>
        <w:t xml:space="preserve"> stanja morske sredine</w:t>
      </w:r>
      <w:r w:rsidRPr="002A59A1">
        <w:rPr>
          <w:rFonts w:eastAsia="Calibri" w:cs="Calibri"/>
          <w:szCs w:val="22"/>
          <w:lang w:val="en-GB" w:eastAsia="en-US"/>
        </w:rPr>
        <w:t xml:space="preserve"> u odnosu na relevantne deskriptore.</w:t>
      </w:r>
    </w:p>
    <w:p w14:paraId="2E463500" w14:textId="77777777" w:rsidR="00151BD7" w:rsidRPr="00741496" w:rsidRDefault="00151BD7" w:rsidP="00131076">
      <w:pPr>
        <w:spacing w:before="0" w:after="0"/>
        <w:rPr>
          <w:rFonts w:eastAsia="Calibri" w:cs="Calibri"/>
          <w:color w:val="0070C0"/>
          <w:szCs w:val="22"/>
          <w:lang w:val="en-GB" w:eastAsia="en-US"/>
        </w:rPr>
      </w:pPr>
    </w:p>
    <w:p w14:paraId="211CC2DA" w14:textId="6E16DAB8" w:rsidR="002D69E7" w:rsidRPr="00741496" w:rsidRDefault="00E56CD3" w:rsidP="00F65CFF">
      <w:pPr>
        <w:widowControl w:val="0"/>
        <w:spacing w:after="0"/>
        <w:rPr>
          <w:color w:val="0070C0"/>
          <w:sz w:val="20"/>
          <w:szCs w:val="20"/>
          <w:lang w:val="en-GB"/>
        </w:rPr>
      </w:pPr>
      <w:r w:rsidRPr="00741496">
        <w:rPr>
          <w:color w:val="0070C0"/>
          <w:sz w:val="20"/>
          <w:szCs w:val="20"/>
          <w:lang w:val="en-GB"/>
        </w:rPr>
        <w:br w:type="page"/>
      </w:r>
    </w:p>
    <w:p w14:paraId="5763E14A" w14:textId="02FAE876" w:rsidR="00264F4C" w:rsidRPr="001C6CCA" w:rsidRDefault="0050686E" w:rsidP="007A65F7">
      <w:pPr>
        <w:pStyle w:val="Heading1"/>
        <w:rPr>
          <w:rFonts w:eastAsiaTheme="minorHAnsi"/>
          <w:lang w:val="en-GB"/>
        </w:rPr>
      </w:pPr>
      <w:bookmarkStart w:id="17" w:name="_Toc83630891"/>
      <w:bookmarkStart w:id="18" w:name="_Toc360977497"/>
      <w:r>
        <w:rPr>
          <w:rFonts w:eastAsiaTheme="minorHAnsi"/>
          <w:lang w:val="en-GB"/>
        </w:rPr>
        <w:t>UVOD</w:t>
      </w:r>
      <w:bookmarkEnd w:id="17"/>
    </w:p>
    <w:p w14:paraId="2DC6C5B3" w14:textId="77777777" w:rsidR="00264F4C" w:rsidRPr="001C6CCA" w:rsidRDefault="00264F4C" w:rsidP="00F65CFF">
      <w:pPr>
        <w:spacing w:before="0" w:after="0" w:line="240" w:lineRule="auto"/>
        <w:rPr>
          <w:rFonts w:eastAsiaTheme="minorHAnsi" w:cs="Calibri"/>
          <w:szCs w:val="22"/>
          <w:lang w:val="en-GB" w:eastAsia="en-US"/>
        </w:rPr>
      </w:pPr>
    </w:p>
    <w:p w14:paraId="2B77C708" w14:textId="7CA11771" w:rsidR="003567E7" w:rsidRDefault="003567E7" w:rsidP="009F43FC">
      <w:pPr>
        <w:spacing w:before="0" w:after="160"/>
        <w:rPr>
          <w:rFonts w:eastAsiaTheme="minorHAnsi" w:cs="Calibri"/>
          <w:szCs w:val="22"/>
          <w:lang w:val="en-GB" w:eastAsia="en-US"/>
        </w:rPr>
      </w:pPr>
      <w:r w:rsidRPr="00FA2A2B">
        <w:rPr>
          <w:rFonts w:eastAsia="Calibri" w:cs="Calibri"/>
          <w:color w:val="000000"/>
          <w:szCs w:val="22"/>
          <w:lang w:val="sq-AL" w:eastAsia="en-US"/>
        </w:rPr>
        <w:t xml:space="preserve">Okvirna direktiva o morskoj strategiji 2008/56/EC </w:t>
      </w:r>
      <w:r>
        <w:rPr>
          <w:rFonts w:eastAsia="Calibri" w:cs="Calibri"/>
          <w:color w:val="000000"/>
          <w:szCs w:val="22"/>
          <w:lang w:val="sq-AL" w:eastAsia="en-US"/>
        </w:rPr>
        <w:t xml:space="preserve">(u daljem tekstu ODMS) </w:t>
      </w:r>
      <w:r w:rsidRPr="00FA2A2B">
        <w:rPr>
          <w:rFonts w:eastAsia="Calibri" w:cs="Calibri"/>
          <w:color w:val="000000"/>
          <w:szCs w:val="22"/>
          <w:lang w:val="sq-AL" w:eastAsia="en-US"/>
        </w:rPr>
        <w:t xml:space="preserve">uspostavlja okvira za djelovanje </w:t>
      </w:r>
      <w:r>
        <w:rPr>
          <w:rFonts w:eastAsia="Calibri" w:cs="Calibri"/>
          <w:color w:val="000000"/>
          <w:szCs w:val="22"/>
          <w:lang w:val="sq-AL" w:eastAsia="en-US"/>
        </w:rPr>
        <w:t>Z</w:t>
      </w:r>
      <w:r w:rsidRPr="00FA2A2B">
        <w:rPr>
          <w:rFonts w:eastAsia="Calibri" w:cs="Calibri"/>
          <w:color w:val="000000"/>
          <w:szCs w:val="22"/>
          <w:lang w:val="sq-AL" w:eastAsia="en-US"/>
        </w:rPr>
        <w:t>ajednice u oblasti politike morske sredine</w:t>
      </w:r>
      <w:r>
        <w:rPr>
          <w:rFonts w:eastAsia="Calibri" w:cs="Calibri"/>
          <w:color w:val="000000"/>
          <w:szCs w:val="22"/>
          <w:lang w:val="sq-AL" w:eastAsia="en-US"/>
        </w:rPr>
        <w:t xml:space="preserve">, u okviru koje Države članice </w:t>
      </w:r>
      <w:r w:rsidRPr="00CB249D">
        <w:rPr>
          <w:rFonts w:eastAsia="Calibri" w:cs="Calibri"/>
          <w:color w:val="000000"/>
          <w:szCs w:val="22"/>
          <w:lang w:val="sq-AL" w:eastAsia="en-US"/>
        </w:rPr>
        <w:t>moraju preduzeti neophodne m</w:t>
      </w:r>
      <w:r>
        <w:rPr>
          <w:rFonts w:eastAsia="Calibri" w:cs="Calibri"/>
          <w:color w:val="000000"/>
          <w:szCs w:val="22"/>
          <w:lang w:val="sq-AL" w:eastAsia="en-US"/>
        </w:rPr>
        <w:t>j</w:t>
      </w:r>
      <w:r w:rsidRPr="00CB249D">
        <w:rPr>
          <w:rFonts w:eastAsia="Calibri" w:cs="Calibri"/>
          <w:color w:val="000000"/>
          <w:szCs w:val="22"/>
          <w:lang w:val="sq-AL" w:eastAsia="en-US"/>
        </w:rPr>
        <w:t xml:space="preserve">ere za postizanje ili održavanje dobrog stanja </w:t>
      </w:r>
      <w:r w:rsidR="00E049CB">
        <w:rPr>
          <w:rFonts w:eastAsia="Calibri" w:cs="Calibri"/>
          <w:color w:val="000000"/>
          <w:szCs w:val="22"/>
          <w:lang w:val="sq-AL" w:eastAsia="en-US"/>
        </w:rPr>
        <w:t>m</w:t>
      </w:r>
      <w:r w:rsidRPr="00CB249D">
        <w:rPr>
          <w:rFonts w:eastAsia="Calibri" w:cs="Calibri"/>
          <w:color w:val="000000"/>
          <w:szCs w:val="22"/>
          <w:lang w:val="sq-AL" w:eastAsia="en-US"/>
        </w:rPr>
        <w:t>orsk</w:t>
      </w:r>
      <w:r w:rsidR="00E049CB">
        <w:rPr>
          <w:rFonts w:eastAsia="Calibri" w:cs="Calibri"/>
          <w:color w:val="000000"/>
          <w:szCs w:val="22"/>
          <w:lang w:val="sq-AL" w:eastAsia="en-US"/>
        </w:rPr>
        <w:t>e</w:t>
      </w:r>
      <w:r>
        <w:rPr>
          <w:rFonts w:eastAsia="Calibri" w:cs="Calibri"/>
          <w:color w:val="000000"/>
          <w:szCs w:val="22"/>
          <w:lang w:val="sq-AL" w:eastAsia="en-US"/>
        </w:rPr>
        <w:t xml:space="preserve"> sredin</w:t>
      </w:r>
      <w:r w:rsidR="00E049CB">
        <w:rPr>
          <w:rFonts w:eastAsia="Calibri" w:cs="Calibri"/>
          <w:color w:val="000000"/>
          <w:szCs w:val="22"/>
          <w:lang w:val="sq-AL" w:eastAsia="en-US"/>
        </w:rPr>
        <w:t>e</w:t>
      </w:r>
      <w:r w:rsidRPr="00CB249D">
        <w:rPr>
          <w:rFonts w:eastAsia="Calibri" w:cs="Calibri"/>
          <w:color w:val="000000"/>
          <w:szCs w:val="22"/>
          <w:lang w:val="sq-AL" w:eastAsia="en-US"/>
        </w:rPr>
        <w:t xml:space="preserve"> najkasnije do 2020. </w:t>
      </w:r>
      <w:r>
        <w:rPr>
          <w:rFonts w:eastAsia="Calibri" w:cs="Calibri"/>
          <w:color w:val="000000"/>
          <w:szCs w:val="22"/>
          <w:lang w:val="sq-AL" w:eastAsia="en-US"/>
        </w:rPr>
        <w:t>g</w:t>
      </w:r>
      <w:r w:rsidRPr="00CB249D">
        <w:rPr>
          <w:rFonts w:eastAsia="Calibri" w:cs="Calibri"/>
          <w:color w:val="000000"/>
          <w:szCs w:val="22"/>
          <w:lang w:val="sq-AL" w:eastAsia="en-US"/>
        </w:rPr>
        <w:t>odine</w:t>
      </w:r>
      <w:r>
        <w:rPr>
          <w:rFonts w:eastAsia="Calibri" w:cs="Calibri"/>
          <w:color w:val="000000"/>
          <w:szCs w:val="22"/>
          <w:lang w:val="sq-AL" w:eastAsia="en-US"/>
        </w:rPr>
        <w:t>.</w:t>
      </w:r>
      <w:r w:rsidR="00264F4C" w:rsidRPr="001C6CCA">
        <w:rPr>
          <w:rFonts w:eastAsiaTheme="minorHAnsi" w:cs="Calibri"/>
          <w:szCs w:val="22"/>
          <w:lang w:val="en-GB" w:eastAsia="en-US"/>
        </w:rPr>
        <w:t xml:space="preserve"> </w:t>
      </w:r>
      <w:r w:rsidRPr="00FA2A2B">
        <w:rPr>
          <w:rFonts w:eastAsia="Calibri" w:cs="Calibri"/>
          <w:color w:val="000000"/>
          <w:szCs w:val="22"/>
          <w:lang w:val="sq-AL" w:eastAsia="en-US"/>
        </w:rPr>
        <w:t>Okvirna direktiva o morskoj strategiji</w:t>
      </w:r>
      <w:r>
        <w:rPr>
          <w:rFonts w:eastAsia="Calibri" w:cs="Calibri"/>
          <w:color w:val="000000"/>
          <w:szCs w:val="22"/>
          <w:lang w:val="sq-AL" w:eastAsia="en-US"/>
        </w:rPr>
        <w:t xml:space="preserve"> </w:t>
      </w:r>
      <w:r w:rsidRPr="003567E7">
        <w:rPr>
          <w:rFonts w:eastAsiaTheme="minorHAnsi" w:cs="Calibri"/>
          <w:szCs w:val="22"/>
          <w:lang w:val="en-GB" w:eastAsia="en-US"/>
        </w:rPr>
        <w:t xml:space="preserve">je zakonodavni okvir koji povezuje različite politike i podstiče integraciju pitanja zaštite životne sredine u druge politike (ribarstvo, poljoprivreda, turizam, brodarstvo itd.), </w:t>
      </w:r>
      <w:r>
        <w:rPr>
          <w:rFonts w:eastAsiaTheme="minorHAnsi" w:cs="Calibri"/>
          <w:szCs w:val="22"/>
          <w:lang w:val="en-GB" w:eastAsia="en-US"/>
        </w:rPr>
        <w:t>i</w:t>
      </w:r>
      <w:r w:rsidRPr="003567E7">
        <w:rPr>
          <w:rFonts w:eastAsiaTheme="minorHAnsi" w:cs="Calibri"/>
          <w:szCs w:val="22"/>
          <w:lang w:val="en-GB" w:eastAsia="en-US"/>
        </w:rPr>
        <w:t xml:space="preserve"> pruža ukupan okvir za koordinisane akcije, odnosno omogućava integraciju postojećih ak</w:t>
      </w:r>
      <w:r>
        <w:rPr>
          <w:rFonts w:eastAsiaTheme="minorHAnsi" w:cs="Calibri"/>
          <w:szCs w:val="22"/>
          <w:lang w:val="en-GB" w:eastAsia="en-US"/>
        </w:rPr>
        <w:t>tivnosti</w:t>
      </w:r>
      <w:r w:rsidRPr="003567E7">
        <w:rPr>
          <w:rFonts w:eastAsiaTheme="minorHAnsi" w:cs="Calibri"/>
          <w:szCs w:val="22"/>
          <w:lang w:val="en-GB" w:eastAsia="en-US"/>
        </w:rPr>
        <w:t xml:space="preserve"> sa onima iz drugog zakonodavstva i međunarodnih sporazuma, primenjujući „Upravljanje zasnovano na ekosistemima“ kao strateški pristup integrisanom upravljanju morsk</w:t>
      </w:r>
      <w:r>
        <w:rPr>
          <w:rFonts w:eastAsiaTheme="minorHAnsi" w:cs="Calibri"/>
          <w:szCs w:val="22"/>
          <w:lang w:val="en-GB" w:eastAsia="en-US"/>
        </w:rPr>
        <w:t>om sredinom</w:t>
      </w:r>
      <w:r w:rsidRPr="003567E7">
        <w:rPr>
          <w:rFonts w:eastAsiaTheme="minorHAnsi" w:cs="Calibri"/>
          <w:szCs w:val="22"/>
          <w:lang w:val="en-GB" w:eastAsia="en-US"/>
        </w:rPr>
        <w:t xml:space="preserve"> na uravnotežen način koji promoviše očuvanje i upotrebu prirodnih resursa. U tom smislu </w:t>
      </w:r>
      <w:r>
        <w:rPr>
          <w:rFonts w:eastAsiaTheme="minorHAnsi" w:cs="Calibri"/>
          <w:szCs w:val="22"/>
          <w:lang w:val="en-GB" w:eastAsia="en-US"/>
        </w:rPr>
        <w:t>ODMS</w:t>
      </w:r>
      <w:r w:rsidRPr="003567E7">
        <w:rPr>
          <w:rFonts w:eastAsiaTheme="minorHAnsi" w:cs="Calibri"/>
          <w:szCs w:val="22"/>
          <w:lang w:val="en-GB" w:eastAsia="en-US"/>
        </w:rPr>
        <w:t xml:space="preserve"> uzima u obzir postojeće propise i politike EZ koji se odnose na morsk</w:t>
      </w:r>
      <w:r>
        <w:rPr>
          <w:rFonts w:eastAsiaTheme="minorHAnsi" w:cs="Calibri"/>
          <w:szCs w:val="22"/>
          <w:lang w:val="en-GB" w:eastAsia="en-US"/>
        </w:rPr>
        <w:t>u sredinu</w:t>
      </w:r>
      <w:r w:rsidRPr="003567E7">
        <w:rPr>
          <w:rFonts w:eastAsiaTheme="minorHAnsi" w:cs="Calibri"/>
          <w:szCs w:val="22"/>
          <w:lang w:val="en-GB" w:eastAsia="en-US"/>
        </w:rPr>
        <w:t>, kao što su Okvirna direktiva o vodama 2000/60/EC, Direktiva o staništima 92/43/EEC, Direktiva o pticama 79/409/EEC, Zajednička ribar</w:t>
      </w:r>
      <w:r>
        <w:rPr>
          <w:rFonts w:eastAsiaTheme="minorHAnsi" w:cs="Calibri"/>
          <w:szCs w:val="22"/>
          <w:lang w:val="en-GB" w:eastAsia="en-US"/>
        </w:rPr>
        <w:t>ska</w:t>
      </w:r>
      <w:r w:rsidRPr="003567E7">
        <w:rPr>
          <w:rFonts w:eastAsiaTheme="minorHAnsi" w:cs="Calibri"/>
          <w:szCs w:val="22"/>
          <w:lang w:val="en-GB" w:eastAsia="en-US"/>
        </w:rPr>
        <w:t xml:space="preserve"> politika i drugi relevantni međunarodni propisi.</w:t>
      </w:r>
    </w:p>
    <w:p w14:paraId="6E29B8E5" w14:textId="640C53A1" w:rsidR="00CB249D" w:rsidRDefault="003567E7" w:rsidP="009F43FC">
      <w:pPr>
        <w:spacing w:before="0" w:after="160"/>
        <w:rPr>
          <w:rFonts w:eastAsiaTheme="minorHAnsi" w:cs="Calibri"/>
          <w:szCs w:val="22"/>
          <w:lang w:val="en-GB" w:eastAsia="en-US"/>
        </w:rPr>
      </w:pPr>
      <w:r w:rsidRPr="00FA2A2B">
        <w:rPr>
          <w:rFonts w:eastAsia="Calibri" w:cs="Calibri"/>
          <w:color w:val="000000"/>
          <w:szCs w:val="22"/>
          <w:lang w:val="sq-AL" w:eastAsia="en-US"/>
        </w:rPr>
        <w:t>Okvirna direktiva o morskoj strategiji</w:t>
      </w:r>
      <w:r w:rsidRPr="003567E7">
        <w:rPr>
          <w:rFonts w:eastAsiaTheme="minorHAnsi" w:cs="Calibri"/>
          <w:szCs w:val="22"/>
          <w:lang w:val="en-GB" w:eastAsia="en-US"/>
        </w:rPr>
        <w:t xml:space="preserve"> zaht</w:t>
      </w:r>
      <w:r>
        <w:rPr>
          <w:rFonts w:eastAsiaTheme="minorHAnsi" w:cs="Calibri"/>
          <w:szCs w:val="22"/>
          <w:lang w:val="en-GB" w:eastAsia="en-US"/>
        </w:rPr>
        <w:t>ij</w:t>
      </w:r>
      <w:r w:rsidRPr="003567E7">
        <w:rPr>
          <w:rFonts w:eastAsiaTheme="minorHAnsi" w:cs="Calibri"/>
          <w:szCs w:val="22"/>
          <w:lang w:val="en-GB" w:eastAsia="en-US"/>
        </w:rPr>
        <w:t xml:space="preserve">eva od svake države članice da razvije morsku strategiju za svoje morske vode, koja će takođe biti specifična u pogledu </w:t>
      </w:r>
      <w:r w:rsidR="00CD7C15">
        <w:rPr>
          <w:rFonts w:eastAsiaTheme="minorHAnsi" w:cs="Calibri"/>
          <w:szCs w:val="22"/>
          <w:lang w:val="en-GB" w:eastAsia="en-US"/>
        </w:rPr>
        <w:t>uvažavanja</w:t>
      </w:r>
      <w:r w:rsidRPr="003567E7">
        <w:rPr>
          <w:rFonts w:eastAsiaTheme="minorHAnsi" w:cs="Calibri"/>
          <w:szCs w:val="22"/>
          <w:lang w:val="en-GB" w:eastAsia="en-US"/>
        </w:rPr>
        <w:t xml:space="preserve"> posebnosti odgovarajućih voda i koja takođe odražava ukupnu perspektivu morskog regiona ili podre</w:t>
      </w:r>
      <w:r>
        <w:rPr>
          <w:rFonts w:eastAsiaTheme="minorHAnsi" w:cs="Calibri"/>
          <w:szCs w:val="22"/>
          <w:lang w:val="en-GB" w:eastAsia="en-US"/>
        </w:rPr>
        <w:t>giona</w:t>
      </w:r>
      <w:r w:rsidRPr="003567E7">
        <w:rPr>
          <w:rFonts w:eastAsiaTheme="minorHAnsi" w:cs="Calibri"/>
          <w:szCs w:val="22"/>
          <w:lang w:val="en-GB" w:eastAsia="en-US"/>
        </w:rPr>
        <w:t xml:space="preserve">. Regionalni i </w:t>
      </w:r>
      <w:r>
        <w:rPr>
          <w:rFonts w:eastAsiaTheme="minorHAnsi" w:cs="Calibri"/>
          <w:szCs w:val="22"/>
          <w:lang w:val="en-GB" w:eastAsia="en-US"/>
        </w:rPr>
        <w:t>podregionalni</w:t>
      </w:r>
      <w:r w:rsidRPr="003567E7">
        <w:rPr>
          <w:rFonts w:eastAsiaTheme="minorHAnsi" w:cs="Calibri"/>
          <w:szCs w:val="22"/>
          <w:lang w:val="en-GB" w:eastAsia="en-US"/>
        </w:rPr>
        <w:t xml:space="preserve"> pristup izradi i prim</w:t>
      </w:r>
      <w:r>
        <w:rPr>
          <w:rFonts w:eastAsiaTheme="minorHAnsi" w:cs="Calibri"/>
          <w:szCs w:val="22"/>
          <w:lang w:val="en-GB" w:eastAsia="en-US"/>
        </w:rPr>
        <w:t>j</w:t>
      </w:r>
      <w:r w:rsidRPr="003567E7">
        <w:rPr>
          <w:rFonts w:eastAsiaTheme="minorHAnsi" w:cs="Calibri"/>
          <w:szCs w:val="22"/>
          <w:lang w:val="en-GB" w:eastAsia="en-US"/>
        </w:rPr>
        <w:t>eni morskih strategija podrazum</w:t>
      </w:r>
      <w:r>
        <w:rPr>
          <w:rFonts w:eastAsiaTheme="minorHAnsi" w:cs="Calibri"/>
          <w:szCs w:val="22"/>
          <w:lang w:val="en-GB" w:eastAsia="en-US"/>
        </w:rPr>
        <w:t>ij</w:t>
      </w:r>
      <w:r w:rsidRPr="003567E7">
        <w:rPr>
          <w:rFonts w:eastAsiaTheme="minorHAnsi" w:cs="Calibri"/>
          <w:szCs w:val="22"/>
          <w:lang w:val="en-GB" w:eastAsia="en-US"/>
        </w:rPr>
        <w:t xml:space="preserve">eva da </w:t>
      </w:r>
      <w:r>
        <w:rPr>
          <w:rFonts w:eastAsiaTheme="minorHAnsi" w:cs="Calibri"/>
          <w:szCs w:val="22"/>
          <w:lang w:val="en-GB" w:eastAsia="en-US"/>
        </w:rPr>
        <w:t xml:space="preserve">zemlje </w:t>
      </w:r>
      <w:r w:rsidRPr="003567E7">
        <w:rPr>
          <w:rFonts w:eastAsiaTheme="minorHAnsi" w:cs="Calibri"/>
          <w:szCs w:val="22"/>
          <w:lang w:val="en-GB" w:eastAsia="en-US"/>
        </w:rPr>
        <w:t>treba da koordiniraju izradu i prim</w:t>
      </w:r>
      <w:r>
        <w:rPr>
          <w:rFonts w:eastAsiaTheme="minorHAnsi" w:cs="Calibri"/>
          <w:szCs w:val="22"/>
          <w:lang w:val="en-GB" w:eastAsia="en-US"/>
        </w:rPr>
        <w:t>j</w:t>
      </w:r>
      <w:r w:rsidRPr="003567E7">
        <w:rPr>
          <w:rFonts w:eastAsiaTheme="minorHAnsi" w:cs="Calibri"/>
          <w:szCs w:val="22"/>
          <w:lang w:val="en-GB" w:eastAsia="en-US"/>
        </w:rPr>
        <w:t>enu svojih morskih strategija kako bi postigle standardizaciju, koherentnost i dosl</w:t>
      </w:r>
      <w:r>
        <w:rPr>
          <w:rFonts w:eastAsiaTheme="minorHAnsi" w:cs="Calibri"/>
          <w:szCs w:val="22"/>
          <w:lang w:val="en-GB" w:eastAsia="en-US"/>
        </w:rPr>
        <w:t>j</w:t>
      </w:r>
      <w:r w:rsidRPr="003567E7">
        <w:rPr>
          <w:rFonts w:eastAsiaTheme="minorHAnsi" w:cs="Calibri"/>
          <w:szCs w:val="22"/>
          <w:lang w:val="en-GB" w:eastAsia="en-US"/>
        </w:rPr>
        <w:t>ednost u sprovođenju proc</w:t>
      </w:r>
      <w:r>
        <w:rPr>
          <w:rFonts w:eastAsiaTheme="minorHAnsi" w:cs="Calibri"/>
          <w:szCs w:val="22"/>
          <w:lang w:val="en-GB" w:eastAsia="en-US"/>
        </w:rPr>
        <w:t>j</w:t>
      </w:r>
      <w:r w:rsidRPr="003567E7">
        <w:rPr>
          <w:rFonts w:eastAsiaTheme="minorHAnsi" w:cs="Calibri"/>
          <w:szCs w:val="22"/>
          <w:lang w:val="en-GB" w:eastAsia="en-US"/>
        </w:rPr>
        <w:t xml:space="preserve">ena, </w:t>
      </w:r>
      <w:r>
        <w:rPr>
          <w:rFonts w:eastAsiaTheme="minorHAnsi" w:cs="Calibri"/>
          <w:szCs w:val="22"/>
          <w:lang w:val="en-GB" w:eastAsia="en-US"/>
        </w:rPr>
        <w:t>monitoringa</w:t>
      </w:r>
      <w:r w:rsidRPr="003567E7">
        <w:rPr>
          <w:rFonts w:eastAsiaTheme="minorHAnsi" w:cs="Calibri"/>
          <w:szCs w:val="22"/>
          <w:lang w:val="en-GB" w:eastAsia="en-US"/>
        </w:rPr>
        <w:t xml:space="preserve"> i d</w:t>
      </w:r>
      <w:r>
        <w:rPr>
          <w:rFonts w:eastAsiaTheme="minorHAnsi" w:cs="Calibri"/>
          <w:szCs w:val="22"/>
          <w:lang w:val="en-GB" w:eastAsia="en-US"/>
        </w:rPr>
        <w:t>j</w:t>
      </w:r>
      <w:r w:rsidRPr="003567E7">
        <w:rPr>
          <w:rFonts w:eastAsiaTheme="minorHAnsi" w:cs="Calibri"/>
          <w:szCs w:val="22"/>
          <w:lang w:val="en-GB" w:eastAsia="en-US"/>
        </w:rPr>
        <w:t>elovanja na različitim nivoima i omogućile upoređivanje u kojoj m</w:t>
      </w:r>
      <w:r>
        <w:rPr>
          <w:rFonts w:eastAsiaTheme="minorHAnsi" w:cs="Calibri"/>
          <w:szCs w:val="22"/>
          <w:lang w:val="en-GB" w:eastAsia="en-US"/>
        </w:rPr>
        <w:t>j</w:t>
      </w:r>
      <w:r w:rsidRPr="003567E7">
        <w:rPr>
          <w:rFonts w:eastAsiaTheme="minorHAnsi" w:cs="Calibri"/>
          <w:szCs w:val="22"/>
          <w:lang w:val="en-GB" w:eastAsia="en-US"/>
        </w:rPr>
        <w:t xml:space="preserve">eri je </w:t>
      </w:r>
      <w:r w:rsidR="00126742">
        <w:rPr>
          <w:rFonts w:eastAsiaTheme="minorHAnsi" w:cs="Calibri"/>
          <w:szCs w:val="22"/>
          <w:lang w:val="en-GB" w:eastAsia="en-US"/>
        </w:rPr>
        <w:t xml:space="preserve">postignuto dobro stanje </w:t>
      </w:r>
      <w:r w:rsidR="00CD7C15">
        <w:rPr>
          <w:rFonts w:eastAsiaTheme="minorHAnsi" w:cs="Calibri"/>
          <w:szCs w:val="22"/>
          <w:lang w:val="en-GB" w:eastAsia="en-US"/>
        </w:rPr>
        <w:t>morske</w:t>
      </w:r>
      <w:r w:rsidR="00126742">
        <w:rPr>
          <w:rFonts w:eastAsiaTheme="minorHAnsi" w:cs="Calibri"/>
          <w:szCs w:val="22"/>
          <w:lang w:val="en-GB" w:eastAsia="en-US"/>
        </w:rPr>
        <w:t xml:space="preserve"> sredine</w:t>
      </w:r>
      <w:r w:rsidRPr="003567E7">
        <w:rPr>
          <w:rFonts w:eastAsiaTheme="minorHAnsi" w:cs="Calibri"/>
          <w:szCs w:val="22"/>
          <w:lang w:val="en-GB" w:eastAsia="en-US"/>
        </w:rPr>
        <w:t xml:space="preserve"> (u daljem tekstu GES).</w:t>
      </w:r>
    </w:p>
    <w:p w14:paraId="66EC029F" w14:textId="48EC8BC2" w:rsidR="00E52AB8" w:rsidRPr="00E52AB8" w:rsidRDefault="00E52AB8" w:rsidP="00E52AB8">
      <w:pPr>
        <w:spacing w:before="0" w:after="120"/>
        <w:contextualSpacing/>
        <w:jc w:val="left"/>
        <w:rPr>
          <w:rFonts w:eastAsiaTheme="minorHAnsi" w:cs="Calibri"/>
          <w:szCs w:val="22"/>
          <w:lang w:val="en-GB" w:eastAsia="en-US"/>
        </w:rPr>
      </w:pPr>
      <w:r w:rsidRPr="00E52AB8">
        <w:rPr>
          <w:rFonts w:eastAsiaTheme="minorHAnsi" w:cs="Calibri"/>
          <w:szCs w:val="22"/>
          <w:lang w:val="en-GB" w:eastAsia="en-US"/>
        </w:rPr>
        <w:t>U okviru definicije GES karakteristika mogu se identifikovati četiri cilja:</w:t>
      </w:r>
    </w:p>
    <w:p w14:paraId="072D7FC5" w14:textId="3C600776" w:rsidR="00E52AB8" w:rsidRPr="00E52AB8" w:rsidRDefault="006075FE" w:rsidP="00C52E6F">
      <w:pPr>
        <w:numPr>
          <w:ilvl w:val="0"/>
          <w:numId w:val="48"/>
        </w:numPr>
        <w:spacing w:before="0" w:after="120"/>
        <w:contextualSpacing/>
        <w:rPr>
          <w:rFonts w:eastAsiaTheme="minorHAnsi" w:cs="Calibri"/>
          <w:szCs w:val="22"/>
          <w:lang w:val="en-GB" w:eastAsia="en-US"/>
        </w:rPr>
      </w:pPr>
      <w:r>
        <w:rPr>
          <w:rFonts w:eastAsiaTheme="minorHAnsi" w:cs="Calibri"/>
          <w:szCs w:val="22"/>
          <w:lang w:val="en-GB" w:eastAsia="en-US"/>
        </w:rPr>
        <w:t>d</w:t>
      </w:r>
      <w:r w:rsidR="00E52AB8">
        <w:rPr>
          <w:rFonts w:eastAsiaTheme="minorHAnsi" w:cs="Calibri"/>
          <w:szCs w:val="22"/>
          <w:lang w:val="en-GB" w:eastAsia="en-US"/>
        </w:rPr>
        <w:t xml:space="preserve">a se zaštiti, </w:t>
      </w:r>
      <w:r w:rsidR="00E52AB8" w:rsidRPr="00E52AB8">
        <w:rPr>
          <w:rFonts w:eastAsiaTheme="minorHAnsi" w:cs="Calibri"/>
          <w:szCs w:val="22"/>
          <w:lang w:val="en-GB" w:eastAsia="en-US"/>
        </w:rPr>
        <w:t>omogući oporavak (tamo gd</w:t>
      </w:r>
      <w:r w:rsidR="00E52AB8">
        <w:rPr>
          <w:rFonts w:eastAsiaTheme="minorHAnsi" w:cs="Calibri"/>
          <w:szCs w:val="22"/>
          <w:lang w:val="en-GB" w:eastAsia="en-US"/>
        </w:rPr>
        <w:t>j</w:t>
      </w:r>
      <w:r w:rsidR="00E52AB8" w:rsidRPr="00E52AB8">
        <w:rPr>
          <w:rFonts w:eastAsiaTheme="minorHAnsi" w:cs="Calibri"/>
          <w:szCs w:val="22"/>
          <w:lang w:val="en-GB" w:eastAsia="en-US"/>
        </w:rPr>
        <w:t>e je to potrebno), struktur</w:t>
      </w:r>
      <w:r w:rsidR="00E52AB8">
        <w:rPr>
          <w:rFonts w:eastAsiaTheme="minorHAnsi" w:cs="Calibri"/>
          <w:szCs w:val="22"/>
          <w:lang w:val="en-GB" w:eastAsia="en-US"/>
        </w:rPr>
        <w:t>a i funkcija</w:t>
      </w:r>
      <w:r w:rsidR="00E52AB8" w:rsidRPr="00E52AB8">
        <w:rPr>
          <w:rFonts w:eastAsiaTheme="minorHAnsi" w:cs="Calibri"/>
          <w:szCs w:val="22"/>
          <w:lang w:val="en-GB" w:eastAsia="en-US"/>
        </w:rPr>
        <w:t xml:space="preserve"> bio</w:t>
      </w:r>
      <w:r w:rsidR="00E52AB8">
        <w:rPr>
          <w:rFonts w:eastAsiaTheme="minorHAnsi" w:cs="Calibri"/>
          <w:szCs w:val="22"/>
          <w:lang w:val="en-GB" w:eastAsia="en-US"/>
        </w:rPr>
        <w:t>diverziteta</w:t>
      </w:r>
      <w:r w:rsidR="00E52AB8" w:rsidRPr="00E52AB8">
        <w:rPr>
          <w:rFonts w:eastAsiaTheme="minorHAnsi" w:cs="Calibri"/>
          <w:szCs w:val="22"/>
          <w:lang w:val="en-GB" w:eastAsia="en-US"/>
        </w:rPr>
        <w:t xml:space="preserve"> i ekosistema u c</w:t>
      </w:r>
      <w:r w:rsidR="00E52AB8">
        <w:rPr>
          <w:rFonts w:eastAsiaTheme="minorHAnsi" w:cs="Calibri"/>
          <w:szCs w:val="22"/>
          <w:lang w:val="en-GB" w:eastAsia="en-US"/>
        </w:rPr>
        <w:t>j</w:t>
      </w:r>
      <w:r w:rsidR="00E52AB8" w:rsidRPr="00E52AB8">
        <w:rPr>
          <w:rFonts w:eastAsiaTheme="minorHAnsi" w:cs="Calibri"/>
          <w:szCs w:val="22"/>
          <w:lang w:val="en-GB" w:eastAsia="en-US"/>
        </w:rPr>
        <w:t>elini kako bi se postigao i održavao GES;</w:t>
      </w:r>
    </w:p>
    <w:p w14:paraId="778B56DE" w14:textId="0441C9F2" w:rsidR="00E52AB8" w:rsidRPr="00E52AB8" w:rsidRDefault="006075FE" w:rsidP="00C52E6F">
      <w:pPr>
        <w:numPr>
          <w:ilvl w:val="0"/>
          <w:numId w:val="48"/>
        </w:numPr>
        <w:spacing w:before="0" w:after="120"/>
        <w:contextualSpacing/>
        <w:rPr>
          <w:rFonts w:eastAsiaTheme="minorHAnsi" w:cs="Calibri"/>
          <w:szCs w:val="22"/>
          <w:lang w:val="en-GB" w:eastAsia="en-US"/>
        </w:rPr>
      </w:pPr>
      <w:r>
        <w:rPr>
          <w:rFonts w:eastAsiaTheme="minorHAnsi" w:cs="Calibri"/>
          <w:szCs w:val="22"/>
          <w:lang w:val="en-GB" w:eastAsia="en-US"/>
        </w:rPr>
        <w:t>d</w:t>
      </w:r>
      <w:r w:rsidR="00E52AB8">
        <w:rPr>
          <w:rFonts w:eastAsiaTheme="minorHAnsi" w:cs="Calibri"/>
          <w:szCs w:val="22"/>
          <w:lang w:val="en-GB" w:eastAsia="en-US"/>
        </w:rPr>
        <w:t>a se uoči</w:t>
      </w:r>
      <w:r w:rsidR="00E52AB8" w:rsidRPr="00E52AB8">
        <w:rPr>
          <w:rFonts w:eastAsiaTheme="minorHAnsi" w:cs="Calibri"/>
          <w:szCs w:val="22"/>
          <w:lang w:val="en-GB" w:eastAsia="en-US"/>
        </w:rPr>
        <w:t xml:space="preserve"> zagađenje morsk</w:t>
      </w:r>
      <w:r w:rsidR="00E52AB8">
        <w:rPr>
          <w:rFonts w:eastAsiaTheme="minorHAnsi" w:cs="Calibri"/>
          <w:szCs w:val="22"/>
          <w:lang w:val="en-GB" w:eastAsia="en-US"/>
        </w:rPr>
        <w:t>e sredine</w:t>
      </w:r>
      <w:r w:rsidR="00E52AB8" w:rsidRPr="00E52AB8">
        <w:rPr>
          <w:rFonts w:eastAsiaTheme="minorHAnsi" w:cs="Calibri"/>
          <w:szCs w:val="22"/>
          <w:lang w:val="en-GB" w:eastAsia="en-US"/>
        </w:rPr>
        <w:t xml:space="preserve"> kako bi se proc</w:t>
      </w:r>
      <w:r w:rsidR="00E52AB8">
        <w:rPr>
          <w:rFonts w:eastAsiaTheme="minorHAnsi" w:cs="Calibri"/>
          <w:szCs w:val="22"/>
          <w:lang w:val="en-GB" w:eastAsia="en-US"/>
        </w:rPr>
        <w:t>ij</w:t>
      </w:r>
      <w:r w:rsidR="00E52AB8" w:rsidRPr="00E52AB8">
        <w:rPr>
          <w:rFonts w:eastAsiaTheme="minorHAnsi" w:cs="Calibri"/>
          <w:szCs w:val="22"/>
          <w:lang w:val="en-GB" w:eastAsia="en-US"/>
        </w:rPr>
        <w:t>enili rizici po ljudsko zdravlje i zdravlje ekosistema u c</w:t>
      </w:r>
      <w:r w:rsidR="00E52AB8">
        <w:rPr>
          <w:rFonts w:eastAsiaTheme="minorHAnsi" w:cs="Calibri"/>
          <w:szCs w:val="22"/>
          <w:lang w:val="en-GB" w:eastAsia="en-US"/>
        </w:rPr>
        <w:t>j</w:t>
      </w:r>
      <w:r w:rsidR="00E52AB8" w:rsidRPr="00E52AB8">
        <w:rPr>
          <w:rFonts w:eastAsiaTheme="minorHAnsi" w:cs="Calibri"/>
          <w:szCs w:val="22"/>
          <w:lang w:val="en-GB" w:eastAsia="en-US"/>
        </w:rPr>
        <w:t xml:space="preserve">elini u pogledu </w:t>
      </w:r>
      <w:r w:rsidR="00E52AB8">
        <w:rPr>
          <w:rFonts w:eastAsiaTheme="minorHAnsi" w:cs="Calibri"/>
          <w:szCs w:val="22"/>
          <w:lang w:val="en-GB" w:eastAsia="en-US"/>
        </w:rPr>
        <w:t xml:space="preserve">korišćenja </w:t>
      </w:r>
      <w:r w:rsidR="00E52AB8" w:rsidRPr="00E52AB8">
        <w:rPr>
          <w:rFonts w:eastAsiaTheme="minorHAnsi" w:cs="Calibri"/>
          <w:szCs w:val="22"/>
          <w:lang w:val="en-GB" w:eastAsia="en-US"/>
        </w:rPr>
        <w:t>mora i kako bi se osiguralo da zagađenje ne predstavlja značajan rizik za zdravlje</w:t>
      </w:r>
      <w:r w:rsidR="009303A6">
        <w:rPr>
          <w:rFonts w:eastAsiaTheme="minorHAnsi" w:cs="Calibri"/>
          <w:szCs w:val="22"/>
          <w:lang w:val="en-GB" w:eastAsia="en-US"/>
        </w:rPr>
        <w:t xml:space="preserve"> ljudi</w:t>
      </w:r>
      <w:r w:rsidR="00E52AB8" w:rsidRPr="00E52AB8">
        <w:rPr>
          <w:rFonts w:eastAsiaTheme="minorHAnsi" w:cs="Calibri"/>
          <w:szCs w:val="22"/>
          <w:lang w:val="en-GB" w:eastAsia="en-US"/>
        </w:rPr>
        <w:t xml:space="preserve"> i zdravlje ekosistema u pogledu njegove svrhe;</w:t>
      </w:r>
    </w:p>
    <w:p w14:paraId="37908C98" w14:textId="205C1CD9" w:rsidR="00E52AB8" w:rsidRPr="00E52AB8" w:rsidRDefault="006075FE" w:rsidP="00C52E6F">
      <w:pPr>
        <w:numPr>
          <w:ilvl w:val="0"/>
          <w:numId w:val="48"/>
        </w:numPr>
        <w:spacing w:before="0" w:after="120"/>
        <w:contextualSpacing/>
        <w:jc w:val="left"/>
        <w:rPr>
          <w:rFonts w:eastAsiaTheme="minorHAnsi" w:cs="Calibri"/>
          <w:szCs w:val="22"/>
          <w:lang w:val="en-GB" w:eastAsia="en-US"/>
        </w:rPr>
      </w:pPr>
      <w:r>
        <w:rPr>
          <w:rFonts w:eastAsiaTheme="minorHAnsi" w:cs="Calibri"/>
          <w:szCs w:val="22"/>
          <w:lang w:val="en-GB" w:eastAsia="en-US"/>
        </w:rPr>
        <w:t>d</w:t>
      </w:r>
      <w:r w:rsidR="009303A6">
        <w:rPr>
          <w:rFonts w:eastAsiaTheme="minorHAnsi" w:cs="Calibri"/>
          <w:szCs w:val="22"/>
          <w:lang w:val="en-GB" w:eastAsia="en-US"/>
        </w:rPr>
        <w:t>a se održava korišćenje</w:t>
      </w:r>
      <w:r w:rsidR="00E52AB8" w:rsidRPr="00E52AB8">
        <w:rPr>
          <w:rFonts w:eastAsiaTheme="minorHAnsi" w:cs="Calibri"/>
          <w:szCs w:val="22"/>
          <w:lang w:val="en-GB" w:eastAsia="en-US"/>
        </w:rPr>
        <w:t xml:space="preserve"> morskih resursa i drugih aktivnosti u morskim područjima do nivoa koji je održiv i koji pruža potencijal za upotrebu i aktivnosti kako postojećih tako i budućih generacija;</w:t>
      </w:r>
    </w:p>
    <w:p w14:paraId="1E945901" w14:textId="7FD96517" w:rsidR="003C7BEE" w:rsidRDefault="006075FE" w:rsidP="00C52E6F">
      <w:pPr>
        <w:numPr>
          <w:ilvl w:val="0"/>
          <w:numId w:val="48"/>
        </w:numPr>
        <w:spacing w:before="0" w:after="120"/>
        <w:contextualSpacing/>
        <w:jc w:val="left"/>
        <w:rPr>
          <w:rFonts w:eastAsiaTheme="minorHAnsi" w:cs="Calibri"/>
          <w:szCs w:val="22"/>
          <w:lang w:val="en-GB" w:eastAsia="en-US"/>
        </w:rPr>
      </w:pPr>
      <w:r>
        <w:rPr>
          <w:rFonts w:eastAsiaTheme="minorHAnsi" w:cs="Calibri"/>
          <w:szCs w:val="22"/>
          <w:lang w:val="en-GB" w:eastAsia="en-US"/>
        </w:rPr>
        <w:t>d</w:t>
      </w:r>
      <w:r w:rsidR="009303A6">
        <w:rPr>
          <w:rFonts w:eastAsiaTheme="minorHAnsi" w:cs="Calibri"/>
          <w:szCs w:val="22"/>
          <w:lang w:val="en-GB" w:eastAsia="en-US"/>
        </w:rPr>
        <w:t>a se primjene</w:t>
      </w:r>
      <w:r w:rsidR="00E52AB8" w:rsidRPr="00E52AB8">
        <w:rPr>
          <w:rFonts w:eastAsiaTheme="minorHAnsi" w:cs="Calibri"/>
          <w:szCs w:val="22"/>
          <w:lang w:val="en-GB" w:eastAsia="en-US"/>
        </w:rPr>
        <w:t xml:space="preserve"> princip</w:t>
      </w:r>
      <w:r>
        <w:rPr>
          <w:rFonts w:eastAsiaTheme="minorHAnsi" w:cs="Calibri"/>
          <w:szCs w:val="22"/>
          <w:lang w:val="en-GB" w:eastAsia="en-US"/>
        </w:rPr>
        <w:t>i</w:t>
      </w:r>
      <w:r w:rsidR="00E52AB8" w:rsidRPr="00E52AB8">
        <w:rPr>
          <w:rFonts w:eastAsiaTheme="minorHAnsi" w:cs="Calibri"/>
          <w:szCs w:val="22"/>
          <w:lang w:val="en-GB" w:eastAsia="en-US"/>
        </w:rPr>
        <w:t xml:space="preserve"> dobrog upravljanja morskom sredinom i resursima.</w:t>
      </w:r>
    </w:p>
    <w:p w14:paraId="656B1617" w14:textId="77777777" w:rsidR="00CF7E4B" w:rsidRPr="00CF7E4B" w:rsidRDefault="00CF7E4B" w:rsidP="00CF7E4B">
      <w:pPr>
        <w:spacing w:before="0" w:after="120"/>
        <w:ind w:left="720"/>
        <w:contextualSpacing/>
        <w:jc w:val="left"/>
        <w:rPr>
          <w:rFonts w:eastAsiaTheme="minorHAnsi" w:cs="Calibri"/>
          <w:szCs w:val="22"/>
          <w:lang w:val="en-GB" w:eastAsia="en-US"/>
        </w:rPr>
      </w:pPr>
    </w:p>
    <w:p w14:paraId="2D56BD38" w14:textId="67B618FA" w:rsidR="003C7BEE" w:rsidRPr="001C6CCA" w:rsidRDefault="003C7BEE" w:rsidP="001D5635">
      <w:pPr>
        <w:spacing w:before="0" w:after="160"/>
        <w:rPr>
          <w:rFonts w:eastAsiaTheme="minorHAnsi" w:cs="Calibri"/>
          <w:szCs w:val="22"/>
          <w:lang w:val="en-GB" w:eastAsia="en-US"/>
        </w:rPr>
      </w:pPr>
      <w:r w:rsidRPr="003C7BEE">
        <w:rPr>
          <w:rFonts w:eastAsiaTheme="minorHAnsi" w:cs="Calibri"/>
          <w:szCs w:val="22"/>
          <w:lang w:val="en-GB" w:eastAsia="en-US"/>
        </w:rPr>
        <w:t xml:space="preserve">Odluka Komisije o kriterijumima i metodološkim standardima za definisanje GES-a u okviru člana 9 (3) </w:t>
      </w:r>
      <w:r>
        <w:rPr>
          <w:rFonts w:eastAsiaTheme="minorHAnsi" w:cs="Calibri"/>
          <w:szCs w:val="22"/>
          <w:lang w:val="en-GB" w:eastAsia="en-US"/>
        </w:rPr>
        <w:t>ODMS</w:t>
      </w:r>
      <w:r w:rsidRPr="003C7BEE">
        <w:rPr>
          <w:rFonts w:eastAsiaTheme="minorHAnsi" w:cs="Calibri"/>
          <w:szCs w:val="22"/>
          <w:lang w:val="en-GB" w:eastAsia="en-US"/>
        </w:rPr>
        <w:t>-a sadrži niz kriterijuma i njima pridruženih indikatora za proc</w:t>
      </w:r>
      <w:r>
        <w:rPr>
          <w:rFonts w:eastAsiaTheme="minorHAnsi" w:cs="Calibri"/>
          <w:szCs w:val="22"/>
          <w:lang w:val="en-GB" w:eastAsia="en-US"/>
        </w:rPr>
        <w:t>j</w:t>
      </w:r>
      <w:r w:rsidRPr="003C7BEE">
        <w:rPr>
          <w:rFonts w:eastAsiaTheme="minorHAnsi" w:cs="Calibri"/>
          <w:szCs w:val="22"/>
          <w:lang w:val="en-GB" w:eastAsia="en-US"/>
        </w:rPr>
        <w:t xml:space="preserve">enu GES-a, u odnosu na 11 GES deskriptora sadržanih u Aneksu I </w:t>
      </w:r>
      <w:r>
        <w:rPr>
          <w:rFonts w:eastAsiaTheme="minorHAnsi" w:cs="Calibri"/>
          <w:szCs w:val="22"/>
          <w:lang w:val="en-GB" w:eastAsia="en-US"/>
        </w:rPr>
        <w:t>ODMS-a (Okvir 1.1)</w:t>
      </w:r>
      <w:r w:rsidRPr="003C7BEE">
        <w:rPr>
          <w:rFonts w:eastAsiaTheme="minorHAnsi" w:cs="Calibri"/>
          <w:szCs w:val="22"/>
          <w:lang w:val="en-GB" w:eastAsia="en-US"/>
        </w:rPr>
        <w:t>. Kriterijumi su razvijeni na osnovu postojećih obaveza i razvoja kroz zakonodavstvo EU koje pokriva relevantne elemente morsk</w:t>
      </w:r>
      <w:r>
        <w:rPr>
          <w:rFonts w:eastAsiaTheme="minorHAnsi" w:cs="Calibri"/>
          <w:szCs w:val="22"/>
          <w:lang w:val="en-GB" w:eastAsia="en-US"/>
        </w:rPr>
        <w:t>e sredine</w:t>
      </w:r>
      <w:r w:rsidRPr="003C7BEE">
        <w:rPr>
          <w:rFonts w:eastAsiaTheme="minorHAnsi" w:cs="Calibri"/>
          <w:szCs w:val="22"/>
          <w:lang w:val="en-GB" w:eastAsia="en-US"/>
        </w:rPr>
        <w:t>. Među kriterijumima je neophodno razlikovati one koji su u potpunosti razvijeni i operativni, i one koji zaht</w:t>
      </w:r>
      <w:r>
        <w:rPr>
          <w:rFonts w:eastAsiaTheme="minorHAnsi" w:cs="Calibri"/>
          <w:szCs w:val="22"/>
          <w:lang w:val="en-GB" w:eastAsia="en-US"/>
        </w:rPr>
        <w:t>ij</w:t>
      </w:r>
      <w:r w:rsidRPr="003C7BEE">
        <w:rPr>
          <w:rFonts w:eastAsiaTheme="minorHAnsi" w:cs="Calibri"/>
          <w:szCs w:val="22"/>
          <w:lang w:val="en-GB" w:eastAsia="en-US"/>
        </w:rPr>
        <w:t xml:space="preserve">evaju dalja poboljšanja u bliskoj koordinaciji sa uspostavljanjem sistema </w:t>
      </w:r>
      <w:r>
        <w:rPr>
          <w:rFonts w:eastAsiaTheme="minorHAnsi" w:cs="Calibri"/>
          <w:szCs w:val="22"/>
          <w:lang w:val="en-GB" w:eastAsia="en-US"/>
        </w:rPr>
        <w:t>monitoringa</w:t>
      </w:r>
      <w:r w:rsidRPr="003C7BEE">
        <w:rPr>
          <w:rFonts w:eastAsiaTheme="minorHAnsi" w:cs="Calibri"/>
          <w:szCs w:val="22"/>
          <w:lang w:val="en-GB" w:eastAsia="en-US"/>
        </w:rPr>
        <w:t xml:space="preserve"> i posmatranja za tekuću proc</w:t>
      </w:r>
      <w:r w:rsidR="00842A83">
        <w:rPr>
          <w:rFonts w:eastAsiaTheme="minorHAnsi" w:cs="Calibri"/>
          <w:szCs w:val="22"/>
          <w:lang w:val="en-GB" w:eastAsia="en-US"/>
        </w:rPr>
        <w:t>j</w:t>
      </w:r>
      <w:r w:rsidRPr="003C7BEE">
        <w:rPr>
          <w:rFonts w:eastAsiaTheme="minorHAnsi" w:cs="Calibri"/>
          <w:szCs w:val="22"/>
          <w:lang w:val="en-GB" w:eastAsia="en-US"/>
        </w:rPr>
        <w:t xml:space="preserve">enu Jadranskog mora. </w:t>
      </w:r>
      <w:r w:rsidR="00842A83">
        <w:rPr>
          <w:rFonts w:eastAsiaTheme="minorHAnsi" w:cs="Calibri"/>
          <w:szCs w:val="22"/>
          <w:lang w:val="en-GB" w:eastAsia="en-US"/>
        </w:rPr>
        <w:t xml:space="preserve">Zapravo, </w:t>
      </w:r>
      <w:r w:rsidRPr="003C7BEE">
        <w:rPr>
          <w:rFonts w:eastAsiaTheme="minorHAnsi" w:cs="Calibri"/>
          <w:szCs w:val="22"/>
          <w:lang w:val="en-GB" w:eastAsia="en-US"/>
        </w:rPr>
        <w:t xml:space="preserve">za niz kriterijuma i </w:t>
      </w:r>
      <w:r w:rsidR="00842A83">
        <w:rPr>
          <w:rFonts w:eastAsiaTheme="minorHAnsi" w:cs="Calibri"/>
          <w:szCs w:val="22"/>
          <w:lang w:val="en-GB" w:eastAsia="en-US"/>
        </w:rPr>
        <w:t>indikatora</w:t>
      </w:r>
      <w:r w:rsidRPr="003C7BEE">
        <w:rPr>
          <w:rFonts w:eastAsiaTheme="minorHAnsi" w:cs="Calibri"/>
          <w:szCs w:val="22"/>
          <w:lang w:val="en-GB" w:eastAsia="en-US"/>
        </w:rPr>
        <w:t xml:space="preserve"> potreban je dalji razvoj zasnovan na dodatnom naučnom znanju o morsk</w:t>
      </w:r>
      <w:r w:rsidR="00842A83">
        <w:rPr>
          <w:rFonts w:eastAsiaTheme="minorHAnsi" w:cs="Calibri"/>
          <w:szCs w:val="22"/>
          <w:lang w:val="en-GB" w:eastAsia="en-US"/>
        </w:rPr>
        <w:t>oj sredini i procesima u njoj</w:t>
      </w:r>
      <w:r w:rsidRPr="003C7BEE">
        <w:rPr>
          <w:rFonts w:eastAsiaTheme="minorHAnsi" w:cs="Calibri"/>
          <w:szCs w:val="22"/>
          <w:lang w:val="en-GB" w:eastAsia="en-US"/>
        </w:rPr>
        <w:t>, što je n</w:t>
      </w:r>
      <w:r w:rsidR="00842A83">
        <w:rPr>
          <w:rFonts w:eastAsiaTheme="minorHAnsi" w:cs="Calibri"/>
          <w:szCs w:val="22"/>
          <w:lang w:val="en-GB" w:eastAsia="en-US"/>
        </w:rPr>
        <w:t>eophodno za postizanje ciljeva ODMS</w:t>
      </w:r>
      <w:r w:rsidRPr="003C7BEE">
        <w:rPr>
          <w:rFonts w:eastAsiaTheme="minorHAnsi" w:cs="Calibri"/>
          <w:szCs w:val="22"/>
          <w:lang w:val="en-GB" w:eastAsia="en-US"/>
        </w:rPr>
        <w:t>-a.</w:t>
      </w:r>
    </w:p>
    <w:p w14:paraId="152A93C0" w14:textId="346A218D" w:rsidR="006C0021" w:rsidRPr="006C0021" w:rsidRDefault="006C0021" w:rsidP="006C0021">
      <w:pPr>
        <w:spacing w:before="0" w:after="160"/>
        <w:rPr>
          <w:rFonts w:cs="Calibri"/>
          <w:szCs w:val="22"/>
          <w:lang w:val="en-GB" w:eastAsia="hr-HR"/>
        </w:rPr>
      </w:pPr>
      <w:r w:rsidRPr="006C0021">
        <w:rPr>
          <w:rFonts w:cs="Calibri"/>
          <w:szCs w:val="22"/>
          <w:lang w:val="en-GB" w:eastAsia="hr-HR"/>
        </w:rPr>
        <w:t xml:space="preserve">Konačno, postoji širok spektar u pogledu kvaliteta </w:t>
      </w:r>
      <w:r>
        <w:rPr>
          <w:rFonts w:cs="Calibri"/>
          <w:szCs w:val="22"/>
          <w:lang w:val="en-GB" w:eastAsia="hr-HR"/>
        </w:rPr>
        <w:t>indikatora</w:t>
      </w:r>
      <w:r w:rsidRPr="006C0021">
        <w:rPr>
          <w:rFonts w:cs="Calibri"/>
          <w:szCs w:val="22"/>
          <w:lang w:val="en-GB" w:eastAsia="hr-HR"/>
        </w:rPr>
        <w:t xml:space="preserve"> i ciljeva koje preporučuju stručne grupe za određene deskriptore. Neki od deskriptora razvijeni su na načine koji su potpuno razumljivi uz detaljne </w:t>
      </w:r>
      <w:r>
        <w:rPr>
          <w:rFonts w:cs="Calibri"/>
          <w:szCs w:val="22"/>
          <w:lang w:val="en-GB" w:eastAsia="hr-HR"/>
        </w:rPr>
        <w:t>indikatore</w:t>
      </w:r>
      <w:r w:rsidRPr="006C0021">
        <w:rPr>
          <w:rFonts w:cs="Calibri"/>
          <w:szCs w:val="22"/>
          <w:lang w:val="en-GB" w:eastAsia="hr-HR"/>
        </w:rPr>
        <w:t xml:space="preserve"> i pouzdane skupove podataka</w:t>
      </w:r>
      <w:r w:rsidRPr="001C6CCA">
        <w:rPr>
          <w:rStyle w:val="FootnoteReference"/>
          <w:szCs w:val="22"/>
          <w:lang w:val="en-GB" w:eastAsia="hr-HR"/>
        </w:rPr>
        <w:footnoteReference w:id="11"/>
      </w:r>
      <w:r w:rsidRPr="001C6CCA">
        <w:rPr>
          <w:rFonts w:cs="Calibri"/>
          <w:szCs w:val="22"/>
          <w:lang w:val="en-GB" w:eastAsia="hr-HR"/>
        </w:rPr>
        <w:t>,</w:t>
      </w:r>
      <w:r w:rsidRPr="006C0021">
        <w:rPr>
          <w:rFonts w:cs="Calibri"/>
          <w:szCs w:val="22"/>
          <w:lang w:val="en-GB" w:eastAsia="hr-HR"/>
        </w:rPr>
        <w:t xml:space="preserve"> dok za </w:t>
      </w:r>
      <w:r w:rsidR="008744B5">
        <w:rPr>
          <w:rFonts w:cs="Calibri"/>
          <w:szCs w:val="22"/>
          <w:lang w:val="en-GB" w:eastAsia="hr-HR"/>
        </w:rPr>
        <w:t xml:space="preserve">neke </w:t>
      </w:r>
      <w:r w:rsidRPr="006C0021">
        <w:rPr>
          <w:rFonts w:cs="Calibri"/>
          <w:szCs w:val="22"/>
          <w:lang w:val="en-GB" w:eastAsia="hr-HR"/>
        </w:rPr>
        <w:t>druge deskriptore povezan</w:t>
      </w:r>
      <w:r w:rsidR="006B31BF">
        <w:rPr>
          <w:rFonts w:cs="Calibri"/>
          <w:szCs w:val="22"/>
          <w:lang w:val="en-GB" w:eastAsia="hr-HR"/>
        </w:rPr>
        <w:t>e</w:t>
      </w:r>
      <w:r w:rsidRPr="006C0021">
        <w:rPr>
          <w:rFonts w:cs="Calibri"/>
          <w:szCs w:val="22"/>
          <w:lang w:val="en-GB" w:eastAsia="hr-HR"/>
        </w:rPr>
        <w:t xml:space="preserve"> sa pritiscima </w:t>
      </w:r>
      <w:r>
        <w:rPr>
          <w:rFonts w:cs="Calibri"/>
          <w:szCs w:val="22"/>
          <w:lang w:val="en-GB" w:eastAsia="hr-HR"/>
        </w:rPr>
        <w:t xml:space="preserve">koji su </w:t>
      </w:r>
      <w:r w:rsidRPr="006C0021">
        <w:rPr>
          <w:rFonts w:cs="Calibri"/>
          <w:szCs w:val="22"/>
          <w:lang w:val="en-GB" w:eastAsia="hr-HR"/>
        </w:rPr>
        <w:t>relativno novi</w:t>
      </w:r>
      <w:r>
        <w:rPr>
          <w:rFonts w:cs="Calibri"/>
          <w:szCs w:val="22"/>
          <w:lang w:val="en-GB" w:eastAsia="hr-HR"/>
        </w:rPr>
        <w:t xml:space="preserve"> u </w:t>
      </w:r>
      <w:r w:rsidR="008744B5">
        <w:rPr>
          <w:rFonts w:cs="Calibri"/>
          <w:szCs w:val="22"/>
          <w:lang w:val="en-GB" w:eastAsia="hr-HR"/>
        </w:rPr>
        <w:t xml:space="preserve">zakonodavstvu koje </w:t>
      </w:r>
      <w:r>
        <w:rPr>
          <w:rFonts w:cs="Calibri"/>
          <w:szCs w:val="22"/>
          <w:lang w:val="en-GB" w:eastAsia="hr-HR"/>
        </w:rPr>
        <w:t>se odnosi na morsku sredinu</w:t>
      </w:r>
      <w:r w:rsidRPr="006C0021">
        <w:rPr>
          <w:rFonts w:cs="Calibri"/>
          <w:szCs w:val="22"/>
          <w:lang w:val="en-GB" w:eastAsia="hr-HR"/>
        </w:rPr>
        <w:t xml:space="preserve"> (</w:t>
      </w:r>
      <w:r w:rsidR="008744B5">
        <w:rPr>
          <w:rFonts w:cs="Calibri"/>
          <w:szCs w:val="22"/>
          <w:lang w:val="en-GB" w:eastAsia="hr-HR"/>
        </w:rPr>
        <w:t>npr.</w:t>
      </w:r>
      <w:r w:rsidRPr="006C0021">
        <w:rPr>
          <w:rFonts w:cs="Calibri"/>
          <w:szCs w:val="22"/>
          <w:lang w:val="en-GB" w:eastAsia="hr-HR"/>
        </w:rPr>
        <w:t xml:space="preserve"> </w:t>
      </w:r>
      <w:r>
        <w:rPr>
          <w:rFonts w:cs="Calibri"/>
          <w:szCs w:val="22"/>
          <w:lang w:val="en-GB" w:eastAsia="hr-HR"/>
        </w:rPr>
        <w:t>otpad i podvodna buka</w:t>
      </w:r>
      <w:r w:rsidRPr="006C0021">
        <w:rPr>
          <w:rFonts w:cs="Calibri"/>
          <w:szCs w:val="22"/>
          <w:lang w:val="en-GB" w:eastAsia="hr-HR"/>
        </w:rPr>
        <w:t xml:space="preserve">) </w:t>
      </w:r>
      <w:r w:rsidRPr="008744B5">
        <w:rPr>
          <w:rFonts w:cs="Calibri"/>
          <w:szCs w:val="22"/>
          <w:lang w:val="en-GB" w:eastAsia="hr-HR"/>
        </w:rPr>
        <w:t>postoji potreba za dalj</w:t>
      </w:r>
      <w:r w:rsidR="008744B5" w:rsidRPr="008744B5">
        <w:rPr>
          <w:rFonts w:cs="Calibri"/>
          <w:szCs w:val="22"/>
          <w:lang w:val="en-GB" w:eastAsia="hr-HR"/>
        </w:rPr>
        <w:t xml:space="preserve">njom razradom i </w:t>
      </w:r>
      <w:r w:rsidRPr="008744B5">
        <w:rPr>
          <w:rFonts w:cs="Calibri"/>
          <w:szCs w:val="22"/>
          <w:lang w:val="en-GB" w:eastAsia="hr-HR"/>
        </w:rPr>
        <w:t>definisanj</w:t>
      </w:r>
      <w:r w:rsidR="008744B5" w:rsidRPr="008744B5">
        <w:rPr>
          <w:rFonts w:cs="Calibri"/>
          <w:szCs w:val="22"/>
          <w:lang w:val="en-GB" w:eastAsia="hr-HR"/>
        </w:rPr>
        <w:t>em</w:t>
      </w:r>
      <w:r w:rsidRPr="008744B5">
        <w:rPr>
          <w:rFonts w:cs="Calibri"/>
          <w:szCs w:val="22"/>
          <w:lang w:val="en-GB" w:eastAsia="hr-HR"/>
        </w:rPr>
        <w:t xml:space="preserve"> odgovarajućih ciljeva, kriterijuma i </w:t>
      </w:r>
      <w:r w:rsidR="007320D0" w:rsidRPr="008744B5">
        <w:rPr>
          <w:rFonts w:cs="Calibri"/>
          <w:szCs w:val="22"/>
          <w:lang w:val="en-GB" w:eastAsia="hr-HR"/>
        </w:rPr>
        <w:t>indikatora</w:t>
      </w:r>
      <w:r w:rsidR="008744B5" w:rsidRPr="008744B5">
        <w:rPr>
          <w:rFonts w:cs="Calibri"/>
          <w:szCs w:val="22"/>
          <w:lang w:val="en-GB" w:eastAsia="hr-HR"/>
        </w:rPr>
        <w:t>, te pristupa u određivanju referentnih I graničnih vrijednosti.</w:t>
      </w:r>
    </w:p>
    <w:p w14:paraId="5011D823" w14:textId="4DAA7DC4" w:rsidR="006C0021" w:rsidRPr="001C6CCA" w:rsidRDefault="006C0021" w:rsidP="006C0021">
      <w:pPr>
        <w:spacing w:before="0" w:after="160"/>
        <w:rPr>
          <w:rFonts w:cs="Calibri"/>
          <w:szCs w:val="22"/>
          <w:lang w:val="en-GB" w:eastAsia="hr-HR"/>
        </w:rPr>
      </w:pPr>
      <w:r w:rsidRPr="006C0021">
        <w:rPr>
          <w:rFonts w:cs="Calibri"/>
          <w:szCs w:val="22"/>
          <w:lang w:val="en-GB" w:eastAsia="hr-HR"/>
        </w:rPr>
        <w:t>Iz svega navedenog očigledno je da će se p</w:t>
      </w:r>
      <w:r w:rsidR="007320D0">
        <w:rPr>
          <w:rFonts w:cs="Calibri"/>
          <w:szCs w:val="22"/>
          <w:lang w:val="en-GB" w:eastAsia="hr-HR"/>
        </w:rPr>
        <w:t>roces uspostavljanja ciljeva i indikatora</w:t>
      </w:r>
      <w:r w:rsidRPr="006C0021">
        <w:rPr>
          <w:rFonts w:cs="Calibri"/>
          <w:szCs w:val="22"/>
          <w:lang w:val="en-GB" w:eastAsia="hr-HR"/>
        </w:rPr>
        <w:t xml:space="preserve"> za svaki od deskriptora neizb</w:t>
      </w:r>
      <w:r w:rsidR="007320D0">
        <w:rPr>
          <w:rFonts w:cs="Calibri"/>
          <w:szCs w:val="22"/>
          <w:lang w:val="en-GB" w:eastAsia="hr-HR"/>
        </w:rPr>
        <w:t>j</w:t>
      </w:r>
      <w:r w:rsidRPr="006C0021">
        <w:rPr>
          <w:rFonts w:cs="Calibri"/>
          <w:szCs w:val="22"/>
          <w:lang w:val="en-GB" w:eastAsia="hr-HR"/>
        </w:rPr>
        <w:t xml:space="preserve">ežno razvijati tokom vremena, </w:t>
      </w:r>
      <w:r w:rsidR="007320D0">
        <w:rPr>
          <w:rFonts w:cs="Calibri"/>
          <w:szCs w:val="22"/>
          <w:lang w:val="en-GB" w:eastAsia="hr-HR"/>
        </w:rPr>
        <w:t>odnosno u</w:t>
      </w:r>
      <w:r w:rsidRPr="006C0021">
        <w:rPr>
          <w:rFonts w:cs="Calibri"/>
          <w:szCs w:val="22"/>
          <w:lang w:val="en-GB" w:eastAsia="hr-HR"/>
        </w:rPr>
        <w:t xml:space="preserve"> skladu sa </w:t>
      </w:r>
      <w:r w:rsidR="007320D0">
        <w:rPr>
          <w:rFonts w:cs="Calibri"/>
          <w:szCs w:val="22"/>
          <w:lang w:val="en-GB" w:eastAsia="hr-HR"/>
        </w:rPr>
        <w:t>dinamikom implementacije p</w:t>
      </w:r>
      <w:r w:rsidRPr="006C0021">
        <w:rPr>
          <w:rFonts w:cs="Calibri"/>
          <w:szCs w:val="22"/>
          <w:lang w:val="en-GB" w:eastAsia="hr-HR"/>
        </w:rPr>
        <w:t xml:space="preserve">rojektnih ciklusa </w:t>
      </w:r>
      <w:r w:rsidR="007320D0">
        <w:rPr>
          <w:rFonts w:cs="Calibri"/>
          <w:szCs w:val="22"/>
          <w:lang w:val="en-GB" w:eastAsia="hr-HR"/>
        </w:rPr>
        <w:t>svakih 6 godina, prema ODMS</w:t>
      </w:r>
      <w:r w:rsidRPr="006C0021">
        <w:rPr>
          <w:rFonts w:cs="Calibri"/>
          <w:szCs w:val="22"/>
          <w:lang w:val="en-GB" w:eastAsia="hr-HR"/>
        </w:rPr>
        <w:t>. Ovo je posebno važno s obzirom na prirodnu varijabilnost morskih ekosistema i očekivan</w:t>
      </w:r>
      <w:r w:rsidR="00E53148">
        <w:rPr>
          <w:rFonts w:cs="Calibri"/>
          <w:szCs w:val="22"/>
          <w:lang w:val="en-GB" w:eastAsia="hr-HR"/>
        </w:rPr>
        <w:t>ih</w:t>
      </w:r>
      <w:r w:rsidRPr="006C0021">
        <w:rPr>
          <w:rFonts w:cs="Calibri"/>
          <w:szCs w:val="22"/>
          <w:lang w:val="en-GB" w:eastAsia="hr-HR"/>
        </w:rPr>
        <w:t xml:space="preserve"> klimatsk</w:t>
      </w:r>
      <w:r w:rsidR="00E53148">
        <w:rPr>
          <w:rFonts w:cs="Calibri"/>
          <w:szCs w:val="22"/>
          <w:lang w:val="en-GB" w:eastAsia="hr-HR"/>
        </w:rPr>
        <w:t>ih</w:t>
      </w:r>
      <w:r w:rsidRPr="006C0021">
        <w:rPr>
          <w:rFonts w:cs="Calibri"/>
          <w:szCs w:val="22"/>
          <w:lang w:val="en-GB" w:eastAsia="hr-HR"/>
        </w:rPr>
        <w:t xml:space="preserve"> prom</w:t>
      </w:r>
      <w:r w:rsidR="007320D0">
        <w:rPr>
          <w:rFonts w:cs="Calibri"/>
          <w:szCs w:val="22"/>
          <w:lang w:val="en-GB" w:eastAsia="hr-HR"/>
        </w:rPr>
        <w:t>j</w:t>
      </w:r>
      <w:r w:rsidRPr="006C0021">
        <w:rPr>
          <w:rFonts w:cs="Calibri"/>
          <w:szCs w:val="22"/>
          <w:lang w:val="en-GB" w:eastAsia="hr-HR"/>
        </w:rPr>
        <w:t>en</w:t>
      </w:r>
      <w:r w:rsidR="00E53148">
        <w:rPr>
          <w:rFonts w:cs="Calibri"/>
          <w:szCs w:val="22"/>
          <w:lang w:val="en-GB" w:eastAsia="hr-HR"/>
        </w:rPr>
        <w:t xml:space="preserve">a </w:t>
      </w:r>
      <w:r w:rsidRPr="006C0021">
        <w:rPr>
          <w:rFonts w:cs="Calibri"/>
          <w:szCs w:val="22"/>
          <w:lang w:val="en-GB" w:eastAsia="hr-HR"/>
        </w:rPr>
        <w:t>i zakiseljavanje.</w:t>
      </w:r>
    </w:p>
    <w:p w14:paraId="0CD2666D" w14:textId="47722289" w:rsidR="00264F4C" w:rsidRPr="00680B65" w:rsidRDefault="003C7BEE" w:rsidP="00F65CFF">
      <w:pPr>
        <w:autoSpaceDE w:val="0"/>
        <w:autoSpaceDN w:val="0"/>
        <w:adjustRightInd w:val="0"/>
        <w:spacing w:before="0" w:after="0" w:line="240" w:lineRule="auto"/>
        <w:jc w:val="left"/>
        <w:rPr>
          <w:rFonts w:eastAsiaTheme="minorHAnsi" w:cs="Calibri"/>
          <w:b/>
          <w:szCs w:val="22"/>
          <w:lang w:val="en-GB" w:eastAsia="en-US"/>
        </w:rPr>
      </w:pPr>
      <w:r>
        <w:rPr>
          <w:rFonts w:eastAsiaTheme="minorHAnsi" w:cs="Calibri"/>
          <w:b/>
          <w:bCs/>
          <w:szCs w:val="22"/>
          <w:lang w:val="en-GB" w:eastAsia="en-US"/>
        </w:rPr>
        <w:t>Okvir</w:t>
      </w:r>
      <w:r w:rsidR="00B2265D" w:rsidRPr="001C6CCA">
        <w:rPr>
          <w:rFonts w:eastAsiaTheme="minorHAnsi" w:cs="Calibri"/>
          <w:b/>
          <w:bCs/>
          <w:szCs w:val="22"/>
          <w:lang w:val="en-GB" w:eastAsia="en-US"/>
        </w:rPr>
        <w:t xml:space="preserve"> </w:t>
      </w:r>
      <w:r w:rsidR="00264F4C" w:rsidRPr="001C6CCA">
        <w:rPr>
          <w:rFonts w:eastAsiaTheme="minorHAnsi" w:cs="Calibri"/>
          <w:b/>
          <w:bCs/>
          <w:szCs w:val="22"/>
          <w:lang w:val="en-GB" w:eastAsia="en-US"/>
        </w:rPr>
        <w:t>1.</w:t>
      </w:r>
      <w:r w:rsidR="006D7630" w:rsidRPr="001C6CCA">
        <w:rPr>
          <w:rFonts w:eastAsiaTheme="minorHAnsi" w:cs="Calibri"/>
          <w:b/>
          <w:bCs/>
          <w:szCs w:val="22"/>
          <w:lang w:val="en-GB" w:eastAsia="en-US"/>
        </w:rPr>
        <w:t>1:</w:t>
      </w:r>
      <w:r w:rsidR="00264F4C" w:rsidRPr="001C6CCA">
        <w:rPr>
          <w:rFonts w:eastAsiaTheme="minorHAnsi" w:cs="Calibri"/>
          <w:b/>
          <w:bCs/>
          <w:szCs w:val="22"/>
          <w:lang w:val="en-GB" w:eastAsia="en-US"/>
        </w:rPr>
        <w:t xml:space="preserve"> </w:t>
      </w:r>
      <w:r w:rsidR="00842A83" w:rsidRPr="00842A83">
        <w:rPr>
          <w:rFonts w:eastAsiaTheme="minorHAnsi" w:cs="Calibri"/>
          <w:b/>
          <w:szCs w:val="22"/>
          <w:lang w:val="en-GB" w:eastAsia="en-US"/>
        </w:rPr>
        <w:t xml:space="preserve">Kvalitativni deskriptori dobrog stanja </w:t>
      </w:r>
      <w:r w:rsidR="00E53148">
        <w:rPr>
          <w:rFonts w:eastAsiaTheme="minorHAnsi" w:cs="Calibri"/>
          <w:b/>
          <w:szCs w:val="22"/>
          <w:lang w:val="en-GB" w:eastAsia="en-US"/>
        </w:rPr>
        <w:t>morske</w:t>
      </w:r>
      <w:r w:rsidR="00842A83" w:rsidRPr="00842A83">
        <w:rPr>
          <w:rFonts w:eastAsiaTheme="minorHAnsi" w:cs="Calibri"/>
          <w:b/>
          <w:szCs w:val="22"/>
          <w:lang w:val="en-GB" w:eastAsia="en-US"/>
        </w:rPr>
        <w:t xml:space="preserve"> sredine (kako je navedeno u Aneksu I </w:t>
      </w:r>
      <w:r w:rsidR="00842A83">
        <w:rPr>
          <w:rFonts w:eastAsiaTheme="minorHAnsi" w:cs="Calibri"/>
          <w:b/>
          <w:szCs w:val="22"/>
          <w:lang w:val="en-GB" w:eastAsia="en-US"/>
        </w:rPr>
        <w:t>ODMS</w:t>
      </w:r>
      <w:r w:rsidR="00842A83" w:rsidRPr="00842A83">
        <w:rPr>
          <w:rFonts w:eastAsiaTheme="minorHAnsi" w:cs="Calibri"/>
          <w:b/>
          <w:szCs w:val="22"/>
          <w:lang w:val="en-GB" w:eastAsia="en-US"/>
        </w:rPr>
        <w:t xml:space="preserve"> (2008/56</w:t>
      </w:r>
      <w:r w:rsidR="00842A83">
        <w:rPr>
          <w:rFonts w:eastAsiaTheme="minorHAnsi" w:cs="Calibri"/>
          <w:b/>
          <w:szCs w:val="22"/>
          <w:lang w:val="en-GB" w:eastAsia="en-US"/>
        </w:rPr>
        <w:t>/</w:t>
      </w:r>
      <w:r w:rsidR="00842A83" w:rsidRPr="00842A83">
        <w:rPr>
          <w:rFonts w:eastAsiaTheme="minorHAnsi" w:cs="Calibri"/>
          <w:b/>
          <w:szCs w:val="22"/>
          <w:lang w:val="en-GB" w:eastAsia="en-US"/>
        </w:rPr>
        <w:t xml:space="preserve"> EC)</w:t>
      </w:r>
    </w:p>
    <w:tbl>
      <w:tblPr>
        <w:tblStyle w:val="TableGrid1"/>
        <w:tblW w:w="9351" w:type="dxa"/>
        <w:tblLook w:val="04A0" w:firstRow="1" w:lastRow="0" w:firstColumn="1" w:lastColumn="0" w:noHBand="0" w:noVBand="1"/>
      </w:tblPr>
      <w:tblGrid>
        <w:gridCol w:w="9351"/>
      </w:tblGrid>
      <w:tr w:rsidR="00264F4C" w:rsidRPr="001C6CCA" w14:paraId="33725BFC" w14:textId="77777777" w:rsidTr="003C5370">
        <w:tc>
          <w:tcPr>
            <w:tcW w:w="9351" w:type="dxa"/>
          </w:tcPr>
          <w:p w14:paraId="7EB01E43" w14:textId="791A7510" w:rsidR="00264F4C" w:rsidRPr="00CB249D" w:rsidRDefault="00611800" w:rsidP="00F65CFF">
            <w:pPr>
              <w:autoSpaceDE w:val="0"/>
              <w:autoSpaceDN w:val="0"/>
              <w:adjustRightInd w:val="0"/>
              <w:spacing w:before="0" w:after="0" w:line="240" w:lineRule="auto"/>
              <w:rPr>
                <w:rFonts w:asciiTheme="minorHAnsi" w:hAnsiTheme="minorHAnsi" w:cstheme="minorHAnsi"/>
                <w:b/>
                <w:color w:val="000000"/>
                <w:lang w:val="en-GB" w:eastAsia="en-US"/>
              </w:rPr>
            </w:pPr>
            <w:r w:rsidRPr="00CB249D">
              <w:rPr>
                <w:rFonts w:asciiTheme="minorHAnsi" w:hAnsiTheme="minorHAnsi" w:cstheme="minorHAnsi"/>
                <w:b/>
                <w:color w:val="000000"/>
                <w:lang w:val="en-GB" w:eastAsia="en-US"/>
              </w:rPr>
              <w:t>Des</w:t>
            </w:r>
            <w:r w:rsidR="00CB249D" w:rsidRPr="00CB249D">
              <w:rPr>
                <w:rFonts w:asciiTheme="minorHAnsi" w:hAnsiTheme="minorHAnsi" w:cstheme="minorHAnsi"/>
                <w:b/>
                <w:color w:val="000000"/>
                <w:lang w:val="en-GB" w:eastAsia="en-US"/>
              </w:rPr>
              <w:t>kriptor</w:t>
            </w:r>
            <w:r w:rsidRPr="00CB249D">
              <w:rPr>
                <w:rFonts w:asciiTheme="minorHAnsi" w:hAnsiTheme="minorHAnsi" w:cstheme="minorHAnsi"/>
                <w:b/>
                <w:color w:val="000000"/>
                <w:lang w:val="en-GB" w:eastAsia="en-US"/>
              </w:rPr>
              <w:t xml:space="preserve"> 1 </w:t>
            </w:r>
            <w:r w:rsidR="00CB249D" w:rsidRPr="00CB249D">
              <w:rPr>
                <w:rFonts w:asciiTheme="minorHAnsi" w:hAnsiTheme="minorHAnsi" w:cstheme="minorHAnsi"/>
                <w:b/>
                <w:color w:val="000000"/>
                <w:lang w:val="en-GB" w:eastAsia="en-US"/>
              </w:rPr>
              <w:t>ili</w:t>
            </w:r>
            <w:r w:rsidRPr="00CB249D">
              <w:rPr>
                <w:rFonts w:asciiTheme="minorHAnsi" w:hAnsiTheme="minorHAnsi" w:cstheme="minorHAnsi"/>
                <w:b/>
                <w:color w:val="000000"/>
                <w:lang w:val="en-GB" w:eastAsia="en-US"/>
              </w:rPr>
              <w:t xml:space="preserve"> D1 - </w:t>
            </w:r>
            <w:r w:rsidR="00CB249D" w:rsidRPr="00CB249D">
              <w:rPr>
                <w:rFonts w:asciiTheme="minorHAnsi" w:hAnsiTheme="minorHAnsi" w:cstheme="minorHAnsi"/>
                <w:b/>
                <w:color w:val="000000"/>
                <w:lang w:val="en-GB" w:eastAsia="en-US"/>
              </w:rPr>
              <w:t>Biodiverzitet</w:t>
            </w:r>
          </w:p>
          <w:p w14:paraId="4585F929" w14:textId="3757F05A" w:rsidR="00264F4C" w:rsidRPr="00CB249D" w:rsidRDefault="00264F4C" w:rsidP="00E53148">
            <w:pPr>
              <w:autoSpaceDE w:val="0"/>
              <w:autoSpaceDN w:val="0"/>
              <w:adjustRightInd w:val="0"/>
              <w:spacing w:before="0" w:line="240" w:lineRule="auto"/>
              <w:rPr>
                <w:rFonts w:asciiTheme="minorHAnsi" w:hAnsiTheme="minorHAnsi" w:cstheme="minorHAnsi"/>
                <w:color w:val="000000"/>
                <w:lang w:val="en-GB" w:eastAsia="en-US"/>
              </w:rPr>
            </w:pPr>
            <w:r w:rsidRPr="00CB249D">
              <w:rPr>
                <w:rFonts w:asciiTheme="minorHAnsi" w:hAnsiTheme="minorHAnsi" w:cstheme="minorHAnsi"/>
                <w:color w:val="000000"/>
                <w:lang w:val="en-GB" w:eastAsia="en-US"/>
              </w:rPr>
              <w:t>GES de</w:t>
            </w:r>
            <w:r w:rsidR="00CB249D" w:rsidRPr="00CB249D">
              <w:rPr>
                <w:rFonts w:asciiTheme="minorHAnsi" w:hAnsiTheme="minorHAnsi" w:cstheme="minorHAnsi"/>
                <w:color w:val="000000"/>
                <w:lang w:val="en-GB" w:eastAsia="en-US"/>
              </w:rPr>
              <w:t>finicija</w:t>
            </w:r>
            <w:r w:rsidRPr="00CB249D">
              <w:rPr>
                <w:rFonts w:asciiTheme="minorHAnsi" w:hAnsiTheme="minorHAnsi" w:cstheme="minorHAnsi"/>
                <w:color w:val="000000"/>
                <w:lang w:val="en-GB" w:eastAsia="en-US"/>
              </w:rPr>
              <w:t xml:space="preserve">: </w:t>
            </w:r>
            <w:r w:rsidR="00CB249D" w:rsidRPr="00CB249D">
              <w:rPr>
                <w:rFonts w:asciiTheme="minorHAnsi" w:hAnsiTheme="minorHAnsi" w:cstheme="minorHAnsi"/>
                <w:color w:val="000000"/>
                <w:lang w:val="en-GB" w:eastAsia="en-US"/>
              </w:rPr>
              <w:t>Biodiverzitet je očuvan. Kvalitet i rasprostranjenost staništa, rasprostranjenost i abundancija (brojnost) vrsta u skladu su sa dominantnim fiziografskim, geografskim i klimatskim uslovima.</w:t>
            </w:r>
          </w:p>
          <w:p w14:paraId="3FB46772" w14:textId="2872C3F8" w:rsidR="00264F4C" w:rsidRPr="00CB249D" w:rsidRDefault="00CB249D" w:rsidP="00F65CFF">
            <w:pPr>
              <w:spacing w:before="0" w:after="0" w:line="240" w:lineRule="auto"/>
              <w:rPr>
                <w:rFonts w:asciiTheme="minorHAnsi" w:hAnsiTheme="minorHAnsi" w:cstheme="minorHAnsi"/>
                <w:b/>
                <w:color w:val="000000"/>
                <w:lang w:val="en-GB" w:eastAsia="en-US"/>
              </w:rPr>
            </w:pPr>
            <w:r w:rsidRPr="00CB249D">
              <w:rPr>
                <w:rFonts w:asciiTheme="minorHAnsi" w:hAnsiTheme="minorHAnsi" w:cstheme="minorHAnsi"/>
                <w:b/>
                <w:color w:val="000000"/>
                <w:lang w:val="en-GB" w:eastAsia="en-US"/>
              </w:rPr>
              <w:t>Deskriptor 2 ili</w:t>
            </w:r>
            <w:r w:rsidR="00611800" w:rsidRPr="00CB249D">
              <w:rPr>
                <w:rFonts w:asciiTheme="minorHAnsi" w:hAnsiTheme="minorHAnsi" w:cstheme="minorHAnsi"/>
                <w:b/>
                <w:color w:val="000000"/>
                <w:lang w:val="en-GB" w:eastAsia="en-US"/>
              </w:rPr>
              <w:t xml:space="preserve"> D2 - </w:t>
            </w:r>
            <w:r w:rsidRPr="00CB249D">
              <w:rPr>
                <w:rFonts w:asciiTheme="minorHAnsi" w:hAnsiTheme="minorHAnsi" w:cstheme="minorHAnsi"/>
                <w:b/>
                <w:color w:val="000000"/>
                <w:lang w:val="en-GB" w:eastAsia="en-US"/>
              </w:rPr>
              <w:t>Strane vrste</w:t>
            </w:r>
          </w:p>
          <w:p w14:paraId="06F15A2F" w14:textId="5C2C72DE" w:rsidR="00264F4C" w:rsidRPr="00CB249D" w:rsidRDefault="00CB249D" w:rsidP="00E53148">
            <w:pPr>
              <w:spacing w:before="0" w:line="240" w:lineRule="auto"/>
              <w:rPr>
                <w:rFonts w:asciiTheme="minorHAnsi" w:hAnsiTheme="minorHAnsi" w:cstheme="minorHAnsi"/>
                <w:color w:val="000000"/>
                <w:lang w:val="en-GB" w:eastAsia="en-US"/>
              </w:rPr>
            </w:pPr>
            <w:r w:rsidRPr="00CB249D">
              <w:rPr>
                <w:rFonts w:asciiTheme="minorHAnsi" w:hAnsiTheme="minorHAnsi" w:cstheme="minorHAnsi"/>
                <w:color w:val="000000"/>
                <w:lang w:val="en-GB" w:eastAsia="en-US"/>
              </w:rPr>
              <w:t>GES definicija:</w:t>
            </w:r>
            <w:r w:rsidR="00264F4C" w:rsidRPr="00CB249D">
              <w:rPr>
                <w:rFonts w:asciiTheme="minorHAnsi" w:hAnsiTheme="minorHAnsi" w:cstheme="minorHAnsi"/>
                <w:color w:val="000000"/>
                <w:lang w:val="en-GB" w:eastAsia="en-US"/>
              </w:rPr>
              <w:t xml:space="preserve"> </w:t>
            </w:r>
            <w:r w:rsidRPr="00CB249D">
              <w:rPr>
                <w:rFonts w:asciiTheme="minorHAnsi" w:hAnsiTheme="minorHAnsi" w:cstheme="minorHAnsi"/>
                <w:color w:val="000000"/>
                <w:lang w:val="en-GB" w:eastAsia="en-US"/>
              </w:rPr>
              <w:t>Strane vrste unesene ljudskim aktivnostima na nivou su koji ne šteti ekosistemima</w:t>
            </w:r>
          </w:p>
          <w:p w14:paraId="741D6169" w14:textId="48715F8C" w:rsidR="00264F4C" w:rsidRPr="00CB249D" w:rsidRDefault="00CB249D" w:rsidP="00F65CFF">
            <w:pPr>
              <w:autoSpaceDE w:val="0"/>
              <w:autoSpaceDN w:val="0"/>
              <w:adjustRightInd w:val="0"/>
              <w:spacing w:before="0" w:after="0" w:line="240" w:lineRule="auto"/>
              <w:rPr>
                <w:rFonts w:asciiTheme="minorHAnsi" w:hAnsiTheme="minorHAnsi" w:cstheme="minorHAnsi"/>
                <w:b/>
                <w:color w:val="000000"/>
                <w:lang w:val="en-GB" w:eastAsia="en-US"/>
              </w:rPr>
            </w:pPr>
            <w:r w:rsidRPr="00CB249D">
              <w:rPr>
                <w:rFonts w:asciiTheme="minorHAnsi" w:hAnsiTheme="minorHAnsi" w:cstheme="minorHAnsi"/>
                <w:b/>
                <w:color w:val="000000"/>
                <w:lang w:val="en-GB" w:eastAsia="en-US"/>
              </w:rPr>
              <w:t>Deskriptor</w:t>
            </w:r>
            <w:r>
              <w:rPr>
                <w:rFonts w:asciiTheme="minorHAnsi" w:hAnsiTheme="minorHAnsi" w:cstheme="minorHAnsi"/>
                <w:b/>
                <w:color w:val="000000"/>
                <w:lang w:val="en-GB" w:eastAsia="en-US"/>
              </w:rPr>
              <w:t xml:space="preserve"> 3 ili</w:t>
            </w:r>
            <w:r w:rsidR="00611800" w:rsidRPr="00CB249D">
              <w:rPr>
                <w:rFonts w:asciiTheme="minorHAnsi" w:hAnsiTheme="minorHAnsi" w:cstheme="minorHAnsi"/>
                <w:b/>
                <w:color w:val="000000"/>
                <w:lang w:val="en-GB" w:eastAsia="en-US"/>
              </w:rPr>
              <w:t xml:space="preserve"> D3 - </w:t>
            </w:r>
            <w:r w:rsidRPr="00CB249D">
              <w:rPr>
                <w:rFonts w:asciiTheme="minorHAnsi" w:hAnsiTheme="minorHAnsi" w:cstheme="minorHAnsi"/>
                <w:b/>
                <w:color w:val="000000"/>
                <w:lang w:val="en-GB" w:eastAsia="en-US"/>
              </w:rPr>
              <w:t>Populacije svih riba, rakova i mekušaca koji se iskorišćavaju u komercijalne svrhe</w:t>
            </w:r>
          </w:p>
          <w:p w14:paraId="262EFD05" w14:textId="2F64738B" w:rsidR="00264F4C" w:rsidRPr="00CB249D" w:rsidRDefault="00CB249D" w:rsidP="00E53148">
            <w:pPr>
              <w:spacing w:line="240" w:lineRule="auto"/>
              <w:textAlignment w:val="baseline"/>
              <w:rPr>
                <w:rFonts w:asciiTheme="minorHAnsi" w:eastAsia="Times New Roman" w:hAnsiTheme="minorHAnsi" w:cstheme="minorHAnsi"/>
                <w:b/>
                <w:bCs/>
                <w:color w:val="000000"/>
                <w:lang w:val="sr-Latn-RS" w:eastAsia="hr-HR"/>
              </w:rPr>
            </w:pPr>
            <w:r w:rsidRPr="00CB249D">
              <w:rPr>
                <w:rFonts w:asciiTheme="minorHAnsi" w:hAnsiTheme="minorHAnsi" w:cstheme="minorHAnsi"/>
                <w:color w:val="000000"/>
                <w:lang w:val="en-GB" w:eastAsia="en-US"/>
              </w:rPr>
              <w:t>GES definicija:</w:t>
            </w:r>
            <w:r w:rsidRPr="00CB249D">
              <w:rPr>
                <w:rFonts w:asciiTheme="minorHAnsi" w:hAnsiTheme="minorHAnsi" w:cstheme="minorHAnsi"/>
                <w:color w:val="000000"/>
                <w:lang w:val="sr-Latn-RS" w:eastAsia="hr-HR"/>
              </w:rPr>
              <w:t xml:space="preserve"> </w:t>
            </w:r>
            <w:r w:rsidRPr="00CB249D">
              <w:rPr>
                <w:rFonts w:asciiTheme="minorHAnsi" w:hAnsiTheme="minorHAnsi" w:cstheme="minorHAnsi"/>
                <w:color w:val="000000"/>
                <w:lang w:val="en-GB" w:eastAsia="en-US"/>
              </w:rPr>
              <w:t>Populacije svih riba, rakova i mekušaca koji se iskorišćavaju u komercijalne svrhe unutar su sigurnih bioloških granica, a raspodjela populacije prema starosti i veličini pokazuje da je fond zdrav.</w:t>
            </w:r>
          </w:p>
          <w:p w14:paraId="73AD76AA" w14:textId="6D87C030" w:rsidR="00264F4C" w:rsidRPr="00CB249D" w:rsidRDefault="00CB249D" w:rsidP="00F65CFF">
            <w:pPr>
              <w:autoSpaceDE w:val="0"/>
              <w:autoSpaceDN w:val="0"/>
              <w:adjustRightInd w:val="0"/>
              <w:spacing w:before="0" w:after="0" w:line="240" w:lineRule="auto"/>
              <w:rPr>
                <w:rFonts w:asciiTheme="minorHAnsi" w:hAnsiTheme="minorHAnsi" w:cstheme="minorHAnsi"/>
                <w:b/>
                <w:color w:val="000000"/>
                <w:lang w:val="en-GB" w:eastAsia="en-US"/>
              </w:rPr>
            </w:pPr>
            <w:r w:rsidRPr="00CB249D">
              <w:rPr>
                <w:rFonts w:asciiTheme="minorHAnsi" w:hAnsiTheme="minorHAnsi" w:cstheme="minorHAnsi"/>
                <w:b/>
                <w:color w:val="000000"/>
                <w:lang w:val="en-GB" w:eastAsia="en-US"/>
              </w:rPr>
              <w:t>Deskriptor</w:t>
            </w:r>
            <w:r>
              <w:rPr>
                <w:rFonts w:asciiTheme="minorHAnsi" w:hAnsiTheme="minorHAnsi" w:cstheme="minorHAnsi"/>
                <w:b/>
                <w:color w:val="000000"/>
                <w:lang w:val="en-GB" w:eastAsia="en-US"/>
              </w:rPr>
              <w:t xml:space="preserve"> 4 ili</w:t>
            </w:r>
            <w:r w:rsidR="00611800" w:rsidRPr="00CB249D">
              <w:rPr>
                <w:rFonts w:asciiTheme="minorHAnsi" w:hAnsiTheme="minorHAnsi" w:cstheme="minorHAnsi"/>
                <w:b/>
                <w:color w:val="000000"/>
                <w:lang w:val="en-GB" w:eastAsia="en-US"/>
              </w:rPr>
              <w:t xml:space="preserve"> D4 - </w:t>
            </w:r>
            <w:r w:rsidRPr="00CB249D">
              <w:rPr>
                <w:rFonts w:asciiTheme="minorHAnsi" w:hAnsiTheme="minorHAnsi" w:cstheme="minorHAnsi"/>
                <w:b/>
                <w:color w:val="000000"/>
                <w:lang w:val="en-GB" w:eastAsia="en-US"/>
              </w:rPr>
              <w:t>Prehrambene mreže</w:t>
            </w:r>
          </w:p>
          <w:p w14:paraId="60AE4D65" w14:textId="41529AFA" w:rsidR="00264F4C" w:rsidRPr="00CB249D" w:rsidRDefault="00CB249D" w:rsidP="00E53148">
            <w:pPr>
              <w:spacing w:line="240" w:lineRule="auto"/>
              <w:textAlignment w:val="baseline"/>
              <w:rPr>
                <w:rFonts w:asciiTheme="minorHAnsi" w:eastAsia="Times New Roman" w:hAnsiTheme="minorHAnsi" w:cstheme="minorHAnsi"/>
                <w:color w:val="000000"/>
                <w:lang w:val="sr-Latn-RS" w:eastAsia="hr-HR"/>
              </w:rPr>
            </w:pPr>
            <w:r w:rsidRPr="00CB249D">
              <w:rPr>
                <w:rFonts w:asciiTheme="minorHAnsi" w:hAnsiTheme="minorHAnsi" w:cstheme="minorHAnsi"/>
                <w:color w:val="000000"/>
                <w:lang w:val="en-GB" w:eastAsia="en-US"/>
              </w:rPr>
              <w:t>GES definicija: Svi elementi morskih prehrambenih mreža, u mjeri u kojoj su poznati, javljaju se u uobičajenoj brojnosti i raznovrsnosti te su na nivoima koji mogu obezbijediti dugoročnu brojnost vrsta i očuvanje njihove potpune sposobnosti razmnožavanja.</w:t>
            </w:r>
          </w:p>
          <w:p w14:paraId="19DBFC6D" w14:textId="1D2DA30A" w:rsidR="00264F4C" w:rsidRPr="00CB249D" w:rsidRDefault="00CB249D" w:rsidP="00F65CFF">
            <w:pPr>
              <w:autoSpaceDE w:val="0"/>
              <w:autoSpaceDN w:val="0"/>
              <w:adjustRightInd w:val="0"/>
              <w:spacing w:before="0" w:after="0" w:line="240" w:lineRule="auto"/>
              <w:rPr>
                <w:rFonts w:asciiTheme="minorHAnsi" w:hAnsiTheme="minorHAnsi" w:cstheme="minorHAnsi"/>
                <w:b/>
                <w:color w:val="000000"/>
                <w:lang w:val="en-GB" w:eastAsia="en-US"/>
              </w:rPr>
            </w:pPr>
            <w:r w:rsidRPr="00CB249D">
              <w:rPr>
                <w:rFonts w:asciiTheme="minorHAnsi" w:hAnsiTheme="minorHAnsi" w:cstheme="minorHAnsi"/>
                <w:b/>
                <w:color w:val="000000"/>
                <w:lang w:val="en-GB" w:eastAsia="en-US"/>
              </w:rPr>
              <w:t>Deskriptor</w:t>
            </w:r>
            <w:r>
              <w:rPr>
                <w:rFonts w:asciiTheme="minorHAnsi" w:hAnsiTheme="minorHAnsi" w:cstheme="minorHAnsi"/>
                <w:b/>
                <w:color w:val="000000"/>
                <w:lang w:val="en-GB" w:eastAsia="en-US"/>
              </w:rPr>
              <w:t xml:space="preserve"> 5 ili</w:t>
            </w:r>
            <w:r w:rsidR="00611800" w:rsidRPr="00CB249D">
              <w:rPr>
                <w:rFonts w:asciiTheme="minorHAnsi" w:hAnsiTheme="minorHAnsi" w:cstheme="minorHAnsi"/>
                <w:b/>
                <w:color w:val="000000"/>
                <w:lang w:val="en-GB" w:eastAsia="en-US"/>
              </w:rPr>
              <w:t xml:space="preserve"> D5 - </w:t>
            </w:r>
            <w:r w:rsidRPr="00CB249D">
              <w:rPr>
                <w:rFonts w:asciiTheme="minorHAnsi" w:eastAsia="Times New Roman" w:hAnsiTheme="minorHAnsi" w:cstheme="minorHAnsi"/>
                <w:b/>
                <w:color w:val="000000"/>
                <w:lang w:val="sr-Latn-RS" w:eastAsia="hr-HR"/>
              </w:rPr>
              <w:t>Eutrofikacija</w:t>
            </w:r>
          </w:p>
          <w:p w14:paraId="64425BBA" w14:textId="77777777" w:rsidR="00CB249D" w:rsidRPr="00CB249D" w:rsidRDefault="00CB249D" w:rsidP="00E53148">
            <w:pPr>
              <w:spacing w:line="240" w:lineRule="auto"/>
              <w:textAlignment w:val="baseline"/>
              <w:rPr>
                <w:rFonts w:asciiTheme="minorHAnsi" w:eastAsia="Times New Roman" w:hAnsiTheme="minorHAnsi" w:cstheme="minorHAnsi"/>
                <w:color w:val="000000"/>
                <w:lang w:val="sr-Latn-RS" w:eastAsia="hr-HR"/>
              </w:rPr>
            </w:pPr>
            <w:r w:rsidRPr="00CB249D">
              <w:rPr>
                <w:rFonts w:asciiTheme="minorHAnsi" w:hAnsiTheme="minorHAnsi" w:cstheme="minorHAnsi"/>
                <w:color w:val="000000"/>
                <w:lang w:val="en-GB" w:eastAsia="en-US"/>
              </w:rPr>
              <w:t xml:space="preserve">GES definicija: </w:t>
            </w:r>
            <w:r w:rsidRPr="00CB249D">
              <w:rPr>
                <w:rFonts w:asciiTheme="minorHAnsi" w:eastAsia="Times New Roman" w:hAnsiTheme="minorHAnsi" w:cstheme="minorHAnsi"/>
                <w:color w:val="000000"/>
                <w:lang w:val="sr-Latn-RS" w:eastAsia="hr-HR"/>
              </w:rPr>
              <w:t>Eutrofikacija uzrokovana ljudskim aktivnostima smanjena je na najmanju mjeru, posebno njeni štetni uticaji, kao što su gubitak biodiverziteta, propadanje ekosistema, prekomjerno cvjetanje algi, kao i nedostatak kiseonika u pridnenim slojevima vode.</w:t>
            </w:r>
          </w:p>
          <w:p w14:paraId="0193CA9A" w14:textId="15231538" w:rsidR="00264F4C" w:rsidRPr="00CB249D" w:rsidRDefault="00CB249D" w:rsidP="00F65CFF">
            <w:pPr>
              <w:autoSpaceDE w:val="0"/>
              <w:autoSpaceDN w:val="0"/>
              <w:adjustRightInd w:val="0"/>
              <w:spacing w:before="0" w:after="0" w:line="240" w:lineRule="auto"/>
              <w:rPr>
                <w:rFonts w:asciiTheme="minorHAnsi" w:hAnsiTheme="minorHAnsi" w:cstheme="minorHAnsi"/>
                <w:b/>
                <w:color w:val="000000"/>
                <w:lang w:val="en-GB" w:eastAsia="en-US"/>
              </w:rPr>
            </w:pPr>
            <w:r w:rsidRPr="00CB249D">
              <w:rPr>
                <w:rFonts w:asciiTheme="minorHAnsi" w:hAnsiTheme="minorHAnsi" w:cstheme="minorHAnsi"/>
                <w:b/>
                <w:color w:val="000000"/>
                <w:lang w:val="en-GB" w:eastAsia="en-US"/>
              </w:rPr>
              <w:t>Deskriptor</w:t>
            </w:r>
            <w:r>
              <w:rPr>
                <w:rFonts w:asciiTheme="minorHAnsi" w:hAnsiTheme="minorHAnsi" w:cstheme="minorHAnsi"/>
                <w:b/>
                <w:color w:val="000000"/>
                <w:lang w:val="en-GB" w:eastAsia="en-US"/>
              </w:rPr>
              <w:t xml:space="preserve"> 6 ili</w:t>
            </w:r>
            <w:r w:rsidR="00611800" w:rsidRPr="00CB249D">
              <w:rPr>
                <w:rFonts w:asciiTheme="minorHAnsi" w:hAnsiTheme="minorHAnsi" w:cstheme="minorHAnsi"/>
                <w:b/>
                <w:color w:val="000000"/>
                <w:lang w:val="en-GB" w:eastAsia="en-US"/>
              </w:rPr>
              <w:t xml:space="preserve"> D6 - </w:t>
            </w:r>
            <w:r w:rsidRPr="00CB249D">
              <w:rPr>
                <w:rFonts w:asciiTheme="minorHAnsi" w:eastAsia="Times New Roman" w:hAnsiTheme="minorHAnsi" w:cstheme="minorHAnsi"/>
                <w:b/>
                <w:color w:val="000000"/>
                <w:lang w:val="sr-Latn-RS" w:eastAsia="hr-HR"/>
              </w:rPr>
              <w:t>Integritet morskog dna</w:t>
            </w:r>
          </w:p>
          <w:p w14:paraId="1DD019EA" w14:textId="1B494DB8" w:rsidR="00264F4C" w:rsidRPr="006075FE" w:rsidRDefault="00CB249D" w:rsidP="00E53148">
            <w:pPr>
              <w:spacing w:line="240" w:lineRule="auto"/>
              <w:textAlignment w:val="baseline"/>
              <w:rPr>
                <w:rFonts w:asciiTheme="minorHAnsi" w:eastAsia="Times New Roman" w:hAnsiTheme="minorHAnsi" w:cstheme="minorHAnsi"/>
                <w:color w:val="000000"/>
                <w:lang w:val="sr-Latn-RS" w:eastAsia="hr-HR"/>
              </w:rPr>
            </w:pPr>
            <w:r w:rsidRPr="00CB249D">
              <w:rPr>
                <w:rFonts w:asciiTheme="minorHAnsi" w:hAnsiTheme="minorHAnsi" w:cstheme="minorHAnsi"/>
                <w:color w:val="000000"/>
                <w:lang w:val="en-GB" w:eastAsia="en-US"/>
              </w:rPr>
              <w:t>GES definicija:</w:t>
            </w:r>
            <w:r w:rsidR="00264F4C" w:rsidRPr="00CB249D">
              <w:rPr>
                <w:rFonts w:asciiTheme="minorHAnsi" w:hAnsiTheme="minorHAnsi" w:cstheme="minorHAnsi"/>
                <w:color w:val="000000"/>
                <w:lang w:val="en-GB" w:eastAsia="en-US"/>
              </w:rPr>
              <w:t xml:space="preserve"> </w:t>
            </w:r>
            <w:r w:rsidRPr="00CB249D">
              <w:rPr>
                <w:rFonts w:asciiTheme="minorHAnsi" w:eastAsia="Times New Roman" w:hAnsiTheme="minorHAnsi" w:cstheme="minorHAnsi"/>
                <w:color w:val="000000"/>
                <w:lang w:val="sr-Latn-RS" w:eastAsia="hr-HR"/>
              </w:rPr>
              <w:t>Integritet morskog dna je na nivou koji obezbjeđuje da su struktura i funkcije ekosistema zaštićene, a posebno da bentoski ekosistemi nijesu</w:t>
            </w:r>
            <w:r w:rsidR="006075FE">
              <w:rPr>
                <w:rFonts w:asciiTheme="minorHAnsi" w:eastAsia="Times New Roman" w:hAnsiTheme="minorHAnsi" w:cstheme="minorHAnsi"/>
                <w:color w:val="000000"/>
                <w:lang w:val="sr-Latn-RS" w:eastAsia="hr-HR"/>
              </w:rPr>
              <w:t xml:space="preserve"> pogođeni štetnim posljedicama.</w:t>
            </w:r>
          </w:p>
          <w:p w14:paraId="537EE0AD" w14:textId="036F1ED9" w:rsidR="00264F4C" w:rsidRPr="00CB249D" w:rsidRDefault="00CB249D" w:rsidP="00F65CFF">
            <w:pPr>
              <w:autoSpaceDE w:val="0"/>
              <w:autoSpaceDN w:val="0"/>
              <w:adjustRightInd w:val="0"/>
              <w:spacing w:before="0" w:after="0" w:line="240" w:lineRule="auto"/>
              <w:rPr>
                <w:rFonts w:asciiTheme="minorHAnsi" w:hAnsiTheme="minorHAnsi" w:cstheme="minorHAnsi"/>
                <w:b/>
                <w:color w:val="000000"/>
                <w:lang w:val="en-GB" w:eastAsia="en-US"/>
              </w:rPr>
            </w:pPr>
            <w:r w:rsidRPr="00CB249D">
              <w:rPr>
                <w:rFonts w:asciiTheme="minorHAnsi" w:hAnsiTheme="minorHAnsi" w:cstheme="minorHAnsi"/>
                <w:b/>
                <w:color w:val="000000"/>
                <w:lang w:val="en-GB" w:eastAsia="en-US"/>
              </w:rPr>
              <w:t>Deskriptor</w:t>
            </w:r>
            <w:r>
              <w:rPr>
                <w:rFonts w:asciiTheme="minorHAnsi" w:hAnsiTheme="minorHAnsi" w:cstheme="minorHAnsi"/>
                <w:b/>
                <w:color w:val="000000"/>
                <w:lang w:val="en-GB" w:eastAsia="en-US"/>
              </w:rPr>
              <w:t xml:space="preserve"> 7 ili </w:t>
            </w:r>
            <w:r w:rsidR="00611800" w:rsidRPr="00CB249D">
              <w:rPr>
                <w:rFonts w:asciiTheme="minorHAnsi" w:hAnsiTheme="minorHAnsi" w:cstheme="minorHAnsi"/>
                <w:b/>
                <w:color w:val="000000"/>
                <w:lang w:val="en-GB" w:eastAsia="en-US"/>
              </w:rPr>
              <w:t xml:space="preserve">D7 - </w:t>
            </w:r>
            <w:r w:rsidR="00264F4C" w:rsidRPr="00CB249D">
              <w:rPr>
                <w:rFonts w:asciiTheme="minorHAnsi" w:hAnsiTheme="minorHAnsi" w:cstheme="minorHAnsi"/>
                <w:b/>
                <w:color w:val="000000"/>
                <w:lang w:val="en-GB" w:eastAsia="en-US"/>
              </w:rPr>
              <w:t>Hidrogra</w:t>
            </w:r>
            <w:r>
              <w:rPr>
                <w:rFonts w:asciiTheme="minorHAnsi" w:hAnsiTheme="minorHAnsi" w:cstheme="minorHAnsi"/>
                <w:b/>
                <w:color w:val="000000"/>
                <w:lang w:val="en-GB" w:eastAsia="en-US"/>
              </w:rPr>
              <w:t>fija</w:t>
            </w:r>
          </w:p>
          <w:p w14:paraId="457E3ACE" w14:textId="35268593" w:rsidR="00264F4C" w:rsidRPr="00CB249D" w:rsidRDefault="00CB249D" w:rsidP="00E53148">
            <w:pPr>
              <w:autoSpaceDE w:val="0"/>
              <w:autoSpaceDN w:val="0"/>
              <w:adjustRightInd w:val="0"/>
              <w:spacing w:before="0" w:line="240" w:lineRule="auto"/>
              <w:rPr>
                <w:rFonts w:asciiTheme="minorHAnsi" w:hAnsiTheme="minorHAnsi" w:cstheme="minorHAnsi"/>
                <w:color w:val="000000"/>
                <w:lang w:val="en-GB" w:eastAsia="en-US"/>
              </w:rPr>
            </w:pPr>
            <w:r w:rsidRPr="00CB249D">
              <w:rPr>
                <w:rFonts w:asciiTheme="minorHAnsi" w:hAnsiTheme="minorHAnsi" w:cstheme="minorHAnsi"/>
                <w:color w:val="000000"/>
                <w:lang w:val="en-GB" w:eastAsia="en-US"/>
              </w:rPr>
              <w:t xml:space="preserve">GES definicija: </w:t>
            </w:r>
            <w:r w:rsidRPr="00CB249D">
              <w:rPr>
                <w:rFonts w:asciiTheme="minorHAnsi" w:eastAsia="Times New Roman" w:hAnsiTheme="minorHAnsi" w:cstheme="minorHAnsi"/>
                <w:color w:val="000000"/>
                <w:lang w:val="sr-Latn-RS" w:eastAsia="hr-HR"/>
              </w:rPr>
              <w:t>Trajna promjena hidrografskih i okeanografskih uslova ne šteti morskim ekosistemima</w:t>
            </w:r>
          </w:p>
          <w:p w14:paraId="237354F7" w14:textId="47913CC9" w:rsidR="00611800" w:rsidRPr="00CB249D" w:rsidRDefault="00CB249D" w:rsidP="00F65CFF">
            <w:pPr>
              <w:autoSpaceDE w:val="0"/>
              <w:autoSpaceDN w:val="0"/>
              <w:adjustRightInd w:val="0"/>
              <w:spacing w:before="0" w:after="0" w:line="240" w:lineRule="auto"/>
              <w:rPr>
                <w:rFonts w:asciiTheme="minorHAnsi" w:hAnsiTheme="minorHAnsi" w:cstheme="minorHAnsi"/>
                <w:b/>
                <w:color w:val="000000"/>
                <w:lang w:val="en-GB" w:eastAsia="en-US"/>
              </w:rPr>
            </w:pPr>
            <w:r w:rsidRPr="00CB249D">
              <w:rPr>
                <w:rFonts w:asciiTheme="minorHAnsi" w:hAnsiTheme="minorHAnsi" w:cstheme="minorHAnsi"/>
                <w:b/>
                <w:color w:val="000000"/>
                <w:lang w:val="en-GB" w:eastAsia="en-US"/>
              </w:rPr>
              <w:t>Deskriptor</w:t>
            </w:r>
            <w:r>
              <w:rPr>
                <w:rFonts w:asciiTheme="minorHAnsi" w:hAnsiTheme="minorHAnsi" w:cstheme="minorHAnsi"/>
                <w:b/>
                <w:color w:val="000000"/>
                <w:lang w:val="en-GB" w:eastAsia="en-US"/>
              </w:rPr>
              <w:t xml:space="preserve"> 8</w:t>
            </w:r>
            <w:r w:rsidR="00E53148">
              <w:rPr>
                <w:rFonts w:asciiTheme="minorHAnsi" w:hAnsiTheme="minorHAnsi" w:cstheme="minorHAnsi"/>
                <w:b/>
                <w:color w:val="000000"/>
                <w:lang w:val="en-GB" w:eastAsia="en-US"/>
              </w:rPr>
              <w:t xml:space="preserve"> </w:t>
            </w:r>
            <w:r>
              <w:rPr>
                <w:rFonts w:asciiTheme="minorHAnsi" w:hAnsiTheme="minorHAnsi" w:cstheme="minorHAnsi"/>
                <w:b/>
                <w:color w:val="000000"/>
                <w:lang w:val="en-GB" w:eastAsia="en-US"/>
              </w:rPr>
              <w:t xml:space="preserve">ili </w:t>
            </w:r>
            <w:r w:rsidR="00611800" w:rsidRPr="00CB249D">
              <w:rPr>
                <w:rFonts w:asciiTheme="minorHAnsi" w:hAnsiTheme="minorHAnsi" w:cstheme="minorHAnsi"/>
                <w:b/>
                <w:color w:val="000000"/>
                <w:lang w:val="en-GB" w:eastAsia="en-US"/>
              </w:rPr>
              <w:t xml:space="preserve">D8 – </w:t>
            </w:r>
            <w:r>
              <w:rPr>
                <w:rFonts w:asciiTheme="minorHAnsi" w:hAnsiTheme="minorHAnsi" w:cstheme="minorHAnsi"/>
                <w:b/>
                <w:color w:val="000000"/>
                <w:lang w:val="en-GB" w:eastAsia="en-US"/>
              </w:rPr>
              <w:t>Zagađujuće materije</w:t>
            </w:r>
          </w:p>
          <w:p w14:paraId="7E997CC4" w14:textId="76C360C9" w:rsidR="00264F4C" w:rsidRPr="00CB249D" w:rsidRDefault="00CB249D" w:rsidP="00E53148">
            <w:pPr>
              <w:spacing w:line="240" w:lineRule="auto"/>
              <w:textAlignment w:val="baseline"/>
              <w:rPr>
                <w:rFonts w:asciiTheme="minorHAnsi" w:eastAsia="Times New Roman" w:hAnsiTheme="minorHAnsi" w:cstheme="minorHAnsi"/>
                <w:color w:val="000000"/>
                <w:lang w:val="sr-Latn-RS" w:eastAsia="hr-HR"/>
              </w:rPr>
            </w:pPr>
            <w:r w:rsidRPr="00CB249D">
              <w:rPr>
                <w:rFonts w:asciiTheme="minorHAnsi" w:hAnsiTheme="minorHAnsi" w:cstheme="minorHAnsi"/>
                <w:color w:val="000000"/>
                <w:lang w:val="en-GB" w:eastAsia="en-US"/>
              </w:rPr>
              <w:t>GES definicija:</w:t>
            </w:r>
            <w:r w:rsidR="00264F4C" w:rsidRPr="00CB249D">
              <w:rPr>
                <w:rFonts w:asciiTheme="minorHAnsi" w:hAnsiTheme="minorHAnsi" w:cstheme="minorHAnsi"/>
                <w:color w:val="000000"/>
                <w:lang w:val="en-GB" w:eastAsia="en-US"/>
              </w:rPr>
              <w:t xml:space="preserve"> </w:t>
            </w:r>
            <w:bookmarkStart w:id="19" w:name="_Hlk36733088"/>
            <w:r w:rsidRPr="00CB249D">
              <w:rPr>
                <w:rFonts w:asciiTheme="minorHAnsi" w:eastAsia="Times New Roman" w:hAnsiTheme="minorHAnsi" w:cstheme="minorHAnsi"/>
                <w:color w:val="000000"/>
                <w:lang w:val="sr-Latn-RS" w:eastAsia="hr-HR"/>
              </w:rPr>
              <w:t>Koncentracije zagađujućih materija na nivou su koji ne dovodi do zagađenja</w:t>
            </w:r>
            <w:bookmarkEnd w:id="19"/>
            <w:r w:rsidRPr="00CB249D">
              <w:rPr>
                <w:rFonts w:asciiTheme="minorHAnsi" w:eastAsia="Times New Roman" w:hAnsiTheme="minorHAnsi" w:cstheme="minorHAnsi"/>
                <w:color w:val="000000"/>
                <w:lang w:val="sr-Latn-RS" w:eastAsia="hr-HR"/>
              </w:rPr>
              <w:t>.</w:t>
            </w:r>
          </w:p>
          <w:p w14:paraId="61546689" w14:textId="6E13CE91" w:rsidR="00264F4C" w:rsidRPr="00CB249D" w:rsidRDefault="00CB249D" w:rsidP="00F65CFF">
            <w:pPr>
              <w:autoSpaceDE w:val="0"/>
              <w:autoSpaceDN w:val="0"/>
              <w:adjustRightInd w:val="0"/>
              <w:spacing w:before="0" w:after="0" w:line="240" w:lineRule="auto"/>
              <w:rPr>
                <w:rFonts w:asciiTheme="minorHAnsi" w:hAnsiTheme="minorHAnsi" w:cstheme="minorHAnsi"/>
                <w:color w:val="000000"/>
                <w:lang w:val="en-GB" w:eastAsia="en-US"/>
              </w:rPr>
            </w:pPr>
            <w:r w:rsidRPr="00CB249D">
              <w:rPr>
                <w:rFonts w:asciiTheme="minorHAnsi" w:hAnsiTheme="minorHAnsi" w:cstheme="minorHAnsi"/>
                <w:b/>
                <w:color w:val="000000"/>
                <w:lang w:val="en-GB" w:eastAsia="en-US"/>
              </w:rPr>
              <w:t>Deskriptor</w:t>
            </w:r>
            <w:r w:rsidR="00611800" w:rsidRPr="00CB249D">
              <w:rPr>
                <w:rFonts w:asciiTheme="minorHAnsi" w:hAnsiTheme="minorHAnsi" w:cstheme="minorHAnsi"/>
                <w:b/>
                <w:color w:val="000000"/>
                <w:lang w:val="en-GB" w:eastAsia="en-US"/>
              </w:rPr>
              <w:t xml:space="preserve"> 9 </w:t>
            </w:r>
            <w:r>
              <w:rPr>
                <w:rFonts w:asciiTheme="minorHAnsi" w:hAnsiTheme="minorHAnsi" w:cstheme="minorHAnsi"/>
                <w:b/>
                <w:color w:val="000000"/>
                <w:lang w:val="en-GB" w:eastAsia="en-US"/>
              </w:rPr>
              <w:t>ili</w:t>
            </w:r>
            <w:r w:rsidR="00611800" w:rsidRPr="00CB249D">
              <w:rPr>
                <w:rFonts w:asciiTheme="minorHAnsi" w:hAnsiTheme="minorHAnsi" w:cstheme="minorHAnsi"/>
                <w:b/>
                <w:color w:val="000000"/>
                <w:lang w:val="en-GB" w:eastAsia="en-US"/>
              </w:rPr>
              <w:t xml:space="preserve"> D9 </w:t>
            </w:r>
            <w:r w:rsidR="00611800" w:rsidRPr="00CB249D">
              <w:rPr>
                <w:rFonts w:asciiTheme="minorHAnsi" w:hAnsiTheme="minorHAnsi" w:cstheme="minorHAnsi"/>
                <w:color w:val="000000"/>
                <w:lang w:val="en-GB" w:eastAsia="en-US"/>
              </w:rPr>
              <w:t xml:space="preserve">- </w:t>
            </w:r>
            <w:r w:rsidRPr="00CB249D">
              <w:rPr>
                <w:rFonts w:asciiTheme="minorHAnsi" w:eastAsia="Times New Roman" w:hAnsiTheme="minorHAnsi" w:cstheme="minorHAnsi"/>
                <w:color w:val="000000"/>
                <w:lang w:val="sr-Latn-RS" w:eastAsia="hr-HR"/>
              </w:rPr>
              <w:t>Zagađujuće materije u ribi i drugim morskim organizmima koji se koriste za ljudsku ishranu</w:t>
            </w:r>
          </w:p>
          <w:p w14:paraId="7DEE6F01" w14:textId="08E886B1" w:rsidR="00264F4C" w:rsidRPr="00CB249D" w:rsidRDefault="00CB249D" w:rsidP="00E53148">
            <w:pPr>
              <w:spacing w:line="240" w:lineRule="auto"/>
              <w:textAlignment w:val="baseline"/>
              <w:rPr>
                <w:rFonts w:asciiTheme="minorHAnsi" w:eastAsia="Times New Roman" w:hAnsiTheme="minorHAnsi" w:cstheme="minorHAnsi"/>
                <w:color w:val="000000"/>
                <w:lang w:val="sr-Latn-RS" w:eastAsia="hr-HR"/>
              </w:rPr>
            </w:pPr>
            <w:r w:rsidRPr="00CB249D">
              <w:rPr>
                <w:rFonts w:asciiTheme="minorHAnsi" w:hAnsiTheme="minorHAnsi" w:cstheme="minorHAnsi"/>
                <w:color w:val="000000"/>
                <w:lang w:val="en-GB" w:eastAsia="en-US"/>
              </w:rPr>
              <w:t>GES definicija:</w:t>
            </w:r>
            <w:r w:rsidR="00264F4C" w:rsidRPr="00CB249D">
              <w:rPr>
                <w:rFonts w:asciiTheme="minorHAnsi" w:hAnsiTheme="minorHAnsi" w:cstheme="minorHAnsi"/>
                <w:color w:val="000000"/>
                <w:lang w:val="en-GB" w:eastAsia="en-US"/>
              </w:rPr>
              <w:t xml:space="preserve"> </w:t>
            </w:r>
            <w:r w:rsidRPr="00CB249D">
              <w:rPr>
                <w:rFonts w:asciiTheme="minorHAnsi" w:eastAsia="Times New Roman" w:hAnsiTheme="minorHAnsi" w:cstheme="minorHAnsi"/>
                <w:color w:val="000000"/>
                <w:lang w:val="sr-Latn-RS" w:eastAsia="hr-HR"/>
              </w:rPr>
              <w:t>Zagađujuće materije u ribi i drugim morskim organizmima koji se koriste za ljudsku ishranu ne prelaze vrijednosti utvrđene zakonodavstvom Zajednice ili odgovarajućim standardima.</w:t>
            </w:r>
          </w:p>
          <w:p w14:paraId="3F258661" w14:textId="495ED826" w:rsidR="00264F4C" w:rsidRPr="00CB249D" w:rsidRDefault="00CB249D" w:rsidP="00F65CFF">
            <w:pPr>
              <w:autoSpaceDE w:val="0"/>
              <w:autoSpaceDN w:val="0"/>
              <w:adjustRightInd w:val="0"/>
              <w:spacing w:before="0" w:after="0" w:line="240" w:lineRule="auto"/>
              <w:rPr>
                <w:rFonts w:asciiTheme="minorHAnsi" w:hAnsiTheme="minorHAnsi" w:cstheme="minorHAnsi"/>
                <w:b/>
                <w:color w:val="000000"/>
                <w:lang w:val="en-GB" w:eastAsia="en-US"/>
              </w:rPr>
            </w:pPr>
            <w:r w:rsidRPr="00CB249D">
              <w:rPr>
                <w:rFonts w:asciiTheme="minorHAnsi" w:hAnsiTheme="minorHAnsi" w:cstheme="minorHAnsi"/>
                <w:b/>
                <w:color w:val="000000"/>
                <w:lang w:val="en-GB" w:eastAsia="en-US"/>
              </w:rPr>
              <w:t>Deskriptor</w:t>
            </w:r>
            <w:r w:rsidR="00611800" w:rsidRPr="00CB249D">
              <w:rPr>
                <w:rFonts w:asciiTheme="minorHAnsi" w:hAnsiTheme="minorHAnsi" w:cstheme="minorHAnsi"/>
                <w:b/>
                <w:color w:val="000000"/>
                <w:lang w:val="en-GB" w:eastAsia="en-US"/>
              </w:rPr>
              <w:t xml:space="preserve"> 10 </w:t>
            </w:r>
            <w:r>
              <w:rPr>
                <w:rFonts w:asciiTheme="minorHAnsi" w:hAnsiTheme="minorHAnsi" w:cstheme="minorHAnsi"/>
                <w:b/>
                <w:color w:val="000000"/>
                <w:lang w:val="en-GB" w:eastAsia="en-US"/>
              </w:rPr>
              <w:t>ili</w:t>
            </w:r>
            <w:r w:rsidR="00611800" w:rsidRPr="00CB249D">
              <w:rPr>
                <w:rFonts w:asciiTheme="minorHAnsi" w:hAnsiTheme="minorHAnsi" w:cstheme="minorHAnsi"/>
                <w:b/>
                <w:color w:val="000000"/>
                <w:lang w:val="en-GB" w:eastAsia="en-US"/>
              </w:rPr>
              <w:t xml:space="preserve"> D10 </w:t>
            </w:r>
            <w:r>
              <w:rPr>
                <w:rFonts w:asciiTheme="minorHAnsi" w:hAnsiTheme="minorHAnsi" w:cstheme="minorHAnsi"/>
                <w:b/>
                <w:color w:val="000000"/>
                <w:lang w:val="en-GB" w:eastAsia="en-US"/>
              </w:rPr>
              <w:t>–</w:t>
            </w:r>
            <w:r w:rsidR="00611800" w:rsidRPr="00CB249D">
              <w:rPr>
                <w:rFonts w:asciiTheme="minorHAnsi" w:hAnsiTheme="minorHAnsi" w:cstheme="minorHAnsi"/>
                <w:b/>
                <w:color w:val="000000"/>
                <w:lang w:val="en-GB" w:eastAsia="en-US"/>
              </w:rPr>
              <w:t xml:space="preserve"> </w:t>
            </w:r>
            <w:r>
              <w:rPr>
                <w:rFonts w:asciiTheme="minorHAnsi" w:hAnsiTheme="minorHAnsi" w:cstheme="minorHAnsi"/>
                <w:b/>
                <w:color w:val="000000"/>
                <w:lang w:val="en-GB" w:eastAsia="en-US"/>
              </w:rPr>
              <w:t>Morski otpad</w:t>
            </w:r>
          </w:p>
          <w:p w14:paraId="1DA10B63" w14:textId="5AF4F741" w:rsidR="00264F4C" w:rsidRPr="00CB249D" w:rsidRDefault="00CB249D" w:rsidP="00E53148">
            <w:pPr>
              <w:spacing w:line="240" w:lineRule="auto"/>
              <w:textAlignment w:val="baseline"/>
              <w:rPr>
                <w:rFonts w:asciiTheme="minorHAnsi" w:eastAsia="Times New Roman" w:hAnsiTheme="minorHAnsi" w:cstheme="minorHAnsi"/>
                <w:color w:val="000000"/>
                <w:lang w:val="sr-Latn-RS" w:eastAsia="hr-HR"/>
              </w:rPr>
            </w:pPr>
            <w:r w:rsidRPr="00CB249D">
              <w:rPr>
                <w:rFonts w:asciiTheme="minorHAnsi" w:hAnsiTheme="minorHAnsi" w:cstheme="minorHAnsi"/>
                <w:color w:val="000000"/>
                <w:lang w:val="en-GB" w:eastAsia="en-US"/>
              </w:rPr>
              <w:t>GES definicija:</w:t>
            </w:r>
            <w:r w:rsidR="00264F4C" w:rsidRPr="00CB249D">
              <w:rPr>
                <w:rFonts w:asciiTheme="minorHAnsi" w:hAnsiTheme="minorHAnsi" w:cstheme="minorHAnsi"/>
                <w:color w:val="000000"/>
                <w:lang w:val="en-GB" w:eastAsia="en-US"/>
              </w:rPr>
              <w:t xml:space="preserve"> </w:t>
            </w:r>
            <w:bookmarkStart w:id="20" w:name="_Hlk36743764"/>
            <w:r w:rsidRPr="00CB249D">
              <w:rPr>
                <w:rFonts w:asciiTheme="minorHAnsi" w:eastAsia="Times New Roman" w:hAnsiTheme="minorHAnsi" w:cstheme="minorHAnsi"/>
                <w:color w:val="000000"/>
                <w:lang w:val="sr-Latn-RS" w:eastAsia="hr-HR"/>
              </w:rPr>
              <w:t>Karakteristike i količine morskog otpada ne štete obalnom području i morskoj sredini</w:t>
            </w:r>
            <w:bookmarkEnd w:id="20"/>
            <w:r>
              <w:rPr>
                <w:rFonts w:asciiTheme="minorHAnsi" w:eastAsia="Times New Roman" w:hAnsiTheme="minorHAnsi" w:cstheme="minorHAnsi"/>
                <w:color w:val="000000"/>
                <w:lang w:val="sr-Latn-RS" w:eastAsia="hr-HR"/>
              </w:rPr>
              <w:t>.</w:t>
            </w:r>
            <w:r w:rsidR="00264F4C" w:rsidRPr="00CB249D">
              <w:rPr>
                <w:rFonts w:asciiTheme="minorHAnsi" w:hAnsiTheme="minorHAnsi" w:cstheme="minorHAnsi"/>
                <w:color w:val="000000"/>
                <w:lang w:val="en-GB" w:eastAsia="en-US"/>
              </w:rPr>
              <w:t xml:space="preserve"> </w:t>
            </w:r>
          </w:p>
          <w:p w14:paraId="463E87C4" w14:textId="0F8B633F" w:rsidR="00264F4C" w:rsidRPr="00CB249D" w:rsidRDefault="00CB249D" w:rsidP="00F65CFF">
            <w:pPr>
              <w:autoSpaceDE w:val="0"/>
              <w:autoSpaceDN w:val="0"/>
              <w:adjustRightInd w:val="0"/>
              <w:spacing w:before="0" w:after="0" w:line="240" w:lineRule="auto"/>
              <w:rPr>
                <w:rFonts w:asciiTheme="minorHAnsi" w:hAnsiTheme="minorHAnsi" w:cstheme="minorHAnsi"/>
                <w:b/>
                <w:lang w:val="en-GB" w:eastAsia="en-US"/>
              </w:rPr>
            </w:pPr>
            <w:r w:rsidRPr="00CB249D">
              <w:rPr>
                <w:rFonts w:asciiTheme="minorHAnsi" w:hAnsiTheme="minorHAnsi" w:cstheme="minorHAnsi"/>
                <w:b/>
                <w:color w:val="000000"/>
                <w:lang w:val="en-GB" w:eastAsia="en-US"/>
              </w:rPr>
              <w:t>Deskriptor</w:t>
            </w:r>
            <w:r w:rsidRPr="00CB249D">
              <w:rPr>
                <w:rFonts w:asciiTheme="minorHAnsi" w:hAnsiTheme="minorHAnsi" w:cstheme="minorHAnsi"/>
                <w:b/>
                <w:lang w:val="en-GB" w:eastAsia="en-US"/>
              </w:rPr>
              <w:t xml:space="preserve"> </w:t>
            </w:r>
            <w:r w:rsidR="00611800" w:rsidRPr="00CB249D">
              <w:rPr>
                <w:rFonts w:asciiTheme="minorHAnsi" w:hAnsiTheme="minorHAnsi" w:cstheme="minorHAnsi"/>
                <w:b/>
                <w:lang w:val="en-GB" w:eastAsia="en-US"/>
              </w:rPr>
              <w:t xml:space="preserve">11 </w:t>
            </w:r>
            <w:r w:rsidRPr="00CB249D">
              <w:rPr>
                <w:rFonts w:asciiTheme="minorHAnsi" w:hAnsiTheme="minorHAnsi" w:cstheme="minorHAnsi"/>
                <w:b/>
                <w:lang w:val="en-GB" w:eastAsia="en-US"/>
              </w:rPr>
              <w:t>ili</w:t>
            </w:r>
            <w:r w:rsidR="00611800" w:rsidRPr="00CB249D">
              <w:rPr>
                <w:rFonts w:asciiTheme="minorHAnsi" w:hAnsiTheme="minorHAnsi" w:cstheme="minorHAnsi"/>
                <w:b/>
                <w:lang w:val="en-GB" w:eastAsia="en-US"/>
              </w:rPr>
              <w:t xml:space="preserve"> D11 - </w:t>
            </w:r>
            <w:r w:rsidRPr="00CB249D">
              <w:rPr>
                <w:rFonts w:asciiTheme="minorHAnsi" w:eastAsia="Times New Roman" w:hAnsiTheme="minorHAnsi" w:cstheme="minorHAnsi"/>
                <w:b/>
                <w:color w:val="000000"/>
                <w:lang w:val="sr-Latn-RS" w:eastAsia="hr-HR"/>
              </w:rPr>
              <w:t>Unos energije, uključujući podvodnu buku</w:t>
            </w:r>
          </w:p>
          <w:p w14:paraId="487E6195" w14:textId="6FBB58C9" w:rsidR="00264F4C" w:rsidRPr="00CB249D" w:rsidRDefault="00264F4C" w:rsidP="00CB249D">
            <w:pPr>
              <w:spacing w:after="0" w:line="240" w:lineRule="auto"/>
              <w:textAlignment w:val="baseline"/>
              <w:rPr>
                <w:rFonts w:asciiTheme="minorHAnsi" w:eastAsia="Times New Roman" w:hAnsiTheme="minorHAnsi" w:cstheme="minorHAnsi"/>
                <w:color w:val="000000"/>
                <w:lang w:val="sr-Latn-RS" w:eastAsia="hr-HR"/>
              </w:rPr>
            </w:pPr>
            <w:r w:rsidRPr="00CB249D">
              <w:rPr>
                <w:rFonts w:asciiTheme="minorHAnsi" w:hAnsiTheme="minorHAnsi" w:cstheme="minorHAnsi"/>
                <w:lang w:val="en-GB" w:eastAsia="en-US"/>
              </w:rPr>
              <w:t xml:space="preserve">GES definition: </w:t>
            </w:r>
            <w:bookmarkStart w:id="21" w:name="_Hlk36747680"/>
            <w:r w:rsidR="00CB249D" w:rsidRPr="00CB249D">
              <w:rPr>
                <w:rFonts w:asciiTheme="minorHAnsi" w:eastAsia="Times New Roman" w:hAnsiTheme="minorHAnsi" w:cstheme="minorHAnsi"/>
                <w:color w:val="000000"/>
                <w:lang w:val="sr-Latn-RS" w:eastAsia="hr-HR"/>
              </w:rPr>
              <w:t>Unos energije, uključujući podvodnu buku, svjetlost i toplotu</w:t>
            </w:r>
            <w:r w:rsidR="00E53148">
              <w:rPr>
                <w:rFonts w:asciiTheme="minorHAnsi" w:eastAsia="Times New Roman" w:hAnsiTheme="minorHAnsi" w:cstheme="minorHAnsi"/>
                <w:color w:val="000000"/>
                <w:lang w:val="sr-Latn-RS" w:eastAsia="hr-HR"/>
              </w:rPr>
              <w:t>,</w:t>
            </w:r>
            <w:r w:rsidR="00CB249D" w:rsidRPr="00CB249D">
              <w:rPr>
                <w:rFonts w:asciiTheme="minorHAnsi" w:eastAsia="Times New Roman" w:hAnsiTheme="minorHAnsi" w:cstheme="minorHAnsi"/>
                <w:color w:val="000000"/>
                <w:lang w:val="sr-Latn-RS" w:eastAsia="hr-HR"/>
              </w:rPr>
              <w:t xml:space="preserve"> je na nivou koji ne šteti morskoj sredini.</w:t>
            </w:r>
            <w:bookmarkEnd w:id="21"/>
          </w:p>
        </w:tc>
      </w:tr>
    </w:tbl>
    <w:p w14:paraId="7A3F7C55" w14:textId="77777777" w:rsidR="005A19DD" w:rsidRPr="001C6CCA" w:rsidRDefault="005A19DD" w:rsidP="00F65CFF">
      <w:pPr>
        <w:spacing w:before="0" w:after="0" w:line="240" w:lineRule="auto"/>
        <w:jc w:val="left"/>
        <w:rPr>
          <w:rFonts w:eastAsiaTheme="minorHAnsi" w:cs="Calibri"/>
          <w:b/>
          <w:bCs/>
          <w:szCs w:val="22"/>
          <w:lang w:val="en-GB" w:eastAsia="en-US"/>
        </w:rPr>
      </w:pPr>
    </w:p>
    <w:p w14:paraId="22DFDCC5" w14:textId="79C97634" w:rsidR="007320D0" w:rsidRPr="007320D0" w:rsidRDefault="007320D0" w:rsidP="007320D0">
      <w:pPr>
        <w:spacing w:before="0" w:after="160"/>
        <w:rPr>
          <w:rFonts w:eastAsia="Calibri" w:cs="Calibri"/>
          <w:b/>
          <w:szCs w:val="22"/>
          <w:lang w:val="en-GB" w:eastAsia="en-US"/>
        </w:rPr>
      </w:pPr>
      <w:r w:rsidRPr="007320D0">
        <w:rPr>
          <w:rFonts w:eastAsia="Calibri" w:cs="Calibri"/>
          <w:b/>
          <w:szCs w:val="22"/>
          <w:lang w:val="en-GB" w:eastAsia="en-US"/>
        </w:rPr>
        <w:t>Pristup utvrđivanju dobrog stanja (GES) za Jadransko more pod suverenitetom Crne Gore i predloženi ciljevi za postizanje GES-a.</w:t>
      </w:r>
    </w:p>
    <w:p w14:paraId="01253F7F" w14:textId="57F8448A" w:rsidR="007320D0" w:rsidRPr="007320D0" w:rsidRDefault="007320D0" w:rsidP="007320D0">
      <w:pPr>
        <w:spacing w:before="0" w:after="160"/>
        <w:rPr>
          <w:rFonts w:eastAsia="Calibri" w:cs="Calibri"/>
          <w:szCs w:val="22"/>
          <w:lang w:val="en-GB" w:eastAsia="en-US"/>
        </w:rPr>
      </w:pPr>
      <w:r>
        <w:rPr>
          <w:rFonts w:eastAsia="Calibri" w:cs="Calibri"/>
          <w:szCs w:val="22"/>
          <w:lang w:val="en-GB" w:eastAsia="en-US"/>
        </w:rPr>
        <w:t>Morska sredina</w:t>
      </w:r>
      <w:r w:rsidRPr="007320D0">
        <w:rPr>
          <w:rFonts w:eastAsia="Calibri" w:cs="Calibri"/>
          <w:szCs w:val="22"/>
          <w:lang w:val="en-GB" w:eastAsia="en-US"/>
        </w:rPr>
        <w:t xml:space="preserve"> je od strateškog značaja za Crnu Goru. </w:t>
      </w:r>
      <w:r>
        <w:rPr>
          <w:rFonts w:eastAsia="Calibri" w:cs="Calibri"/>
          <w:szCs w:val="22"/>
          <w:lang w:val="en-GB" w:eastAsia="en-US"/>
        </w:rPr>
        <w:t xml:space="preserve">Njena </w:t>
      </w:r>
      <w:r w:rsidRPr="007320D0">
        <w:rPr>
          <w:rFonts w:eastAsia="Calibri" w:cs="Calibri"/>
          <w:szCs w:val="22"/>
          <w:lang w:val="en-GB" w:eastAsia="en-US"/>
        </w:rPr>
        <w:t>zaštita, očuvanje i obnavljanje prirodnih uslova imaju za cilj očuvanje biodiverziteta i morskih ekosistema kako bi se olakšala i osigurala održiva upotreba morskih resursa u korist sadašnjih i budućih generacija.</w:t>
      </w:r>
    </w:p>
    <w:p w14:paraId="3D43E576" w14:textId="067A15F4" w:rsidR="007320D0" w:rsidRPr="001C6CCA" w:rsidRDefault="007320D0" w:rsidP="007320D0">
      <w:pPr>
        <w:spacing w:before="0" w:after="160"/>
        <w:rPr>
          <w:rFonts w:eastAsia="Calibri" w:cs="Calibri"/>
          <w:szCs w:val="22"/>
          <w:lang w:val="en-GB" w:eastAsia="en-US"/>
        </w:rPr>
      </w:pPr>
      <w:r w:rsidRPr="007320D0">
        <w:rPr>
          <w:rFonts w:eastAsia="Calibri" w:cs="Calibri"/>
          <w:szCs w:val="22"/>
          <w:lang w:val="en-GB" w:eastAsia="en-US"/>
        </w:rPr>
        <w:t xml:space="preserve">Na regionalnom nivou, Crna Gora je potpisnica Barselonske konvencije i njenih protokola u okviru </w:t>
      </w:r>
      <w:r w:rsidRPr="001C6CCA">
        <w:rPr>
          <w:rFonts w:eastAsia="Calibri" w:cs="Calibri"/>
          <w:szCs w:val="22"/>
          <w:lang w:val="en-GB" w:eastAsia="en-US"/>
        </w:rPr>
        <w:t xml:space="preserve">UN Environment/MAP, </w:t>
      </w:r>
      <w:r>
        <w:rPr>
          <w:rFonts w:eastAsia="Calibri" w:cs="Calibri"/>
          <w:szCs w:val="22"/>
          <w:lang w:val="en-GB" w:eastAsia="en-US"/>
        </w:rPr>
        <w:t>od</w:t>
      </w:r>
      <w:r w:rsidRPr="001C6CCA">
        <w:rPr>
          <w:rFonts w:eastAsia="Calibri" w:cs="Calibri"/>
          <w:szCs w:val="22"/>
          <w:lang w:val="en-GB" w:eastAsia="en-US"/>
        </w:rPr>
        <w:t xml:space="preserve"> 2007</w:t>
      </w:r>
      <w:r>
        <w:rPr>
          <w:rFonts w:eastAsia="Calibri" w:cs="Calibri"/>
          <w:szCs w:val="22"/>
          <w:lang w:val="en-GB" w:eastAsia="en-US"/>
        </w:rPr>
        <w:t>. godine</w:t>
      </w:r>
      <w:r w:rsidRPr="001C6CCA">
        <w:rPr>
          <w:rFonts w:eastAsia="Calibri" w:cs="Calibri"/>
          <w:szCs w:val="22"/>
          <w:vertAlign w:val="superscript"/>
          <w:lang w:val="en-GB" w:eastAsia="en-US"/>
        </w:rPr>
        <w:footnoteReference w:id="12"/>
      </w:r>
      <w:r w:rsidRPr="001C6CCA">
        <w:rPr>
          <w:rFonts w:eastAsia="Calibri" w:cs="Calibri"/>
          <w:szCs w:val="22"/>
          <w:lang w:val="en-GB" w:eastAsia="en-US"/>
        </w:rPr>
        <w:t xml:space="preserve">. </w:t>
      </w:r>
      <w:r w:rsidRPr="007320D0">
        <w:rPr>
          <w:rFonts w:eastAsia="Calibri" w:cs="Calibri"/>
          <w:szCs w:val="22"/>
          <w:lang w:val="en-GB" w:eastAsia="en-US"/>
        </w:rPr>
        <w:t>Od tada Crna Gora učestvuje u svim aktivnostima UN Programa za životnu sredinu (UNEP)</w:t>
      </w:r>
      <w:r>
        <w:rPr>
          <w:rFonts w:eastAsia="Calibri" w:cs="Calibri"/>
          <w:szCs w:val="22"/>
          <w:lang w:val="en-GB" w:eastAsia="en-US"/>
        </w:rPr>
        <w:t>/</w:t>
      </w:r>
      <w:r w:rsidRPr="007320D0">
        <w:rPr>
          <w:rFonts w:eastAsia="Calibri" w:cs="Calibri"/>
          <w:szCs w:val="22"/>
          <w:lang w:val="en-GB" w:eastAsia="en-US"/>
        </w:rPr>
        <w:t>Mediteransk</w:t>
      </w:r>
      <w:r>
        <w:rPr>
          <w:rFonts w:eastAsia="Calibri" w:cs="Calibri"/>
          <w:szCs w:val="22"/>
          <w:lang w:val="en-GB" w:eastAsia="en-US"/>
        </w:rPr>
        <w:t>og akcionog</w:t>
      </w:r>
      <w:r w:rsidRPr="007320D0">
        <w:rPr>
          <w:rFonts w:eastAsia="Calibri" w:cs="Calibri"/>
          <w:szCs w:val="22"/>
          <w:lang w:val="en-GB" w:eastAsia="en-US"/>
        </w:rPr>
        <w:t xml:space="preserve"> plan</w:t>
      </w:r>
      <w:r>
        <w:rPr>
          <w:rFonts w:eastAsia="Calibri" w:cs="Calibri"/>
          <w:szCs w:val="22"/>
          <w:lang w:val="en-GB" w:eastAsia="en-US"/>
        </w:rPr>
        <w:t>a</w:t>
      </w:r>
      <w:r w:rsidRPr="007320D0">
        <w:rPr>
          <w:rFonts w:eastAsia="Calibri" w:cs="Calibri"/>
          <w:szCs w:val="22"/>
          <w:lang w:val="en-GB" w:eastAsia="en-US"/>
        </w:rPr>
        <w:t xml:space="preserve"> (UNEP/MAP)</w:t>
      </w:r>
      <w:r>
        <w:rPr>
          <w:rFonts w:eastAsia="Calibri" w:cs="Calibri"/>
          <w:szCs w:val="22"/>
          <w:lang w:val="en-GB" w:eastAsia="en-US"/>
        </w:rPr>
        <w:t xml:space="preserve">, </w:t>
      </w:r>
      <w:r w:rsidRPr="007320D0">
        <w:rPr>
          <w:rFonts w:eastAsia="Calibri" w:cs="Calibri"/>
          <w:szCs w:val="22"/>
          <w:lang w:val="en-GB" w:eastAsia="en-US"/>
        </w:rPr>
        <w:t>posebno ističući primjenu ekosistem</w:t>
      </w:r>
      <w:r w:rsidR="00940EDC">
        <w:rPr>
          <w:rFonts w:eastAsia="Calibri" w:cs="Calibri"/>
          <w:szCs w:val="22"/>
          <w:lang w:val="en-GB" w:eastAsia="en-US"/>
        </w:rPr>
        <w:t xml:space="preserve">skog pristupa </w:t>
      </w:r>
      <w:r w:rsidRPr="007320D0">
        <w:rPr>
          <w:rFonts w:eastAsia="Calibri" w:cs="Calibri"/>
          <w:szCs w:val="22"/>
          <w:lang w:val="en-GB" w:eastAsia="en-US"/>
        </w:rPr>
        <w:t>u upravljanju ljudskim aktivnostima koje mogu imati uticaja na morsk</w:t>
      </w:r>
      <w:r>
        <w:rPr>
          <w:rFonts w:eastAsia="Calibri" w:cs="Calibri"/>
          <w:szCs w:val="22"/>
          <w:lang w:val="en-GB" w:eastAsia="en-US"/>
        </w:rPr>
        <w:t>u i priobalnu sredinu.</w:t>
      </w:r>
    </w:p>
    <w:p w14:paraId="2DAC1969" w14:textId="2008CA08" w:rsidR="007B138E" w:rsidRPr="007B138E" w:rsidRDefault="007B138E" w:rsidP="001C6CCA">
      <w:pPr>
        <w:spacing w:before="0" w:after="160"/>
        <w:rPr>
          <w:rFonts w:eastAsia="Calibri" w:cs="Calibri"/>
          <w:szCs w:val="22"/>
          <w:lang w:val="en-GB" w:eastAsia="en-US"/>
        </w:rPr>
      </w:pPr>
      <w:r>
        <w:rPr>
          <w:rFonts w:eastAsia="Calibri" w:cs="Calibri"/>
          <w:szCs w:val="22"/>
          <w:lang w:val="en-GB" w:eastAsia="en-US"/>
        </w:rPr>
        <w:t>Kada je riječ o ODMS</w:t>
      </w:r>
      <w:r w:rsidRPr="007B138E">
        <w:rPr>
          <w:rFonts w:eastAsia="Calibri" w:cs="Calibri"/>
          <w:szCs w:val="22"/>
          <w:lang w:val="en-GB" w:eastAsia="en-US"/>
        </w:rPr>
        <w:t xml:space="preserve">, GES i ekološki ciljevi za morske vode pod suverenitetom Crne Gore definisani su u ovom izvještaju na osnovu </w:t>
      </w:r>
      <w:r w:rsidRPr="00F261AB">
        <w:rPr>
          <w:rFonts w:eastAsia="Calibri" w:cs="Calibri"/>
          <w:i/>
          <w:szCs w:val="22"/>
          <w:lang w:val="en-GB" w:eastAsia="en-US"/>
        </w:rPr>
        <w:t xml:space="preserve">„Inicijalne procjene stanja morske sredine Crne Gore“ </w:t>
      </w:r>
      <w:r w:rsidRPr="007B138E">
        <w:rPr>
          <w:rFonts w:eastAsia="Calibri" w:cs="Calibri"/>
          <w:szCs w:val="22"/>
          <w:lang w:val="en-GB" w:eastAsia="en-US"/>
        </w:rPr>
        <w:t xml:space="preserve">(2020) koja je </w:t>
      </w:r>
      <w:r w:rsidR="00F261AB">
        <w:rPr>
          <w:rFonts w:eastAsia="Calibri" w:cs="Calibri"/>
          <w:szCs w:val="22"/>
          <w:lang w:val="en-GB" w:eastAsia="en-US"/>
        </w:rPr>
        <w:t xml:space="preserve">pripremljena u okviru </w:t>
      </w:r>
      <w:r w:rsidRPr="007B138E">
        <w:rPr>
          <w:rFonts w:eastAsia="Calibri" w:cs="Calibri"/>
          <w:szCs w:val="22"/>
          <w:lang w:val="en-GB" w:eastAsia="en-US"/>
        </w:rPr>
        <w:t xml:space="preserve">IPA </w:t>
      </w:r>
      <w:r w:rsidRPr="00F261AB">
        <w:rPr>
          <w:rFonts w:eastAsia="Calibri" w:cs="Calibri"/>
          <w:i/>
          <w:szCs w:val="22"/>
          <w:lang w:val="en-GB" w:eastAsia="en-US"/>
        </w:rPr>
        <w:t xml:space="preserve">projekat „Podrška </w:t>
      </w:r>
      <w:r w:rsidR="00F261AB" w:rsidRPr="00F261AB">
        <w:rPr>
          <w:rFonts w:eastAsia="Calibri" w:cs="Calibri"/>
          <w:i/>
          <w:szCs w:val="22"/>
          <w:lang w:val="en-GB" w:eastAsia="en-US"/>
        </w:rPr>
        <w:t>implementaciji i monitoringu</w:t>
      </w:r>
      <w:r w:rsidRPr="00F261AB">
        <w:rPr>
          <w:rFonts w:eastAsia="Calibri" w:cs="Calibri"/>
          <w:i/>
          <w:szCs w:val="22"/>
          <w:lang w:val="en-GB" w:eastAsia="en-US"/>
        </w:rPr>
        <w:t xml:space="preserve"> upravljanja vodama u Crnoj Gori“</w:t>
      </w:r>
      <w:r w:rsidRPr="007B138E">
        <w:rPr>
          <w:rFonts w:eastAsia="Calibri" w:cs="Calibri"/>
          <w:szCs w:val="22"/>
          <w:lang w:val="en-GB" w:eastAsia="en-US"/>
        </w:rPr>
        <w:t xml:space="preserve"> i 11 kvalitativnih deskriptora (Tabela 1.1). Ovih jedanaest deskriptora čine sistem čiji je cilj opisivanje sta</w:t>
      </w:r>
      <w:r w:rsidR="00F261AB">
        <w:rPr>
          <w:rFonts w:eastAsia="Calibri" w:cs="Calibri"/>
          <w:szCs w:val="22"/>
          <w:lang w:val="en-GB" w:eastAsia="en-US"/>
        </w:rPr>
        <w:t>nja</w:t>
      </w:r>
      <w:r w:rsidRPr="007B138E">
        <w:rPr>
          <w:rFonts w:eastAsia="Calibri" w:cs="Calibri"/>
          <w:szCs w:val="22"/>
          <w:lang w:val="en-GB" w:eastAsia="en-US"/>
        </w:rPr>
        <w:t xml:space="preserve"> morskog ekosistema. Borja i sar. (2010) predstavljaju konceptualni model koji opisuje hijerarhiju </w:t>
      </w:r>
      <w:r w:rsidR="00940EDC">
        <w:rPr>
          <w:rFonts w:eastAsia="Calibri" w:cs="Calibri"/>
          <w:szCs w:val="22"/>
          <w:lang w:val="en-GB" w:eastAsia="en-US"/>
        </w:rPr>
        <w:t>između</w:t>
      </w:r>
      <w:r w:rsidRPr="007B138E">
        <w:rPr>
          <w:rFonts w:eastAsia="Calibri" w:cs="Calibri"/>
          <w:szCs w:val="22"/>
          <w:lang w:val="en-GB" w:eastAsia="en-US"/>
        </w:rPr>
        <w:t xml:space="preserve"> jedanaest GES deskriptora i veze između deskriptora i pritisaka (slika 1.1). Ova hijerarhija se zasniva na njihovom odnosu prema pritiscima izvan sistema, poput porasta nivoa mora ili globalnog zagr</w:t>
      </w:r>
      <w:r w:rsidR="00F261AB">
        <w:rPr>
          <w:rFonts w:eastAsia="Calibri" w:cs="Calibri"/>
          <w:szCs w:val="22"/>
          <w:lang w:val="en-GB" w:eastAsia="en-US"/>
        </w:rPr>
        <w:t>ijevanja</w:t>
      </w:r>
      <w:r w:rsidRPr="007B138E">
        <w:rPr>
          <w:rFonts w:eastAsia="Calibri" w:cs="Calibri"/>
          <w:szCs w:val="22"/>
          <w:lang w:val="en-GB" w:eastAsia="en-US"/>
        </w:rPr>
        <w:t xml:space="preserve">, </w:t>
      </w:r>
      <w:r w:rsidR="00F261AB">
        <w:rPr>
          <w:rFonts w:eastAsia="Calibri" w:cs="Calibri"/>
          <w:szCs w:val="22"/>
          <w:lang w:val="en-GB" w:eastAsia="en-US"/>
        </w:rPr>
        <w:t xml:space="preserve">gdje je moguće upravljati samo </w:t>
      </w:r>
      <w:r w:rsidRPr="007B138E">
        <w:rPr>
          <w:rFonts w:eastAsia="Calibri" w:cs="Calibri"/>
          <w:szCs w:val="22"/>
          <w:lang w:val="en-GB" w:eastAsia="en-US"/>
        </w:rPr>
        <w:t>posl</w:t>
      </w:r>
      <w:r w:rsidR="00F261AB">
        <w:rPr>
          <w:rFonts w:eastAsia="Calibri" w:cs="Calibri"/>
          <w:szCs w:val="22"/>
          <w:lang w:val="en-GB" w:eastAsia="en-US"/>
        </w:rPr>
        <w:t>j</w:t>
      </w:r>
      <w:r w:rsidRPr="007B138E">
        <w:rPr>
          <w:rFonts w:eastAsia="Calibri" w:cs="Calibri"/>
          <w:szCs w:val="22"/>
          <w:lang w:val="en-GB" w:eastAsia="en-US"/>
        </w:rPr>
        <w:t xml:space="preserve">edicama. Borja i sar. (2010) predlažu da se deskriptorima 1 i 4 mora dati veća </w:t>
      </w:r>
      <w:r w:rsidR="00F261AB">
        <w:rPr>
          <w:rFonts w:eastAsia="Calibri" w:cs="Calibri"/>
          <w:szCs w:val="22"/>
          <w:lang w:val="en-GB" w:eastAsia="en-US"/>
        </w:rPr>
        <w:t>važnost</w:t>
      </w:r>
      <w:r w:rsidRPr="007B138E">
        <w:rPr>
          <w:rFonts w:eastAsia="Calibri" w:cs="Calibri"/>
          <w:szCs w:val="22"/>
          <w:lang w:val="en-GB" w:eastAsia="en-US"/>
        </w:rPr>
        <w:t xml:space="preserve">. Svi ostali deskriptori se odnose </w:t>
      </w:r>
      <w:r w:rsidR="00F261AB">
        <w:rPr>
          <w:rFonts w:eastAsia="Calibri" w:cs="Calibri"/>
          <w:szCs w:val="22"/>
          <w:lang w:val="en-GB" w:eastAsia="en-US"/>
        </w:rPr>
        <w:t xml:space="preserve">u većoj ili manjoj mjeri  na prepoznatljive pritiske, gdje se </w:t>
      </w:r>
      <w:r w:rsidRPr="007B138E">
        <w:rPr>
          <w:rFonts w:eastAsia="Calibri" w:cs="Calibri"/>
          <w:szCs w:val="22"/>
          <w:lang w:val="en-GB" w:eastAsia="en-US"/>
        </w:rPr>
        <w:t>deskriptori</w:t>
      </w:r>
      <w:r w:rsidR="00F261AB">
        <w:rPr>
          <w:rFonts w:eastAsia="Calibri" w:cs="Calibri"/>
          <w:szCs w:val="22"/>
          <w:lang w:val="en-GB" w:eastAsia="en-US"/>
        </w:rPr>
        <w:t xml:space="preserve"> 2, 5, 8, 9, 10 i 11 odnose na unos</w:t>
      </w:r>
      <w:r w:rsidRPr="007B138E">
        <w:rPr>
          <w:rFonts w:eastAsia="Calibri" w:cs="Calibri"/>
          <w:szCs w:val="22"/>
          <w:lang w:val="en-GB" w:eastAsia="en-US"/>
        </w:rPr>
        <w:t xml:space="preserve">, a deskriptori 3 i 6 </w:t>
      </w:r>
      <w:r w:rsidR="00F261AB">
        <w:rPr>
          <w:rFonts w:eastAsia="Calibri" w:cs="Calibri"/>
          <w:szCs w:val="22"/>
          <w:lang w:val="en-GB" w:eastAsia="en-US"/>
        </w:rPr>
        <w:t xml:space="preserve">tiču se </w:t>
      </w:r>
      <w:r w:rsidRPr="007B138E">
        <w:rPr>
          <w:rFonts w:eastAsia="Calibri" w:cs="Calibri"/>
          <w:szCs w:val="22"/>
          <w:lang w:val="en-GB" w:eastAsia="en-US"/>
        </w:rPr>
        <w:t>fizičke i biološke ekstrakcije iz sistema.</w:t>
      </w:r>
    </w:p>
    <w:p w14:paraId="4773A57E" w14:textId="5DBB96EF" w:rsidR="009303A6" w:rsidRDefault="009303A6" w:rsidP="001C6CCA">
      <w:pPr>
        <w:autoSpaceDE w:val="0"/>
        <w:autoSpaceDN w:val="0"/>
        <w:adjustRightInd w:val="0"/>
        <w:spacing w:before="0" w:after="160"/>
        <w:rPr>
          <w:rFonts w:eastAsia="Calibri" w:cs="Calibri"/>
          <w:szCs w:val="22"/>
          <w:lang w:val="en-GB" w:eastAsia="en-US"/>
        </w:rPr>
      </w:pPr>
      <w:r w:rsidRPr="009303A6">
        <w:rPr>
          <w:rFonts w:eastAsia="Calibri" w:cs="Calibri"/>
          <w:szCs w:val="22"/>
          <w:lang w:val="en-GB" w:eastAsia="en-US"/>
        </w:rPr>
        <w:t>Konceptualni model Borja i sar. (2010) naglašava da postoji određeni broj GES deskriptora koji su direktno povezani sa određenim pritiscima, dok drugi deskriptori (naročito Bio</w:t>
      </w:r>
      <w:r>
        <w:rPr>
          <w:rFonts w:eastAsia="Calibri" w:cs="Calibri"/>
          <w:szCs w:val="22"/>
          <w:lang w:val="en-GB" w:eastAsia="en-US"/>
        </w:rPr>
        <w:t>diverzitet i</w:t>
      </w:r>
      <w:r w:rsidRPr="009303A6">
        <w:rPr>
          <w:rFonts w:eastAsia="Calibri" w:cs="Calibri"/>
          <w:szCs w:val="22"/>
          <w:lang w:val="en-GB" w:eastAsia="en-US"/>
        </w:rPr>
        <w:t xml:space="preserve"> Prehrambene mreže) imaju indirektniji odnos sa mnogim različitim pritiscima. Model predlaže hijerarhiju na nivou deskriptora, rangirajući se iz jakog pritiska povezanog sa biološkom integracijom na visokom nivou. Ovo bi se trebalo ogledati u određivanju GES-a i uspostavljanju indikatora i ciljeva, pri čemu postizanje GES-a za deskriptore višeg nivoa d</w:t>
      </w:r>
      <w:r>
        <w:rPr>
          <w:rFonts w:eastAsia="Calibri" w:cs="Calibri"/>
          <w:szCs w:val="22"/>
          <w:lang w:val="en-GB" w:eastAsia="en-US"/>
        </w:rPr>
        <w:t>j</w:t>
      </w:r>
      <w:r w:rsidRPr="009303A6">
        <w:rPr>
          <w:rFonts w:eastAsia="Calibri" w:cs="Calibri"/>
          <w:szCs w:val="22"/>
          <w:lang w:val="en-GB" w:eastAsia="en-US"/>
        </w:rPr>
        <w:t>elimično zavisi od postizanja GES-a za deskriptore povezane sa pritiskom.</w:t>
      </w:r>
    </w:p>
    <w:p w14:paraId="34F4C231" w14:textId="20A7AC3C" w:rsidR="0050686E" w:rsidRDefault="007320D0" w:rsidP="007320D0">
      <w:pPr>
        <w:autoSpaceDE w:val="0"/>
        <w:autoSpaceDN w:val="0"/>
        <w:adjustRightInd w:val="0"/>
        <w:spacing w:before="0" w:after="160"/>
        <w:rPr>
          <w:rFonts w:eastAsia="Calibri" w:cs="Calibri"/>
          <w:szCs w:val="22"/>
          <w:lang w:val="en-GB" w:eastAsia="en-US"/>
        </w:rPr>
      </w:pPr>
      <w:r w:rsidRPr="007320D0">
        <w:rPr>
          <w:rFonts w:eastAsia="Calibri" w:cs="Calibri"/>
          <w:szCs w:val="22"/>
          <w:lang w:val="en-GB" w:eastAsia="en-US"/>
        </w:rPr>
        <w:t>Razrađujući konceptualni model Borje i sar. (2010), predlažemo model gd</w:t>
      </w:r>
      <w:r>
        <w:rPr>
          <w:rFonts w:eastAsia="Calibri" w:cs="Calibri"/>
          <w:szCs w:val="22"/>
          <w:lang w:val="en-GB" w:eastAsia="en-US"/>
        </w:rPr>
        <w:t>j</w:t>
      </w:r>
      <w:r w:rsidRPr="007320D0">
        <w:rPr>
          <w:rFonts w:eastAsia="Calibri" w:cs="Calibri"/>
          <w:szCs w:val="22"/>
          <w:lang w:val="en-GB" w:eastAsia="en-US"/>
        </w:rPr>
        <w:t>e je određeni broj GES deskriptora (2, 5, 8, 9, 10, 11) pove</w:t>
      </w:r>
      <w:r>
        <w:rPr>
          <w:rFonts w:eastAsia="Calibri" w:cs="Calibri"/>
          <w:szCs w:val="22"/>
          <w:lang w:val="en-GB" w:eastAsia="en-US"/>
        </w:rPr>
        <w:t>zan sa „ulaznim“ pritiscima, odnosno pr</w:t>
      </w:r>
      <w:r w:rsidRPr="007320D0">
        <w:rPr>
          <w:rFonts w:eastAsia="Calibri" w:cs="Calibri"/>
          <w:szCs w:val="22"/>
          <w:lang w:val="en-GB" w:eastAsia="en-US"/>
        </w:rPr>
        <w:t xml:space="preserve">itiscima izazvanim unosom supstanci, organizama, </w:t>
      </w:r>
      <w:r>
        <w:rPr>
          <w:rFonts w:eastAsia="Calibri" w:cs="Calibri"/>
          <w:szCs w:val="22"/>
          <w:lang w:val="en-GB" w:eastAsia="en-US"/>
        </w:rPr>
        <w:t xml:space="preserve">otpada </w:t>
      </w:r>
      <w:r w:rsidRPr="007320D0">
        <w:rPr>
          <w:rFonts w:eastAsia="Calibri" w:cs="Calibri"/>
          <w:szCs w:val="22"/>
          <w:lang w:val="en-GB" w:eastAsia="en-US"/>
        </w:rPr>
        <w:t>ili energije. Ovi deskriptori su prikazani na desnoj strani slike 1.1. Nekoliko drugih deskriptora (3, 6, 7) uglavnom se odnosi na fizičke ili bi</w:t>
      </w:r>
      <w:r>
        <w:rPr>
          <w:rFonts w:eastAsia="Calibri" w:cs="Calibri"/>
          <w:szCs w:val="22"/>
          <w:lang w:val="en-GB" w:eastAsia="en-US"/>
        </w:rPr>
        <w:t>ološke poremećaje, ekstrakciju</w:t>
      </w:r>
      <w:r w:rsidRPr="007320D0">
        <w:rPr>
          <w:rFonts w:eastAsia="Calibri" w:cs="Calibri"/>
          <w:szCs w:val="22"/>
          <w:lang w:val="en-GB" w:eastAsia="en-US"/>
        </w:rPr>
        <w:t xml:space="preserve"> vrsta ili poremećaje</w:t>
      </w:r>
      <w:r>
        <w:rPr>
          <w:rFonts w:eastAsia="Calibri" w:cs="Calibri"/>
          <w:szCs w:val="22"/>
          <w:lang w:val="en-GB" w:eastAsia="en-US"/>
        </w:rPr>
        <w:t xml:space="preserve"> staništa (prikazano na lijevoj</w:t>
      </w:r>
      <w:r w:rsidRPr="007320D0">
        <w:rPr>
          <w:rFonts w:eastAsia="Calibri" w:cs="Calibri"/>
          <w:szCs w:val="22"/>
          <w:lang w:val="en-GB" w:eastAsia="en-US"/>
        </w:rPr>
        <w:t xml:space="preserve"> strani slike 1.1). </w:t>
      </w:r>
      <w:r>
        <w:rPr>
          <w:rFonts w:eastAsia="Calibri" w:cs="Calibri"/>
          <w:szCs w:val="22"/>
          <w:lang w:val="en-GB" w:eastAsia="en-US"/>
        </w:rPr>
        <w:t xml:space="preserve"> </w:t>
      </w:r>
    </w:p>
    <w:p w14:paraId="7715DB6A" w14:textId="3CC1B281" w:rsidR="007320D0" w:rsidRPr="001C6CCA" w:rsidRDefault="007320D0" w:rsidP="007320D0">
      <w:pPr>
        <w:autoSpaceDE w:val="0"/>
        <w:autoSpaceDN w:val="0"/>
        <w:adjustRightInd w:val="0"/>
        <w:spacing w:before="0" w:after="160"/>
        <w:rPr>
          <w:rFonts w:eastAsia="Calibri" w:cs="Calibri"/>
          <w:szCs w:val="22"/>
          <w:lang w:val="en-GB" w:eastAsia="en-US"/>
        </w:rPr>
      </w:pPr>
      <w:r w:rsidRPr="007320D0">
        <w:rPr>
          <w:rFonts w:eastAsia="Calibri" w:cs="Calibri"/>
          <w:szCs w:val="22"/>
          <w:lang w:val="en-GB" w:eastAsia="en-US"/>
        </w:rPr>
        <w:t xml:space="preserve">Pri opisivanju dobrog stanja </w:t>
      </w:r>
      <w:r w:rsidR="00940EDC">
        <w:rPr>
          <w:rFonts w:eastAsia="Calibri" w:cs="Calibri"/>
          <w:szCs w:val="22"/>
          <w:lang w:val="en-GB" w:eastAsia="en-US"/>
        </w:rPr>
        <w:t>morske</w:t>
      </w:r>
      <w:r w:rsidRPr="007320D0">
        <w:rPr>
          <w:rFonts w:eastAsia="Calibri" w:cs="Calibri"/>
          <w:szCs w:val="22"/>
          <w:lang w:val="en-GB" w:eastAsia="en-US"/>
        </w:rPr>
        <w:t xml:space="preserve"> sredine (član 9</w:t>
      </w:r>
      <w:r w:rsidR="0050686E">
        <w:rPr>
          <w:rFonts w:eastAsia="Calibri" w:cs="Calibri"/>
          <w:szCs w:val="22"/>
          <w:lang w:val="en-GB" w:eastAsia="en-US"/>
        </w:rPr>
        <w:t xml:space="preserve"> ODMS</w:t>
      </w:r>
      <w:r w:rsidRPr="007320D0">
        <w:rPr>
          <w:rFonts w:eastAsia="Calibri" w:cs="Calibri"/>
          <w:szCs w:val="22"/>
          <w:lang w:val="en-GB" w:eastAsia="en-US"/>
        </w:rPr>
        <w:t>) korišćeni su kriterijumi iz Odluke Komisije (EU) 2017/848</w:t>
      </w:r>
      <w:r w:rsidR="0050686E" w:rsidRPr="001C6CCA">
        <w:rPr>
          <w:rFonts w:eastAsia="Calibri" w:cs="Calibri"/>
          <w:szCs w:val="22"/>
          <w:vertAlign w:val="superscript"/>
          <w:lang w:val="en-GB" w:eastAsia="en-US"/>
        </w:rPr>
        <w:footnoteReference w:id="13"/>
      </w:r>
      <w:r w:rsidR="0050686E" w:rsidRPr="001C6CCA">
        <w:rPr>
          <w:rFonts w:eastAsia="Calibri" w:cs="Calibri"/>
          <w:szCs w:val="22"/>
          <w:lang w:val="en-GB" w:eastAsia="en-US"/>
        </w:rPr>
        <w:t xml:space="preserve"> </w:t>
      </w:r>
      <w:r w:rsidRPr="007320D0">
        <w:rPr>
          <w:rFonts w:eastAsia="Calibri" w:cs="Calibri"/>
          <w:szCs w:val="22"/>
          <w:lang w:val="en-GB" w:eastAsia="en-US"/>
        </w:rPr>
        <w:t xml:space="preserve"> (član 9 (3) </w:t>
      </w:r>
      <w:r w:rsidR="0050686E">
        <w:rPr>
          <w:rFonts w:eastAsia="Calibri" w:cs="Calibri"/>
          <w:szCs w:val="22"/>
          <w:lang w:val="en-GB" w:eastAsia="en-US"/>
        </w:rPr>
        <w:t>ODMS</w:t>
      </w:r>
      <w:r w:rsidRPr="007320D0">
        <w:rPr>
          <w:rFonts w:eastAsia="Calibri" w:cs="Calibri"/>
          <w:szCs w:val="22"/>
          <w:lang w:val="en-GB" w:eastAsia="en-US"/>
        </w:rPr>
        <w:t>)</w:t>
      </w:r>
      <w:r w:rsidR="00143AA3">
        <w:rPr>
          <w:rFonts w:eastAsia="Calibri" w:cs="Calibri"/>
          <w:szCs w:val="22"/>
          <w:lang w:val="en-GB" w:eastAsia="en-US"/>
        </w:rPr>
        <w:t xml:space="preserve"> u kojoj su date sugestije </w:t>
      </w:r>
      <w:r w:rsidRPr="007320D0">
        <w:rPr>
          <w:rFonts w:eastAsia="Calibri" w:cs="Calibri"/>
          <w:szCs w:val="22"/>
          <w:lang w:val="en-GB" w:eastAsia="en-US"/>
        </w:rPr>
        <w:t>za dalj</w:t>
      </w:r>
      <w:r w:rsidR="00143AA3">
        <w:rPr>
          <w:rFonts w:eastAsia="Calibri" w:cs="Calibri"/>
          <w:szCs w:val="22"/>
          <w:lang w:val="en-GB" w:eastAsia="en-US"/>
        </w:rPr>
        <w:t>nj</w:t>
      </w:r>
      <w:r w:rsidRPr="007320D0">
        <w:rPr>
          <w:rFonts w:eastAsia="Calibri" w:cs="Calibri"/>
          <w:szCs w:val="22"/>
          <w:lang w:val="en-GB" w:eastAsia="en-US"/>
        </w:rPr>
        <w:t>u razradu ukupno 42 kriterijuma za proc</w:t>
      </w:r>
      <w:r w:rsidR="0050686E">
        <w:rPr>
          <w:rFonts w:eastAsia="Calibri" w:cs="Calibri"/>
          <w:szCs w:val="22"/>
          <w:lang w:val="en-GB" w:eastAsia="en-US"/>
        </w:rPr>
        <w:t>j</w:t>
      </w:r>
      <w:r w:rsidRPr="007320D0">
        <w:rPr>
          <w:rFonts w:eastAsia="Calibri" w:cs="Calibri"/>
          <w:szCs w:val="22"/>
          <w:lang w:val="en-GB" w:eastAsia="en-US"/>
        </w:rPr>
        <w:t>enu stepena postizanja dobrog stanja</w:t>
      </w:r>
      <w:r w:rsidR="00CD7C15">
        <w:rPr>
          <w:rFonts w:eastAsia="Calibri" w:cs="Calibri"/>
          <w:szCs w:val="22"/>
          <w:lang w:val="en-GB" w:eastAsia="en-US"/>
        </w:rPr>
        <w:t xml:space="preserve"> morske</w:t>
      </w:r>
      <w:r w:rsidRPr="007320D0">
        <w:rPr>
          <w:rFonts w:eastAsia="Calibri" w:cs="Calibri"/>
          <w:szCs w:val="22"/>
          <w:lang w:val="en-GB" w:eastAsia="en-US"/>
        </w:rPr>
        <w:t xml:space="preserve"> </w:t>
      </w:r>
      <w:r w:rsidR="00940EDC">
        <w:rPr>
          <w:rFonts w:eastAsia="Calibri" w:cs="Calibri"/>
          <w:szCs w:val="22"/>
          <w:lang w:val="en-GB" w:eastAsia="en-US"/>
        </w:rPr>
        <w:t>s</w:t>
      </w:r>
      <w:r w:rsidRPr="007320D0">
        <w:rPr>
          <w:rFonts w:eastAsia="Calibri" w:cs="Calibri"/>
          <w:szCs w:val="22"/>
          <w:lang w:val="en-GB" w:eastAsia="en-US"/>
        </w:rPr>
        <w:t xml:space="preserve">redine. Opisi dobrog stanja </w:t>
      </w:r>
      <w:r w:rsidR="00940EDC">
        <w:rPr>
          <w:rFonts w:eastAsia="Calibri" w:cs="Calibri"/>
          <w:szCs w:val="22"/>
          <w:lang w:val="en-GB" w:eastAsia="en-US"/>
        </w:rPr>
        <w:t>morske</w:t>
      </w:r>
      <w:r w:rsidRPr="007320D0">
        <w:rPr>
          <w:rFonts w:eastAsia="Calibri" w:cs="Calibri"/>
          <w:szCs w:val="22"/>
          <w:lang w:val="en-GB" w:eastAsia="en-US"/>
        </w:rPr>
        <w:t xml:space="preserve"> sredine u Crnoj Gori </w:t>
      </w:r>
      <w:r w:rsidR="0050686E">
        <w:rPr>
          <w:rFonts w:eastAsia="Calibri" w:cs="Calibri"/>
          <w:szCs w:val="22"/>
          <w:lang w:val="en-GB" w:eastAsia="en-US"/>
        </w:rPr>
        <w:t>koncipirani</w:t>
      </w:r>
      <w:r w:rsidRPr="007320D0">
        <w:rPr>
          <w:rFonts w:eastAsia="Calibri" w:cs="Calibri"/>
          <w:szCs w:val="22"/>
          <w:lang w:val="en-GB" w:eastAsia="en-US"/>
        </w:rPr>
        <w:t xml:space="preserve"> su na osnovu ovih kriterijuma, sa fokusom na situaciju u crnogorskom dijelu Jadranskog mora.</w:t>
      </w:r>
    </w:p>
    <w:p w14:paraId="1F99E912" w14:textId="77777777" w:rsidR="00264F4C" w:rsidRPr="001C6CCA" w:rsidRDefault="00264F4C" w:rsidP="00F65CFF">
      <w:pPr>
        <w:spacing w:before="0" w:after="0"/>
        <w:rPr>
          <w:rFonts w:eastAsiaTheme="minorHAnsi" w:cs="Calibri"/>
          <w:sz w:val="20"/>
          <w:szCs w:val="20"/>
          <w:lang w:val="en-GB" w:eastAsia="en-US"/>
        </w:rPr>
      </w:pPr>
      <w:r w:rsidRPr="001C6CCA">
        <w:rPr>
          <w:rFonts w:eastAsia="Calibri"/>
          <w:noProof/>
          <w:color w:val="000000"/>
          <w:sz w:val="20"/>
          <w:szCs w:val="20"/>
          <w:lang w:eastAsia="en-US"/>
        </w:rPr>
        <w:drawing>
          <wp:inline distT="0" distB="0" distL="0" distR="0" wp14:anchorId="642F1FB5" wp14:editId="7EE05A7C">
            <wp:extent cx="5730240" cy="4221480"/>
            <wp:effectExtent l="0" t="0" r="381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0240" cy="4221480"/>
                    </a:xfrm>
                    <a:prstGeom prst="rect">
                      <a:avLst/>
                    </a:prstGeom>
                    <a:noFill/>
                    <a:ln>
                      <a:noFill/>
                    </a:ln>
                  </pic:spPr>
                </pic:pic>
              </a:graphicData>
            </a:graphic>
          </wp:inline>
        </w:drawing>
      </w:r>
    </w:p>
    <w:p w14:paraId="3CCEB5AB" w14:textId="7CC000F1" w:rsidR="002E12CB" w:rsidRPr="00680B65" w:rsidRDefault="002E12CB" w:rsidP="002E12CB">
      <w:pPr>
        <w:pStyle w:val="Caption"/>
        <w:rPr>
          <w:rFonts w:eastAsia="Calibri" w:cs="Calibri"/>
          <w:iCs/>
          <w:sz w:val="22"/>
          <w:szCs w:val="22"/>
          <w:lang w:val="en-GB" w:eastAsia="en-US"/>
        </w:rPr>
      </w:pPr>
      <w:bookmarkStart w:id="22" w:name="_Toc83636892"/>
      <w:r>
        <w:rPr>
          <w:sz w:val="22"/>
          <w:szCs w:val="22"/>
        </w:rPr>
        <w:t>Slika</w:t>
      </w:r>
      <w:r w:rsidRPr="00382CA7">
        <w:rPr>
          <w:sz w:val="22"/>
          <w:szCs w:val="22"/>
        </w:rPr>
        <w:t xml:space="preserve"> </w:t>
      </w:r>
      <w:r w:rsidRPr="00382CA7">
        <w:rPr>
          <w:sz w:val="22"/>
          <w:szCs w:val="22"/>
        </w:rPr>
        <w:fldChar w:fldCharType="begin"/>
      </w:r>
      <w:r w:rsidRPr="00382CA7">
        <w:rPr>
          <w:sz w:val="22"/>
          <w:szCs w:val="22"/>
        </w:rPr>
        <w:instrText xml:space="preserve"> STYLEREF 1 \s </w:instrText>
      </w:r>
      <w:r w:rsidRPr="00382CA7">
        <w:rPr>
          <w:sz w:val="22"/>
          <w:szCs w:val="22"/>
        </w:rPr>
        <w:fldChar w:fldCharType="separate"/>
      </w:r>
      <w:r w:rsidR="000D1E20">
        <w:rPr>
          <w:noProof/>
          <w:sz w:val="22"/>
          <w:szCs w:val="22"/>
        </w:rPr>
        <w:t>1</w:t>
      </w:r>
      <w:r w:rsidRPr="00382CA7">
        <w:rPr>
          <w:sz w:val="22"/>
          <w:szCs w:val="22"/>
        </w:rPr>
        <w:fldChar w:fldCharType="end"/>
      </w:r>
      <w:r w:rsidRPr="00382CA7">
        <w:rPr>
          <w:sz w:val="22"/>
          <w:szCs w:val="22"/>
        </w:rPr>
        <w:t>.</w:t>
      </w:r>
      <w:r w:rsidRPr="00382CA7">
        <w:rPr>
          <w:sz w:val="22"/>
          <w:szCs w:val="22"/>
        </w:rPr>
        <w:fldChar w:fldCharType="begin"/>
      </w:r>
      <w:r w:rsidRPr="00382CA7">
        <w:rPr>
          <w:sz w:val="22"/>
          <w:szCs w:val="22"/>
        </w:rPr>
        <w:instrText xml:space="preserve"> SEQ Figure \* ARABIC \s 1 </w:instrText>
      </w:r>
      <w:r w:rsidRPr="00382CA7">
        <w:rPr>
          <w:sz w:val="22"/>
          <w:szCs w:val="22"/>
        </w:rPr>
        <w:fldChar w:fldCharType="separate"/>
      </w:r>
      <w:r w:rsidR="000D1E20">
        <w:rPr>
          <w:noProof/>
          <w:sz w:val="22"/>
          <w:szCs w:val="22"/>
        </w:rPr>
        <w:t>1</w:t>
      </w:r>
      <w:r w:rsidRPr="00382CA7">
        <w:rPr>
          <w:sz w:val="22"/>
          <w:szCs w:val="22"/>
        </w:rPr>
        <w:fldChar w:fldCharType="end"/>
      </w:r>
      <w:r w:rsidRPr="00382CA7">
        <w:rPr>
          <w:sz w:val="22"/>
          <w:szCs w:val="22"/>
        </w:rPr>
        <w:t>.</w:t>
      </w:r>
      <w:r>
        <w:rPr>
          <w:sz w:val="22"/>
          <w:szCs w:val="22"/>
        </w:rPr>
        <w:t xml:space="preserve">  </w:t>
      </w:r>
      <w:r w:rsidRPr="00842A83">
        <w:rPr>
          <w:rFonts w:eastAsia="Calibri" w:cs="Calibri"/>
          <w:iCs/>
          <w:sz w:val="22"/>
          <w:szCs w:val="22"/>
          <w:lang w:val="en-GB" w:eastAsia="en-US"/>
        </w:rPr>
        <w:t>Konceptualni model koji pokazuje kako je povezano 11 deskriptora. Pune linije označavaju jake veze, isprekidane linije označavaju slabije veze (</w:t>
      </w:r>
      <w:r w:rsidR="00AB123E">
        <w:rPr>
          <w:rFonts w:eastAsia="Calibri" w:cs="Calibri"/>
          <w:iCs/>
          <w:sz w:val="22"/>
          <w:szCs w:val="22"/>
          <w:lang w:val="en-GB" w:eastAsia="en-US"/>
        </w:rPr>
        <w:t>preuzeto</w:t>
      </w:r>
      <w:r w:rsidRPr="00842A83">
        <w:rPr>
          <w:rFonts w:eastAsia="Calibri" w:cs="Calibri"/>
          <w:iCs/>
          <w:sz w:val="22"/>
          <w:szCs w:val="22"/>
          <w:lang w:val="en-GB" w:eastAsia="en-US"/>
        </w:rPr>
        <w:t xml:space="preserve"> od Borja i sar., 2010)</w:t>
      </w:r>
      <w:bookmarkEnd w:id="22"/>
    </w:p>
    <w:p w14:paraId="6C6678BD" w14:textId="77777777" w:rsidR="00264F4C" w:rsidRPr="001C6CCA" w:rsidRDefault="00264F4C" w:rsidP="00F65CFF">
      <w:pPr>
        <w:spacing w:before="0" w:after="0" w:line="240" w:lineRule="auto"/>
        <w:rPr>
          <w:rFonts w:cs="Calibri"/>
          <w:szCs w:val="22"/>
          <w:lang w:val="en-GB" w:eastAsia="hr-HR"/>
        </w:rPr>
      </w:pPr>
    </w:p>
    <w:p w14:paraId="01A2D4F9" w14:textId="6697E053" w:rsidR="00126742" w:rsidRPr="001C6CCA" w:rsidRDefault="00126742" w:rsidP="001C6CCA">
      <w:pPr>
        <w:autoSpaceDE w:val="0"/>
        <w:autoSpaceDN w:val="0"/>
        <w:adjustRightInd w:val="0"/>
        <w:spacing w:before="0" w:after="160"/>
        <w:rPr>
          <w:rFonts w:eastAsia="Calibri" w:cs="Calibri"/>
          <w:color w:val="000000"/>
          <w:szCs w:val="22"/>
          <w:lang w:val="en-GB" w:eastAsia="en-US"/>
        </w:rPr>
      </w:pPr>
      <w:r w:rsidRPr="00126742">
        <w:rPr>
          <w:rFonts w:eastAsia="Calibri" w:cs="Calibri"/>
          <w:color w:val="000000"/>
          <w:szCs w:val="22"/>
          <w:lang w:val="en-GB" w:eastAsia="en-US"/>
        </w:rPr>
        <w:t>Utvrđivanje GES-a zaht</w:t>
      </w:r>
      <w:r>
        <w:rPr>
          <w:rFonts w:eastAsia="Calibri" w:cs="Calibri"/>
          <w:color w:val="000000"/>
          <w:szCs w:val="22"/>
          <w:lang w:val="en-GB" w:eastAsia="en-US"/>
        </w:rPr>
        <w:t>ij</w:t>
      </w:r>
      <w:r w:rsidRPr="00126742">
        <w:rPr>
          <w:rFonts w:eastAsia="Calibri" w:cs="Calibri"/>
          <w:color w:val="000000"/>
          <w:szCs w:val="22"/>
          <w:lang w:val="en-GB" w:eastAsia="en-US"/>
        </w:rPr>
        <w:t>eva dobro razum</w:t>
      </w:r>
      <w:r>
        <w:rPr>
          <w:rFonts w:eastAsia="Calibri" w:cs="Calibri"/>
          <w:color w:val="000000"/>
          <w:szCs w:val="22"/>
          <w:lang w:val="en-GB" w:eastAsia="en-US"/>
        </w:rPr>
        <w:t>ij</w:t>
      </w:r>
      <w:r w:rsidRPr="00126742">
        <w:rPr>
          <w:rFonts w:eastAsia="Calibri" w:cs="Calibri"/>
          <w:color w:val="000000"/>
          <w:szCs w:val="22"/>
          <w:lang w:val="en-GB" w:eastAsia="en-US"/>
        </w:rPr>
        <w:t xml:space="preserve">evanje </w:t>
      </w:r>
      <w:r>
        <w:rPr>
          <w:rFonts w:eastAsia="Calibri" w:cs="Calibri"/>
          <w:color w:val="000000"/>
          <w:szCs w:val="22"/>
          <w:lang w:val="en-GB" w:eastAsia="en-US"/>
        </w:rPr>
        <w:t>postojećeg</w:t>
      </w:r>
      <w:r w:rsidRPr="00126742">
        <w:rPr>
          <w:rFonts w:eastAsia="Calibri" w:cs="Calibri"/>
          <w:color w:val="000000"/>
          <w:szCs w:val="22"/>
          <w:lang w:val="en-GB" w:eastAsia="en-US"/>
        </w:rPr>
        <w:t xml:space="preserve"> stanja morsk</w:t>
      </w:r>
      <w:r>
        <w:rPr>
          <w:rFonts w:eastAsia="Calibri" w:cs="Calibri"/>
          <w:color w:val="000000"/>
          <w:szCs w:val="22"/>
          <w:lang w:val="en-GB" w:eastAsia="en-US"/>
        </w:rPr>
        <w:t>e sredine</w:t>
      </w:r>
      <w:r w:rsidRPr="00126742">
        <w:rPr>
          <w:rFonts w:eastAsia="Calibri" w:cs="Calibri"/>
          <w:color w:val="000000"/>
          <w:szCs w:val="22"/>
          <w:lang w:val="en-GB" w:eastAsia="en-US"/>
        </w:rPr>
        <w:t xml:space="preserve"> i odnosa između prirodnih i antropogenih pritisaka s jedne strane i stanja životne sredine s druge strane. GES obično nije isto što i stanje bez uticaja, </w:t>
      </w:r>
      <w:r w:rsidR="006B56E4">
        <w:rPr>
          <w:rFonts w:eastAsia="Calibri" w:cs="Calibri"/>
          <w:color w:val="000000"/>
          <w:szCs w:val="22"/>
          <w:lang w:val="en-GB" w:eastAsia="en-US"/>
        </w:rPr>
        <w:t xml:space="preserve">nego </w:t>
      </w:r>
      <w:r w:rsidRPr="00126742">
        <w:rPr>
          <w:rFonts w:eastAsia="Calibri" w:cs="Calibri"/>
          <w:color w:val="000000"/>
          <w:szCs w:val="22"/>
          <w:lang w:val="en-GB" w:eastAsia="en-US"/>
        </w:rPr>
        <w:t xml:space="preserve">predstavlja situaciju kada je ljudska aktivnost na održivom nivou. U </w:t>
      </w:r>
      <w:r w:rsidRPr="006B56E4">
        <w:rPr>
          <w:rFonts w:eastAsia="Calibri" w:cs="Calibri"/>
          <w:color w:val="000000"/>
          <w:szCs w:val="22"/>
          <w:lang w:val="en-GB" w:eastAsia="en-US"/>
        </w:rPr>
        <w:t xml:space="preserve">slučajevima kada ljudske aktivnosti prelaze prihvatljivi nivo, dolazi do odstupanja postojećeg od željenog stanja (GES) usljed dejstva antropogenih pritisaka. U opisivanju dobrog stanja </w:t>
      </w:r>
      <w:r w:rsidR="00CD7C15" w:rsidRPr="006B56E4">
        <w:rPr>
          <w:rFonts w:eastAsia="Calibri" w:cs="Calibri"/>
          <w:color w:val="000000"/>
          <w:szCs w:val="22"/>
          <w:lang w:val="en-GB" w:eastAsia="en-US"/>
        </w:rPr>
        <w:t>morske</w:t>
      </w:r>
      <w:r w:rsidRPr="006B56E4">
        <w:rPr>
          <w:rFonts w:eastAsia="Calibri" w:cs="Calibri"/>
          <w:color w:val="000000"/>
          <w:szCs w:val="22"/>
          <w:lang w:val="en-GB" w:eastAsia="en-US"/>
        </w:rPr>
        <w:t xml:space="preserve"> sredine (član 9 ODMS-a), navedeno stanje je stanje koje treba postići, oporaviti ili održati.</w:t>
      </w:r>
    </w:p>
    <w:p w14:paraId="48C9A703" w14:textId="77777777" w:rsidR="00800EA3" w:rsidRDefault="00800EA3" w:rsidP="009303A6">
      <w:pPr>
        <w:spacing w:before="0" w:after="160"/>
        <w:contextualSpacing/>
        <w:jc w:val="left"/>
        <w:rPr>
          <w:rFonts w:eastAsia="Calibri" w:cs="Calibri"/>
          <w:b/>
          <w:color w:val="000000"/>
          <w:szCs w:val="22"/>
          <w:lang w:val="en-GB" w:eastAsia="en-US"/>
        </w:rPr>
      </w:pPr>
    </w:p>
    <w:p w14:paraId="083F9363" w14:textId="77777777" w:rsidR="00800EA3" w:rsidRDefault="00800EA3" w:rsidP="009303A6">
      <w:pPr>
        <w:spacing w:before="0" w:after="160"/>
        <w:contextualSpacing/>
        <w:jc w:val="left"/>
        <w:rPr>
          <w:rFonts w:eastAsia="Calibri" w:cs="Calibri"/>
          <w:b/>
          <w:color w:val="000000"/>
          <w:szCs w:val="22"/>
          <w:lang w:val="en-GB" w:eastAsia="en-US"/>
        </w:rPr>
      </w:pPr>
    </w:p>
    <w:p w14:paraId="202DF900" w14:textId="77777777" w:rsidR="00800EA3" w:rsidRDefault="00800EA3" w:rsidP="009303A6">
      <w:pPr>
        <w:spacing w:before="0" w:after="160"/>
        <w:contextualSpacing/>
        <w:jc w:val="left"/>
        <w:rPr>
          <w:rFonts w:eastAsia="Calibri" w:cs="Calibri"/>
          <w:b/>
          <w:color w:val="000000"/>
          <w:szCs w:val="22"/>
          <w:lang w:val="en-GB" w:eastAsia="en-US"/>
        </w:rPr>
      </w:pPr>
    </w:p>
    <w:p w14:paraId="3C0FF609" w14:textId="0A05EBA6" w:rsidR="009303A6" w:rsidRPr="009303A6" w:rsidRDefault="009303A6" w:rsidP="009303A6">
      <w:pPr>
        <w:spacing w:before="0" w:after="160"/>
        <w:contextualSpacing/>
        <w:jc w:val="left"/>
        <w:rPr>
          <w:rFonts w:eastAsiaTheme="minorHAnsi" w:cs="Calibri"/>
          <w:szCs w:val="22"/>
          <w:lang w:val="en-GB" w:eastAsia="en-US"/>
        </w:rPr>
      </w:pPr>
      <w:r w:rsidRPr="009303A6">
        <w:rPr>
          <w:rFonts w:eastAsia="Calibri" w:cs="Calibri"/>
          <w:b/>
          <w:color w:val="000000"/>
          <w:szCs w:val="22"/>
          <w:lang w:val="en-GB" w:eastAsia="en-US"/>
        </w:rPr>
        <w:t>Karakteristike GES-a treba da:</w:t>
      </w:r>
    </w:p>
    <w:p w14:paraId="5F5D91DC" w14:textId="77777777" w:rsidR="009303A6" w:rsidRDefault="009303A6" w:rsidP="009303A6">
      <w:pPr>
        <w:spacing w:before="0" w:after="0"/>
        <w:contextualSpacing/>
        <w:jc w:val="left"/>
        <w:rPr>
          <w:rFonts w:eastAsiaTheme="minorHAnsi" w:cs="Calibri"/>
          <w:szCs w:val="22"/>
          <w:lang w:val="en-GB" w:eastAsia="en-US"/>
        </w:rPr>
      </w:pPr>
    </w:p>
    <w:p w14:paraId="3EBA8FF2" w14:textId="598FEBF1" w:rsidR="009303A6" w:rsidRPr="009303A6" w:rsidRDefault="00800EA3" w:rsidP="00C52E6F">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S</w:t>
      </w:r>
      <w:r w:rsidR="009303A6">
        <w:rPr>
          <w:rFonts w:eastAsiaTheme="minorHAnsi" w:cs="Calibri"/>
          <w:szCs w:val="22"/>
          <w:lang w:val="en-GB" w:eastAsia="en-US"/>
        </w:rPr>
        <w:t xml:space="preserve">e odnose na </w:t>
      </w:r>
      <w:r w:rsidR="009303A6" w:rsidRPr="009303A6">
        <w:rPr>
          <w:rFonts w:eastAsiaTheme="minorHAnsi" w:cs="Calibri"/>
          <w:szCs w:val="22"/>
          <w:lang w:val="en-GB" w:eastAsia="en-US"/>
        </w:rPr>
        <w:t>željeno stanje morsk</w:t>
      </w:r>
      <w:r w:rsidR="009303A6">
        <w:rPr>
          <w:rFonts w:eastAsiaTheme="minorHAnsi" w:cs="Calibri"/>
          <w:szCs w:val="22"/>
          <w:lang w:val="en-GB" w:eastAsia="en-US"/>
        </w:rPr>
        <w:t>e sredine</w:t>
      </w:r>
      <w:r w:rsidR="009303A6" w:rsidRPr="009303A6">
        <w:rPr>
          <w:rFonts w:eastAsiaTheme="minorHAnsi" w:cs="Calibri"/>
          <w:szCs w:val="22"/>
          <w:lang w:val="en-GB" w:eastAsia="en-US"/>
        </w:rPr>
        <w:t xml:space="preserve"> ili na odgovarajući nivo pritiska/uticaja na njega kada se postigne GES;</w:t>
      </w:r>
    </w:p>
    <w:p w14:paraId="1631024B" w14:textId="1C8ECD2F" w:rsidR="009303A6" w:rsidRPr="009303A6" w:rsidRDefault="009303A6" w:rsidP="00C52E6F">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Uzmu</w:t>
      </w:r>
      <w:r w:rsidRPr="009303A6">
        <w:rPr>
          <w:rFonts w:eastAsiaTheme="minorHAnsi" w:cs="Calibri"/>
          <w:szCs w:val="22"/>
          <w:lang w:val="en-GB" w:eastAsia="en-US"/>
        </w:rPr>
        <w:t xml:space="preserve"> u obzir prevladavajuće uslove životne sredine i otpornost i sposobnost oporavka ekosistema;</w:t>
      </w:r>
    </w:p>
    <w:p w14:paraId="7131C6BE" w14:textId="63D53B1B" w:rsidR="009303A6" w:rsidRPr="009303A6" w:rsidRDefault="009303A6" w:rsidP="00C52E6F">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Budu dosljedne</w:t>
      </w:r>
      <w:r w:rsidRPr="009303A6">
        <w:rPr>
          <w:rFonts w:eastAsiaTheme="minorHAnsi" w:cs="Calibri"/>
          <w:szCs w:val="22"/>
          <w:lang w:val="en-GB" w:eastAsia="en-US"/>
        </w:rPr>
        <w:t xml:space="preserve"> održivo</w:t>
      </w:r>
      <w:r>
        <w:rPr>
          <w:rFonts w:eastAsiaTheme="minorHAnsi" w:cs="Calibri"/>
          <w:szCs w:val="22"/>
          <w:lang w:val="en-GB" w:eastAsia="en-US"/>
        </w:rPr>
        <w:t>m korišćenju</w:t>
      </w:r>
      <w:r w:rsidRPr="009303A6">
        <w:rPr>
          <w:rFonts w:eastAsiaTheme="minorHAnsi" w:cs="Calibri"/>
          <w:szCs w:val="22"/>
          <w:lang w:val="en-GB" w:eastAsia="en-US"/>
        </w:rPr>
        <w:t xml:space="preserve"> morsk</w:t>
      </w:r>
      <w:r>
        <w:rPr>
          <w:rFonts w:eastAsiaTheme="minorHAnsi" w:cs="Calibri"/>
          <w:szCs w:val="22"/>
          <w:lang w:val="en-GB" w:eastAsia="en-US"/>
        </w:rPr>
        <w:t>e sredine</w:t>
      </w:r>
      <w:r w:rsidRPr="009303A6">
        <w:rPr>
          <w:rFonts w:eastAsiaTheme="minorHAnsi" w:cs="Calibri"/>
          <w:szCs w:val="22"/>
          <w:lang w:val="en-GB" w:eastAsia="en-US"/>
        </w:rPr>
        <w:t xml:space="preserve">; </w:t>
      </w:r>
      <w:r>
        <w:rPr>
          <w:rFonts w:eastAsiaTheme="minorHAnsi" w:cs="Calibri"/>
          <w:szCs w:val="22"/>
          <w:lang w:val="en-GB" w:eastAsia="en-US"/>
        </w:rPr>
        <w:t>budu</w:t>
      </w:r>
      <w:r w:rsidRPr="009303A6">
        <w:rPr>
          <w:rFonts w:eastAsiaTheme="minorHAnsi" w:cs="Calibri"/>
          <w:szCs w:val="22"/>
          <w:lang w:val="en-GB" w:eastAsia="en-US"/>
        </w:rPr>
        <w:t xml:space="preserve"> relativn</w:t>
      </w:r>
      <w:r>
        <w:rPr>
          <w:rFonts w:eastAsiaTheme="minorHAnsi" w:cs="Calibri"/>
          <w:szCs w:val="22"/>
          <w:lang w:val="en-GB" w:eastAsia="en-US"/>
        </w:rPr>
        <w:t xml:space="preserve">o visokog nivoa  </w:t>
      </w:r>
      <w:r w:rsidRPr="009303A6">
        <w:rPr>
          <w:rFonts w:eastAsiaTheme="minorHAnsi" w:cs="Calibri"/>
          <w:szCs w:val="22"/>
          <w:lang w:val="en-GB" w:eastAsia="en-US"/>
        </w:rPr>
        <w:t>i uglavnom kvalitativ</w:t>
      </w:r>
      <w:r>
        <w:rPr>
          <w:rFonts w:eastAsiaTheme="minorHAnsi" w:cs="Calibri"/>
          <w:szCs w:val="22"/>
          <w:lang w:val="en-GB" w:eastAsia="en-US"/>
        </w:rPr>
        <w:t>ne</w:t>
      </w:r>
      <w:r w:rsidRPr="009303A6">
        <w:rPr>
          <w:rFonts w:eastAsiaTheme="minorHAnsi" w:cs="Calibri"/>
          <w:szCs w:val="22"/>
          <w:lang w:val="en-GB" w:eastAsia="en-US"/>
        </w:rPr>
        <w:t xml:space="preserve"> </w:t>
      </w:r>
      <w:r>
        <w:rPr>
          <w:rFonts w:eastAsiaTheme="minorHAnsi" w:cs="Calibri"/>
          <w:szCs w:val="22"/>
          <w:lang w:val="en-GB" w:eastAsia="en-US"/>
        </w:rPr>
        <w:t>–</w:t>
      </w:r>
      <w:r w:rsidRPr="009303A6">
        <w:rPr>
          <w:rFonts w:eastAsiaTheme="minorHAnsi" w:cs="Calibri"/>
          <w:szCs w:val="22"/>
          <w:lang w:val="en-GB" w:eastAsia="en-US"/>
        </w:rPr>
        <w:t xml:space="preserve"> ali</w:t>
      </w:r>
      <w:r>
        <w:rPr>
          <w:rFonts w:eastAsiaTheme="minorHAnsi" w:cs="Calibri"/>
          <w:szCs w:val="22"/>
          <w:lang w:val="en-GB" w:eastAsia="en-US"/>
        </w:rPr>
        <w:t xml:space="preserve"> da</w:t>
      </w:r>
      <w:r w:rsidRPr="009303A6">
        <w:rPr>
          <w:rFonts w:eastAsiaTheme="minorHAnsi" w:cs="Calibri"/>
          <w:szCs w:val="22"/>
          <w:lang w:val="en-GB" w:eastAsia="en-US"/>
        </w:rPr>
        <w:t xml:space="preserve"> pružaju dovoljno detalja da </w:t>
      </w:r>
      <w:r>
        <w:rPr>
          <w:rFonts w:eastAsiaTheme="minorHAnsi" w:cs="Calibri"/>
          <w:szCs w:val="22"/>
          <w:lang w:val="en-GB" w:eastAsia="en-US"/>
        </w:rPr>
        <w:t xml:space="preserve">se </w:t>
      </w:r>
      <w:r w:rsidRPr="009303A6">
        <w:rPr>
          <w:rFonts w:eastAsiaTheme="minorHAnsi" w:cs="Calibri"/>
          <w:szCs w:val="22"/>
          <w:lang w:val="en-GB" w:eastAsia="en-US"/>
        </w:rPr>
        <w:t>postavi kontekst za detaljnije ciljeve i indikatore GES-a koji ih podržavaju;</w:t>
      </w:r>
    </w:p>
    <w:p w14:paraId="1DA25C83" w14:textId="4AF5A5EE" w:rsidR="009303A6" w:rsidRPr="009303A6" w:rsidRDefault="009303A6" w:rsidP="00C52E6F">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 xml:space="preserve">Budu </w:t>
      </w:r>
      <w:r w:rsidRPr="009303A6">
        <w:rPr>
          <w:rFonts w:eastAsiaTheme="minorHAnsi" w:cs="Calibri"/>
          <w:szCs w:val="22"/>
          <w:lang w:val="en-GB" w:eastAsia="en-US"/>
        </w:rPr>
        <w:t>kompatibil</w:t>
      </w:r>
      <w:r>
        <w:rPr>
          <w:rFonts w:eastAsiaTheme="minorHAnsi" w:cs="Calibri"/>
          <w:szCs w:val="22"/>
          <w:lang w:val="en-GB" w:eastAsia="en-US"/>
        </w:rPr>
        <w:t>ne</w:t>
      </w:r>
      <w:r w:rsidRPr="009303A6">
        <w:rPr>
          <w:rFonts w:eastAsiaTheme="minorHAnsi" w:cs="Calibri"/>
          <w:szCs w:val="22"/>
          <w:lang w:val="en-GB" w:eastAsia="en-US"/>
        </w:rPr>
        <w:t xml:space="preserve"> sa ostalim postojećim nacionalnim, EU ili međunarodnim ciljevima;</w:t>
      </w:r>
    </w:p>
    <w:p w14:paraId="78C3E03C" w14:textId="7707A39D" w:rsidR="009303A6" w:rsidRPr="009303A6" w:rsidRDefault="009303A6" w:rsidP="00C52E6F">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Uzmu</w:t>
      </w:r>
      <w:r w:rsidRPr="009303A6">
        <w:rPr>
          <w:rFonts w:eastAsiaTheme="minorHAnsi" w:cs="Calibri"/>
          <w:szCs w:val="22"/>
          <w:lang w:val="en-GB" w:eastAsia="en-US"/>
        </w:rPr>
        <w:t xml:space="preserve"> u obzir veze između različitih GES deskriptora;</w:t>
      </w:r>
    </w:p>
    <w:p w14:paraId="0D7E450D" w14:textId="187415D9" w:rsidR="009303A6" w:rsidRPr="009303A6" w:rsidRDefault="009303A6" w:rsidP="00C52E6F">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Budu</w:t>
      </w:r>
      <w:r w:rsidRPr="009303A6">
        <w:rPr>
          <w:rFonts w:eastAsiaTheme="minorHAnsi" w:cs="Calibri"/>
          <w:szCs w:val="22"/>
          <w:lang w:val="en-GB" w:eastAsia="en-US"/>
        </w:rPr>
        <w:t xml:space="preserve"> razvijen</w:t>
      </w:r>
      <w:r>
        <w:rPr>
          <w:rFonts w:eastAsiaTheme="minorHAnsi" w:cs="Calibri"/>
          <w:szCs w:val="22"/>
          <w:lang w:val="en-GB" w:eastAsia="en-US"/>
        </w:rPr>
        <w:t>e</w:t>
      </w:r>
      <w:r w:rsidRPr="009303A6">
        <w:rPr>
          <w:rFonts w:eastAsiaTheme="minorHAnsi" w:cs="Calibri"/>
          <w:szCs w:val="22"/>
          <w:lang w:val="en-GB" w:eastAsia="en-US"/>
        </w:rPr>
        <w:t xml:space="preserve"> na osnovu </w:t>
      </w:r>
      <w:r>
        <w:rPr>
          <w:rFonts w:eastAsiaTheme="minorHAnsi" w:cs="Calibri"/>
          <w:szCs w:val="22"/>
          <w:lang w:val="en-GB" w:eastAsia="en-US"/>
        </w:rPr>
        <w:t>postojećih</w:t>
      </w:r>
      <w:r w:rsidRPr="009303A6">
        <w:rPr>
          <w:rFonts w:eastAsiaTheme="minorHAnsi" w:cs="Calibri"/>
          <w:szCs w:val="22"/>
          <w:lang w:val="en-GB" w:eastAsia="en-US"/>
        </w:rPr>
        <w:t xml:space="preserve"> dokaza i u odnosu na početnu proc</w:t>
      </w:r>
      <w:r>
        <w:rPr>
          <w:rFonts w:eastAsiaTheme="minorHAnsi" w:cs="Calibri"/>
          <w:szCs w:val="22"/>
          <w:lang w:val="en-GB" w:eastAsia="en-US"/>
        </w:rPr>
        <w:t>j</w:t>
      </w:r>
      <w:r w:rsidRPr="009303A6">
        <w:rPr>
          <w:rFonts w:eastAsiaTheme="minorHAnsi" w:cs="Calibri"/>
          <w:szCs w:val="22"/>
          <w:lang w:val="en-GB" w:eastAsia="en-US"/>
        </w:rPr>
        <w:t>enu;</w:t>
      </w:r>
    </w:p>
    <w:p w14:paraId="0C560929" w14:textId="3F31A415" w:rsidR="009303A6" w:rsidRPr="001C6CCA" w:rsidRDefault="009303A6" w:rsidP="00C52E6F">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Budu</w:t>
      </w:r>
      <w:r w:rsidRPr="009303A6">
        <w:rPr>
          <w:rFonts w:eastAsiaTheme="minorHAnsi" w:cs="Calibri"/>
          <w:szCs w:val="22"/>
          <w:lang w:val="en-GB" w:eastAsia="en-US"/>
        </w:rPr>
        <w:t xml:space="preserve"> transparentn</w:t>
      </w:r>
      <w:r>
        <w:rPr>
          <w:rFonts w:eastAsiaTheme="minorHAnsi" w:cs="Calibri"/>
          <w:szCs w:val="22"/>
          <w:lang w:val="en-GB" w:eastAsia="en-US"/>
        </w:rPr>
        <w:t>e</w:t>
      </w:r>
      <w:r w:rsidRPr="009303A6">
        <w:rPr>
          <w:rFonts w:eastAsiaTheme="minorHAnsi" w:cs="Calibri"/>
          <w:szCs w:val="22"/>
          <w:lang w:val="en-GB" w:eastAsia="en-US"/>
        </w:rPr>
        <w:t xml:space="preserve"> u oblastima neizv</w:t>
      </w:r>
      <w:r>
        <w:rPr>
          <w:rFonts w:eastAsiaTheme="minorHAnsi" w:cs="Calibri"/>
          <w:szCs w:val="22"/>
          <w:lang w:val="en-GB" w:eastAsia="en-US"/>
        </w:rPr>
        <w:t>j</w:t>
      </w:r>
      <w:r w:rsidRPr="009303A6">
        <w:rPr>
          <w:rFonts w:eastAsiaTheme="minorHAnsi" w:cs="Calibri"/>
          <w:szCs w:val="22"/>
          <w:lang w:val="en-GB" w:eastAsia="en-US"/>
        </w:rPr>
        <w:t xml:space="preserve">esnosti zbog </w:t>
      </w:r>
      <w:r>
        <w:rPr>
          <w:rFonts w:eastAsiaTheme="minorHAnsi" w:cs="Calibri"/>
          <w:szCs w:val="22"/>
          <w:lang w:val="en-GB" w:eastAsia="en-US"/>
        </w:rPr>
        <w:t>nedostataka</w:t>
      </w:r>
      <w:r w:rsidRPr="009303A6">
        <w:rPr>
          <w:rFonts w:eastAsiaTheme="minorHAnsi" w:cs="Calibri"/>
          <w:szCs w:val="22"/>
          <w:lang w:val="en-GB" w:eastAsia="en-US"/>
        </w:rPr>
        <w:t xml:space="preserve"> u bazi znanja.</w:t>
      </w:r>
    </w:p>
    <w:p w14:paraId="26D8D20C" w14:textId="77777777" w:rsidR="00264F4C" w:rsidRPr="00842A83" w:rsidRDefault="00264F4C" w:rsidP="00F65CFF">
      <w:pPr>
        <w:autoSpaceDE w:val="0"/>
        <w:autoSpaceDN w:val="0"/>
        <w:adjustRightInd w:val="0"/>
        <w:spacing w:before="0" w:after="0" w:line="240" w:lineRule="auto"/>
        <w:ind w:left="284"/>
        <w:jc w:val="left"/>
        <w:rPr>
          <w:rFonts w:eastAsia="Calibri" w:cs="Calibri"/>
          <w:color w:val="0070C0"/>
          <w:szCs w:val="22"/>
          <w:lang w:val="en-GB" w:eastAsia="en-US"/>
        </w:rPr>
      </w:pPr>
    </w:p>
    <w:p w14:paraId="26FF42A4" w14:textId="77777777" w:rsidR="000A3C9A" w:rsidRPr="00D97080" w:rsidRDefault="000A3C9A" w:rsidP="000A3C9A">
      <w:pPr>
        <w:autoSpaceDE w:val="0"/>
        <w:autoSpaceDN w:val="0"/>
        <w:adjustRightInd w:val="0"/>
        <w:spacing w:before="0" w:after="160"/>
        <w:rPr>
          <w:rFonts w:eastAsia="Calibri" w:cs="Calibri"/>
          <w:color w:val="0070C0"/>
          <w:szCs w:val="22"/>
          <w:lang w:val="en-GB" w:eastAsia="en-US"/>
        </w:rPr>
      </w:pPr>
      <w:r w:rsidRPr="000A3C9A">
        <w:rPr>
          <w:rFonts w:eastAsia="Calibri" w:cs="Calibri"/>
          <w:b/>
          <w:szCs w:val="22"/>
          <w:lang w:val="en-GB" w:eastAsia="en-US"/>
        </w:rPr>
        <w:t>Ciljevi i indikatori</w:t>
      </w:r>
      <w:r w:rsidRPr="008F04D8">
        <w:rPr>
          <w:rFonts w:eastAsia="Calibri" w:cs="Calibri"/>
          <w:szCs w:val="22"/>
          <w:lang w:val="en-GB" w:eastAsia="en-US"/>
        </w:rPr>
        <w:t xml:space="preserve"> takođe uzimaju u obzir sl</w:t>
      </w:r>
      <w:r>
        <w:rPr>
          <w:rFonts w:eastAsia="Calibri" w:cs="Calibri"/>
          <w:szCs w:val="22"/>
          <w:lang w:val="en-GB" w:eastAsia="en-US"/>
        </w:rPr>
        <w:t>j</w:t>
      </w:r>
      <w:r w:rsidRPr="008F04D8">
        <w:rPr>
          <w:rFonts w:eastAsia="Calibri" w:cs="Calibri"/>
          <w:szCs w:val="22"/>
          <w:lang w:val="en-GB" w:eastAsia="en-US"/>
        </w:rPr>
        <w:t xml:space="preserve">edeće kriterijume </w:t>
      </w:r>
      <w:r>
        <w:rPr>
          <w:rFonts w:eastAsia="Calibri" w:cs="Calibri"/>
          <w:szCs w:val="22"/>
          <w:lang w:val="en-GB" w:eastAsia="en-US"/>
        </w:rPr>
        <w:t xml:space="preserve">koji su usaglašeni na nivou Radne grupe </w:t>
      </w:r>
      <w:r w:rsidRPr="008F04D8">
        <w:rPr>
          <w:rFonts w:eastAsia="Calibri" w:cs="Calibri"/>
          <w:szCs w:val="22"/>
          <w:lang w:val="en-GB" w:eastAsia="en-US"/>
        </w:rPr>
        <w:t>EU GES u svojim sav</w:t>
      </w:r>
      <w:r>
        <w:rPr>
          <w:rFonts w:eastAsia="Calibri" w:cs="Calibri"/>
          <w:szCs w:val="22"/>
          <w:lang w:val="en-GB" w:eastAsia="en-US"/>
        </w:rPr>
        <w:t>j</w:t>
      </w:r>
      <w:r w:rsidRPr="008F04D8">
        <w:rPr>
          <w:rFonts w:eastAsia="Calibri" w:cs="Calibri"/>
          <w:szCs w:val="22"/>
          <w:lang w:val="en-GB" w:eastAsia="en-US"/>
        </w:rPr>
        <w:t>etima o zajedničkom razum</w:t>
      </w:r>
      <w:r>
        <w:rPr>
          <w:rFonts w:eastAsia="Calibri" w:cs="Calibri"/>
          <w:szCs w:val="22"/>
          <w:lang w:val="en-GB" w:eastAsia="en-US"/>
        </w:rPr>
        <w:t>ij</w:t>
      </w:r>
      <w:r w:rsidRPr="008F04D8">
        <w:rPr>
          <w:rFonts w:eastAsia="Calibri" w:cs="Calibri"/>
          <w:szCs w:val="22"/>
          <w:lang w:val="en-GB" w:eastAsia="en-US"/>
        </w:rPr>
        <w:t>evanju članova 8, 9 i 10. GES ciljevi i indikatori treba da</w:t>
      </w:r>
      <w:r w:rsidRPr="008F04D8">
        <w:rPr>
          <w:rFonts w:eastAsia="Calibri" w:cs="Calibri"/>
          <w:color w:val="0070C0"/>
          <w:szCs w:val="22"/>
          <w:lang w:val="en-GB" w:eastAsia="en-US"/>
        </w:rPr>
        <w:t>:</w:t>
      </w:r>
    </w:p>
    <w:p w14:paraId="05B832E2" w14:textId="54156F95" w:rsidR="008C3D55" w:rsidRPr="008C3D55" w:rsidRDefault="008C3D55" w:rsidP="008C3D55">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budu</w:t>
      </w:r>
      <w:r w:rsidRPr="008C3D55">
        <w:rPr>
          <w:rFonts w:eastAsiaTheme="minorHAnsi" w:cs="Calibri"/>
          <w:szCs w:val="22"/>
          <w:lang w:val="en-GB" w:eastAsia="en-US"/>
        </w:rPr>
        <w:t xml:space="preserve"> dovoljan</w:t>
      </w:r>
      <w:r>
        <w:rPr>
          <w:rFonts w:eastAsiaTheme="minorHAnsi" w:cs="Calibri"/>
          <w:szCs w:val="22"/>
          <w:lang w:val="en-GB" w:eastAsia="en-US"/>
        </w:rPr>
        <w:t>i</w:t>
      </w:r>
      <w:r w:rsidRPr="008C3D55">
        <w:rPr>
          <w:rFonts w:eastAsiaTheme="minorHAnsi" w:cs="Calibri"/>
          <w:szCs w:val="22"/>
          <w:lang w:val="en-GB" w:eastAsia="en-US"/>
        </w:rPr>
        <w:t xml:space="preserve"> za postizanje ili održavanje GES-a, prepoznajući da </w:t>
      </w:r>
      <w:r>
        <w:rPr>
          <w:rFonts w:eastAsiaTheme="minorHAnsi" w:cs="Calibri"/>
          <w:szCs w:val="22"/>
          <w:lang w:val="en-GB" w:eastAsia="en-US"/>
        </w:rPr>
        <w:t xml:space="preserve">srednjoročni </w:t>
      </w:r>
      <w:r w:rsidRPr="008C3D55">
        <w:rPr>
          <w:rFonts w:eastAsiaTheme="minorHAnsi" w:cs="Calibri"/>
          <w:szCs w:val="22"/>
          <w:lang w:val="en-GB" w:eastAsia="en-US"/>
        </w:rPr>
        <w:t xml:space="preserve">ciljevi mogu biti </w:t>
      </w:r>
      <w:r>
        <w:rPr>
          <w:rFonts w:eastAsiaTheme="minorHAnsi" w:cs="Calibri"/>
          <w:szCs w:val="22"/>
          <w:lang w:val="en-GB" w:eastAsia="en-US"/>
        </w:rPr>
        <w:t>odgovarajući u smislu odražavanja prepreka za postizanj</w:t>
      </w:r>
      <w:r w:rsidRPr="008C3D55">
        <w:rPr>
          <w:rFonts w:eastAsiaTheme="minorHAnsi" w:cs="Calibri"/>
          <w:szCs w:val="22"/>
          <w:lang w:val="en-GB" w:eastAsia="en-US"/>
        </w:rPr>
        <w:t xml:space="preserve"> ili održavanj</w:t>
      </w:r>
      <w:r>
        <w:rPr>
          <w:rFonts w:eastAsiaTheme="minorHAnsi" w:cs="Calibri"/>
          <w:szCs w:val="22"/>
          <w:lang w:val="en-GB" w:eastAsia="en-US"/>
        </w:rPr>
        <w:t>e</w:t>
      </w:r>
      <w:r w:rsidRPr="008C3D55">
        <w:rPr>
          <w:rFonts w:eastAsiaTheme="minorHAnsi" w:cs="Calibri"/>
          <w:szCs w:val="22"/>
          <w:lang w:val="en-GB" w:eastAsia="en-US"/>
        </w:rPr>
        <w:t xml:space="preserve"> GES-a;</w:t>
      </w:r>
    </w:p>
    <w:p w14:paraId="0684C7F2" w14:textId="541740F1" w:rsidR="008C3D55" w:rsidRPr="008C3D55" w:rsidRDefault="008C3D55" w:rsidP="008C3D55">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budu</w:t>
      </w:r>
      <w:r w:rsidRPr="008C3D55">
        <w:rPr>
          <w:rFonts w:eastAsiaTheme="minorHAnsi" w:cs="Calibri"/>
          <w:szCs w:val="22"/>
          <w:lang w:val="en-GB" w:eastAsia="en-US"/>
        </w:rPr>
        <w:t xml:space="preserve"> kvantitativni tamo g</w:t>
      </w:r>
      <w:r>
        <w:rPr>
          <w:rFonts w:eastAsiaTheme="minorHAnsi" w:cs="Calibri"/>
          <w:szCs w:val="22"/>
          <w:lang w:val="en-GB" w:eastAsia="en-US"/>
        </w:rPr>
        <w:t>dj</w:t>
      </w:r>
      <w:r w:rsidRPr="008C3D55">
        <w:rPr>
          <w:rFonts w:eastAsiaTheme="minorHAnsi" w:cs="Calibri"/>
          <w:szCs w:val="22"/>
          <w:lang w:val="en-GB" w:eastAsia="en-US"/>
        </w:rPr>
        <w:t>e je to moguće i kvalitativni kada to nije moguće;</w:t>
      </w:r>
    </w:p>
    <w:p w14:paraId="2EF7391A" w14:textId="3F7F768E" w:rsidR="008C3D55" w:rsidRPr="008C3D55" w:rsidRDefault="008C3D55" w:rsidP="008C3D55">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 xml:space="preserve">obuhvataju </w:t>
      </w:r>
      <w:r w:rsidRPr="008C3D55">
        <w:rPr>
          <w:rFonts w:eastAsiaTheme="minorHAnsi" w:cs="Calibri"/>
          <w:szCs w:val="22"/>
          <w:lang w:val="en-GB" w:eastAsia="en-US"/>
        </w:rPr>
        <w:t>stanje, pritisak, uticaj ili operativne ciljeve;</w:t>
      </w:r>
    </w:p>
    <w:p w14:paraId="547C36F2" w14:textId="3CD442DE" w:rsidR="008C3D55" w:rsidRPr="008C3D55" w:rsidRDefault="008C3D55" w:rsidP="00D71066">
      <w:pPr>
        <w:numPr>
          <w:ilvl w:val="0"/>
          <w:numId w:val="49"/>
        </w:numPr>
        <w:spacing w:before="0" w:after="0"/>
        <w:contextualSpacing/>
        <w:jc w:val="left"/>
        <w:rPr>
          <w:rFonts w:eastAsiaTheme="minorHAnsi" w:cs="Calibri"/>
          <w:szCs w:val="22"/>
          <w:lang w:val="en-GB" w:eastAsia="en-US"/>
        </w:rPr>
      </w:pPr>
      <w:r w:rsidRPr="008C3D55">
        <w:rPr>
          <w:rFonts w:eastAsiaTheme="minorHAnsi" w:cs="Calibri"/>
          <w:szCs w:val="22"/>
          <w:lang w:val="en-GB" w:eastAsia="en-US"/>
        </w:rPr>
        <w:t>razmatraju kriterijume I indikatore iz Odluke Komisije o GES-u (COM Odluka</w:t>
      </w:r>
      <w:r>
        <w:rPr>
          <w:rFonts w:eastAsiaTheme="minorHAnsi" w:cs="Calibri"/>
          <w:szCs w:val="22"/>
          <w:lang w:val="en-GB" w:eastAsia="en-US"/>
        </w:rPr>
        <w:t xml:space="preserve"> </w:t>
      </w:r>
      <w:r w:rsidRPr="008C3D55">
        <w:rPr>
          <w:rFonts w:eastAsiaTheme="minorHAnsi" w:cs="Calibri"/>
          <w:szCs w:val="22"/>
          <w:lang w:val="en-GB" w:eastAsia="en-US"/>
        </w:rPr>
        <w:t>2017/848/EU po potrebi;</w:t>
      </w:r>
    </w:p>
    <w:p w14:paraId="3C54CE69" w14:textId="10D1DB55" w:rsidR="008C3D55" w:rsidRPr="008C3D55" w:rsidRDefault="006075FE" w:rsidP="008C3D55">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budu mjerljivi kako bi se omogućio monitoring</w:t>
      </w:r>
      <w:r w:rsidR="008C3D55" w:rsidRPr="008C3D55">
        <w:rPr>
          <w:rFonts w:eastAsiaTheme="minorHAnsi" w:cs="Calibri"/>
          <w:szCs w:val="22"/>
          <w:lang w:val="en-GB" w:eastAsia="en-US"/>
        </w:rPr>
        <w:t xml:space="preserve"> i proc</w:t>
      </w:r>
      <w:r>
        <w:rPr>
          <w:rFonts w:eastAsiaTheme="minorHAnsi" w:cs="Calibri"/>
          <w:szCs w:val="22"/>
          <w:lang w:val="en-GB" w:eastAsia="en-US"/>
        </w:rPr>
        <w:t>j</w:t>
      </w:r>
      <w:r w:rsidR="008C3D55" w:rsidRPr="008C3D55">
        <w:rPr>
          <w:rFonts w:eastAsiaTheme="minorHAnsi" w:cs="Calibri"/>
          <w:szCs w:val="22"/>
          <w:lang w:val="en-GB" w:eastAsia="en-US"/>
        </w:rPr>
        <w:t>ena putem povezanih indikatora;</w:t>
      </w:r>
    </w:p>
    <w:p w14:paraId="089A2335" w14:textId="29C60393" w:rsidR="006075FE" w:rsidRPr="008C3D55" w:rsidRDefault="006075FE" w:rsidP="006075FE">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navode</w:t>
      </w:r>
      <w:r w:rsidRPr="008C3D55">
        <w:rPr>
          <w:rFonts w:eastAsiaTheme="minorHAnsi" w:cs="Calibri"/>
          <w:szCs w:val="22"/>
          <w:lang w:val="en-GB" w:eastAsia="en-US"/>
        </w:rPr>
        <w:t xml:space="preserve"> referentne tačke tamo gd</w:t>
      </w:r>
      <w:r>
        <w:rPr>
          <w:rFonts w:eastAsiaTheme="minorHAnsi" w:cs="Calibri"/>
          <w:szCs w:val="22"/>
          <w:lang w:val="en-GB" w:eastAsia="en-US"/>
        </w:rPr>
        <w:t>j</w:t>
      </w:r>
      <w:r w:rsidRPr="008C3D55">
        <w:rPr>
          <w:rFonts w:eastAsiaTheme="minorHAnsi" w:cs="Calibri"/>
          <w:szCs w:val="22"/>
          <w:lang w:val="en-GB" w:eastAsia="en-US"/>
        </w:rPr>
        <w:t>e je to potrebno (cilj</w:t>
      </w:r>
      <w:r>
        <w:rPr>
          <w:rFonts w:eastAsiaTheme="minorHAnsi" w:cs="Calibri"/>
          <w:szCs w:val="22"/>
          <w:lang w:val="en-GB" w:eastAsia="en-US"/>
        </w:rPr>
        <w:t>ne</w:t>
      </w:r>
      <w:r w:rsidRPr="008C3D55">
        <w:rPr>
          <w:rFonts w:eastAsiaTheme="minorHAnsi" w:cs="Calibri"/>
          <w:szCs w:val="22"/>
          <w:lang w:val="en-GB" w:eastAsia="en-US"/>
        </w:rPr>
        <w:t xml:space="preserve"> i granične referentne tačke);</w:t>
      </w:r>
    </w:p>
    <w:p w14:paraId="1C456313" w14:textId="6D6D6D47" w:rsidR="006075FE" w:rsidRPr="008C3D55" w:rsidRDefault="006075FE" w:rsidP="006075FE">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obuhvataju</w:t>
      </w:r>
      <w:r w:rsidRPr="008C3D55">
        <w:rPr>
          <w:rFonts w:eastAsiaTheme="minorHAnsi" w:cs="Calibri"/>
          <w:szCs w:val="22"/>
          <w:lang w:val="en-GB" w:eastAsia="en-US"/>
        </w:rPr>
        <w:t xml:space="preserve">, prema potrebi, i </w:t>
      </w:r>
      <w:r>
        <w:rPr>
          <w:rFonts w:eastAsiaTheme="minorHAnsi" w:cs="Calibri"/>
          <w:szCs w:val="22"/>
          <w:lang w:val="en-GB" w:eastAsia="en-US"/>
        </w:rPr>
        <w:t>budu</w:t>
      </w:r>
      <w:r w:rsidRPr="008C3D55">
        <w:rPr>
          <w:rFonts w:eastAsiaTheme="minorHAnsi" w:cs="Calibri"/>
          <w:szCs w:val="22"/>
          <w:lang w:val="en-GB" w:eastAsia="en-US"/>
        </w:rPr>
        <w:t xml:space="preserve"> kompatibilni sa postojećim ciljevima koji su već uspostavljeni na nacionalnom, međunarodnom nivou</w:t>
      </w:r>
      <w:r>
        <w:rPr>
          <w:rFonts w:eastAsiaTheme="minorHAnsi" w:cs="Calibri"/>
          <w:szCs w:val="22"/>
          <w:lang w:val="en-GB" w:eastAsia="en-US"/>
        </w:rPr>
        <w:t xml:space="preserve"> ili nivou Zajednice</w:t>
      </w:r>
      <w:r w:rsidRPr="008C3D55">
        <w:rPr>
          <w:rFonts w:eastAsiaTheme="minorHAnsi" w:cs="Calibri"/>
          <w:szCs w:val="22"/>
          <w:lang w:val="en-GB" w:eastAsia="en-US"/>
        </w:rPr>
        <w:t>;</w:t>
      </w:r>
    </w:p>
    <w:p w14:paraId="2CF699EF" w14:textId="47C6D922" w:rsidR="006075FE" w:rsidRPr="008C3D55" w:rsidRDefault="006075FE" w:rsidP="006075FE">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uzimaju u obzir</w:t>
      </w:r>
      <w:r w:rsidRPr="008C3D55">
        <w:rPr>
          <w:rFonts w:eastAsiaTheme="minorHAnsi" w:cs="Calibri"/>
          <w:szCs w:val="22"/>
          <w:lang w:val="en-GB" w:eastAsia="en-US"/>
        </w:rPr>
        <w:t xml:space="preserve"> socijaln</w:t>
      </w:r>
      <w:r>
        <w:rPr>
          <w:rFonts w:eastAsiaTheme="minorHAnsi" w:cs="Calibri"/>
          <w:szCs w:val="22"/>
          <w:lang w:val="en-GB" w:eastAsia="en-US"/>
        </w:rPr>
        <w:t>e</w:t>
      </w:r>
      <w:r w:rsidRPr="008C3D55">
        <w:rPr>
          <w:rFonts w:eastAsiaTheme="minorHAnsi" w:cs="Calibri"/>
          <w:szCs w:val="22"/>
          <w:lang w:val="en-GB" w:eastAsia="en-US"/>
        </w:rPr>
        <w:t xml:space="preserve"> i ekonomsk</w:t>
      </w:r>
      <w:r>
        <w:rPr>
          <w:rFonts w:eastAsiaTheme="minorHAnsi" w:cs="Calibri"/>
          <w:szCs w:val="22"/>
          <w:lang w:val="en-GB" w:eastAsia="en-US"/>
        </w:rPr>
        <w:t>e</w:t>
      </w:r>
      <w:r w:rsidRPr="008C3D55">
        <w:rPr>
          <w:rFonts w:eastAsiaTheme="minorHAnsi" w:cs="Calibri"/>
          <w:szCs w:val="22"/>
          <w:lang w:val="en-GB" w:eastAsia="en-US"/>
        </w:rPr>
        <w:t xml:space="preserve"> implikacij</w:t>
      </w:r>
      <w:r>
        <w:rPr>
          <w:rFonts w:eastAsiaTheme="minorHAnsi" w:cs="Calibri"/>
          <w:szCs w:val="22"/>
          <w:lang w:val="en-GB" w:eastAsia="en-US"/>
        </w:rPr>
        <w:t>e</w:t>
      </w:r>
      <w:r w:rsidRPr="008C3D55">
        <w:rPr>
          <w:rFonts w:eastAsiaTheme="minorHAnsi" w:cs="Calibri"/>
          <w:szCs w:val="22"/>
          <w:lang w:val="en-GB" w:eastAsia="en-US"/>
        </w:rPr>
        <w:t>;</w:t>
      </w:r>
    </w:p>
    <w:p w14:paraId="0B7C2AFD" w14:textId="706C29D4" w:rsidR="006075FE" w:rsidRPr="008C3D55" w:rsidRDefault="006075FE" w:rsidP="006075FE">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 xml:space="preserve">budu </w:t>
      </w:r>
      <w:r w:rsidRPr="008C3D55">
        <w:rPr>
          <w:rFonts w:eastAsiaTheme="minorHAnsi" w:cs="Calibri"/>
          <w:szCs w:val="22"/>
          <w:lang w:val="en-GB" w:eastAsia="en-US"/>
        </w:rPr>
        <w:t>interno dosl</w:t>
      </w:r>
      <w:r>
        <w:rPr>
          <w:rFonts w:eastAsiaTheme="minorHAnsi" w:cs="Calibri"/>
          <w:szCs w:val="22"/>
          <w:lang w:val="en-GB" w:eastAsia="en-US"/>
        </w:rPr>
        <w:t>ij</w:t>
      </w:r>
      <w:r w:rsidRPr="008C3D55">
        <w:rPr>
          <w:rFonts w:eastAsiaTheme="minorHAnsi" w:cs="Calibri"/>
          <w:szCs w:val="22"/>
          <w:lang w:val="en-GB" w:eastAsia="en-US"/>
        </w:rPr>
        <w:t>edni, bez sukoba među njima;</w:t>
      </w:r>
    </w:p>
    <w:p w14:paraId="3589D220" w14:textId="60808213" w:rsidR="006075FE" w:rsidRPr="008C3D55" w:rsidRDefault="006075FE" w:rsidP="006075FE">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 xml:space="preserve">budu </w:t>
      </w:r>
      <w:r w:rsidRPr="008C3D55">
        <w:rPr>
          <w:rFonts w:eastAsiaTheme="minorHAnsi" w:cs="Calibri"/>
          <w:szCs w:val="22"/>
          <w:lang w:val="en-GB" w:eastAsia="en-US"/>
        </w:rPr>
        <w:t>razvijeni za prim</w:t>
      </w:r>
      <w:r>
        <w:rPr>
          <w:rFonts w:eastAsiaTheme="minorHAnsi" w:cs="Calibri"/>
          <w:szCs w:val="22"/>
          <w:lang w:val="en-GB" w:eastAsia="en-US"/>
        </w:rPr>
        <w:t>j</w:t>
      </w:r>
      <w:r w:rsidRPr="008C3D55">
        <w:rPr>
          <w:rFonts w:eastAsiaTheme="minorHAnsi" w:cs="Calibri"/>
          <w:szCs w:val="22"/>
          <w:lang w:val="en-GB" w:eastAsia="en-US"/>
        </w:rPr>
        <w:t>enu na odgovarajućem nivou;</w:t>
      </w:r>
    </w:p>
    <w:p w14:paraId="034EE188" w14:textId="3452C7DF" w:rsidR="006075FE" w:rsidRPr="008C3D55" w:rsidRDefault="006075FE" w:rsidP="006075FE">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obuhvataju</w:t>
      </w:r>
      <w:r w:rsidRPr="008C3D55">
        <w:rPr>
          <w:rFonts w:eastAsiaTheme="minorHAnsi" w:cs="Calibri"/>
          <w:szCs w:val="22"/>
          <w:lang w:val="en-GB" w:eastAsia="en-US"/>
        </w:rPr>
        <w:t xml:space="preserve"> vremenske okvire za postizanje i, ako je potrebno, </w:t>
      </w:r>
      <w:r>
        <w:rPr>
          <w:rFonts w:eastAsiaTheme="minorHAnsi" w:cs="Calibri"/>
          <w:szCs w:val="22"/>
          <w:lang w:val="en-GB" w:eastAsia="en-US"/>
        </w:rPr>
        <w:t>srednjoročne ciljeve</w:t>
      </w:r>
      <w:r w:rsidRPr="008C3D55">
        <w:rPr>
          <w:rFonts w:eastAsiaTheme="minorHAnsi" w:cs="Calibri"/>
          <w:szCs w:val="22"/>
          <w:lang w:val="en-GB" w:eastAsia="en-US"/>
        </w:rPr>
        <w:t>;</w:t>
      </w:r>
    </w:p>
    <w:p w14:paraId="042ED1F6" w14:textId="005CBF3C" w:rsidR="006075FE" w:rsidRPr="008C3D55" w:rsidRDefault="006075FE" w:rsidP="006075FE">
      <w:pPr>
        <w:numPr>
          <w:ilvl w:val="0"/>
          <w:numId w:val="49"/>
        </w:numPr>
        <w:spacing w:before="0" w:after="0"/>
        <w:contextualSpacing/>
        <w:jc w:val="left"/>
        <w:rPr>
          <w:rFonts w:eastAsiaTheme="minorHAnsi" w:cs="Calibri"/>
          <w:szCs w:val="22"/>
          <w:lang w:val="en-GB" w:eastAsia="en-US"/>
        </w:rPr>
      </w:pPr>
      <w:r>
        <w:rPr>
          <w:rFonts w:eastAsiaTheme="minorHAnsi" w:cs="Calibri"/>
          <w:szCs w:val="22"/>
          <w:lang w:val="en-GB" w:eastAsia="en-US"/>
        </w:rPr>
        <w:t xml:space="preserve">uzimaju u obzir </w:t>
      </w:r>
      <w:r w:rsidRPr="008C3D55">
        <w:rPr>
          <w:rFonts w:eastAsiaTheme="minorHAnsi" w:cs="Calibri"/>
          <w:szCs w:val="22"/>
          <w:lang w:val="en-GB" w:eastAsia="en-US"/>
        </w:rPr>
        <w:t>princip predostrožnosti.</w:t>
      </w:r>
    </w:p>
    <w:p w14:paraId="64DF962B" w14:textId="77777777" w:rsidR="00264F4C" w:rsidRPr="001C6CCA" w:rsidRDefault="00264F4C" w:rsidP="00F65CFF">
      <w:pPr>
        <w:autoSpaceDE w:val="0"/>
        <w:autoSpaceDN w:val="0"/>
        <w:adjustRightInd w:val="0"/>
        <w:spacing w:before="0" w:after="0" w:line="240" w:lineRule="auto"/>
        <w:rPr>
          <w:rFonts w:eastAsiaTheme="minorHAnsi"/>
          <w:szCs w:val="22"/>
          <w:lang w:val="en-GB" w:eastAsia="en-US"/>
        </w:rPr>
      </w:pPr>
    </w:p>
    <w:p w14:paraId="4FBB4B23" w14:textId="406E1041" w:rsidR="00126742" w:rsidRPr="001C6CCA" w:rsidRDefault="00126742" w:rsidP="001C6CCA">
      <w:pPr>
        <w:autoSpaceDE w:val="0"/>
        <w:autoSpaceDN w:val="0"/>
        <w:adjustRightInd w:val="0"/>
        <w:spacing w:before="0" w:after="160"/>
        <w:rPr>
          <w:rFonts w:eastAsiaTheme="minorHAnsi" w:cs="Calibri"/>
          <w:szCs w:val="22"/>
          <w:lang w:val="en-GB" w:eastAsia="en-US"/>
        </w:rPr>
      </w:pPr>
      <w:r w:rsidRPr="00126742">
        <w:rPr>
          <w:rFonts w:eastAsiaTheme="minorHAnsi" w:cs="Calibri"/>
          <w:szCs w:val="22"/>
          <w:lang w:val="en-GB" w:eastAsia="en-US"/>
        </w:rPr>
        <w:t xml:space="preserve">Kao što je definisano u </w:t>
      </w:r>
      <w:r>
        <w:rPr>
          <w:rFonts w:eastAsiaTheme="minorHAnsi" w:cs="Calibri"/>
          <w:szCs w:val="22"/>
          <w:lang w:val="en-GB" w:eastAsia="en-US"/>
        </w:rPr>
        <w:t xml:space="preserve">ODMS </w:t>
      </w:r>
      <w:r w:rsidRPr="00126742">
        <w:rPr>
          <w:rFonts w:eastAsiaTheme="minorHAnsi" w:cs="Calibri"/>
          <w:szCs w:val="22"/>
          <w:lang w:val="en-GB" w:eastAsia="en-US"/>
        </w:rPr>
        <w:t>(čl. 3 (7)), cilj znači kvalitativnu ili kvantitativnu izjavu o željenom stanju različitih komponenata morskih voda i pritiscima i uticajima na njih. Ciljevi i povezani indikatori mogu, na prim</w:t>
      </w:r>
      <w:r>
        <w:rPr>
          <w:rFonts w:eastAsiaTheme="minorHAnsi" w:cs="Calibri"/>
          <w:szCs w:val="22"/>
          <w:lang w:val="en-GB" w:eastAsia="en-US"/>
        </w:rPr>
        <w:t>j</w:t>
      </w:r>
      <w:r w:rsidRPr="00126742">
        <w:rPr>
          <w:rFonts w:eastAsiaTheme="minorHAnsi" w:cs="Calibri"/>
          <w:szCs w:val="22"/>
          <w:lang w:val="en-GB" w:eastAsia="en-US"/>
        </w:rPr>
        <w:t xml:space="preserve">er, da odrede granicu (ili </w:t>
      </w:r>
      <w:r>
        <w:rPr>
          <w:rFonts w:eastAsiaTheme="minorHAnsi" w:cs="Calibri"/>
          <w:szCs w:val="22"/>
          <w:lang w:val="en-GB" w:eastAsia="en-US"/>
        </w:rPr>
        <w:t>graničnu vrijednost</w:t>
      </w:r>
      <w:r w:rsidRPr="00126742">
        <w:rPr>
          <w:rFonts w:eastAsiaTheme="minorHAnsi" w:cs="Calibri"/>
          <w:szCs w:val="22"/>
          <w:lang w:val="en-GB" w:eastAsia="en-US"/>
        </w:rPr>
        <w:t xml:space="preserve">) između prihvatljivog i neprihvatljivog stanja (npr. </w:t>
      </w:r>
      <w:r>
        <w:rPr>
          <w:rFonts w:eastAsiaTheme="minorHAnsi" w:cs="Calibri"/>
          <w:szCs w:val="22"/>
          <w:lang w:val="en-GB" w:eastAsia="en-US"/>
        </w:rPr>
        <w:t>h</w:t>
      </w:r>
      <w:r w:rsidRPr="00126742">
        <w:rPr>
          <w:rFonts w:eastAsiaTheme="minorHAnsi" w:cs="Calibri"/>
          <w:szCs w:val="22"/>
          <w:lang w:val="en-GB" w:eastAsia="en-US"/>
        </w:rPr>
        <w:t xml:space="preserve">emijskog nivoa, stanja populacije, staništa i stanja zajednice). Trebali bi biti </w:t>
      </w:r>
      <w:r>
        <w:rPr>
          <w:rFonts w:eastAsiaTheme="minorHAnsi" w:cs="Calibri"/>
          <w:szCs w:val="22"/>
          <w:lang w:val="en-GB" w:eastAsia="en-US"/>
        </w:rPr>
        <w:t xml:space="preserve">u mogućnosti da usmjeravaju </w:t>
      </w:r>
      <w:r w:rsidRPr="00126742">
        <w:rPr>
          <w:rFonts w:eastAsiaTheme="minorHAnsi" w:cs="Calibri"/>
          <w:szCs w:val="22"/>
          <w:lang w:val="en-GB" w:eastAsia="en-US"/>
        </w:rPr>
        <w:t>napredak ka postizanju GES-a, uzimajući u obzir indikativne liste pritisaka i uticaja utvrđenih u Tabeli 2 Aneksa III Direktive, kao i kontinuiranu prim</w:t>
      </w:r>
      <w:r>
        <w:rPr>
          <w:rFonts w:eastAsiaTheme="minorHAnsi" w:cs="Calibri"/>
          <w:szCs w:val="22"/>
          <w:lang w:val="en-GB" w:eastAsia="en-US"/>
        </w:rPr>
        <w:t>j</w:t>
      </w:r>
      <w:r w:rsidRPr="00126742">
        <w:rPr>
          <w:rFonts w:eastAsiaTheme="minorHAnsi" w:cs="Calibri"/>
          <w:szCs w:val="22"/>
          <w:lang w:val="en-GB" w:eastAsia="en-US"/>
        </w:rPr>
        <w:t>enu relevantnih postojećih ekoloških ciljeva utvrđenih na nacionalnom, EU ili međunarodnom nivou u odnosu na iste vode.</w:t>
      </w:r>
    </w:p>
    <w:p w14:paraId="24B4C98F" w14:textId="4A14365B" w:rsidR="000A3C9A" w:rsidRPr="000A3C9A" w:rsidRDefault="000A3C9A" w:rsidP="000A3C9A">
      <w:pPr>
        <w:autoSpaceDE w:val="0"/>
        <w:autoSpaceDN w:val="0"/>
        <w:adjustRightInd w:val="0"/>
        <w:spacing w:before="0" w:after="160"/>
        <w:rPr>
          <w:rFonts w:eastAsiaTheme="minorHAnsi" w:cs="Calibri"/>
          <w:szCs w:val="22"/>
          <w:lang w:val="en-GB" w:eastAsia="en-US"/>
        </w:rPr>
      </w:pPr>
      <w:bookmarkStart w:id="23" w:name="_Hlk67992180"/>
      <w:r w:rsidRPr="000A3C9A">
        <w:rPr>
          <w:rFonts w:eastAsiaTheme="minorHAnsi" w:cs="Calibri"/>
          <w:szCs w:val="22"/>
          <w:lang w:val="en-GB" w:eastAsia="en-US"/>
        </w:rPr>
        <w:t>Karakteristike GES-a za morsk</w:t>
      </w:r>
      <w:r>
        <w:rPr>
          <w:rFonts w:eastAsiaTheme="minorHAnsi" w:cs="Calibri"/>
          <w:szCs w:val="22"/>
          <w:lang w:val="en-GB" w:eastAsia="en-US"/>
        </w:rPr>
        <w:t>u sredinu</w:t>
      </w:r>
      <w:r w:rsidRPr="000A3C9A">
        <w:rPr>
          <w:rFonts w:eastAsiaTheme="minorHAnsi" w:cs="Calibri"/>
          <w:szCs w:val="22"/>
          <w:lang w:val="en-GB" w:eastAsia="en-US"/>
        </w:rPr>
        <w:t xml:space="preserve"> Crne Gore potkrepljene su konkretnijim, a tamo gdje je to moguće i kvantitativnim ciljevima i indikatorima koji će se koristiti za procjenu napretka Crne Gore u postizanju GES-a. Ciljevi i indikatori su </w:t>
      </w:r>
      <w:r>
        <w:rPr>
          <w:rFonts w:eastAsiaTheme="minorHAnsi" w:cs="Calibri"/>
          <w:szCs w:val="22"/>
          <w:lang w:val="en-GB" w:eastAsia="en-US"/>
        </w:rPr>
        <w:t>koncipirani u skladu sa Početnom procjenom</w:t>
      </w:r>
      <w:r w:rsidRPr="000A3C9A">
        <w:rPr>
          <w:rFonts w:eastAsiaTheme="minorHAnsi" w:cs="Calibri"/>
          <w:szCs w:val="22"/>
          <w:lang w:val="en-GB" w:eastAsia="en-US"/>
        </w:rPr>
        <w:t xml:space="preserve">na </w:t>
      </w:r>
      <w:r w:rsidR="0018413F">
        <w:rPr>
          <w:rFonts w:eastAsiaTheme="minorHAnsi" w:cs="Calibri"/>
          <w:szCs w:val="22"/>
          <w:lang w:val="en-GB" w:eastAsia="en-US"/>
        </w:rPr>
        <w:t xml:space="preserve">na </w:t>
      </w:r>
      <w:r w:rsidRPr="000A3C9A">
        <w:rPr>
          <w:rFonts w:eastAsiaTheme="minorHAnsi" w:cs="Calibri"/>
          <w:szCs w:val="22"/>
          <w:lang w:val="en-GB" w:eastAsia="en-US"/>
        </w:rPr>
        <w:t>osnovu 11 GES deskriptora i kriterijuma i indikatora utvrđenih u Odluci Komisije 2017/848/EU.</w:t>
      </w:r>
    </w:p>
    <w:bookmarkEnd w:id="23"/>
    <w:p w14:paraId="7BCCF827" w14:textId="1B3E99F2" w:rsidR="000A3C9A" w:rsidRPr="002957E7" w:rsidRDefault="000A3C9A" w:rsidP="000A3C9A">
      <w:pPr>
        <w:spacing w:before="0" w:after="160"/>
        <w:rPr>
          <w:rFonts w:eastAsia="Calibri" w:cs="Calibri"/>
          <w:szCs w:val="22"/>
          <w:lang w:val="en-GB" w:eastAsia="en-US"/>
        </w:rPr>
      </w:pPr>
      <w:r w:rsidRPr="002957E7">
        <w:rPr>
          <w:rFonts w:eastAsia="Calibri" w:cs="Calibri"/>
          <w:szCs w:val="22"/>
          <w:lang w:val="en-GB" w:eastAsia="en-US"/>
        </w:rPr>
        <w:t xml:space="preserve">Definisanje GES-a i postavljanje ciljeva </w:t>
      </w:r>
      <w:r w:rsidR="009B08D3">
        <w:rPr>
          <w:rFonts w:eastAsia="Calibri" w:cs="Calibri"/>
          <w:szCs w:val="22"/>
          <w:lang w:val="en-GB" w:eastAsia="en-US"/>
        </w:rPr>
        <w:t>koji vode ka napretku u postizanju/održavanju</w:t>
      </w:r>
      <w:r w:rsidRPr="002957E7">
        <w:rPr>
          <w:rFonts w:eastAsia="Calibri" w:cs="Calibri"/>
          <w:szCs w:val="22"/>
          <w:lang w:val="en-GB" w:eastAsia="en-US"/>
        </w:rPr>
        <w:t xml:space="preserve">je </w:t>
      </w:r>
      <w:r w:rsidR="009B08D3">
        <w:rPr>
          <w:rFonts w:eastAsia="Calibri" w:cs="Calibri"/>
          <w:szCs w:val="22"/>
          <w:lang w:val="en-GB" w:eastAsia="en-US"/>
        </w:rPr>
        <w:t xml:space="preserve">GES-a je </w:t>
      </w:r>
      <w:r w:rsidRPr="002957E7">
        <w:rPr>
          <w:rFonts w:eastAsia="Calibri" w:cs="Calibri"/>
          <w:szCs w:val="22"/>
          <w:lang w:val="en-GB" w:eastAsia="en-US"/>
        </w:rPr>
        <w:t xml:space="preserve">nacionalna obaveza, ali regionalnu saradnju u zajedničkom definisanju treba uspostaviti koliko god je to moguće, posebno u okviru budućeg sistema </w:t>
      </w:r>
      <w:r>
        <w:rPr>
          <w:rFonts w:eastAsia="Calibri" w:cs="Calibri"/>
          <w:szCs w:val="22"/>
          <w:lang w:val="en-GB" w:eastAsia="en-US"/>
        </w:rPr>
        <w:t xml:space="preserve">monitoring </w:t>
      </w:r>
      <w:r w:rsidRPr="002957E7">
        <w:rPr>
          <w:rFonts w:eastAsia="Calibri" w:cs="Calibri"/>
          <w:szCs w:val="22"/>
          <w:lang w:val="en-GB" w:eastAsia="en-US"/>
        </w:rPr>
        <w:t>i posmatranja za tekuću proc</w:t>
      </w:r>
      <w:r>
        <w:rPr>
          <w:rFonts w:eastAsia="Calibri" w:cs="Calibri"/>
          <w:szCs w:val="22"/>
          <w:lang w:val="en-GB" w:eastAsia="en-US"/>
        </w:rPr>
        <w:t>j</w:t>
      </w:r>
      <w:r w:rsidRPr="002957E7">
        <w:rPr>
          <w:rFonts w:eastAsia="Calibri" w:cs="Calibri"/>
          <w:szCs w:val="22"/>
          <w:lang w:val="en-GB" w:eastAsia="en-US"/>
        </w:rPr>
        <w:t>enu Jadranskog mora kako bi se</w:t>
      </w:r>
      <w:r>
        <w:rPr>
          <w:rFonts w:eastAsia="Calibri" w:cs="Calibri"/>
          <w:szCs w:val="22"/>
          <w:lang w:val="en-GB" w:eastAsia="en-US"/>
        </w:rPr>
        <w:t xml:space="preserve"> GES postigao na nivou jadranskog podregiona</w:t>
      </w:r>
      <w:r w:rsidRPr="002957E7">
        <w:rPr>
          <w:rFonts w:eastAsia="Calibri" w:cs="Calibri"/>
          <w:szCs w:val="22"/>
          <w:lang w:val="en-GB" w:eastAsia="en-US"/>
        </w:rPr>
        <w:t>.</w:t>
      </w:r>
    </w:p>
    <w:p w14:paraId="6CEF1E94" w14:textId="0DDE0C55" w:rsidR="009303A6" w:rsidRPr="006B56E4" w:rsidRDefault="009303A6" w:rsidP="002E12CB">
      <w:pPr>
        <w:autoSpaceDE w:val="0"/>
        <w:autoSpaceDN w:val="0"/>
        <w:adjustRightInd w:val="0"/>
        <w:spacing w:before="0" w:after="0"/>
        <w:rPr>
          <w:rFonts w:eastAsia="Calibri" w:cs="Calibri"/>
          <w:b/>
          <w:iCs/>
          <w:szCs w:val="22"/>
          <w:lang w:val="en-GB" w:eastAsia="en-US"/>
        </w:rPr>
      </w:pPr>
      <w:r w:rsidRPr="009303A6">
        <w:rPr>
          <w:rFonts w:eastAsiaTheme="minorHAnsi" w:cs="Calibri"/>
          <w:szCs w:val="22"/>
          <w:lang w:val="en-GB" w:eastAsia="en-US"/>
        </w:rPr>
        <w:t xml:space="preserve">U ovom izvještaju, GES i predloženi ciljevi za postizanje GES-a utvrđuju se na nivou dijela Jadranskog mora </w:t>
      </w:r>
      <w:r w:rsidR="0018413F">
        <w:rPr>
          <w:rFonts w:eastAsiaTheme="minorHAnsi" w:cs="Calibri"/>
          <w:szCs w:val="22"/>
          <w:lang w:val="en-GB" w:eastAsia="en-US"/>
        </w:rPr>
        <w:t xml:space="preserve">koje </w:t>
      </w:r>
      <w:r>
        <w:rPr>
          <w:rFonts w:eastAsiaTheme="minorHAnsi" w:cs="Calibri"/>
          <w:szCs w:val="22"/>
          <w:lang w:val="en-GB" w:eastAsia="en-US"/>
        </w:rPr>
        <w:t xml:space="preserve">pripada Crnoj Gori </w:t>
      </w:r>
      <w:r w:rsidRPr="009303A6">
        <w:rPr>
          <w:rFonts w:eastAsiaTheme="minorHAnsi" w:cs="Calibri"/>
          <w:szCs w:val="22"/>
          <w:lang w:val="en-GB" w:eastAsia="en-US"/>
        </w:rPr>
        <w:t xml:space="preserve">(slika 1.2), osim Deskriptora 3 (Komercijalno ribarstvo) za koji se GES </w:t>
      </w:r>
      <w:r w:rsidRPr="006B56E4">
        <w:rPr>
          <w:rFonts w:eastAsiaTheme="minorHAnsi" w:cs="Calibri"/>
          <w:szCs w:val="22"/>
          <w:lang w:val="en-GB" w:eastAsia="en-US"/>
        </w:rPr>
        <w:t xml:space="preserve">procjenjuje </w:t>
      </w:r>
      <w:r w:rsidR="006B56E4" w:rsidRPr="006B56E4">
        <w:rPr>
          <w:rFonts w:eastAsiaTheme="minorHAnsi" w:cs="Calibri"/>
          <w:szCs w:val="22"/>
          <w:lang w:val="en-GB" w:eastAsia="en-US"/>
        </w:rPr>
        <w:t xml:space="preserve">na nivou </w:t>
      </w:r>
      <w:r w:rsidR="006B56E4" w:rsidRPr="006B56E4">
        <w:rPr>
          <w:rFonts w:eastAsia="Calibri" w:cs="Calibri"/>
          <w:iCs/>
          <w:szCs w:val="22"/>
          <w:lang w:val="en-GB" w:eastAsia="en-US"/>
        </w:rPr>
        <w:t>geografskih pod-područja (GSA) prema Generalnoj komisiji za ribarstvo Mediterana (GFCM)</w:t>
      </w:r>
      <w:r w:rsidRPr="006B56E4">
        <w:rPr>
          <w:rFonts w:eastAsiaTheme="minorHAnsi" w:cs="Calibri"/>
          <w:szCs w:val="22"/>
          <w:lang w:val="en-GB" w:eastAsia="en-US"/>
        </w:rPr>
        <w:t xml:space="preserve"> (s</w:t>
      </w:r>
      <w:r w:rsidRPr="009303A6">
        <w:rPr>
          <w:rFonts w:eastAsiaTheme="minorHAnsi" w:cs="Calibri"/>
          <w:szCs w:val="22"/>
          <w:lang w:val="en-GB" w:eastAsia="en-US"/>
        </w:rPr>
        <w:t>lika 1.3) i deskriptora 4 (prehrambene mreže). Međutim, treba napomenuti da su vr</w:t>
      </w:r>
      <w:r w:rsidR="00613105">
        <w:rPr>
          <w:rFonts w:eastAsiaTheme="minorHAnsi" w:cs="Calibri"/>
          <w:szCs w:val="22"/>
          <w:lang w:val="en-GB" w:eastAsia="en-US"/>
        </w:rPr>
        <w:t>ij</w:t>
      </w:r>
      <w:r w:rsidRPr="009303A6">
        <w:rPr>
          <w:rFonts w:eastAsiaTheme="minorHAnsi" w:cs="Calibri"/>
          <w:szCs w:val="22"/>
          <w:lang w:val="en-GB" w:eastAsia="en-US"/>
        </w:rPr>
        <w:t>ednosti korišćene za proc</w:t>
      </w:r>
      <w:r w:rsidR="00373444">
        <w:rPr>
          <w:rFonts w:eastAsiaTheme="minorHAnsi" w:cs="Calibri"/>
          <w:szCs w:val="22"/>
          <w:lang w:val="en-GB" w:eastAsia="en-US"/>
        </w:rPr>
        <w:t>j</w:t>
      </w:r>
      <w:r w:rsidRPr="009303A6">
        <w:rPr>
          <w:rFonts w:eastAsiaTheme="minorHAnsi" w:cs="Calibri"/>
          <w:szCs w:val="22"/>
          <w:lang w:val="en-GB" w:eastAsia="en-US"/>
        </w:rPr>
        <w:t xml:space="preserve">enu </w:t>
      </w:r>
      <w:r w:rsidR="009B08D3">
        <w:rPr>
          <w:rFonts w:eastAsiaTheme="minorHAnsi" w:cs="Calibri"/>
          <w:szCs w:val="22"/>
          <w:lang w:val="en-GB" w:eastAsia="en-US"/>
        </w:rPr>
        <w:t>i</w:t>
      </w:r>
      <w:r w:rsidR="0018413F">
        <w:rPr>
          <w:rFonts w:eastAsiaTheme="minorHAnsi" w:cs="Calibri"/>
          <w:szCs w:val="22"/>
          <w:lang w:val="en-GB" w:eastAsia="en-US"/>
        </w:rPr>
        <w:t xml:space="preserve"> </w:t>
      </w:r>
      <w:r w:rsidRPr="009303A6">
        <w:rPr>
          <w:rFonts w:eastAsiaTheme="minorHAnsi" w:cs="Calibri"/>
          <w:szCs w:val="22"/>
          <w:lang w:val="en-GB" w:eastAsia="en-US"/>
        </w:rPr>
        <w:t xml:space="preserve">svih ostalih deskriptora upoređivane na nivou </w:t>
      </w:r>
      <w:r w:rsidR="009B08D3">
        <w:rPr>
          <w:rFonts w:eastAsiaTheme="minorHAnsi" w:cs="Calibri"/>
          <w:szCs w:val="22"/>
          <w:lang w:val="en-GB" w:eastAsia="en-US"/>
        </w:rPr>
        <w:t>podregiona (</w:t>
      </w:r>
      <w:r w:rsidRPr="009303A6">
        <w:rPr>
          <w:rFonts w:eastAsiaTheme="minorHAnsi" w:cs="Calibri"/>
          <w:szCs w:val="22"/>
          <w:lang w:val="en-GB" w:eastAsia="en-US"/>
        </w:rPr>
        <w:t>Jadrana</w:t>
      </w:r>
      <w:r w:rsidR="009B08D3">
        <w:rPr>
          <w:rFonts w:eastAsiaTheme="minorHAnsi" w:cs="Calibri"/>
          <w:szCs w:val="22"/>
          <w:lang w:val="en-GB" w:eastAsia="en-US"/>
        </w:rPr>
        <w:t>)</w:t>
      </w:r>
      <w:r w:rsidRPr="009303A6">
        <w:rPr>
          <w:rFonts w:eastAsiaTheme="minorHAnsi" w:cs="Calibri"/>
          <w:szCs w:val="22"/>
          <w:lang w:val="en-GB" w:eastAsia="en-US"/>
        </w:rPr>
        <w:t xml:space="preserve"> </w:t>
      </w:r>
      <w:r w:rsidR="009B08D3">
        <w:rPr>
          <w:rFonts w:eastAsiaTheme="minorHAnsi" w:cs="Calibri"/>
          <w:szCs w:val="22"/>
          <w:lang w:val="en-GB" w:eastAsia="en-US"/>
        </w:rPr>
        <w:t>I regiona (</w:t>
      </w:r>
      <w:r w:rsidRPr="009303A6">
        <w:rPr>
          <w:rFonts w:eastAsiaTheme="minorHAnsi" w:cs="Calibri"/>
          <w:szCs w:val="22"/>
          <w:lang w:val="en-GB" w:eastAsia="en-US"/>
        </w:rPr>
        <w:t>Mediterana</w:t>
      </w:r>
      <w:r w:rsidR="009B08D3">
        <w:rPr>
          <w:rFonts w:eastAsiaTheme="minorHAnsi" w:cs="Calibri"/>
          <w:szCs w:val="22"/>
          <w:lang w:val="en-GB" w:eastAsia="en-US"/>
        </w:rPr>
        <w:t>)</w:t>
      </w:r>
      <w:r w:rsidRPr="009303A6">
        <w:rPr>
          <w:rFonts w:eastAsiaTheme="minorHAnsi" w:cs="Calibri"/>
          <w:szCs w:val="22"/>
          <w:lang w:val="en-GB" w:eastAsia="en-US"/>
        </w:rPr>
        <w:t xml:space="preserve"> </w:t>
      </w:r>
      <w:r w:rsidR="00373444">
        <w:rPr>
          <w:rFonts w:eastAsiaTheme="minorHAnsi" w:cs="Calibri"/>
          <w:szCs w:val="22"/>
          <w:lang w:val="en-GB" w:eastAsia="en-US"/>
        </w:rPr>
        <w:t>u najvećoj mogućoj mjeri</w:t>
      </w:r>
      <w:r w:rsidRPr="009303A6">
        <w:rPr>
          <w:rFonts w:eastAsiaTheme="minorHAnsi" w:cs="Calibri"/>
          <w:szCs w:val="22"/>
          <w:lang w:val="en-GB" w:eastAsia="en-US"/>
        </w:rPr>
        <w:t>.</w:t>
      </w:r>
    </w:p>
    <w:p w14:paraId="5051CB2D" w14:textId="1DB905B2" w:rsidR="00593FD6" w:rsidRDefault="00593FD6" w:rsidP="009E4B22">
      <w:pPr>
        <w:spacing w:before="0" w:after="160"/>
        <w:rPr>
          <w:rFonts w:eastAsiaTheme="minorHAnsi" w:cs="Calibri"/>
          <w:szCs w:val="22"/>
          <w:lang w:val="en-GB" w:eastAsia="en-US"/>
        </w:rPr>
      </w:pPr>
    </w:p>
    <w:p w14:paraId="5E1C4B37" w14:textId="3545A246" w:rsidR="00593FD6" w:rsidRDefault="00593FD6" w:rsidP="009E4B22">
      <w:pPr>
        <w:spacing w:before="0" w:after="160"/>
        <w:rPr>
          <w:rFonts w:eastAsiaTheme="minorHAnsi" w:cs="Calibri"/>
          <w:szCs w:val="22"/>
          <w:lang w:val="en-GB" w:eastAsia="en-US"/>
        </w:rPr>
      </w:pPr>
      <w:r w:rsidRPr="00FA2A2B">
        <w:rPr>
          <w:noProof/>
          <w:lang w:eastAsia="en-US"/>
        </w:rPr>
        <w:drawing>
          <wp:anchor distT="0" distB="0" distL="114300" distR="114300" simplePos="0" relativeHeight="251829248" behindDoc="0" locked="0" layoutInCell="1" allowOverlap="1" wp14:anchorId="13C410DD" wp14:editId="3F917511">
            <wp:simplePos x="0" y="0"/>
            <wp:positionH relativeFrom="column">
              <wp:posOffset>418465</wp:posOffset>
            </wp:positionH>
            <wp:positionV relativeFrom="paragraph">
              <wp:posOffset>-38100</wp:posOffset>
            </wp:positionV>
            <wp:extent cx="4777105" cy="4469773"/>
            <wp:effectExtent l="0" t="0" r="4445"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77105" cy="446977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458D5E" w14:textId="594488EC" w:rsidR="00593FD6" w:rsidRDefault="00593FD6" w:rsidP="009E4B22">
      <w:pPr>
        <w:spacing w:before="0" w:after="160"/>
        <w:rPr>
          <w:rFonts w:eastAsiaTheme="minorHAnsi" w:cs="Calibri"/>
          <w:szCs w:val="22"/>
          <w:lang w:val="en-GB" w:eastAsia="en-US"/>
        </w:rPr>
      </w:pPr>
    </w:p>
    <w:p w14:paraId="3F6EB09E" w14:textId="77777777" w:rsidR="00593FD6" w:rsidRPr="00680B65" w:rsidRDefault="00593FD6" w:rsidP="009E4B22">
      <w:pPr>
        <w:spacing w:before="0" w:after="160"/>
        <w:rPr>
          <w:rFonts w:eastAsiaTheme="minorHAnsi" w:cs="Calibri"/>
          <w:szCs w:val="22"/>
          <w:lang w:val="en-GB" w:eastAsia="en-US"/>
        </w:rPr>
      </w:pPr>
    </w:p>
    <w:p w14:paraId="242ACB5A"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4D81EADE"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2BF7E587"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3FCB4FB8"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19B86F6A"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5F35A010"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6D49C40F"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31A8F670"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1C249BAA"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66B4FCA1"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4047B6F3"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7C9EAE64"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6B47CE04"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649F4DA3"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14461A43"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68C6E7E9"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097B8BE2"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440A0EB8"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420271CA"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530A1D59"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2729FAF7" w14:textId="77777777" w:rsidR="00593FD6" w:rsidRDefault="00593FD6" w:rsidP="00373444">
      <w:pPr>
        <w:autoSpaceDE w:val="0"/>
        <w:autoSpaceDN w:val="0"/>
        <w:adjustRightInd w:val="0"/>
        <w:spacing w:before="0" w:after="0" w:line="240" w:lineRule="auto"/>
        <w:jc w:val="left"/>
        <w:rPr>
          <w:rFonts w:eastAsia="Calibri" w:cs="Calibri"/>
          <w:b/>
          <w:iCs/>
          <w:szCs w:val="22"/>
          <w:lang w:val="en-GB" w:eastAsia="en-US"/>
        </w:rPr>
      </w:pPr>
    </w:p>
    <w:p w14:paraId="396A4ED2" w14:textId="6479B98A" w:rsidR="00C56410" w:rsidRPr="00C56410" w:rsidRDefault="00593FD6" w:rsidP="00480592">
      <w:pPr>
        <w:rPr>
          <w:rFonts w:eastAsia="Calibri" w:cs="Calibri"/>
          <w:b/>
          <w:color w:val="000000"/>
          <w:szCs w:val="22"/>
          <w:lang w:val="sq-AL" w:eastAsia="en-US"/>
        </w:rPr>
      </w:pPr>
      <w:r w:rsidRPr="00C56410">
        <w:rPr>
          <w:rFonts w:eastAsia="Calibri" w:cs="Calibri"/>
          <w:b/>
          <w:iCs/>
          <w:szCs w:val="22"/>
          <w:lang w:val="en-GB" w:eastAsia="en-US"/>
        </w:rPr>
        <w:t xml:space="preserve">                                </w:t>
      </w:r>
      <w:bookmarkStart w:id="24" w:name="_Toc83636893"/>
      <w:r w:rsidR="009303A6" w:rsidRPr="00C56410">
        <w:rPr>
          <w:rFonts w:eastAsia="Calibri" w:cs="Calibri"/>
          <w:b/>
          <w:iCs/>
          <w:szCs w:val="22"/>
          <w:lang w:val="en-GB" w:eastAsia="en-US"/>
        </w:rPr>
        <w:t>Slika</w:t>
      </w:r>
      <w:r w:rsidR="00BC1494" w:rsidRPr="00C56410">
        <w:rPr>
          <w:b/>
          <w:szCs w:val="22"/>
        </w:rPr>
        <w:t xml:space="preserve"> </w:t>
      </w:r>
      <w:r w:rsidR="00BC1494" w:rsidRPr="00C56410">
        <w:rPr>
          <w:b/>
          <w:szCs w:val="22"/>
        </w:rPr>
        <w:fldChar w:fldCharType="begin"/>
      </w:r>
      <w:r w:rsidR="00BC1494" w:rsidRPr="00C56410">
        <w:rPr>
          <w:b/>
          <w:szCs w:val="22"/>
        </w:rPr>
        <w:instrText xml:space="preserve"> STYLEREF 1 \s </w:instrText>
      </w:r>
      <w:r w:rsidR="00BC1494" w:rsidRPr="00C56410">
        <w:rPr>
          <w:b/>
          <w:szCs w:val="22"/>
        </w:rPr>
        <w:fldChar w:fldCharType="separate"/>
      </w:r>
      <w:r w:rsidR="000D1E20">
        <w:rPr>
          <w:b/>
          <w:noProof/>
          <w:szCs w:val="22"/>
        </w:rPr>
        <w:t>1</w:t>
      </w:r>
      <w:r w:rsidR="00BC1494" w:rsidRPr="00C56410">
        <w:rPr>
          <w:b/>
          <w:szCs w:val="22"/>
        </w:rPr>
        <w:fldChar w:fldCharType="end"/>
      </w:r>
      <w:r w:rsidR="00BC1494" w:rsidRPr="00C56410">
        <w:rPr>
          <w:b/>
          <w:szCs w:val="22"/>
        </w:rPr>
        <w:t>.</w:t>
      </w:r>
      <w:r w:rsidR="00BC1494" w:rsidRPr="00C56410">
        <w:rPr>
          <w:b/>
          <w:szCs w:val="22"/>
        </w:rPr>
        <w:fldChar w:fldCharType="begin"/>
      </w:r>
      <w:r w:rsidR="00BC1494" w:rsidRPr="00C56410">
        <w:rPr>
          <w:b/>
          <w:szCs w:val="22"/>
        </w:rPr>
        <w:instrText xml:space="preserve"> SEQ Figure \* ARABIC \s 1 </w:instrText>
      </w:r>
      <w:r w:rsidR="00BC1494" w:rsidRPr="00C56410">
        <w:rPr>
          <w:b/>
          <w:szCs w:val="22"/>
        </w:rPr>
        <w:fldChar w:fldCharType="separate"/>
      </w:r>
      <w:r w:rsidR="000D1E20">
        <w:rPr>
          <w:b/>
          <w:noProof/>
          <w:szCs w:val="22"/>
        </w:rPr>
        <w:t>2</w:t>
      </w:r>
      <w:r w:rsidR="00BC1494" w:rsidRPr="00C56410">
        <w:rPr>
          <w:b/>
          <w:szCs w:val="22"/>
        </w:rPr>
        <w:fldChar w:fldCharType="end"/>
      </w:r>
      <w:bookmarkStart w:id="25" w:name="_Toc73972869"/>
      <w:bookmarkStart w:id="26" w:name="_Toc73973889"/>
      <w:bookmarkStart w:id="27" w:name="_Toc74311397"/>
      <w:r w:rsidR="00C56410" w:rsidRPr="00C56410">
        <w:rPr>
          <w:rFonts w:eastAsia="Arial Unicode MS" w:cs="Arial Unicode MS"/>
          <w:b/>
          <w:szCs w:val="22"/>
          <w:lang w:val="sq-AL"/>
        </w:rPr>
        <w:t xml:space="preserve">: </w:t>
      </w:r>
      <w:r w:rsidR="00480592">
        <w:rPr>
          <w:rFonts w:eastAsia="Arial Unicode MS" w:cs="Arial Unicode MS"/>
          <w:b/>
          <w:szCs w:val="22"/>
          <w:lang w:val="sq-AL"/>
        </w:rPr>
        <w:t xml:space="preserve">Dio Jadranskog mora pod suverenitetom </w:t>
      </w:r>
      <w:r w:rsidR="00C56410" w:rsidRPr="00C56410">
        <w:rPr>
          <w:rFonts w:eastAsia="Calibri" w:cs="Calibri"/>
          <w:b/>
          <w:color w:val="000000"/>
          <w:szCs w:val="22"/>
          <w:lang w:val="sq-AL" w:eastAsia="en-US"/>
        </w:rPr>
        <w:t>Crne Gore</w:t>
      </w:r>
      <w:bookmarkEnd w:id="24"/>
      <w:bookmarkEnd w:id="25"/>
      <w:bookmarkEnd w:id="26"/>
      <w:bookmarkEnd w:id="27"/>
    </w:p>
    <w:p w14:paraId="14B38767" w14:textId="77777777" w:rsidR="004E40B7" w:rsidRDefault="004E40B7" w:rsidP="004E40B7">
      <w:pPr>
        <w:pStyle w:val="NoSpacing"/>
        <w:rPr>
          <w:rFonts w:ascii="Times New Roman" w:hAnsi="Times New Roman"/>
          <w:b/>
          <w:i/>
          <w:sz w:val="18"/>
          <w:szCs w:val="18"/>
        </w:rPr>
      </w:pPr>
      <w:r>
        <w:rPr>
          <w:rFonts w:ascii="Times New Roman" w:hAnsi="Times New Roman"/>
          <w:b/>
          <w:i/>
          <w:sz w:val="18"/>
          <w:szCs w:val="18"/>
        </w:rPr>
        <w:t>*Napomena</w:t>
      </w:r>
    </w:p>
    <w:p w14:paraId="465E3A42" w14:textId="77777777" w:rsidR="004E40B7" w:rsidRPr="005D6E42" w:rsidRDefault="004E40B7" w:rsidP="004E40B7">
      <w:pPr>
        <w:pStyle w:val="NoSpacing"/>
        <w:rPr>
          <w:rFonts w:ascii="Times New Roman" w:hAnsi="Times New Roman"/>
          <w:b/>
          <w:i/>
          <w:sz w:val="10"/>
          <w:szCs w:val="10"/>
        </w:rPr>
      </w:pPr>
    </w:p>
    <w:p w14:paraId="27EDC687" w14:textId="77777777" w:rsidR="004E40B7" w:rsidRDefault="004E40B7" w:rsidP="004E40B7">
      <w:pPr>
        <w:spacing w:after="0" w:line="240" w:lineRule="auto"/>
        <w:rPr>
          <w:rFonts w:ascii="Times New Roman" w:hAnsi="Times New Roman"/>
          <w:i/>
          <w:sz w:val="18"/>
          <w:szCs w:val="18"/>
        </w:rPr>
      </w:pPr>
      <w:r w:rsidRPr="0008726F">
        <w:rPr>
          <w:rFonts w:ascii="Times New Roman" w:hAnsi="Times New Roman"/>
          <w:i/>
          <w:sz w:val="18"/>
          <w:szCs w:val="18"/>
        </w:rPr>
        <w:t xml:space="preserve">Linija </w:t>
      </w:r>
      <w:r w:rsidRPr="0008726F">
        <w:rPr>
          <w:rFonts w:ascii="Times New Roman" w:hAnsi="Times New Roman"/>
          <w:b/>
          <w:i/>
          <w:sz w:val="18"/>
          <w:szCs w:val="18"/>
        </w:rPr>
        <w:t>privremenog razgraničenja teritorijalnog mora između Crne Gore i Republike Hrvatske</w:t>
      </w:r>
      <w:r w:rsidRPr="0008726F">
        <w:rPr>
          <w:rFonts w:ascii="Times New Roman" w:hAnsi="Times New Roman"/>
          <w:i/>
          <w:sz w:val="18"/>
          <w:szCs w:val="18"/>
        </w:rPr>
        <w:t>, prikazana je na osnovu Protokola između Vlade Savezne Republike Jugoslavije i Vlade Republike Hrvatske o privremenom režimu uz južnu granicu između dvije države, od 10. decembra 2002. godine. Odredbom člana 6 ovog Protokola utvrđeno je da ,,privremeno razgraničenje teritorijalnog mora polazi od tačke udaljene tri kabla od Rta Oštro – Rt Veslo, te se nastavlja pravom linijom 12 nautičkih milja, azimutom 206º do otvorenog mora.” Privremeno razgraničenje teritorijalnog mora između SRJ i RH, sada je privremeno razgraničenje teritorijalnog mora između CG i RH i važi do zaključivanja ugovora o državnoj granici i ni na koji način ne prejudicira konačno razgraničenje.</w:t>
      </w:r>
    </w:p>
    <w:p w14:paraId="67E5E6A2" w14:textId="77777777" w:rsidR="004E40B7" w:rsidRPr="005D6E42" w:rsidRDefault="004E40B7" w:rsidP="004E40B7">
      <w:pPr>
        <w:spacing w:after="0" w:line="240" w:lineRule="auto"/>
        <w:rPr>
          <w:rFonts w:ascii="Times New Roman" w:hAnsi="Times New Roman"/>
          <w:i/>
          <w:sz w:val="10"/>
          <w:szCs w:val="10"/>
        </w:rPr>
      </w:pPr>
    </w:p>
    <w:p w14:paraId="79CDBA87" w14:textId="77777777" w:rsidR="004E40B7" w:rsidRDefault="004E40B7" w:rsidP="004E40B7">
      <w:pPr>
        <w:spacing w:after="0" w:line="240" w:lineRule="auto"/>
        <w:rPr>
          <w:rFonts w:ascii="Times New Roman" w:eastAsia="Calibri" w:hAnsi="Times New Roman"/>
          <w:i/>
          <w:sz w:val="18"/>
          <w:szCs w:val="18"/>
          <w:lang w:val="sr-Latn-CS"/>
        </w:rPr>
      </w:pPr>
      <w:r w:rsidRPr="0008726F">
        <w:rPr>
          <w:rFonts w:ascii="Times New Roman" w:hAnsi="Times New Roman"/>
          <w:b/>
          <w:i/>
          <w:sz w:val="18"/>
          <w:szCs w:val="18"/>
        </w:rPr>
        <w:t>Državna granica u teritorijalnom moru između Crne Gore i Republike Albanije</w:t>
      </w:r>
      <w:r w:rsidRPr="0008726F">
        <w:rPr>
          <w:rFonts w:ascii="Times New Roman" w:hAnsi="Times New Roman"/>
          <w:i/>
          <w:sz w:val="18"/>
          <w:szCs w:val="18"/>
        </w:rPr>
        <w:t xml:space="preserve">, prikazana je na osnovu Protokola </w:t>
      </w:r>
      <w:r w:rsidRPr="0008726F">
        <w:rPr>
          <w:rFonts w:ascii="Times New Roman" w:hAnsi="Times New Roman"/>
          <w:i/>
          <w:color w:val="000000"/>
          <w:sz w:val="18"/>
          <w:szCs w:val="18"/>
        </w:rPr>
        <w:t xml:space="preserve">o razgraničenju između Kraljevine SHS i Kraljevine Albanije, od 26. jula 1926. godine (Firentinski protokol) i zapisnika o topografskoj dokumentaciji graničnih piramida, koje je sačinila Jugoslovensko – albanska Komisija za granične piramide, od 13. 05. 1955. godine i 30. 09. 1967. godine. Naslijeđena državna granica, jer su na prostoru nekadašnje Jugoslavije nastale tri države, Crna Gora, Republika Kosovo i Sjeverna Makedonija. </w:t>
      </w:r>
      <w:r w:rsidRPr="0008726F">
        <w:rPr>
          <w:rFonts w:ascii="Times New Roman" w:hAnsi="Times New Roman"/>
          <w:i/>
          <w:sz w:val="18"/>
          <w:szCs w:val="18"/>
        </w:rPr>
        <w:t xml:space="preserve">„Granična linija u Jadranskom moru počinje od granice teritorijalnih voda, koje su za obje strane 12 milja, protežući se 6 milja pravom normalnom linijom u opštem pravcu prema obali koji je određen reperima I i II postavljenim na lijevoj obali rijeke Bojane, a odatle skreće pravom linijom do tačke gdje se spaja sa morem sredina glavnog toka rukavca rijeke Bojane, </w:t>
      </w:r>
      <w:r w:rsidRPr="0008726F">
        <w:rPr>
          <w:rFonts w:ascii="Times New Roman" w:eastAsia="Calibri" w:hAnsi="Times New Roman"/>
          <w:i/>
          <w:sz w:val="18"/>
          <w:szCs w:val="18"/>
          <w:lang w:val="sr-Latn-CS"/>
        </w:rPr>
        <w:t>između Bezimenog ostrva i ostrva Franc Jozef</w:t>
      </w:r>
      <w:r w:rsidRPr="0008726F">
        <w:rPr>
          <w:rFonts w:ascii="Times New Roman" w:hAnsi="Times New Roman"/>
          <w:i/>
          <w:sz w:val="18"/>
          <w:szCs w:val="18"/>
        </w:rPr>
        <w:t>ˮ (</w:t>
      </w:r>
      <w:r w:rsidRPr="0008726F">
        <w:rPr>
          <w:rFonts w:ascii="Times New Roman" w:eastAsia="Calibri" w:hAnsi="Times New Roman"/>
          <w:i/>
          <w:sz w:val="18"/>
          <w:szCs w:val="18"/>
          <w:lang w:val="sr-Latn-CS"/>
        </w:rPr>
        <w:t>Zapisnik o topografskoj dokumentaciji Mješovite jugoslovensko-albanske radne grupe, 30. 09. 1967. godine, koja je i sačinila Razmjer plana ušća rijeke Bojane). Imajući u vidu promjene na ušću rijeke Bojane, upućena je inicijativa albanskoj strani 2016. godine, kako bi se utvrdila tačka gdje se spaja sa morem sredina glavn</w:t>
      </w:r>
      <w:r>
        <w:rPr>
          <w:rFonts w:ascii="Times New Roman" w:eastAsia="Calibri" w:hAnsi="Times New Roman"/>
          <w:i/>
          <w:sz w:val="18"/>
          <w:szCs w:val="18"/>
          <w:lang w:val="sr-Latn-CS"/>
        </w:rPr>
        <w:t>og toka rukavca rijeke Bojane.</w:t>
      </w:r>
    </w:p>
    <w:p w14:paraId="57EA586D" w14:textId="67C78652" w:rsidR="00E476DD" w:rsidRDefault="002E12CB" w:rsidP="002E12CB">
      <w:pPr>
        <w:autoSpaceDE w:val="0"/>
        <w:autoSpaceDN w:val="0"/>
        <w:adjustRightInd w:val="0"/>
        <w:spacing w:before="0" w:after="0" w:line="240" w:lineRule="auto"/>
        <w:rPr>
          <w:rFonts w:eastAsia="Calibri" w:cs="Calibri"/>
          <w:b/>
          <w:iCs/>
          <w:szCs w:val="22"/>
          <w:lang w:val="en-GB" w:eastAsia="en-US"/>
        </w:rPr>
      </w:pPr>
      <w:r w:rsidRPr="001C6CCA">
        <w:rPr>
          <w:rFonts w:eastAsiaTheme="minorHAnsi" w:cs="Arial"/>
          <w:noProof/>
          <w:sz w:val="20"/>
          <w:szCs w:val="20"/>
          <w:lang w:eastAsia="en-US"/>
        </w:rPr>
        <w:drawing>
          <wp:anchor distT="0" distB="0" distL="114300" distR="114300" simplePos="0" relativeHeight="251744256" behindDoc="1" locked="0" layoutInCell="1" allowOverlap="1" wp14:anchorId="094F2F32" wp14:editId="0E042C6F">
            <wp:simplePos x="0" y="0"/>
            <wp:positionH relativeFrom="column">
              <wp:posOffset>0</wp:posOffset>
            </wp:positionH>
            <wp:positionV relativeFrom="paragraph">
              <wp:posOffset>259080</wp:posOffset>
            </wp:positionV>
            <wp:extent cx="5961380" cy="4175760"/>
            <wp:effectExtent l="0" t="0" r="1270" b="0"/>
            <wp:wrapTight wrapText="bothSides">
              <wp:wrapPolygon edited="0">
                <wp:start x="0" y="0"/>
                <wp:lineTo x="0" y="21482"/>
                <wp:lineTo x="21536" y="21482"/>
                <wp:lineTo x="21536" y="0"/>
                <wp:lineTo x="0" y="0"/>
              </wp:wrapPolygon>
            </wp:wrapTight>
            <wp:docPr id="2" name="Picture 2" descr="F:\GES\I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ES\IRS.png"/>
                    <pic:cNvPicPr>
                      <a:picLocks noChangeAspect="1" noChangeArrowheads="1"/>
                    </pic:cNvPicPr>
                  </pic:nvPicPr>
                  <pic:blipFill>
                    <a:blip r:embed="rId19" cstate="print"/>
                    <a:srcRect/>
                    <a:stretch>
                      <a:fillRect/>
                    </a:stretch>
                  </pic:blipFill>
                  <pic:spPr bwMode="auto">
                    <a:xfrm>
                      <a:off x="0" y="0"/>
                      <a:ext cx="5961380" cy="41757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30E0EFA" w14:textId="5FA5695A" w:rsidR="002E12CB" w:rsidRPr="002E12CB" w:rsidRDefault="002E12CB" w:rsidP="002E12CB">
      <w:pPr>
        <w:autoSpaceDE w:val="0"/>
        <w:autoSpaceDN w:val="0"/>
        <w:adjustRightInd w:val="0"/>
        <w:spacing w:before="0" w:after="0" w:line="240" w:lineRule="auto"/>
        <w:rPr>
          <w:rFonts w:eastAsia="Calibri" w:cs="Calibri"/>
          <w:b/>
          <w:iCs/>
          <w:szCs w:val="22"/>
          <w:lang w:val="en-GB" w:eastAsia="en-US"/>
        </w:rPr>
      </w:pPr>
    </w:p>
    <w:p w14:paraId="1B473C4C" w14:textId="4C3277A3" w:rsidR="002E12CB" w:rsidRDefault="002E12CB" w:rsidP="00373444">
      <w:pPr>
        <w:autoSpaceDE w:val="0"/>
        <w:autoSpaceDN w:val="0"/>
        <w:adjustRightInd w:val="0"/>
        <w:spacing w:before="0" w:after="160"/>
        <w:rPr>
          <w:rFonts w:eastAsiaTheme="minorHAnsi" w:cs="Calibri"/>
          <w:szCs w:val="22"/>
          <w:lang w:val="en-GB" w:eastAsia="en-US"/>
        </w:rPr>
      </w:pPr>
      <w:bookmarkStart w:id="28" w:name="_Toc83636894"/>
      <w:bookmarkStart w:id="29" w:name="_Hlk67992276"/>
      <w:r>
        <w:rPr>
          <w:rFonts w:eastAsia="Calibri" w:cs="Calibri"/>
          <w:b/>
          <w:iCs/>
          <w:szCs w:val="22"/>
          <w:lang w:val="en-GB" w:eastAsia="en-US"/>
        </w:rPr>
        <w:t xml:space="preserve">Slika </w:t>
      </w:r>
      <w:r>
        <w:rPr>
          <w:rFonts w:eastAsia="Calibri" w:cs="Calibri"/>
          <w:b/>
          <w:iCs/>
          <w:szCs w:val="22"/>
          <w:lang w:val="en-GB" w:eastAsia="en-US"/>
        </w:rPr>
        <w:fldChar w:fldCharType="begin"/>
      </w:r>
      <w:r>
        <w:rPr>
          <w:rFonts w:eastAsia="Calibri" w:cs="Calibri"/>
          <w:b/>
          <w:iCs/>
          <w:szCs w:val="22"/>
          <w:lang w:val="en-GB" w:eastAsia="en-US"/>
        </w:rPr>
        <w:instrText xml:space="preserve"> STYLEREF 1 \s </w:instrText>
      </w:r>
      <w:r>
        <w:rPr>
          <w:rFonts w:eastAsia="Calibri" w:cs="Calibri"/>
          <w:b/>
          <w:iCs/>
          <w:szCs w:val="22"/>
          <w:lang w:val="en-GB" w:eastAsia="en-US"/>
        </w:rPr>
        <w:fldChar w:fldCharType="separate"/>
      </w:r>
      <w:r w:rsidR="000D1E20">
        <w:rPr>
          <w:rFonts w:eastAsia="Calibri" w:cs="Calibri"/>
          <w:b/>
          <w:iCs/>
          <w:noProof/>
          <w:szCs w:val="22"/>
          <w:lang w:val="en-GB" w:eastAsia="en-US"/>
        </w:rPr>
        <w:t>1</w:t>
      </w:r>
      <w:r>
        <w:rPr>
          <w:rFonts w:eastAsia="Calibri" w:cs="Calibri"/>
          <w:b/>
          <w:iCs/>
          <w:szCs w:val="22"/>
          <w:lang w:val="en-GB" w:eastAsia="en-US"/>
        </w:rPr>
        <w:fldChar w:fldCharType="end"/>
      </w:r>
      <w:r>
        <w:rPr>
          <w:rFonts w:eastAsia="Calibri" w:cs="Calibri"/>
          <w:b/>
          <w:iCs/>
          <w:szCs w:val="22"/>
          <w:lang w:val="en-GB" w:eastAsia="en-US"/>
        </w:rPr>
        <w:t>.</w:t>
      </w:r>
      <w:r>
        <w:rPr>
          <w:rFonts w:eastAsia="Calibri" w:cs="Calibri"/>
          <w:b/>
          <w:iCs/>
          <w:szCs w:val="22"/>
          <w:lang w:val="en-GB" w:eastAsia="en-US"/>
        </w:rPr>
        <w:fldChar w:fldCharType="begin"/>
      </w:r>
      <w:r>
        <w:rPr>
          <w:rFonts w:eastAsia="Calibri" w:cs="Calibri"/>
          <w:b/>
          <w:iCs/>
          <w:szCs w:val="22"/>
          <w:lang w:val="en-GB" w:eastAsia="en-US"/>
        </w:rPr>
        <w:instrText xml:space="preserve"> SEQ Figure \* ARABIC \s 1 </w:instrText>
      </w:r>
      <w:r>
        <w:rPr>
          <w:rFonts w:eastAsia="Calibri" w:cs="Calibri"/>
          <w:b/>
          <w:iCs/>
          <w:szCs w:val="22"/>
          <w:lang w:val="en-GB" w:eastAsia="en-US"/>
        </w:rPr>
        <w:fldChar w:fldCharType="separate"/>
      </w:r>
      <w:r w:rsidR="000D1E20">
        <w:rPr>
          <w:rFonts w:eastAsia="Calibri" w:cs="Calibri"/>
          <w:b/>
          <w:iCs/>
          <w:noProof/>
          <w:szCs w:val="22"/>
          <w:lang w:val="en-GB" w:eastAsia="en-US"/>
        </w:rPr>
        <w:t>3</w:t>
      </w:r>
      <w:r>
        <w:rPr>
          <w:rFonts w:eastAsia="Calibri" w:cs="Calibri"/>
          <w:b/>
          <w:iCs/>
          <w:szCs w:val="22"/>
          <w:lang w:val="en-GB" w:eastAsia="en-US"/>
        </w:rPr>
        <w:fldChar w:fldCharType="end"/>
      </w:r>
      <w:r>
        <w:rPr>
          <w:szCs w:val="22"/>
        </w:rPr>
        <w:t xml:space="preserve">. </w:t>
      </w:r>
      <w:r w:rsidRPr="00373444">
        <w:rPr>
          <w:rFonts w:eastAsia="Calibri" w:cs="Calibri"/>
          <w:b/>
          <w:iCs/>
          <w:szCs w:val="22"/>
          <w:lang w:val="en-GB" w:eastAsia="en-US"/>
        </w:rPr>
        <w:t>Mapa geografskih pod-područja (GSA) prema Generalnoj komisiji za ribarstvo Mediteran</w:t>
      </w:r>
      <w:r>
        <w:rPr>
          <w:rFonts w:eastAsia="Calibri" w:cs="Calibri"/>
          <w:b/>
          <w:iCs/>
          <w:szCs w:val="22"/>
          <w:lang w:val="en-GB" w:eastAsia="en-US"/>
        </w:rPr>
        <w:t>a</w:t>
      </w:r>
      <w:r w:rsidRPr="00373444">
        <w:rPr>
          <w:rFonts w:eastAsia="Calibri" w:cs="Calibri"/>
          <w:b/>
          <w:iCs/>
          <w:szCs w:val="22"/>
          <w:lang w:val="en-GB" w:eastAsia="en-US"/>
        </w:rPr>
        <w:t xml:space="preserve"> (GFCM</w:t>
      </w:r>
      <w:r>
        <w:rPr>
          <w:rFonts w:eastAsia="Calibri" w:cs="Calibri"/>
          <w:b/>
          <w:iCs/>
          <w:szCs w:val="22"/>
          <w:lang w:val="en-GB" w:eastAsia="en-US"/>
        </w:rPr>
        <w:t>)</w:t>
      </w:r>
      <w:bookmarkEnd w:id="28"/>
    </w:p>
    <w:p w14:paraId="71049F20" w14:textId="12E94D4D" w:rsidR="00373444" w:rsidRDefault="00373444" w:rsidP="00373444">
      <w:pPr>
        <w:autoSpaceDE w:val="0"/>
        <w:autoSpaceDN w:val="0"/>
        <w:adjustRightInd w:val="0"/>
        <w:spacing w:before="0" w:after="160"/>
        <w:rPr>
          <w:rFonts w:eastAsiaTheme="minorHAnsi" w:cs="Calibri"/>
          <w:szCs w:val="22"/>
          <w:lang w:val="en-GB" w:eastAsia="en-US"/>
        </w:rPr>
      </w:pPr>
      <w:r w:rsidRPr="00373444">
        <w:rPr>
          <w:rFonts w:eastAsiaTheme="minorHAnsi" w:cs="Calibri"/>
          <w:szCs w:val="22"/>
          <w:lang w:val="en-GB" w:eastAsia="en-US"/>
        </w:rPr>
        <w:t>Treba napomenuti da Jadran kao podreg</w:t>
      </w:r>
      <w:r>
        <w:rPr>
          <w:rFonts w:eastAsiaTheme="minorHAnsi" w:cs="Calibri"/>
          <w:szCs w:val="22"/>
          <w:lang w:val="en-GB" w:eastAsia="en-US"/>
        </w:rPr>
        <w:t>ion</w:t>
      </w:r>
      <w:r w:rsidRPr="00373444">
        <w:rPr>
          <w:rFonts w:eastAsiaTheme="minorHAnsi" w:cs="Calibri"/>
          <w:szCs w:val="22"/>
          <w:lang w:val="en-GB" w:eastAsia="en-US"/>
        </w:rPr>
        <w:t>, zajedno sa Crnom Gorom, dijeli još pet zemalja (slika 1.4) a za postizanje ciljeva GES-a potrebna je jača saradnja između njih u budućnosti. Šestgodišnji ciklus upravljanja</w:t>
      </w:r>
      <w:r>
        <w:rPr>
          <w:rFonts w:eastAsiaTheme="minorHAnsi" w:cs="Calibri"/>
          <w:szCs w:val="22"/>
          <w:lang w:val="en-GB" w:eastAsia="en-US"/>
        </w:rPr>
        <w:t>,</w:t>
      </w:r>
      <w:r w:rsidRPr="00373444">
        <w:rPr>
          <w:rFonts w:eastAsiaTheme="minorHAnsi" w:cs="Calibri"/>
          <w:szCs w:val="22"/>
          <w:lang w:val="en-GB" w:eastAsia="en-US"/>
        </w:rPr>
        <w:t xml:space="preserve"> zasnovan na razvoju GES-a i ciljeva</w:t>
      </w:r>
      <w:r>
        <w:rPr>
          <w:rFonts w:eastAsiaTheme="minorHAnsi" w:cs="Calibri"/>
          <w:szCs w:val="22"/>
          <w:lang w:val="en-GB" w:eastAsia="en-US"/>
        </w:rPr>
        <w:t>,</w:t>
      </w:r>
      <w:r w:rsidRPr="00373444">
        <w:rPr>
          <w:rFonts w:eastAsiaTheme="minorHAnsi" w:cs="Calibri"/>
          <w:szCs w:val="22"/>
          <w:lang w:val="en-GB" w:eastAsia="en-US"/>
        </w:rPr>
        <w:t xml:space="preserve"> pružiće državama članicama EU mogućnost za reviziju korisnosti i efikasnosti u definisanju GES-a, ekoloških ciljeva i </w:t>
      </w:r>
      <w:r>
        <w:rPr>
          <w:rFonts w:eastAsiaTheme="minorHAnsi" w:cs="Calibri"/>
          <w:szCs w:val="22"/>
          <w:lang w:val="en-GB" w:eastAsia="en-US"/>
        </w:rPr>
        <w:t>indikatora</w:t>
      </w:r>
      <w:r w:rsidRPr="00373444">
        <w:rPr>
          <w:rFonts w:eastAsiaTheme="minorHAnsi" w:cs="Calibri"/>
          <w:szCs w:val="22"/>
          <w:lang w:val="en-GB" w:eastAsia="en-US"/>
        </w:rPr>
        <w:t>, uzimajući u obzir stečeno iskustvo, moguće prilagođavanje novim normama i standardima na nacionalnom i međunarodnom nivou, kao i napredak u naučnom znanju i opremi.</w:t>
      </w:r>
    </w:p>
    <w:p w14:paraId="01DA6320" w14:textId="584EABF5" w:rsidR="00480592" w:rsidRPr="001C6CCA" w:rsidRDefault="00373444" w:rsidP="00373444">
      <w:pPr>
        <w:autoSpaceDE w:val="0"/>
        <w:autoSpaceDN w:val="0"/>
        <w:adjustRightInd w:val="0"/>
        <w:spacing w:before="0" w:after="160"/>
        <w:rPr>
          <w:rFonts w:eastAsiaTheme="minorHAnsi" w:cs="Calibri"/>
          <w:szCs w:val="22"/>
          <w:lang w:val="en-GB" w:eastAsia="en-US"/>
        </w:rPr>
      </w:pPr>
      <w:r w:rsidRPr="00373444">
        <w:rPr>
          <w:rFonts w:eastAsiaTheme="minorHAnsi" w:cs="Calibri"/>
          <w:szCs w:val="22"/>
          <w:lang w:val="en-GB" w:eastAsia="en-US"/>
        </w:rPr>
        <w:t xml:space="preserve">Koliko god je to pogodno i izvodljivo, države članice koriste postojeće strukture regionalne institucionalne saradnje, uključujući regionalne konvencije o moru (član 6. </w:t>
      </w:r>
      <w:r>
        <w:rPr>
          <w:rFonts w:eastAsiaTheme="minorHAnsi" w:cs="Calibri"/>
          <w:szCs w:val="22"/>
          <w:lang w:val="en-GB" w:eastAsia="en-US"/>
        </w:rPr>
        <w:t>ODMS</w:t>
      </w:r>
      <w:r w:rsidRPr="00373444">
        <w:rPr>
          <w:rFonts w:eastAsiaTheme="minorHAnsi" w:cs="Calibri"/>
          <w:szCs w:val="22"/>
          <w:lang w:val="en-GB" w:eastAsia="en-US"/>
        </w:rPr>
        <w:t>-a). Kako je Crna Gora dio mediteranskog regiona, ova saradnja se odvija putem Barselonske konvencije čiji je opšti cilj implementacije Map</w:t>
      </w:r>
      <w:r>
        <w:rPr>
          <w:rFonts w:eastAsiaTheme="minorHAnsi" w:cs="Calibri"/>
          <w:szCs w:val="22"/>
          <w:lang w:val="en-GB" w:eastAsia="en-US"/>
        </w:rPr>
        <w:t>e</w:t>
      </w:r>
      <w:r w:rsidRPr="00373444">
        <w:rPr>
          <w:rFonts w:eastAsiaTheme="minorHAnsi" w:cs="Calibri"/>
          <w:szCs w:val="22"/>
          <w:lang w:val="en-GB" w:eastAsia="en-US"/>
        </w:rPr>
        <w:t xml:space="preserve"> puta za pristup ekosistemu</w:t>
      </w:r>
      <w:r>
        <w:rPr>
          <w:rFonts w:eastAsiaTheme="minorHAnsi" w:cs="Calibri"/>
          <w:szCs w:val="22"/>
          <w:lang w:val="en-GB" w:eastAsia="en-US"/>
        </w:rPr>
        <w:t xml:space="preserve"> </w:t>
      </w:r>
      <w:r w:rsidRPr="00373444">
        <w:rPr>
          <w:rFonts w:eastAsiaTheme="minorHAnsi" w:cs="Calibri"/>
          <w:szCs w:val="22"/>
          <w:lang w:val="en-GB" w:eastAsia="en-US"/>
        </w:rPr>
        <w:t xml:space="preserve">postizanje i/ili održavanje dobrog stanja (GES) </w:t>
      </w:r>
      <w:r>
        <w:rPr>
          <w:rFonts w:eastAsiaTheme="minorHAnsi" w:cs="Calibri"/>
          <w:szCs w:val="22"/>
          <w:lang w:val="en-GB" w:eastAsia="en-US"/>
        </w:rPr>
        <w:t>Mediterana</w:t>
      </w:r>
      <w:r w:rsidRPr="00373444">
        <w:rPr>
          <w:rFonts w:eastAsiaTheme="minorHAnsi" w:cs="Calibri"/>
          <w:szCs w:val="22"/>
          <w:lang w:val="en-GB" w:eastAsia="en-US"/>
        </w:rPr>
        <w:t xml:space="preserve"> pod vizijom „Zdrav Mediteran sa morskim i obalnim ekosistemima koji su produktivni i biološki raznoliki u korist sadašnjih i budućih generacija “</w:t>
      </w:r>
    </w:p>
    <w:bookmarkEnd w:id="29"/>
    <w:p w14:paraId="401C445A" w14:textId="57249BB1" w:rsidR="00FA419F" w:rsidRPr="001C6CCA" w:rsidRDefault="00FA419F" w:rsidP="00F65CFF">
      <w:pPr>
        <w:shd w:val="clear" w:color="auto" w:fill="FFFFFF"/>
        <w:spacing w:before="100" w:beforeAutospacing="1" w:after="0" w:line="330" w:lineRule="atLeast"/>
        <w:rPr>
          <w:rFonts w:cs="Calibri"/>
          <w:color w:val="1E1E1E"/>
          <w:sz w:val="20"/>
          <w:szCs w:val="20"/>
          <w:lang w:val="en-GB" w:eastAsia="hr-HR"/>
        </w:rPr>
      </w:pPr>
      <w:r w:rsidRPr="001C6CCA">
        <w:rPr>
          <w:rFonts w:cs="Calibri"/>
          <w:noProof/>
          <w:color w:val="1E1E1E"/>
          <w:sz w:val="20"/>
          <w:szCs w:val="20"/>
          <w:lang w:eastAsia="en-US"/>
        </w:rPr>
        <w:drawing>
          <wp:inline distT="0" distB="0" distL="0" distR="0" wp14:anchorId="3A266056" wp14:editId="7CA5F2D3">
            <wp:extent cx="5562600" cy="3930849"/>
            <wp:effectExtent l="19050" t="19050" r="19050" b="1270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66393" cy="3933529"/>
                    </a:xfrm>
                    <a:prstGeom prst="rect">
                      <a:avLst/>
                    </a:prstGeom>
                    <a:noFill/>
                    <a:ln>
                      <a:solidFill>
                        <a:schemeClr val="tx1"/>
                      </a:solidFill>
                    </a:ln>
                  </pic:spPr>
                </pic:pic>
              </a:graphicData>
            </a:graphic>
          </wp:inline>
        </w:drawing>
      </w:r>
    </w:p>
    <w:p w14:paraId="5CB5B024" w14:textId="1345F955" w:rsidR="002E12CB" w:rsidRPr="00C712BD" w:rsidRDefault="002E12CB" w:rsidP="002E12CB">
      <w:pPr>
        <w:shd w:val="clear" w:color="auto" w:fill="FFFFFF"/>
        <w:spacing w:before="100" w:beforeAutospacing="1" w:after="0" w:line="240" w:lineRule="auto"/>
        <w:rPr>
          <w:rFonts w:cs="Calibri"/>
          <w:i/>
          <w:color w:val="1E1E1E"/>
          <w:szCs w:val="22"/>
          <w:lang w:val="en-GB" w:eastAsia="hr-HR"/>
        </w:rPr>
      </w:pPr>
      <w:bookmarkStart w:id="30" w:name="_Toc83636895"/>
      <w:r>
        <w:rPr>
          <w:rFonts w:eastAsia="Calibri" w:cs="Calibri"/>
          <w:b/>
          <w:iCs/>
          <w:szCs w:val="22"/>
          <w:lang w:val="en-GB" w:eastAsia="en-US"/>
        </w:rPr>
        <w:t>Slika</w:t>
      </w:r>
      <w:r w:rsidRPr="001C6CCA">
        <w:rPr>
          <w:rFonts w:eastAsia="Calibri" w:cs="Calibri"/>
          <w:b/>
          <w:iCs/>
          <w:szCs w:val="22"/>
          <w:lang w:val="en-GB" w:eastAsia="en-US"/>
        </w:rPr>
        <w:t xml:space="preserve"> </w:t>
      </w:r>
      <w:r>
        <w:rPr>
          <w:rFonts w:eastAsia="Calibri" w:cs="Calibri"/>
          <w:b/>
          <w:iCs/>
          <w:szCs w:val="22"/>
          <w:lang w:val="en-GB" w:eastAsia="en-US"/>
        </w:rPr>
        <w:fldChar w:fldCharType="begin"/>
      </w:r>
      <w:r>
        <w:rPr>
          <w:rFonts w:eastAsia="Calibri" w:cs="Calibri"/>
          <w:b/>
          <w:iCs/>
          <w:szCs w:val="22"/>
          <w:lang w:val="en-GB" w:eastAsia="en-US"/>
        </w:rPr>
        <w:instrText xml:space="preserve"> STYLEREF 1 \s </w:instrText>
      </w:r>
      <w:r>
        <w:rPr>
          <w:rFonts w:eastAsia="Calibri" w:cs="Calibri"/>
          <w:b/>
          <w:iCs/>
          <w:szCs w:val="22"/>
          <w:lang w:val="en-GB" w:eastAsia="en-US"/>
        </w:rPr>
        <w:fldChar w:fldCharType="separate"/>
      </w:r>
      <w:r w:rsidR="000D1E20">
        <w:rPr>
          <w:rFonts w:eastAsia="Calibri" w:cs="Calibri"/>
          <w:b/>
          <w:iCs/>
          <w:noProof/>
          <w:szCs w:val="22"/>
          <w:lang w:val="en-GB" w:eastAsia="en-US"/>
        </w:rPr>
        <w:t>1</w:t>
      </w:r>
      <w:r>
        <w:rPr>
          <w:rFonts w:eastAsia="Calibri" w:cs="Calibri"/>
          <w:b/>
          <w:iCs/>
          <w:szCs w:val="22"/>
          <w:lang w:val="en-GB" w:eastAsia="en-US"/>
        </w:rPr>
        <w:fldChar w:fldCharType="end"/>
      </w:r>
      <w:r>
        <w:rPr>
          <w:rFonts w:eastAsia="Calibri" w:cs="Calibri"/>
          <w:b/>
          <w:iCs/>
          <w:szCs w:val="22"/>
          <w:lang w:val="en-GB" w:eastAsia="en-US"/>
        </w:rPr>
        <w:t>.</w:t>
      </w:r>
      <w:r>
        <w:rPr>
          <w:rFonts w:eastAsia="Calibri" w:cs="Calibri"/>
          <w:b/>
          <w:iCs/>
          <w:szCs w:val="22"/>
          <w:lang w:val="en-GB" w:eastAsia="en-US"/>
        </w:rPr>
        <w:fldChar w:fldCharType="begin"/>
      </w:r>
      <w:r>
        <w:rPr>
          <w:rFonts w:eastAsia="Calibri" w:cs="Calibri"/>
          <w:b/>
          <w:iCs/>
          <w:szCs w:val="22"/>
          <w:lang w:val="en-GB" w:eastAsia="en-US"/>
        </w:rPr>
        <w:instrText xml:space="preserve"> SEQ Figure \* ARABIC \s 1 </w:instrText>
      </w:r>
      <w:r>
        <w:rPr>
          <w:rFonts w:eastAsia="Calibri" w:cs="Calibri"/>
          <w:b/>
          <w:iCs/>
          <w:szCs w:val="22"/>
          <w:lang w:val="en-GB" w:eastAsia="en-US"/>
        </w:rPr>
        <w:fldChar w:fldCharType="separate"/>
      </w:r>
      <w:r w:rsidR="000D1E20">
        <w:rPr>
          <w:rFonts w:eastAsia="Calibri" w:cs="Calibri"/>
          <w:b/>
          <w:iCs/>
          <w:noProof/>
          <w:szCs w:val="22"/>
          <w:lang w:val="en-GB" w:eastAsia="en-US"/>
        </w:rPr>
        <w:t>4</w:t>
      </w:r>
      <w:r>
        <w:rPr>
          <w:rFonts w:eastAsia="Calibri" w:cs="Calibri"/>
          <w:b/>
          <w:iCs/>
          <w:szCs w:val="22"/>
          <w:lang w:val="en-GB" w:eastAsia="en-US"/>
        </w:rPr>
        <w:fldChar w:fldCharType="end"/>
      </w:r>
      <w:r>
        <w:rPr>
          <w:szCs w:val="22"/>
        </w:rPr>
        <w:t xml:space="preserve">. </w:t>
      </w:r>
      <w:r w:rsidRPr="00C712BD">
        <w:rPr>
          <w:b/>
          <w:iCs/>
          <w:szCs w:val="22"/>
          <w:lang w:val="en-GB"/>
        </w:rPr>
        <w:t xml:space="preserve">Orijentaciona karta pomorske jurisdikcije unutar Jadranskog mora. </w:t>
      </w:r>
      <w:r w:rsidRPr="00C712BD">
        <w:rPr>
          <w:i/>
          <w:iCs/>
          <w:szCs w:val="22"/>
          <w:lang w:val="en-GB"/>
        </w:rPr>
        <w:t xml:space="preserve">Izvor: </w:t>
      </w:r>
      <w:r w:rsidR="005444CB">
        <w:rPr>
          <w:i/>
          <w:iCs/>
          <w:szCs w:val="22"/>
          <w:lang w:val="en-GB"/>
        </w:rPr>
        <w:t>UNCLOS</w:t>
      </w:r>
      <w:r w:rsidR="005444CB">
        <w:rPr>
          <w:rStyle w:val="FootnoteReference"/>
          <w:i/>
          <w:iCs/>
          <w:szCs w:val="22"/>
          <w:lang w:val="en-GB"/>
        </w:rPr>
        <w:footnoteReference w:id="14"/>
      </w:r>
      <w:r w:rsidRPr="00C712BD">
        <w:rPr>
          <w:i/>
          <w:iCs/>
          <w:szCs w:val="22"/>
          <w:lang w:val="en-GB"/>
        </w:rPr>
        <w:t>.</w:t>
      </w:r>
      <w:bookmarkEnd w:id="30"/>
    </w:p>
    <w:p w14:paraId="15967ACC" w14:textId="77777777" w:rsidR="00126742" w:rsidRDefault="00126742" w:rsidP="00126742">
      <w:pPr>
        <w:spacing w:before="0" w:after="0"/>
        <w:contextualSpacing/>
        <w:rPr>
          <w:rFonts w:eastAsiaTheme="minorHAnsi" w:cstheme="minorBidi"/>
          <w:szCs w:val="22"/>
          <w:lang w:val="en-GB" w:eastAsia="en-US"/>
        </w:rPr>
      </w:pPr>
    </w:p>
    <w:p w14:paraId="370783F2" w14:textId="61EC2874" w:rsidR="00126742" w:rsidRPr="00126742" w:rsidRDefault="00126742" w:rsidP="00126742">
      <w:pPr>
        <w:spacing w:before="0" w:after="0"/>
        <w:ind w:left="142"/>
        <w:contextualSpacing/>
        <w:rPr>
          <w:rFonts w:eastAsiaTheme="minorHAnsi" w:cstheme="minorBidi"/>
          <w:szCs w:val="22"/>
          <w:lang w:val="en-GB" w:eastAsia="en-US"/>
        </w:rPr>
      </w:pPr>
      <w:r w:rsidRPr="00126742">
        <w:rPr>
          <w:rFonts w:eastAsiaTheme="minorHAnsi" w:cstheme="minorBidi"/>
          <w:szCs w:val="22"/>
          <w:lang w:val="en-GB" w:eastAsia="en-US"/>
        </w:rPr>
        <w:t>Ovaj dokument je sastavljen iz dva d</w:t>
      </w:r>
      <w:r>
        <w:rPr>
          <w:rFonts w:eastAsiaTheme="minorHAnsi" w:cstheme="minorBidi"/>
          <w:szCs w:val="22"/>
          <w:lang w:val="en-GB" w:eastAsia="en-US"/>
        </w:rPr>
        <w:t>ij</w:t>
      </w:r>
      <w:r w:rsidRPr="00126742">
        <w:rPr>
          <w:rFonts w:eastAsiaTheme="minorHAnsi" w:cstheme="minorBidi"/>
          <w:szCs w:val="22"/>
          <w:lang w:val="en-GB" w:eastAsia="en-US"/>
        </w:rPr>
        <w:t>ela:</w:t>
      </w:r>
    </w:p>
    <w:p w14:paraId="0B35C88F" w14:textId="77777777" w:rsidR="00126742" w:rsidRDefault="00126742" w:rsidP="00126742">
      <w:pPr>
        <w:spacing w:before="0" w:after="0"/>
        <w:ind w:left="142"/>
        <w:contextualSpacing/>
        <w:rPr>
          <w:rFonts w:eastAsiaTheme="minorHAnsi" w:cstheme="minorBidi"/>
          <w:szCs w:val="22"/>
          <w:lang w:val="en-GB" w:eastAsia="en-US"/>
        </w:rPr>
      </w:pPr>
    </w:p>
    <w:p w14:paraId="25484E96" w14:textId="4CA29E0F" w:rsidR="00126742" w:rsidRDefault="00126742" w:rsidP="00C52E6F">
      <w:pPr>
        <w:pStyle w:val="ListParagraph"/>
        <w:numPr>
          <w:ilvl w:val="0"/>
          <w:numId w:val="68"/>
        </w:numPr>
        <w:spacing w:before="0" w:after="0"/>
        <w:rPr>
          <w:rFonts w:eastAsiaTheme="minorHAnsi" w:cstheme="minorBidi"/>
          <w:szCs w:val="22"/>
          <w:lang w:val="en-GB" w:eastAsia="en-US"/>
        </w:rPr>
      </w:pPr>
      <w:r>
        <w:rPr>
          <w:rFonts w:eastAsiaTheme="minorHAnsi" w:cstheme="minorBidi"/>
          <w:szCs w:val="22"/>
          <w:lang w:val="en-GB" w:eastAsia="en-US"/>
        </w:rPr>
        <w:t>Di</w:t>
      </w:r>
      <w:r w:rsidRPr="00126742">
        <w:rPr>
          <w:rFonts w:eastAsiaTheme="minorHAnsi" w:cstheme="minorBidi"/>
          <w:szCs w:val="22"/>
          <w:lang w:val="en-GB" w:eastAsia="en-US"/>
        </w:rPr>
        <w:t xml:space="preserve">o I pruža kriterijume i metodološke standarde za utvrđivanje dobrog stanja životne sredine pretežnih pritisaka i uticaja prema članu 8 (1) (b) Direktive 2008/56/EC i vođen indikativnom listom elemenata iz Aneksa III </w:t>
      </w:r>
      <w:r>
        <w:rPr>
          <w:rFonts w:eastAsiaTheme="minorHAnsi" w:cstheme="minorBidi"/>
          <w:szCs w:val="22"/>
          <w:lang w:val="en-GB" w:eastAsia="en-US"/>
        </w:rPr>
        <w:t>Direktive</w:t>
      </w:r>
      <w:r>
        <w:rPr>
          <w:rFonts w:eastAsiaTheme="minorHAnsi"/>
        </w:rPr>
        <w:t xml:space="preserve"> Komisije</w:t>
      </w:r>
      <w:r w:rsidRPr="00126742">
        <w:rPr>
          <w:rFonts w:eastAsiaTheme="minorHAnsi" w:cstheme="minorBidi"/>
          <w:szCs w:val="22"/>
          <w:lang w:val="en-GB" w:eastAsia="en-US"/>
        </w:rPr>
        <w:t xml:space="preserve"> 2017/845 o izm</w:t>
      </w:r>
      <w:r>
        <w:rPr>
          <w:rFonts w:eastAsiaTheme="minorHAnsi" w:cstheme="minorBidi"/>
          <w:szCs w:val="22"/>
          <w:lang w:val="en-GB" w:eastAsia="en-US"/>
        </w:rPr>
        <w:t>j</w:t>
      </w:r>
      <w:r w:rsidRPr="00126742">
        <w:rPr>
          <w:rFonts w:eastAsiaTheme="minorHAnsi" w:cstheme="minorBidi"/>
          <w:szCs w:val="22"/>
          <w:lang w:val="en-GB" w:eastAsia="en-US"/>
        </w:rPr>
        <w:t>eni Direktive 2008/56 / EC.</w:t>
      </w:r>
    </w:p>
    <w:p w14:paraId="662A56FB" w14:textId="77777777" w:rsidR="00126742" w:rsidRDefault="00126742" w:rsidP="00126742">
      <w:pPr>
        <w:pStyle w:val="ListParagraph"/>
        <w:spacing w:before="0" w:after="0"/>
        <w:ind w:left="862"/>
        <w:rPr>
          <w:rFonts w:eastAsiaTheme="minorHAnsi" w:cstheme="minorBidi"/>
          <w:szCs w:val="22"/>
          <w:lang w:val="en-GB" w:eastAsia="en-US"/>
        </w:rPr>
      </w:pPr>
    </w:p>
    <w:p w14:paraId="0A08BCC1" w14:textId="4F896D13" w:rsidR="00264F4C" w:rsidRPr="00126742" w:rsidRDefault="00126742" w:rsidP="00C52E6F">
      <w:pPr>
        <w:pStyle w:val="ListParagraph"/>
        <w:numPr>
          <w:ilvl w:val="0"/>
          <w:numId w:val="68"/>
        </w:numPr>
        <w:spacing w:before="0" w:after="0"/>
        <w:rPr>
          <w:rFonts w:eastAsiaTheme="minorHAnsi" w:cstheme="minorBidi"/>
          <w:szCs w:val="22"/>
          <w:lang w:val="en-GB" w:eastAsia="en-US"/>
        </w:rPr>
      </w:pPr>
      <w:r w:rsidRPr="00126742">
        <w:rPr>
          <w:rFonts w:eastAsiaTheme="minorHAnsi" w:cstheme="minorBidi"/>
          <w:szCs w:val="22"/>
          <w:lang w:val="en-GB" w:eastAsia="en-US"/>
        </w:rPr>
        <w:t>D</w:t>
      </w:r>
      <w:r>
        <w:rPr>
          <w:rFonts w:eastAsiaTheme="minorHAnsi" w:cstheme="minorBidi"/>
          <w:szCs w:val="22"/>
          <w:lang w:val="en-GB" w:eastAsia="en-US"/>
        </w:rPr>
        <w:t>i</w:t>
      </w:r>
      <w:r w:rsidRPr="00126742">
        <w:rPr>
          <w:rFonts w:eastAsiaTheme="minorHAnsi" w:cstheme="minorBidi"/>
          <w:szCs w:val="22"/>
          <w:lang w:val="en-GB" w:eastAsia="en-US"/>
        </w:rPr>
        <w:t>o II detaljno opisuje kriterijume i metodološke standarde za utvrđivanje dobrog stanja životne sredine u odnosu na proc</w:t>
      </w:r>
      <w:r>
        <w:rPr>
          <w:rFonts w:eastAsiaTheme="minorHAnsi" w:cstheme="minorBidi"/>
          <w:szCs w:val="22"/>
          <w:lang w:val="en-GB" w:eastAsia="en-US"/>
        </w:rPr>
        <w:t>j</w:t>
      </w:r>
      <w:r w:rsidRPr="00126742">
        <w:rPr>
          <w:rFonts w:eastAsiaTheme="minorHAnsi" w:cstheme="minorBidi"/>
          <w:szCs w:val="22"/>
          <w:lang w:val="en-GB" w:eastAsia="en-US"/>
        </w:rPr>
        <w:t>enu stanja životne sredine prema članu 8 (1) (a) Direktive 2008/56/ EC i vođen indikativnom listom elemenata iz Aneksa III Direktive Komisije 2017/845 o izm</w:t>
      </w:r>
      <w:r>
        <w:rPr>
          <w:rFonts w:eastAsiaTheme="minorHAnsi" w:cstheme="minorBidi"/>
          <w:szCs w:val="22"/>
          <w:lang w:val="en-GB" w:eastAsia="en-US"/>
        </w:rPr>
        <w:t>jeni Direktive 2008/56/</w:t>
      </w:r>
      <w:r w:rsidRPr="00126742">
        <w:rPr>
          <w:rFonts w:eastAsiaTheme="minorHAnsi" w:cstheme="minorBidi"/>
          <w:szCs w:val="22"/>
          <w:lang w:val="en-GB" w:eastAsia="en-US"/>
        </w:rPr>
        <w:t>EC.</w:t>
      </w:r>
    </w:p>
    <w:p w14:paraId="0C3DE48D" w14:textId="77777777" w:rsidR="00264F4C" w:rsidRPr="001C6CCA" w:rsidRDefault="00264F4C" w:rsidP="00F65CFF">
      <w:pPr>
        <w:spacing w:before="0" w:after="0"/>
        <w:ind w:left="142"/>
        <w:contextualSpacing/>
        <w:rPr>
          <w:rFonts w:eastAsiaTheme="minorHAnsi" w:cstheme="minorBidi"/>
          <w:szCs w:val="22"/>
          <w:lang w:val="en-GB" w:eastAsia="en-US"/>
        </w:rPr>
      </w:pPr>
    </w:p>
    <w:p w14:paraId="3D759DAF" w14:textId="77777777" w:rsidR="00264F4C" w:rsidRPr="001C6CCA" w:rsidRDefault="00264F4C" w:rsidP="00F65CFF">
      <w:pPr>
        <w:spacing w:before="0" w:after="0"/>
        <w:ind w:left="142"/>
        <w:contextualSpacing/>
        <w:rPr>
          <w:rFonts w:eastAsiaTheme="minorHAnsi" w:cstheme="minorBidi"/>
          <w:szCs w:val="22"/>
          <w:lang w:val="en-GB" w:eastAsia="en-US"/>
        </w:rPr>
      </w:pPr>
    </w:p>
    <w:p w14:paraId="05C4EEF9" w14:textId="6F106FF7" w:rsidR="00264F4C" w:rsidRPr="001C6CCA" w:rsidRDefault="00264F4C" w:rsidP="00F65CFF">
      <w:pPr>
        <w:spacing w:before="0" w:after="0"/>
        <w:rPr>
          <w:rFonts w:eastAsia="Arial Unicode MS" w:cs="Arial Unicode MS"/>
          <w:szCs w:val="22"/>
          <w:lang w:val="en-GB"/>
        </w:rPr>
      </w:pPr>
    </w:p>
    <w:p w14:paraId="64A448B2" w14:textId="0D85B925" w:rsidR="00264F4C" w:rsidRPr="001C6CCA" w:rsidRDefault="00264F4C" w:rsidP="00F65CFF">
      <w:pPr>
        <w:spacing w:before="0" w:after="0"/>
        <w:rPr>
          <w:rFonts w:eastAsia="Arial Unicode MS" w:cs="Arial Unicode MS"/>
          <w:szCs w:val="22"/>
          <w:lang w:val="en-GB"/>
        </w:rPr>
      </w:pPr>
    </w:p>
    <w:p w14:paraId="5E1C8A2B" w14:textId="07ED89A3" w:rsidR="00264F4C" w:rsidRPr="001C6CCA" w:rsidRDefault="00264F4C" w:rsidP="00F65CFF">
      <w:pPr>
        <w:spacing w:before="0" w:after="0"/>
        <w:rPr>
          <w:rFonts w:eastAsia="Arial Unicode MS" w:cs="Arial Unicode MS"/>
          <w:szCs w:val="22"/>
          <w:lang w:val="en-GB"/>
        </w:rPr>
      </w:pPr>
    </w:p>
    <w:p w14:paraId="3EC5E8EA" w14:textId="49852369" w:rsidR="00264F4C" w:rsidRPr="001C6CCA" w:rsidRDefault="00264F4C" w:rsidP="00F65CFF">
      <w:pPr>
        <w:spacing w:before="0" w:after="0"/>
        <w:rPr>
          <w:rFonts w:eastAsia="Arial Unicode MS" w:cs="Arial Unicode MS"/>
          <w:sz w:val="20"/>
          <w:szCs w:val="20"/>
          <w:lang w:val="en-GB"/>
        </w:rPr>
      </w:pPr>
    </w:p>
    <w:p w14:paraId="7DE6A36C" w14:textId="77777777" w:rsidR="00C7300E" w:rsidRPr="001C6CCA" w:rsidRDefault="00C7300E" w:rsidP="00F65CFF">
      <w:pPr>
        <w:spacing w:before="0" w:after="0"/>
        <w:contextualSpacing/>
        <w:rPr>
          <w:rFonts w:eastAsiaTheme="minorHAnsi" w:cstheme="minorBidi"/>
          <w:b/>
          <w:sz w:val="20"/>
          <w:szCs w:val="20"/>
          <w:lang w:val="en-GB" w:eastAsia="en-US"/>
        </w:rPr>
      </w:pPr>
    </w:p>
    <w:p w14:paraId="7299AC68" w14:textId="77777777" w:rsidR="00B47FB0" w:rsidRPr="001C6CCA" w:rsidRDefault="00B47FB0" w:rsidP="00F65CFF">
      <w:pPr>
        <w:spacing w:before="0" w:after="0"/>
        <w:ind w:left="142"/>
        <w:contextualSpacing/>
        <w:jc w:val="center"/>
        <w:rPr>
          <w:rFonts w:eastAsiaTheme="minorHAnsi" w:cstheme="minorBidi"/>
          <w:b/>
          <w:color w:val="244061" w:themeColor="accent1" w:themeShade="80"/>
          <w:sz w:val="36"/>
          <w:szCs w:val="36"/>
          <w:lang w:val="en-GB" w:eastAsia="en-US"/>
        </w:rPr>
      </w:pPr>
    </w:p>
    <w:p w14:paraId="74A48A4F" w14:textId="77777777" w:rsidR="00B47FB0" w:rsidRPr="001C6CCA" w:rsidRDefault="00B47FB0" w:rsidP="00F65CFF">
      <w:pPr>
        <w:spacing w:before="0" w:after="0"/>
        <w:ind w:left="142"/>
        <w:contextualSpacing/>
        <w:jc w:val="center"/>
        <w:rPr>
          <w:rFonts w:eastAsiaTheme="minorHAnsi" w:cstheme="minorBidi"/>
          <w:b/>
          <w:color w:val="244061" w:themeColor="accent1" w:themeShade="80"/>
          <w:sz w:val="36"/>
          <w:szCs w:val="36"/>
          <w:lang w:val="en-GB" w:eastAsia="en-US"/>
        </w:rPr>
      </w:pPr>
    </w:p>
    <w:p w14:paraId="271172D8" w14:textId="77777777" w:rsidR="00B47FB0" w:rsidRPr="001C6CCA" w:rsidRDefault="00B47FB0" w:rsidP="00F65CFF">
      <w:pPr>
        <w:spacing w:before="0" w:after="0"/>
        <w:ind w:left="142"/>
        <w:contextualSpacing/>
        <w:jc w:val="center"/>
        <w:rPr>
          <w:rFonts w:eastAsiaTheme="minorHAnsi" w:cstheme="minorBidi"/>
          <w:b/>
          <w:color w:val="244061" w:themeColor="accent1" w:themeShade="80"/>
          <w:sz w:val="36"/>
          <w:szCs w:val="36"/>
          <w:lang w:val="en-GB" w:eastAsia="en-US"/>
        </w:rPr>
      </w:pPr>
    </w:p>
    <w:p w14:paraId="48DE4E79" w14:textId="77777777" w:rsidR="00B47FB0" w:rsidRDefault="00B47FB0" w:rsidP="00F65CFF">
      <w:pPr>
        <w:spacing w:before="0" w:after="0"/>
        <w:ind w:left="142"/>
        <w:contextualSpacing/>
        <w:jc w:val="center"/>
        <w:rPr>
          <w:rFonts w:eastAsiaTheme="minorHAnsi" w:cstheme="minorBidi"/>
          <w:b/>
          <w:color w:val="244061" w:themeColor="accent1" w:themeShade="80"/>
          <w:sz w:val="36"/>
          <w:szCs w:val="36"/>
          <w:lang w:val="en-GB" w:eastAsia="en-US"/>
        </w:rPr>
      </w:pPr>
    </w:p>
    <w:p w14:paraId="66F1CAB9" w14:textId="77777777" w:rsidR="00484783" w:rsidRDefault="00484783" w:rsidP="004E40B7">
      <w:pPr>
        <w:spacing w:before="0" w:after="0"/>
        <w:contextualSpacing/>
        <w:rPr>
          <w:rFonts w:eastAsiaTheme="minorHAnsi" w:cstheme="minorBidi"/>
          <w:b/>
          <w:color w:val="244061" w:themeColor="accent1" w:themeShade="80"/>
          <w:sz w:val="36"/>
          <w:szCs w:val="36"/>
          <w:lang w:val="en-GB" w:eastAsia="en-US"/>
        </w:rPr>
      </w:pPr>
    </w:p>
    <w:p w14:paraId="5F99DF86" w14:textId="77777777" w:rsidR="00484783" w:rsidRPr="001C6CCA" w:rsidRDefault="00484783" w:rsidP="00F65CFF">
      <w:pPr>
        <w:spacing w:before="0" w:after="0"/>
        <w:ind w:left="142"/>
        <w:contextualSpacing/>
        <w:jc w:val="center"/>
        <w:rPr>
          <w:rFonts w:eastAsiaTheme="minorHAnsi" w:cstheme="minorBidi"/>
          <w:b/>
          <w:color w:val="244061" w:themeColor="accent1" w:themeShade="80"/>
          <w:sz w:val="36"/>
          <w:szCs w:val="36"/>
          <w:lang w:val="en-GB" w:eastAsia="en-US"/>
        </w:rPr>
      </w:pPr>
    </w:p>
    <w:p w14:paraId="1AE15727" w14:textId="05488A36" w:rsidR="00264F4C" w:rsidRPr="001C6CCA" w:rsidRDefault="006075FE" w:rsidP="00F65CFF">
      <w:pPr>
        <w:spacing w:before="0" w:after="0"/>
        <w:ind w:left="142"/>
        <w:contextualSpacing/>
        <w:jc w:val="center"/>
        <w:rPr>
          <w:rFonts w:eastAsiaTheme="minorHAnsi" w:cstheme="minorBidi"/>
          <w:b/>
          <w:color w:val="244061" w:themeColor="accent1" w:themeShade="80"/>
          <w:sz w:val="36"/>
          <w:szCs w:val="36"/>
          <w:lang w:val="en-GB" w:eastAsia="en-US"/>
        </w:rPr>
      </w:pPr>
      <w:r>
        <w:rPr>
          <w:rFonts w:eastAsiaTheme="minorHAnsi" w:cstheme="minorBidi"/>
          <w:b/>
          <w:color w:val="244061" w:themeColor="accent1" w:themeShade="80"/>
          <w:sz w:val="36"/>
          <w:szCs w:val="36"/>
          <w:lang w:val="en-GB" w:eastAsia="en-US"/>
        </w:rPr>
        <w:t>DIO</w:t>
      </w:r>
      <w:r w:rsidR="00264F4C" w:rsidRPr="001C6CCA">
        <w:rPr>
          <w:rFonts w:eastAsiaTheme="minorHAnsi" w:cstheme="minorBidi"/>
          <w:b/>
          <w:color w:val="244061" w:themeColor="accent1" w:themeShade="80"/>
          <w:sz w:val="36"/>
          <w:szCs w:val="36"/>
          <w:lang w:val="en-GB" w:eastAsia="en-US"/>
        </w:rPr>
        <w:t xml:space="preserve"> I</w:t>
      </w:r>
    </w:p>
    <w:p w14:paraId="51D94656" w14:textId="77777777" w:rsidR="00264F4C" w:rsidRPr="001C6CCA" w:rsidRDefault="00264F4C" w:rsidP="00F65CFF">
      <w:pPr>
        <w:spacing w:before="0" w:after="0"/>
        <w:ind w:left="142"/>
        <w:contextualSpacing/>
        <w:jc w:val="center"/>
        <w:rPr>
          <w:rFonts w:eastAsiaTheme="minorHAnsi" w:cstheme="minorBidi"/>
          <w:b/>
          <w:color w:val="244061" w:themeColor="accent1" w:themeShade="80"/>
          <w:sz w:val="32"/>
          <w:szCs w:val="32"/>
          <w:lang w:val="en-GB" w:eastAsia="en-US"/>
        </w:rPr>
      </w:pPr>
    </w:p>
    <w:p w14:paraId="69324830" w14:textId="77777777" w:rsidR="006075FE" w:rsidRPr="006075FE" w:rsidRDefault="006075FE" w:rsidP="006075FE">
      <w:pPr>
        <w:spacing w:before="0" w:after="0"/>
        <w:ind w:left="142"/>
        <w:contextualSpacing/>
        <w:jc w:val="center"/>
        <w:rPr>
          <w:rFonts w:eastAsiaTheme="minorHAnsi" w:cstheme="minorBidi"/>
          <w:b/>
          <w:color w:val="244061" w:themeColor="accent1" w:themeShade="80"/>
          <w:sz w:val="28"/>
          <w:szCs w:val="28"/>
          <w:lang w:val="en-GB" w:eastAsia="en-US"/>
        </w:rPr>
      </w:pPr>
      <w:r w:rsidRPr="006075FE">
        <w:rPr>
          <w:rFonts w:eastAsiaTheme="minorHAnsi" w:cstheme="minorBidi"/>
          <w:b/>
          <w:color w:val="244061" w:themeColor="accent1" w:themeShade="80"/>
          <w:sz w:val="28"/>
          <w:szCs w:val="28"/>
          <w:lang w:val="en-GB" w:eastAsia="en-US"/>
        </w:rPr>
        <w:t>Deskriptori povezani sa relevantnim antropogenim pritiscima:</w:t>
      </w:r>
    </w:p>
    <w:p w14:paraId="1EB36A98" w14:textId="7F5D184E" w:rsidR="00264F4C" w:rsidRPr="006075FE" w:rsidRDefault="006075FE" w:rsidP="006075FE">
      <w:pPr>
        <w:spacing w:before="0" w:after="0"/>
        <w:ind w:left="142"/>
        <w:contextualSpacing/>
        <w:jc w:val="center"/>
        <w:rPr>
          <w:rFonts w:eastAsiaTheme="minorHAnsi" w:cstheme="minorBidi"/>
          <w:b/>
          <w:color w:val="244061" w:themeColor="accent1" w:themeShade="80"/>
          <w:sz w:val="28"/>
          <w:szCs w:val="28"/>
          <w:lang w:val="en-GB" w:eastAsia="en-US"/>
        </w:rPr>
      </w:pPr>
      <w:r w:rsidRPr="006075FE">
        <w:rPr>
          <w:rFonts w:eastAsiaTheme="minorHAnsi" w:cstheme="minorBidi"/>
          <w:b/>
          <w:color w:val="244061" w:themeColor="accent1" w:themeShade="80"/>
          <w:sz w:val="28"/>
          <w:szCs w:val="28"/>
          <w:lang w:val="en-GB" w:eastAsia="en-US"/>
        </w:rPr>
        <w:t xml:space="preserve"> Biološki pritisci (</w:t>
      </w:r>
      <w:r w:rsidR="00480592">
        <w:rPr>
          <w:rFonts w:eastAsiaTheme="minorHAnsi" w:cstheme="minorBidi"/>
          <w:b/>
          <w:color w:val="244061" w:themeColor="accent1" w:themeShade="80"/>
          <w:sz w:val="28"/>
          <w:szCs w:val="28"/>
          <w:lang w:val="en-GB" w:eastAsia="en-US"/>
        </w:rPr>
        <w:t>D</w:t>
      </w:r>
      <w:r w:rsidRPr="006075FE">
        <w:rPr>
          <w:rFonts w:eastAsiaTheme="minorHAnsi" w:cstheme="minorBidi"/>
          <w:b/>
          <w:color w:val="244061" w:themeColor="accent1" w:themeShade="80"/>
          <w:sz w:val="28"/>
          <w:szCs w:val="28"/>
          <w:lang w:val="en-GB" w:eastAsia="en-US"/>
        </w:rPr>
        <w:t>eskriptori 2 i 3), fizički pritisci (</w:t>
      </w:r>
      <w:r w:rsidR="00480592">
        <w:rPr>
          <w:rFonts w:eastAsiaTheme="minorHAnsi" w:cstheme="minorBidi"/>
          <w:b/>
          <w:color w:val="244061" w:themeColor="accent1" w:themeShade="80"/>
          <w:sz w:val="28"/>
          <w:szCs w:val="28"/>
          <w:lang w:val="en-GB" w:eastAsia="en-US"/>
        </w:rPr>
        <w:t>D</w:t>
      </w:r>
      <w:r w:rsidRPr="006075FE">
        <w:rPr>
          <w:rFonts w:eastAsiaTheme="minorHAnsi" w:cstheme="minorBidi"/>
          <w:b/>
          <w:color w:val="244061" w:themeColor="accent1" w:themeShade="80"/>
          <w:sz w:val="28"/>
          <w:szCs w:val="28"/>
          <w:lang w:val="en-GB" w:eastAsia="en-US"/>
        </w:rPr>
        <w:t xml:space="preserve">eskriptori 6 i 7) i supstance, </w:t>
      </w:r>
      <w:r>
        <w:rPr>
          <w:rFonts w:eastAsiaTheme="minorHAnsi" w:cstheme="minorBidi"/>
          <w:b/>
          <w:color w:val="244061" w:themeColor="accent1" w:themeShade="80"/>
          <w:sz w:val="28"/>
          <w:szCs w:val="28"/>
          <w:lang w:val="en-GB" w:eastAsia="en-US"/>
        </w:rPr>
        <w:t>otpad</w:t>
      </w:r>
      <w:r w:rsidRPr="006075FE">
        <w:rPr>
          <w:rFonts w:eastAsiaTheme="minorHAnsi" w:cstheme="minorBidi"/>
          <w:b/>
          <w:color w:val="244061" w:themeColor="accent1" w:themeShade="80"/>
          <w:sz w:val="28"/>
          <w:szCs w:val="28"/>
          <w:lang w:val="en-GB" w:eastAsia="en-US"/>
        </w:rPr>
        <w:t xml:space="preserve"> i energija (</w:t>
      </w:r>
      <w:r w:rsidR="00480592">
        <w:rPr>
          <w:rFonts w:eastAsiaTheme="minorHAnsi" w:cstheme="minorBidi"/>
          <w:b/>
          <w:color w:val="244061" w:themeColor="accent1" w:themeShade="80"/>
          <w:sz w:val="28"/>
          <w:szCs w:val="28"/>
          <w:lang w:val="en-GB" w:eastAsia="en-US"/>
        </w:rPr>
        <w:t>D</w:t>
      </w:r>
      <w:r w:rsidRPr="006075FE">
        <w:rPr>
          <w:rFonts w:eastAsiaTheme="minorHAnsi" w:cstheme="minorBidi"/>
          <w:b/>
          <w:color w:val="244061" w:themeColor="accent1" w:themeShade="80"/>
          <w:sz w:val="28"/>
          <w:szCs w:val="28"/>
          <w:lang w:val="en-GB" w:eastAsia="en-US"/>
        </w:rPr>
        <w:t>eskriptori 5, 8, 9, 10 i 11), navedeni u Aneksu III Direktive 2008/56/EC.</w:t>
      </w:r>
    </w:p>
    <w:p w14:paraId="640D1B7D" w14:textId="77777777" w:rsidR="00264F4C" w:rsidRPr="001C6CCA" w:rsidRDefault="00264F4C" w:rsidP="00F65CFF">
      <w:pPr>
        <w:widowControl w:val="0"/>
        <w:spacing w:after="0"/>
        <w:rPr>
          <w:sz w:val="20"/>
          <w:szCs w:val="20"/>
          <w:lang w:val="en-GB"/>
        </w:rPr>
      </w:pPr>
    </w:p>
    <w:p w14:paraId="334328A6" w14:textId="65E4752E" w:rsidR="00264F4C" w:rsidRPr="001C6CCA" w:rsidRDefault="00264F4C" w:rsidP="00F65CFF">
      <w:pPr>
        <w:spacing w:before="0" w:after="0"/>
        <w:rPr>
          <w:rFonts w:eastAsia="Arial Unicode MS" w:cs="Arial Unicode MS"/>
          <w:sz w:val="20"/>
          <w:szCs w:val="20"/>
          <w:lang w:val="en-GB"/>
        </w:rPr>
      </w:pPr>
    </w:p>
    <w:p w14:paraId="08705FB3" w14:textId="56464C70" w:rsidR="00264F4C" w:rsidRPr="001C6CCA" w:rsidRDefault="00264F4C" w:rsidP="00F65CFF">
      <w:pPr>
        <w:spacing w:before="0" w:after="0"/>
        <w:rPr>
          <w:rFonts w:eastAsia="Arial Unicode MS" w:cs="Arial Unicode MS"/>
          <w:sz w:val="20"/>
          <w:szCs w:val="20"/>
          <w:lang w:val="en-GB"/>
        </w:rPr>
      </w:pPr>
    </w:p>
    <w:p w14:paraId="61EF57ED" w14:textId="0125CA9A" w:rsidR="00264F4C" w:rsidRPr="001C6CCA" w:rsidRDefault="00264F4C" w:rsidP="00F65CFF">
      <w:pPr>
        <w:spacing w:before="0" w:after="0"/>
        <w:rPr>
          <w:rFonts w:eastAsia="Arial Unicode MS" w:cs="Arial Unicode MS"/>
          <w:sz w:val="20"/>
          <w:szCs w:val="20"/>
          <w:lang w:val="en-GB"/>
        </w:rPr>
      </w:pPr>
    </w:p>
    <w:p w14:paraId="21DA3304" w14:textId="33785BDB" w:rsidR="00264F4C" w:rsidRPr="001C6CCA" w:rsidRDefault="00264F4C" w:rsidP="00F65CFF">
      <w:pPr>
        <w:spacing w:before="0" w:after="0"/>
        <w:rPr>
          <w:rFonts w:eastAsia="Arial Unicode MS" w:cs="Arial Unicode MS"/>
          <w:sz w:val="20"/>
          <w:szCs w:val="20"/>
          <w:lang w:val="en-GB"/>
        </w:rPr>
      </w:pPr>
    </w:p>
    <w:p w14:paraId="2B68B1EF" w14:textId="4A98A97C" w:rsidR="00264F4C" w:rsidRPr="001C6CCA" w:rsidRDefault="00264F4C" w:rsidP="00F65CFF">
      <w:pPr>
        <w:spacing w:before="0" w:after="0"/>
        <w:rPr>
          <w:rFonts w:eastAsia="Arial Unicode MS" w:cs="Arial Unicode MS"/>
          <w:sz w:val="20"/>
          <w:szCs w:val="20"/>
          <w:lang w:val="en-GB"/>
        </w:rPr>
      </w:pPr>
    </w:p>
    <w:p w14:paraId="5DAAC56C" w14:textId="7B64B618" w:rsidR="002C23F4" w:rsidRPr="001C6CCA" w:rsidRDefault="002C23F4" w:rsidP="00F65CFF">
      <w:pPr>
        <w:spacing w:before="0" w:after="0"/>
        <w:rPr>
          <w:rFonts w:eastAsia="Arial Unicode MS" w:cs="Arial Unicode MS"/>
          <w:sz w:val="20"/>
          <w:szCs w:val="20"/>
          <w:lang w:val="en-GB"/>
        </w:rPr>
      </w:pPr>
    </w:p>
    <w:p w14:paraId="61AAAC34" w14:textId="6B9D3FE6" w:rsidR="002C23F4" w:rsidRPr="001C6CCA" w:rsidRDefault="002C23F4" w:rsidP="00F65CFF">
      <w:pPr>
        <w:spacing w:before="0" w:after="0"/>
        <w:rPr>
          <w:rFonts w:eastAsia="Arial Unicode MS" w:cs="Arial Unicode MS"/>
          <w:sz w:val="20"/>
          <w:szCs w:val="20"/>
          <w:lang w:val="en-GB"/>
        </w:rPr>
      </w:pPr>
    </w:p>
    <w:p w14:paraId="0AA941CF" w14:textId="1A4E615E" w:rsidR="002C23F4" w:rsidRPr="001C6CCA" w:rsidRDefault="002C23F4" w:rsidP="00F65CFF">
      <w:pPr>
        <w:spacing w:before="0" w:after="0"/>
        <w:rPr>
          <w:rFonts w:eastAsia="Arial Unicode MS" w:cs="Arial Unicode MS"/>
          <w:sz w:val="20"/>
          <w:szCs w:val="20"/>
          <w:lang w:val="en-GB"/>
        </w:rPr>
      </w:pPr>
    </w:p>
    <w:p w14:paraId="4BFA0B58" w14:textId="529211A6" w:rsidR="002C23F4" w:rsidRPr="001C6CCA" w:rsidRDefault="002C23F4" w:rsidP="00F65CFF">
      <w:pPr>
        <w:spacing w:before="0" w:after="0"/>
        <w:rPr>
          <w:rFonts w:eastAsia="Arial Unicode MS" w:cs="Arial Unicode MS"/>
          <w:sz w:val="20"/>
          <w:szCs w:val="20"/>
          <w:lang w:val="en-GB"/>
        </w:rPr>
      </w:pPr>
    </w:p>
    <w:p w14:paraId="48BBEF9C" w14:textId="6CE4197F" w:rsidR="002C23F4" w:rsidRPr="001C6CCA" w:rsidRDefault="002C23F4" w:rsidP="00F65CFF">
      <w:pPr>
        <w:spacing w:before="0" w:after="0"/>
        <w:rPr>
          <w:rFonts w:eastAsia="Arial Unicode MS" w:cs="Arial Unicode MS"/>
          <w:sz w:val="20"/>
          <w:szCs w:val="20"/>
          <w:lang w:val="en-GB"/>
        </w:rPr>
      </w:pPr>
    </w:p>
    <w:p w14:paraId="05B31793" w14:textId="429C0E63" w:rsidR="002C23F4" w:rsidRPr="001C6CCA" w:rsidRDefault="002C23F4" w:rsidP="00F65CFF">
      <w:pPr>
        <w:spacing w:before="0" w:after="0"/>
        <w:rPr>
          <w:rFonts w:eastAsia="Arial Unicode MS" w:cs="Arial Unicode MS"/>
          <w:sz w:val="20"/>
          <w:szCs w:val="20"/>
          <w:lang w:val="en-GB"/>
        </w:rPr>
      </w:pPr>
    </w:p>
    <w:p w14:paraId="77E0B757" w14:textId="77777777" w:rsidR="002C23F4" w:rsidRPr="001C6CCA" w:rsidRDefault="002C23F4" w:rsidP="00F65CFF">
      <w:pPr>
        <w:spacing w:before="0" w:after="0"/>
        <w:rPr>
          <w:rFonts w:eastAsia="Arial Unicode MS" w:cs="Arial Unicode MS"/>
          <w:sz w:val="20"/>
          <w:szCs w:val="20"/>
          <w:lang w:val="en-GB"/>
        </w:rPr>
      </w:pPr>
    </w:p>
    <w:p w14:paraId="57763DF3" w14:textId="3A9B73B4" w:rsidR="00264F4C" w:rsidRPr="001C6CCA" w:rsidRDefault="00264F4C" w:rsidP="00F65CFF">
      <w:pPr>
        <w:spacing w:before="0" w:after="0"/>
        <w:rPr>
          <w:rFonts w:eastAsia="Arial Unicode MS" w:cs="Arial Unicode MS"/>
          <w:sz w:val="20"/>
          <w:szCs w:val="20"/>
          <w:lang w:val="en-GB"/>
        </w:rPr>
      </w:pPr>
    </w:p>
    <w:p w14:paraId="78B290A3" w14:textId="651969F0" w:rsidR="00264F4C" w:rsidRDefault="00264F4C" w:rsidP="00F65CFF">
      <w:pPr>
        <w:spacing w:before="0" w:after="0"/>
        <w:rPr>
          <w:rFonts w:eastAsia="Arial Unicode MS" w:cs="Arial Unicode MS"/>
          <w:sz w:val="20"/>
          <w:szCs w:val="20"/>
          <w:lang w:val="en-GB"/>
        </w:rPr>
      </w:pPr>
    </w:p>
    <w:p w14:paraId="3CE5B4BF" w14:textId="77777777" w:rsidR="00E65EBD" w:rsidRPr="001C6CCA" w:rsidRDefault="00E65EBD" w:rsidP="00F65CFF">
      <w:pPr>
        <w:spacing w:before="0" w:after="0"/>
        <w:rPr>
          <w:rFonts w:eastAsia="Arial Unicode MS" w:cs="Arial Unicode MS"/>
          <w:sz w:val="20"/>
          <w:szCs w:val="20"/>
          <w:lang w:val="en-GB"/>
        </w:rPr>
      </w:pPr>
    </w:p>
    <w:p w14:paraId="1B021BCB" w14:textId="77777777" w:rsidR="00264F4C" w:rsidRPr="001C6CCA" w:rsidRDefault="00264F4C" w:rsidP="00F65CFF">
      <w:pPr>
        <w:spacing w:before="0" w:after="0"/>
        <w:rPr>
          <w:rFonts w:eastAsia="Arial Unicode MS" w:cs="Arial Unicode MS"/>
          <w:sz w:val="20"/>
          <w:szCs w:val="20"/>
          <w:lang w:val="en-GB"/>
        </w:rPr>
      </w:pPr>
    </w:p>
    <w:p w14:paraId="5C02051E" w14:textId="58CA5F5A" w:rsidR="00264F4C" w:rsidRPr="001C6CCA" w:rsidRDefault="00264F4C" w:rsidP="00F65CFF">
      <w:pPr>
        <w:spacing w:before="0" w:after="0"/>
        <w:rPr>
          <w:rFonts w:eastAsia="Arial Unicode MS" w:cs="Arial Unicode MS"/>
          <w:sz w:val="20"/>
          <w:szCs w:val="20"/>
          <w:lang w:val="en-GB"/>
        </w:rPr>
      </w:pPr>
    </w:p>
    <w:p w14:paraId="71524912" w14:textId="1434CEB0" w:rsidR="00264F4C" w:rsidRDefault="00264F4C" w:rsidP="00F65CFF">
      <w:pPr>
        <w:spacing w:before="0" w:after="0"/>
        <w:rPr>
          <w:rFonts w:eastAsia="Arial Unicode MS" w:cs="Arial Unicode MS"/>
          <w:sz w:val="20"/>
          <w:szCs w:val="20"/>
          <w:lang w:val="en-GB"/>
        </w:rPr>
      </w:pPr>
    </w:p>
    <w:p w14:paraId="1DE0AAFB" w14:textId="77777777" w:rsidR="006075FE" w:rsidRDefault="006075FE" w:rsidP="00F65CFF">
      <w:pPr>
        <w:spacing w:before="0" w:after="0"/>
        <w:rPr>
          <w:rFonts w:eastAsia="Arial Unicode MS" w:cs="Arial Unicode MS"/>
          <w:sz w:val="20"/>
          <w:szCs w:val="20"/>
          <w:lang w:val="en-GB"/>
        </w:rPr>
      </w:pPr>
    </w:p>
    <w:p w14:paraId="67E04EED" w14:textId="77777777" w:rsidR="006075FE" w:rsidRPr="001C6CCA" w:rsidRDefault="006075FE" w:rsidP="00F65CFF">
      <w:pPr>
        <w:spacing w:before="0" w:after="0"/>
        <w:rPr>
          <w:rFonts w:eastAsia="Arial Unicode MS" w:cs="Arial Unicode MS"/>
          <w:sz w:val="20"/>
          <w:szCs w:val="20"/>
          <w:lang w:val="en-GB"/>
        </w:rPr>
      </w:pPr>
    </w:p>
    <w:p w14:paraId="2EA7DA2C" w14:textId="51401A34" w:rsidR="00264F4C" w:rsidRPr="001C6CCA" w:rsidRDefault="00CF7E4B" w:rsidP="00CF7E4B">
      <w:pPr>
        <w:pStyle w:val="Heading1"/>
        <w:rPr>
          <w:lang w:val="en-GB"/>
        </w:rPr>
      </w:pPr>
      <w:bookmarkStart w:id="31" w:name="_Toc83630892"/>
      <w:bookmarkStart w:id="32" w:name="_Hlk66779463"/>
      <w:r>
        <w:rPr>
          <w:rFonts w:eastAsiaTheme="minorHAnsi"/>
          <w:lang w:val="en-GB"/>
        </w:rPr>
        <w:t>DESKRIPTORI</w:t>
      </w:r>
      <w:r w:rsidRPr="00CF7E4B">
        <w:rPr>
          <w:rFonts w:eastAsiaTheme="minorHAnsi"/>
          <w:lang w:val="en-GB"/>
        </w:rPr>
        <w:t xml:space="preserve"> POVEZAN</w:t>
      </w:r>
      <w:r>
        <w:rPr>
          <w:rFonts w:eastAsiaTheme="minorHAnsi"/>
          <w:lang w:val="en-GB"/>
        </w:rPr>
        <w:t>I</w:t>
      </w:r>
      <w:r w:rsidRPr="00CF7E4B">
        <w:rPr>
          <w:rFonts w:eastAsiaTheme="minorHAnsi"/>
          <w:lang w:val="en-GB"/>
        </w:rPr>
        <w:t xml:space="preserve"> SA RELEVANTNIM ANTROPOGENIM PRITIS</w:t>
      </w:r>
      <w:r>
        <w:rPr>
          <w:rFonts w:eastAsiaTheme="minorHAnsi"/>
          <w:lang w:val="en-GB"/>
        </w:rPr>
        <w:t>CIMA</w:t>
      </w:r>
      <w:bookmarkEnd w:id="31"/>
    </w:p>
    <w:p w14:paraId="786990A3" w14:textId="2BA93561" w:rsidR="00264F4C" w:rsidRPr="001C6CCA" w:rsidRDefault="00CF7E4B" w:rsidP="005874EF">
      <w:pPr>
        <w:pStyle w:val="Heading2"/>
        <w:spacing w:before="0" w:after="160"/>
        <w:ind w:left="567" w:hanging="567"/>
        <w:rPr>
          <w:lang w:val="en-GB" w:eastAsia="en-US"/>
        </w:rPr>
      </w:pPr>
      <w:bookmarkStart w:id="33" w:name="_Toc83630893"/>
      <w:r>
        <w:rPr>
          <w:lang w:val="en-GB" w:eastAsia="en-US"/>
        </w:rPr>
        <w:t xml:space="preserve">STRANE </w:t>
      </w:r>
      <w:r w:rsidR="006075FE">
        <w:rPr>
          <w:lang w:val="en-GB" w:eastAsia="en-US"/>
        </w:rPr>
        <w:t xml:space="preserve">VRSTE </w:t>
      </w:r>
      <w:r w:rsidR="006075FE" w:rsidRPr="006075FE">
        <w:rPr>
          <w:lang w:val="en-GB" w:eastAsia="en-US"/>
        </w:rPr>
        <w:t>(</w:t>
      </w:r>
      <w:r w:rsidR="00480592">
        <w:rPr>
          <w:lang w:val="en-GB" w:eastAsia="en-US"/>
        </w:rPr>
        <w:t xml:space="preserve">DESKRIPTOR </w:t>
      </w:r>
      <w:r w:rsidR="00264F4C" w:rsidRPr="001C6CCA">
        <w:rPr>
          <w:lang w:val="en-GB" w:eastAsia="en-US"/>
        </w:rPr>
        <w:t>2)</w:t>
      </w:r>
      <w:bookmarkEnd w:id="33"/>
    </w:p>
    <w:p w14:paraId="074E5EA8" w14:textId="0ED92D50" w:rsidR="001D6381" w:rsidRPr="001D6381" w:rsidRDefault="001D6381" w:rsidP="001D6381">
      <w:pPr>
        <w:spacing w:before="0" w:after="160"/>
        <w:rPr>
          <w:rFonts w:cs="Stag Sans Book"/>
          <w:color w:val="000000"/>
          <w:szCs w:val="22"/>
          <w:lang w:val="en-GB"/>
        </w:rPr>
      </w:pPr>
      <w:bookmarkStart w:id="34" w:name="_Hlk67844185"/>
      <w:r w:rsidRPr="001D6381">
        <w:rPr>
          <w:rFonts w:cs="Stag Sans Book"/>
          <w:color w:val="000000"/>
          <w:szCs w:val="22"/>
          <w:lang w:val="en-GB"/>
        </w:rPr>
        <w:t xml:space="preserve">Deskriptor 2 se odnosi na prisustvo alohtonih (unesenih, stranih) vrsta koje, prema Zakonu o stranim i invazivnim </w:t>
      </w:r>
      <w:r w:rsidR="00272F70">
        <w:rPr>
          <w:rFonts w:cs="Stag Sans Book"/>
          <w:color w:val="000000"/>
          <w:szCs w:val="22"/>
          <w:lang w:val="en-GB"/>
        </w:rPr>
        <w:t>stranim</w:t>
      </w:r>
      <w:r w:rsidRPr="001D6381">
        <w:rPr>
          <w:rFonts w:cs="Stag Sans Book"/>
          <w:color w:val="000000"/>
          <w:szCs w:val="22"/>
          <w:lang w:val="en-GB"/>
        </w:rPr>
        <w:t xml:space="preserve"> vrstama biljaka, životinja i gljiva, predstavljaju bilo koju pojedinačnu živu vrstu, podvrstu ili nižu taksonomsku grupu životinja, biljaka, gljiva ili mikroorganizama unesenih izvan njihovog prirodnog područja, uključujući njihove djelove, polne ćelije, sjeme, jaja ili propagule ovih vrsta, kao i hibride, sorte ili pasmine sposobne za opstanak i dalju reprodukciju.</w:t>
      </w:r>
    </w:p>
    <w:p w14:paraId="64920A2D" w14:textId="62D5F7B2" w:rsidR="001D6381" w:rsidRPr="001D6381" w:rsidRDefault="001D6381" w:rsidP="001D6381">
      <w:pPr>
        <w:spacing w:before="0" w:after="160"/>
        <w:rPr>
          <w:rFonts w:cs="Stag Sans Book"/>
          <w:color w:val="000000"/>
          <w:szCs w:val="22"/>
          <w:lang w:val="en-GB"/>
        </w:rPr>
      </w:pPr>
      <w:r w:rsidRPr="001D6381">
        <w:rPr>
          <w:rFonts w:cs="Stag Sans Book"/>
          <w:color w:val="000000"/>
          <w:szCs w:val="22"/>
          <w:lang w:val="en-GB"/>
        </w:rPr>
        <w:t xml:space="preserve">Strane vrste mogu slučajno ili namjerno da uđu u novo okruženje. Kada naiđu na odgovarajuće uslove životne sredine, počinju da se razmnožavaju i šire svoj opseg rasprostranjenja, što dovodi do ugrožavanja autohtonih vrsta. Invazivne strane vrste (IAS) smatraju se jednim od glavnih uzroka gubitka biodiverziteta na Mediteranu. Prema najnovijim regionalnim pregledima, više od 6% morskih vrsta u Sredozemlju sada se smatraju </w:t>
      </w:r>
      <w:r w:rsidR="00272F70">
        <w:rPr>
          <w:rFonts w:cs="Stag Sans Book"/>
          <w:color w:val="000000"/>
          <w:szCs w:val="22"/>
          <w:lang w:val="en-GB"/>
        </w:rPr>
        <w:t>stranim</w:t>
      </w:r>
      <w:r w:rsidRPr="001D6381">
        <w:rPr>
          <w:rFonts w:cs="Stag Sans Book"/>
          <w:color w:val="000000"/>
          <w:szCs w:val="22"/>
          <w:lang w:val="en-GB"/>
        </w:rPr>
        <w:t xml:space="preserve"> vrstama (NIS), uključujući 13,5% invazivnih stranih vrsta (Zenetos i sar., 2012).</w:t>
      </w:r>
    </w:p>
    <w:p w14:paraId="519D5490" w14:textId="27665AB9" w:rsidR="001D6381" w:rsidRPr="001D6381" w:rsidRDefault="001D6381" w:rsidP="001D6381">
      <w:pPr>
        <w:spacing w:before="0" w:after="160"/>
        <w:rPr>
          <w:rFonts w:cs="Stag Sans Book"/>
          <w:color w:val="000000"/>
          <w:szCs w:val="22"/>
          <w:lang w:val="en-GB"/>
        </w:rPr>
      </w:pPr>
      <w:r w:rsidRPr="001D6381">
        <w:rPr>
          <w:rFonts w:cs="Stag Sans Book"/>
          <w:b/>
          <w:color w:val="000000"/>
          <w:szCs w:val="22"/>
          <w:lang w:val="en-GB"/>
        </w:rPr>
        <w:t>Dobar status</w:t>
      </w:r>
      <w:r w:rsidRPr="001D6381">
        <w:rPr>
          <w:rFonts w:cs="Stag Sans Book"/>
          <w:color w:val="000000"/>
          <w:szCs w:val="22"/>
          <w:lang w:val="en-GB"/>
        </w:rPr>
        <w:t xml:space="preserve"> </w:t>
      </w:r>
      <w:r w:rsidR="00272F70" w:rsidRPr="00272F70">
        <w:rPr>
          <w:rFonts w:cs="Stag Sans Book"/>
          <w:b/>
          <w:color w:val="000000"/>
          <w:szCs w:val="22"/>
          <w:lang w:val="en-GB"/>
        </w:rPr>
        <w:t>morske sredine</w:t>
      </w:r>
      <w:r w:rsidR="00272F70">
        <w:rPr>
          <w:rFonts w:cs="Stag Sans Book"/>
          <w:color w:val="000000"/>
          <w:szCs w:val="22"/>
          <w:lang w:val="en-GB"/>
        </w:rPr>
        <w:t xml:space="preserve"> </w:t>
      </w:r>
      <w:r>
        <w:rPr>
          <w:rFonts w:cs="Stag Sans Book"/>
          <w:color w:val="000000"/>
          <w:szCs w:val="22"/>
          <w:lang w:val="en-GB"/>
        </w:rPr>
        <w:t xml:space="preserve">za </w:t>
      </w:r>
      <w:r w:rsidRPr="001D6381">
        <w:rPr>
          <w:rFonts w:cs="Stag Sans Book"/>
          <w:color w:val="000000"/>
          <w:szCs w:val="22"/>
          <w:lang w:val="en-GB"/>
        </w:rPr>
        <w:t>D2 postiže se kada je unošenje stranih vrsta putem ljudske aktivnosti minimalno i, koliko je to moguće, svedeno na nulu, a geografsko širenje ne dovodi do negativnih uticaja na morske vrste i prirodna staništa.</w:t>
      </w:r>
    </w:p>
    <w:p w14:paraId="1BC1E797" w14:textId="77777777" w:rsidR="001D6381" w:rsidRPr="001D6381" w:rsidRDefault="001D6381" w:rsidP="001D6381">
      <w:pPr>
        <w:spacing w:before="0" w:after="0"/>
        <w:rPr>
          <w:rFonts w:eastAsia="Calibri" w:cs="Calibri"/>
          <w:b/>
          <w:szCs w:val="22"/>
          <w:lang w:val="en-GB" w:eastAsia="en-US"/>
        </w:rPr>
      </w:pPr>
      <w:r w:rsidRPr="001D6381">
        <w:rPr>
          <w:noProof/>
          <w:lang w:eastAsia="en-US"/>
        </w:rPr>
        <mc:AlternateContent>
          <mc:Choice Requires="wps">
            <w:drawing>
              <wp:anchor distT="0" distB="0" distL="114300" distR="114300" simplePos="0" relativeHeight="251796480" behindDoc="0" locked="0" layoutInCell="1" allowOverlap="1" wp14:anchorId="69C1DC46" wp14:editId="4D2C4A29">
                <wp:simplePos x="0" y="0"/>
                <wp:positionH relativeFrom="margin">
                  <wp:align>right</wp:align>
                </wp:positionH>
                <wp:positionV relativeFrom="paragraph">
                  <wp:posOffset>54610</wp:posOffset>
                </wp:positionV>
                <wp:extent cx="5943600" cy="609600"/>
                <wp:effectExtent l="0" t="0" r="0" b="0"/>
                <wp:wrapNone/>
                <wp:docPr id="70" name="Rectangle: Rounded Corners 96"/>
                <wp:cNvGraphicFramePr/>
                <a:graphic xmlns:a="http://schemas.openxmlformats.org/drawingml/2006/main">
                  <a:graphicData uri="http://schemas.microsoft.com/office/word/2010/wordprocessingShape">
                    <wps:wsp>
                      <wps:cNvSpPr/>
                      <wps:spPr>
                        <a:xfrm>
                          <a:off x="0" y="0"/>
                          <a:ext cx="5943600" cy="609600"/>
                        </a:xfrm>
                        <a:prstGeom prst="roundRect">
                          <a:avLst/>
                        </a:prstGeom>
                        <a:solidFill>
                          <a:srgbClr val="4F81BD">
                            <a:lumMod val="20000"/>
                            <a:lumOff val="80000"/>
                            <a:alpha val="84000"/>
                          </a:srgbClr>
                        </a:solidFill>
                        <a:ln w="25400" cap="flat" cmpd="sng" algn="ctr">
                          <a:noFill/>
                          <a:prstDash val="solid"/>
                        </a:ln>
                        <a:effectLst/>
                      </wps:spPr>
                      <wps:txbx>
                        <w:txbxContent>
                          <w:p w14:paraId="7B586457" w14:textId="3109C5FF" w:rsidR="00515997" w:rsidRPr="001D6381" w:rsidRDefault="00515997" w:rsidP="001D6381">
                            <w:pPr>
                              <w:rPr>
                                <w:b/>
                                <w:i/>
                                <w:color w:val="000000"/>
                                <w:lang w:val="hr-HR"/>
                                <w14:textOutline w14:w="9525" w14:cap="rnd" w14:cmpd="sng" w14:algn="ctr">
                                  <w14:noFill/>
                                  <w14:prstDash w14:val="solid"/>
                                  <w14:bevel/>
                                </w14:textOutline>
                              </w:rPr>
                            </w:pPr>
                            <w:r w:rsidRPr="001D6381">
                              <w:rPr>
                                <w:b/>
                                <w:i/>
                                <w:color w:val="000000"/>
                                <w:lang w:val="hr-HR"/>
                                <w14:textOutline w14:w="9525" w14:cap="rnd" w14:cmpd="sng" w14:algn="ctr">
                                  <w14:noFill/>
                                  <w14:prstDash w14:val="solid"/>
                                  <w14:bevel/>
                                </w14:textOutline>
                              </w:rPr>
                              <w:t xml:space="preserve">Definicija GES-a: </w:t>
                            </w:r>
                            <w:r>
                              <w:rPr>
                                <w:b/>
                                <w:i/>
                                <w:color w:val="000000"/>
                                <w:lang w:val="hr-HR"/>
                                <w14:textOutline w14:w="9525" w14:cap="rnd" w14:cmpd="sng" w14:algn="ctr">
                                  <w14:noFill/>
                                  <w14:prstDash w14:val="solid"/>
                                  <w14:bevel/>
                                </w14:textOutline>
                              </w:rPr>
                              <w:t>Strane</w:t>
                            </w:r>
                            <w:r w:rsidRPr="001D6381">
                              <w:rPr>
                                <w:b/>
                                <w:i/>
                                <w:color w:val="000000"/>
                                <w:lang w:val="hr-HR"/>
                                <w14:textOutline w14:w="9525" w14:cap="rnd" w14:cmpd="sng" w14:algn="ctr">
                                  <w14:noFill/>
                                  <w14:prstDash w14:val="solid"/>
                                  <w14:bevel/>
                                </w14:textOutline>
                              </w:rPr>
                              <w:t xml:space="preserve"> vrste unesene ljudskim aktivnostima nalaze se na nivoima koji ne menjaju negativno ekosisteme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C1DC46" id="Rectangle: Rounded Corners 96" o:spid="_x0000_s1026" style="position:absolute;left:0;text-align:left;margin-left:416.8pt;margin-top:4.3pt;width:468pt;height:48pt;z-index:251796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" fillcolor="#dce6f2" stroked="f" strokeweight="2pt">
                <v:fill opacity="54998f"/>
                <v:textbox>
                  <w:txbxContent>
                    <w:p w14:paraId="7B586457" w14:textId="3109C5FF" w:rsidR="00515997" w:rsidRPr="001D6381" w:rsidRDefault="00515997" w:rsidP="001D6381">
                      <w:pPr>
                        <w:rPr>
                          <w:b/>
                          <w:i/>
                          <w:color w:val="000000"/>
                          <w:lang w:val="hr-HR"/>
                          <w14:textOutline w14:w="9525" w14:cap="rnd" w14:cmpd="sng" w14:algn="ctr">
                            <w14:noFill/>
                            <w14:prstDash w14:val="solid"/>
                            <w14:bevel/>
                          </w14:textOutline>
                        </w:rPr>
                      </w:pPr>
                      <w:r w:rsidRPr="001D6381">
                        <w:rPr>
                          <w:b/>
                          <w:i/>
                          <w:color w:val="000000"/>
                          <w:lang w:val="hr-HR"/>
                          <w14:textOutline w14:w="9525" w14:cap="rnd" w14:cmpd="sng" w14:algn="ctr">
                            <w14:noFill/>
                            <w14:prstDash w14:val="solid"/>
                            <w14:bevel/>
                          </w14:textOutline>
                        </w:rPr>
                        <w:t xml:space="preserve">Definicija GES-a: </w:t>
                      </w:r>
                      <w:r>
                        <w:rPr>
                          <w:b/>
                          <w:i/>
                          <w:color w:val="000000"/>
                          <w:lang w:val="hr-HR"/>
                          <w14:textOutline w14:w="9525" w14:cap="rnd" w14:cmpd="sng" w14:algn="ctr">
                            <w14:noFill/>
                            <w14:prstDash w14:val="solid"/>
                            <w14:bevel/>
                          </w14:textOutline>
                        </w:rPr>
                        <w:t>Strane</w:t>
                      </w:r>
                      <w:r w:rsidRPr="001D6381">
                        <w:rPr>
                          <w:b/>
                          <w:i/>
                          <w:color w:val="000000"/>
                          <w:lang w:val="hr-HR"/>
                          <w14:textOutline w14:w="9525" w14:cap="rnd" w14:cmpd="sng" w14:algn="ctr">
                            <w14:noFill/>
                            <w14:prstDash w14:val="solid"/>
                            <w14:bevel/>
                          </w14:textOutline>
                        </w:rPr>
                        <w:t xml:space="preserve"> vrste unesene ljudskim aktivnostima nalaze se na nivoima koji ne menjaju negativno ekosisteme</w:t>
                      </w:r>
                    </w:p>
                  </w:txbxContent>
                </v:textbox>
                <w10:wrap anchorx="margin"/>
              </v:roundrect>
            </w:pict>
          </mc:Fallback>
        </mc:AlternateContent>
      </w:r>
    </w:p>
    <w:p w14:paraId="78DE4612" w14:textId="77777777" w:rsidR="001D6381" w:rsidRPr="001D6381" w:rsidRDefault="001D6381" w:rsidP="001D6381">
      <w:pPr>
        <w:keepNext/>
        <w:spacing w:before="240" w:after="0"/>
        <w:jc w:val="left"/>
        <w:outlineLvl w:val="2"/>
        <w:rPr>
          <w:rFonts w:eastAsia="Calibri"/>
          <w:b/>
          <w:bCs/>
          <w:color w:val="2E74B5"/>
          <w:szCs w:val="22"/>
          <w:lang w:val="en-GB" w:eastAsia="en-US"/>
        </w:rPr>
      </w:pPr>
    </w:p>
    <w:p w14:paraId="023325EA" w14:textId="77777777" w:rsidR="001D6381" w:rsidRPr="001D6381" w:rsidRDefault="001D6381" w:rsidP="001D6381">
      <w:pPr>
        <w:rPr>
          <w:rFonts w:eastAsia="Calibri"/>
          <w:lang w:val="en-GB" w:eastAsia="en-US"/>
        </w:rPr>
      </w:pPr>
    </w:p>
    <w:p w14:paraId="7F4241C5" w14:textId="016FA803" w:rsidR="001D6381" w:rsidRPr="00D419DD" w:rsidRDefault="00A46104" w:rsidP="00D419DD">
      <w:pPr>
        <w:pStyle w:val="Heading3"/>
        <w:rPr>
          <w:lang w:val="sr-Latn-ME"/>
        </w:rPr>
      </w:pPr>
      <w:bookmarkStart w:id="35" w:name="_Toc69678344"/>
      <w:bookmarkStart w:id="36" w:name="_Toc83630894"/>
      <w:r>
        <w:rPr>
          <w:lang w:val="sr-Latn-ME"/>
        </w:rPr>
        <w:t>Relevantni p</w:t>
      </w:r>
      <w:r w:rsidR="001D6381" w:rsidRPr="00D419DD">
        <w:rPr>
          <w:lang w:val="sr-Latn-ME"/>
        </w:rPr>
        <w:t>ritisci i uticaji</w:t>
      </w:r>
      <w:bookmarkEnd w:id="35"/>
      <w:bookmarkEnd w:id="36"/>
    </w:p>
    <w:p w14:paraId="2BE21283" w14:textId="2EEB85C6" w:rsidR="001D6381" w:rsidRPr="001D6381" w:rsidRDefault="001D6381" w:rsidP="001D6381">
      <w:pPr>
        <w:spacing w:before="0" w:after="0"/>
        <w:rPr>
          <w:rFonts w:eastAsia="Arial Unicode MS" w:cs="Arial Unicode MS"/>
          <w:szCs w:val="22"/>
          <w:lang w:val="en-GB"/>
        </w:rPr>
      </w:pPr>
      <w:r w:rsidRPr="001D6381">
        <w:rPr>
          <w:rFonts w:eastAsia="Arial Unicode MS" w:cs="Arial Unicode MS"/>
          <w:szCs w:val="22"/>
          <w:lang w:val="en-GB"/>
        </w:rPr>
        <w:t xml:space="preserve">Glavne antropogene aktivnosti koje doprinose unošenju NIS-a su pomorski saobraćaj (komercijalni i rekreativni) i akvakultura. Čamci i brodovi mogu transportovati NIS bilo u balastnoj vodi ili kao obraštaj (tj. pričvršćeni za trupove, sidrene lance i druge djelove plovila). Aktivnosti akvakulture takođe mogu prouzrokovati nenamjerno unošenje NIS-a prilikom transporta vrsta namijenjenih za uzgoj (tabela 2.1). Klimatske promjene, iako izvan razmatranja MSFD-a, mogu stvoriti uslove koji su pogodniji da NIS prežive i </w:t>
      </w:r>
      <w:r w:rsidR="009A300B">
        <w:rPr>
          <w:rFonts w:eastAsia="Arial Unicode MS" w:cs="Arial Unicode MS"/>
          <w:szCs w:val="22"/>
          <w:lang w:val="en-GB"/>
        </w:rPr>
        <w:t>u</w:t>
      </w:r>
      <w:r w:rsidRPr="001D6381">
        <w:rPr>
          <w:rFonts w:eastAsia="Arial Unicode MS" w:cs="Arial Unicode MS"/>
          <w:szCs w:val="22"/>
          <w:lang w:val="en-GB"/>
        </w:rPr>
        <w:t>domaće se u crnogorskim vodama. Pored luka, duž crnogorske obale, posebno u Bokokotorskom zalivu, nalaze se brojne marine za male brodove i jahte u kojima su mnoge unesen</w:t>
      </w:r>
      <w:r w:rsidR="009A300B">
        <w:rPr>
          <w:rFonts w:eastAsia="Arial Unicode MS" w:cs="Arial Unicode MS"/>
          <w:szCs w:val="22"/>
          <w:lang w:val="en-GB"/>
        </w:rPr>
        <w:t>e</w:t>
      </w:r>
      <w:r w:rsidRPr="001D6381">
        <w:rPr>
          <w:rFonts w:eastAsia="Arial Unicode MS" w:cs="Arial Unicode MS"/>
          <w:szCs w:val="22"/>
          <w:lang w:val="en-GB"/>
        </w:rPr>
        <w:t xml:space="preserve"> vrste nađene.</w:t>
      </w:r>
    </w:p>
    <w:p w14:paraId="1AED0462" w14:textId="77777777" w:rsidR="001D6381" w:rsidRPr="001D6381" w:rsidRDefault="001D6381" w:rsidP="001D6381">
      <w:pPr>
        <w:spacing w:before="0" w:after="0"/>
        <w:rPr>
          <w:rFonts w:eastAsia="Arial Unicode MS" w:cs="Arial Unicode MS"/>
          <w:szCs w:val="22"/>
          <w:lang w:val="en-GB"/>
        </w:rPr>
      </w:pPr>
    </w:p>
    <w:p w14:paraId="11CDE072" w14:textId="6552DC8C" w:rsidR="001D6381" w:rsidRPr="001D6381" w:rsidRDefault="001D6381" w:rsidP="001D6381">
      <w:pPr>
        <w:keepNext/>
        <w:spacing w:line="240" w:lineRule="auto"/>
        <w:rPr>
          <w:rFonts w:eastAsia="Arial Unicode MS" w:cs="Arial Unicode MS"/>
          <w:b/>
          <w:szCs w:val="22"/>
        </w:rPr>
      </w:pPr>
      <w:bookmarkStart w:id="37" w:name="_Toc83643159"/>
      <w:r w:rsidRPr="001D6381">
        <w:rPr>
          <w:rFonts w:eastAsia="Arial Unicode MS" w:cs="Arial Unicode MS"/>
          <w:b/>
          <w:szCs w:val="22"/>
        </w:rPr>
        <w:t xml:space="preserve">Tabela </w:t>
      </w:r>
      <w:r w:rsidRPr="001D6381">
        <w:rPr>
          <w:rFonts w:eastAsia="Arial Unicode MS" w:cs="Arial Unicode MS"/>
          <w:b/>
          <w:sz w:val="20"/>
        </w:rPr>
        <w:fldChar w:fldCharType="begin"/>
      </w:r>
      <w:r w:rsidRPr="001D6381">
        <w:rPr>
          <w:rFonts w:eastAsia="Arial Unicode MS" w:cs="Arial Unicode MS"/>
          <w:b/>
          <w:szCs w:val="22"/>
        </w:rPr>
        <w:instrText xml:space="preserve"> STYLEREF 1 \s </w:instrText>
      </w:r>
      <w:r w:rsidRPr="001D6381">
        <w:rPr>
          <w:rFonts w:eastAsia="Arial Unicode MS" w:cs="Arial Unicode MS"/>
          <w:b/>
          <w:sz w:val="20"/>
        </w:rPr>
        <w:fldChar w:fldCharType="separate"/>
      </w:r>
      <w:r w:rsidR="000D1E20">
        <w:rPr>
          <w:rFonts w:eastAsia="Arial Unicode MS" w:cs="Arial Unicode MS"/>
          <w:b/>
          <w:noProof/>
          <w:szCs w:val="22"/>
        </w:rPr>
        <w:t>2</w:t>
      </w:r>
      <w:r w:rsidRPr="001D6381">
        <w:rPr>
          <w:rFonts w:eastAsia="Arial Unicode MS" w:cs="Arial Unicode MS"/>
          <w:b/>
          <w:sz w:val="20"/>
        </w:rPr>
        <w:fldChar w:fldCharType="end"/>
      </w:r>
      <w:r w:rsidRPr="001D6381">
        <w:rPr>
          <w:rFonts w:eastAsia="Arial Unicode MS" w:cs="Arial Unicode MS"/>
          <w:b/>
          <w:szCs w:val="22"/>
        </w:rPr>
        <w:t>.</w:t>
      </w:r>
      <w:r w:rsidRPr="001D6381">
        <w:rPr>
          <w:rFonts w:eastAsia="Arial Unicode MS" w:cs="Arial Unicode MS"/>
          <w:b/>
          <w:sz w:val="20"/>
        </w:rPr>
        <w:fldChar w:fldCharType="begin"/>
      </w:r>
      <w:r w:rsidRPr="001D6381">
        <w:rPr>
          <w:rFonts w:eastAsia="Arial Unicode MS" w:cs="Arial Unicode MS"/>
          <w:b/>
          <w:szCs w:val="22"/>
        </w:rPr>
        <w:instrText xml:space="preserve"> SEQ Table \* ARABIC \s 1 </w:instrText>
      </w:r>
      <w:r w:rsidRPr="001D6381">
        <w:rPr>
          <w:rFonts w:eastAsia="Arial Unicode MS" w:cs="Arial Unicode MS"/>
          <w:b/>
          <w:sz w:val="20"/>
        </w:rPr>
        <w:fldChar w:fldCharType="separate"/>
      </w:r>
      <w:r w:rsidR="000D1E20">
        <w:rPr>
          <w:rFonts w:eastAsia="Arial Unicode MS" w:cs="Arial Unicode MS"/>
          <w:b/>
          <w:noProof/>
          <w:szCs w:val="22"/>
        </w:rPr>
        <w:t>1</w:t>
      </w:r>
      <w:r w:rsidRPr="001D6381">
        <w:rPr>
          <w:rFonts w:eastAsia="Arial Unicode MS" w:cs="Arial Unicode MS"/>
          <w:b/>
          <w:sz w:val="20"/>
        </w:rPr>
        <w:fldChar w:fldCharType="end"/>
      </w:r>
      <w:r w:rsidRPr="001D6381">
        <w:rPr>
          <w:rFonts w:eastAsia="Arial Unicode MS" w:cs="Arial Unicode MS"/>
          <w:b/>
          <w:szCs w:val="22"/>
        </w:rPr>
        <w:t xml:space="preserve">. </w:t>
      </w:r>
      <w:r w:rsidR="00A46104">
        <w:rPr>
          <w:rFonts w:eastAsia="Arial Unicode MS" w:cs="Arial Unicode MS"/>
          <w:b/>
          <w:szCs w:val="22"/>
        </w:rPr>
        <w:t xml:space="preserve">Postojeći </w:t>
      </w:r>
      <w:r w:rsidRPr="001D6381">
        <w:rPr>
          <w:rFonts w:eastAsia="Arial Unicode MS" w:cs="Arial Unicode MS"/>
          <w:b/>
          <w:szCs w:val="22"/>
          <w:lang w:val="en-GB" w:eastAsia="en-US"/>
        </w:rPr>
        <w:t xml:space="preserve">i projektovani pritisci za Deskriptor 2 u CG </w:t>
      </w:r>
      <w:r w:rsidR="00A46104">
        <w:rPr>
          <w:rFonts w:eastAsia="Arial Unicode MS" w:cs="Arial Unicode MS"/>
          <w:b/>
          <w:szCs w:val="22"/>
          <w:lang w:val="en-GB" w:eastAsia="en-US"/>
        </w:rPr>
        <w:t xml:space="preserve">dijelu </w:t>
      </w:r>
      <w:r w:rsidRPr="001D6381">
        <w:rPr>
          <w:rFonts w:eastAsia="Arial Unicode MS" w:cs="Arial Unicode MS"/>
          <w:b/>
          <w:szCs w:val="22"/>
          <w:lang w:val="en-GB" w:eastAsia="en-US"/>
        </w:rPr>
        <w:t>Jadransko</w:t>
      </w:r>
      <w:r w:rsidR="00A46104">
        <w:rPr>
          <w:rFonts w:eastAsia="Arial Unicode MS" w:cs="Arial Unicode MS"/>
          <w:b/>
          <w:szCs w:val="22"/>
          <w:lang w:val="en-GB" w:eastAsia="en-US"/>
        </w:rPr>
        <w:t>g</w:t>
      </w:r>
      <w:r w:rsidRPr="001D6381">
        <w:rPr>
          <w:rFonts w:eastAsia="Arial Unicode MS" w:cs="Arial Unicode MS"/>
          <w:b/>
          <w:szCs w:val="22"/>
          <w:lang w:val="en-GB" w:eastAsia="en-US"/>
        </w:rPr>
        <w:t xml:space="preserve"> mor</w:t>
      </w:r>
      <w:r w:rsidR="00A46104">
        <w:rPr>
          <w:rFonts w:eastAsia="Arial Unicode MS" w:cs="Arial Unicode MS"/>
          <w:b/>
          <w:szCs w:val="22"/>
          <w:lang w:val="en-GB" w:eastAsia="en-US"/>
        </w:rPr>
        <w:t>a</w:t>
      </w:r>
      <w:r w:rsidRPr="001D6381">
        <w:rPr>
          <w:rFonts w:eastAsia="Arial Unicode MS" w:cs="Arial Unicode MS"/>
          <w:b/>
          <w:szCs w:val="22"/>
          <w:lang w:val="en-GB" w:eastAsia="en-US"/>
        </w:rPr>
        <w:t xml:space="preserve"> prema podacima iz početne procjene </w:t>
      </w:r>
      <w:r w:rsidRPr="001D6381">
        <w:rPr>
          <w:rFonts w:eastAsia="Arial Unicode MS" w:cs="Arial Unicode MS"/>
          <w:b/>
          <w:sz w:val="20"/>
          <w:vertAlign w:val="superscript"/>
        </w:rPr>
        <w:footnoteReference w:id="15"/>
      </w:r>
      <w:bookmarkEnd w:id="37"/>
    </w:p>
    <w:tbl>
      <w:tblPr>
        <w:tblStyle w:val="GolderTable11"/>
        <w:tblW w:w="9351"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701"/>
        <w:gridCol w:w="2835"/>
        <w:gridCol w:w="2410"/>
        <w:gridCol w:w="2405"/>
      </w:tblGrid>
      <w:tr w:rsidR="001D6381" w:rsidRPr="001D6381" w14:paraId="20684DB3" w14:textId="77777777" w:rsidTr="00E711AD">
        <w:trPr>
          <w:tblHeade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1F497D" w:themeFill="text2"/>
            <w:hideMark/>
          </w:tcPr>
          <w:p w14:paraId="22283BC6" w14:textId="3CC13B29" w:rsidR="001D6381" w:rsidRPr="00E711AD" w:rsidRDefault="00A46104" w:rsidP="001D6381">
            <w:pPr>
              <w:spacing w:before="0" w:after="0" w:line="240" w:lineRule="auto"/>
              <w:jc w:val="left"/>
              <w:rPr>
                <w:b/>
                <w:color w:val="FFFFFF" w:themeColor="background1"/>
                <w:sz w:val="20"/>
                <w:szCs w:val="20"/>
                <w:lang w:val="en-GB" w:eastAsia="en-US"/>
              </w:rPr>
            </w:pPr>
            <w:r>
              <w:rPr>
                <w:rFonts w:cs="Calibri"/>
                <w:b/>
                <w:color w:val="FFFFFF" w:themeColor="background1"/>
                <w:sz w:val="20"/>
                <w:szCs w:val="20"/>
                <w:lang w:val="en-GB" w:eastAsia="en-US"/>
              </w:rPr>
              <w:t>Postojeće</w:t>
            </w:r>
            <w:r w:rsidR="001D6381" w:rsidRPr="00E711AD">
              <w:rPr>
                <w:rFonts w:cs="Calibri"/>
                <w:b/>
                <w:color w:val="FFFFFF" w:themeColor="background1"/>
                <w:sz w:val="20"/>
                <w:szCs w:val="20"/>
                <w:lang w:val="en-GB" w:eastAsia="en-US"/>
              </w:rPr>
              <w:t xml:space="preserve"> korišćenje voda </w:t>
            </w:r>
          </w:p>
        </w:tc>
        <w:tc>
          <w:tcPr>
            <w:tcW w:w="2835" w:type="dxa"/>
            <w:tcBorders>
              <w:top w:val="single" w:sz="4" w:space="0" w:color="000000"/>
              <w:left w:val="single" w:sz="4" w:space="0" w:color="000000"/>
              <w:bottom w:val="single" w:sz="4" w:space="0" w:color="000000"/>
              <w:right w:val="single" w:sz="4" w:space="0" w:color="000000"/>
            </w:tcBorders>
            <w:shd w:val="clear" w:color="auto" w:fill="1F497D" w:themeFill="text2"/>
            <w:hideMark/>
          </w:tcPr>
          <w:p w14:paraId="7C89E3E8" w14:textId="31848706" w:rsidR="001D6381" w:rsidRPr="00E711AD" w:rsidRDefault="00A46104" w:rsidP="001D6381">
            <w:pPr>
              <w:spacing w:before="0" w:after="0" w:line="240" w:lineRule="auto"/>
              <w:jc w:val="center"/>
              <w:rPr>
                <w:b/>
                <w:color w:val="FFFFFF" w:themeColor="background1"/>
                <w:sz w:val="20"/>
                <w:szCs w:val="20"/>
                <w:lang w:val="en-GB" w:eastAsia="en-US"/>
              </w:rPr>
            </w:pPr>
            <w:r>
              <w:rPr>
                <w:rFonts w:cs="Calibri"/>
                <w:b/>
                <w:color w:val="FFFFFF" w:themeColor="background1"/>
                <w:sz w:val="20"/>
                <w:szCs w:val="20"/>
                <w:lang w:val="en-GB" w:eastAsia="en-US"/>
              </w:rPr>
              <w:t>Postojeći</w:t>
            </w:r>
            <w:r w:rsidR="001D6381" w:rsidRPr="00E711AD">
              <w:rPr>
                <w:rFonts w:cs="Calibri"/>
                <w:b/>
                <w:color w:val="FFFFFF" w:themeColor="background1"/>
                <w:sz w:val="20"/>
                <w:szCs w:val="20"/>
                <w:lang w:val="en-GB" w:eastAsia="en-US"/>
              </w:rPr>
              <w:t xml:space="preserve"> pritisci</w:t>
            </w:r>
          </w:p>
        </w:tc>
        <w:tc>
          <w:tcPr>
            <w:tcW w:w="2410" w:type="dxa"/>
            <w:tcBorders>
              <w:top w:val="single" w:sz="4" w:space="0" w:color="000000"/>
              <w:left w:val="single" w:sz="4" w:space="0" w:color="000000"/>
              <w:bottom w:val="single" w:sz="4" w:space="0" w:color="000000"/>
              <w:right w:val="single" w:sz="4" w:space="0" w:color="000000"/>
            </w:tcBorders>
            <w:shd w:val="clear" w:color="auto" w:fill="1F497D" w:themeFill="text2"/>
            <w:hideMark/>
          </w:tcPr>
          <w:p w14:paraId="50F93856" w14:textId="77777777" w:rsidR="001D6381" w:rsidRPr="00E711AD" w:rsidRDefault="001D6381" w:rsidP="001D6381">
            <w:pPr>
              <w:spacing w:before="0" w:after="0" w:line="240" w:lineRule="auto"/>
              <w:jc w:val="left"/>
              <w:rPr>
                <w:b/>
                <w:color w:val="FFFFFF" w:themeColor="background1"/>
                <w:sz w:val="20"/>
                <w:szCs w:val="20"/>
                <w:lang w:val="en-GB" w:eastAsia="en-US"/>
              </w:rPr>
            </w:pPr>
            <w:r w:rsidRPr="00E711AD">
              <w:rPr>
                <w:rFonts w:cs="Calibri"/>
                <w:b/>
                <w:color w:val="FFFFFF" w:themeColor="background1"/>
                <w:sz w:val="20"/>
                <w:szCs w:val="20"/>
                <w:lang w:val="en-GB" w:eastAsia="en-US"/>
              </w:rPr>
              <w:t>Projektovani pritisci do 2030</w:t>
            </w:r>
            <w:r w:rsidRPr="00E711AD">
              <w:rPr>
                <w:b/>
                <w:color w:val="FFFFFF" w:themeColor="background1"/>
                <w:sz w:val="20"/>
                <w:szCs w:val="20"/>
                <w:vertAlign w:val="superscript"/>
                <w:lang w:val="en-GB" w:eastAsia="en-US"/>
              </w:rPr>
              <w:footnoteReference w:id="16"/>
            </w:r>
            <w:r w:rsidRPr="00E711AD">
              <w:rPr>
                <w:rFonts w:cs="Calibri"/>
                <w:b/>
                <w:color w:val="FFFFFF" w:themeColor="background1"/>
                <w:sz w:val="20"/>
                <w:szCs w:val="20"/>
                <w:lang w:val="en-GB" w:eastAsia="en-US"/>
              </w:rPr>
              <w:t xml:space="preserve"> </w:t>
            </w:r>
          </w:p>
        </w:tc>
        <w:tc>
          <w:tcPr>
            <w:tcW w:w="2405" w:type="dxa"/>
            <w:tcBorders>
              <w:top w:val="single" w:sz="4" w:space="0" w:color="000000"/>
              <w:left w:val="single" w:sz="4" w:space="0" w:color="000000"/>
              <w:bottom w:val="single" w:sz="4" w:space="0" w:color="000000"/>
              <w:right w:val="single" w:sz="4" w:space="0" w:color="000000"/>
            </w:tcBorders>
            <w:shd w:val="clear" w:color="auto" w:fill="1F497D" w:themeFill="text2"/>
            <w:hideMark/>
          </w:tcPr>
          <w:p w14:paraId="03F31B3B" w14:textId="77777777" w:rsidR="001D6381" w:rsidRPr="00E711AD" w:rsidRDefault="001D6381" w:rsidP="001D6381">
            <w:pPr>
              <w:spacing w:before="0" w:after="0" w:line="240" w:lineRule="auto"/>
              <w:jc w:val="left"/>
              <w:rPr>
                <w:b/>
                <w:color w:val="FFFFFF" w:themeColor="background1"/>
                <w:sz w:val="20"/>
                <w:szCs w:val="20"/>
                <w:lang w:val="en-GB" w:eastAsia="en-US"/>
              </w:rPr>
            </w:pPr>
            <w:r w:rsidRPr="00E711AD">
              <w:rPr>
                <w:b/>
                <w:color w:val="FFFFFF" w:themeColor="background1"/>
                <w:sz w:val="20"/>
                <w:szCs w:val="20"/>
                <w:lang w:val="en-GB" w:eastAsia="en-US"/>
              </w:rPr>
              <w:t>Projektovanje stanje morskog okruženja</w:t>
            </w:r>
          </w:p>
        </w:tc>
      </w:tr>
      <w:tr w:rsidR="001D6381" w:rsidRPr="001D6381" w14:paraId="516296EA" w14:textId="77777777" w:rsidTr="001D6381">
        <w:trPr>
          <w:jc w:val="center"/>
        </w:trPr>
        <w:tc>
          <w:tcPr>
            <w:tcW w:w="1701" w:type="dxa"/>
            <w:tcBorders>
              <w:top w:val="single" w:sz="4" w:space="0" w:color="2F5496"/>
              <w:left w:val="single" w:sz="4" w:space="0" w:color="000000"/>
              <w:bottom w:val="single" w:sz="4" w:space="0" w:color="2F5496"/>
              <w:right w:val="single" w:sz="4" w:space="0" w:color="000000"/>
            </w:tcBorders>
            <w:hideMark/>
          </w:tcPr>
          <w:p w14:paraId="5C798665" w14:textId="77777777" w:rsidR="001D6381" w:rsidRPr="001D6381" w:rsidRDefault="001D6381" w:rsidP="001D6381">
            <w:pPr>
              <w:spacing w:before="0" w:after="0" w:line="240" w:lineRule="auto"/>
              <w:rPr>
                <w:sz w:val="20"/>
                <w:szCs w:val="20"/>
                <w:lang w:val="en-GB" w:eastAsia="en-US"/>
              </w:rPr>
            </w:pPr>
            <w:r w:rsidRPr="001D6381">
              <w:rPr>
                <w:rFonts w:cs="Calibri"/>
                <w:sz w:val="20"/>
                <w:szCs w:val="20"/>
                <w:lang w:val="en-GB" w:eastAsia="en-US"/>
              </w:rPr>
              <w:t>Nautički turizam</w:t>
            </w:r>
          </w:p>
        </w:tc>
        <w:tc>
          <w:tcPr>
            <w:tcW w:w="2835" w:type="dxa"/>
            <w:tcBorders>
              <w:top w:val="single" w:sz="4" w:space="0" w:color="2F5496"/>
              <w:left w:val="single" w:sz="4" w:space="0" w:color="000000"/>
              <w:bottom w:val="single" w:sz="4" w:space="0" w:color="2F5496"/>
              <w:right w:val="single" w:sz="4" w:space="0" w:color="000000"/>
            </w:tcBorders>
          </w:tcPr>
          <w:p w14:paraId="3D25BDA3" w14:textId="676E5B76" w:rsidR="001D6381" w:rsidRPr="001D6381" w:rsidRDefault="001D6381" w:rsidP="001D6381">
            <w:pPr>
              <w:autoSpaceDE w:val="0"/>
              <w:autoSpaceDN w:val="0"/>
              <w:adjustRightInd w:val="0"/>
              <w:spacing w:before="0" w:after="0" w:line="240" w:lineRule="auto"/>
              <w:rPr>
                <w:rFonts w:cs="Calibri"/>
                <w:sz w:val="20"/>
                <w:szCs w:val="20"/>
                <w:lang w:val="en-GB" w:eastAsia="en-US"/>
              </w:rPr>
            </w:pPr>
            <w:r w:rsidRPr="001D6381">
              <w:rPr>
                <w:rFonts w:cs="Calibri"/>
                <w:sz w:val="20"/>
                <w:szCs w:val="20"/>
                <w:lang w:val="en-GB" w:eastAsia="en-US"/>
              </w:rPr>
              <w:t xml:space="preserve">Unošenje </w:t>
            </w:r>
            <w:r w:rsidR="00272F70">
              <w:rPr>
                <w:rFonts w:cs="Calibri"/>
                <w:sz w:val="20"/>
                <w:szCs w:val="20"/>
                <w:lang w:val="en-GB" w:eastAsia="en-US"/>
              </w:rPr>
              <w:t>stranih</w:t>
            </w:r>
            <w:r w:rsidRPr="001D6381">
              <w:rPr>
                <w:rFonts w:cs="Calibri"/>
                <w:sz w:val="20"/>
                <w:szCs w:val="20"/>
                <w:lang w:val="en-GB" w:eastAsia="en-US"/>
              </w:rPr>
              <w:t xml:space="preserve"> vrsta (NIS)  brodovima</w:t>
            </w:r>
          </w:p>
          <w:p w14:paraId="6BE8F419" w14:textId="77777777" w:rsidR="001D6381" w:rsidRPr="001D6381" w:rsidRDefault="001D6381" w:rsidP="001D6381">
            <w:pPr>
              <w:spacing w:before="0" w:after="0" w:line="240" w:lineRule="auto"/>
              <w:rPr>
                <w:sz w:val="20"/>
                <w:szCs w:val="20"/>
                <w:lang w:val="en-GB" w:eastAsia="en-US"/>
              </w:rPr>
            </w:pPr>
          </w:p>
        </w:tc>
        <w:tc>
          <w:tcPr>
            <w:tcW w:w="2410" w:type="dxa"/>
            <w:tcBorders>
              <w:top w:val="single" w:sz="4" w:space="0" w:color="2F5496"/>
              <w:left w:val="single" w:sz="4" w:space="0" w:color="000000"/>
              <w:bottom w:val="single" w:sz="4" w:space="0" w:color="2F5496"/>
              <w:right w:val="single" w:sz="4" w:space="0" w:color="000000"/>
            </w:tcBorders>
          </w:tcPr>
          <w:p w14:paraId="62E953C6" w14:textId="77777777" w:rsidR="001D6381" w:rsidRPr="001D6381" w:rsidRDefault="001D6381" w:rsidP="001D6381">
            <w:pPr>
              <w:autoSpaceDE w:val="0"/>
              <w:autoSpaceDN w:val="0"/>
              <w:adjustRightInd w:val="0"/>
              <w:spacing w:before="0" w:after="0" w:line="240" w:lineRule="auto"/>
              <w:rPr>
                <w:rFonts w:cs="Calibri"/>
                <w:sz w:val="20"/>
                <w:szCs w:val="20"/>
                <w:lang w:val="en-GB" w:eastAsia="en-US"/>
              </w:rPr>
            </w:pPr>
            <w:r w:rsidRPr="001D6381">
              <w:rPr>
                <w:rFonts w:cs="Calibri"/>
                <w:sz w:val="20"/>
                <w:szCs w:val="20"/>
                <w:lang w:val="en-GB" w:eastAsia="en-US"/>
              </w:rPr>
              <w:t xml:space="preserve">Trend pritiska: </w:t>
            </w:r>
          </w:p>
          <w:p w14:paraId="2C3FB3F7" w14:textId="77777777" w:rsidR="001D6381" w:rsidRPr="001D6381" w:rsidRDefault="001D6381" w:rsidP="001D6381">
            <w:pPr>
              <w:autoSpaceDE w:val="0"/>
              <w:autoSpaceDN w:val="0"/>
              <w:adjustRightInd w:val="0"/>
              <w:spacing w:after="0" w:line="240" w:lineRule="auto"/>
              <w:contextualSpacing/>
              <w:rPr>
                <w:rFonts w:cs="Calibri"/>
                <w:sz w:val="20"/>
                <w:szCs w:val="20"/>
                <w:lang w:val="en-GB" w:eastAsia="en-US"/>
              </w:rPr>
            </w:pPr>
            <w:r w:rsidRPr="001D6381">
              <w:rPr>
                <w:rFonts w:cs="Calibri"/>
                <w:sz w:val="20"/>
                <w:szCs w:val="20"/>
                <w:lang w:val="en-GB" w:eastAsia="en-US"/>
              </w:rPr>
              <w:t>unošenje NIS (+)</w:t>
            </w:r>
          </w:p>
          <w:p w14:paraId="22E7C6D3" w14:textId="77777777" w:rsidR="001D6381" w:rsidRPr="001D6381" w:rsidRDefault="001D6381" w:rsidP="001D6381">
            <w:pPr>
              <w:spacing w:before="0" w:after="0" w:line="240" w:lineRule="auto"/>
              <w:rPr>
                <w:sz w:val="20"/>
                <w:szCs w:val="20"/>
                <w:lang w:val="en-GB" w:eastAsia="en-US"/>
              </w:rPr>
            </w:pPr>
          </w:p>
        </w:tc>
        <w:tc>
          <w:tcPr>
            <w:tcW w:w="2405" w:type="dxa"/>
            <w:tcBorders>
              <w:top w:val="single" w:sz="4" w:space="0" w:color="2F5496"/>
              <w:left w:val="single" w:sz="4" w:space="0" w:color="000000"/>
              <w:bottom w:val="single" w:sz="4" w:space="0" w:color="2F5496"/>
              <w:right w:val="single" w:sz="4" w:space="0" w:color="000000"/>
            </w:tcBorders>
            <w:hideMark/>
          </w:tcPr>
          <w:p w14:paraId="30C35A0E" w14:textId="77777777" w:rsidR="001D6381" w:rsidRPr="001D6381" w:rsidRDefault="001D6381" w:rsidP="001D6381">
            <w:pPr>
              <w:spacing w:before="0" w:after="0" w:line="240" w:lineRule="auto"/>
              <w:rPr>
                <w:sz w:val="20"/>
                <w:szCs w:val="20"/>
                <w:lang w:val="en-GB" w:eastAsia="en-US"/>
              </w:rPr>
            </w:pPr>
            <w:r w:rsidRPr="001D6381">
              <w:rPr>
                <w:sz w:val="20"/>
                <w:szCs w:val="20"/>
                <w:lang w:val="en-GB" w:eastAsia="en-US"/>
              </w:rPr>
              <w:t xml:space="preserve">Pogoršanje </w:t>
            </w:r>
          </w:p>
        </w:tc>
      </w:tr>
      <w:tr w:rsidR="001D6381" w:rsidRPr="001D6381" w14:paraId="0EF9873B" w14:textId="77777777" w:rsidTr="001D6381">
        <w:trPr>
          <w:jc w:val="center"/>
        </w:trPr>
        <w:tc>
          <w:tcPr>
            <w:tcW w:w="1701" w:type="dxa"/>
            <w:tcBorders>
              <w:top w:val="single" w:sz="4" w:space="0" w:color="2F5496"/>
              <w:left w:val="single" w:sz="4" w:space="0" w:color="000000"/>
              <w:bottom w:val="single" w:sz="4" w:space="0" w:color="2F5496"/>
              <w:right w:val="single" w:sz="4" w:space="0" w:color="000000"/>
            </w:tcBorders>
            <w:hideMark/>
          </w:tcPr>
          <w:p w14:paraId="4E4461F4" w14:textId="77777777" w:rsidR="001D6381" w:rsidRPr="001D6381" w:rsidRDefault="001D6381" w:rsidP="001D6381">
            <w:pPr>
              <w:spacing w:before="0" w:after="0" w:line="240" w:lineRule="auto"/>
              <w:jc w:val="left"/>
              <w:rPr>
                <w:sz w:val="20"/>
                <w:szCs w:val="20"/>
                <w:lang w:val="en-GB" w:eastAsia="en-US"/>
              </w:rPr>
            </w:pPr>
            <w:r w:rsidRPr="001D6381">
              <w:rPr>
                <w:rFonts w:cs="Calibri"/>
                <w:sz w:val="20"/>
                <w:szCs w:val="20"/>
                <w:lang w:val="en-GB" w:eastAsia="en-US"/>
              </w:rPr>
              <w:t>Pomorski saobraćaj</w:t>
            </w:r>
          </w:p>
        </w:tc>
        <w:tc>
          <w:tcPr>
            <w:tcW w:w="2835" w:type="dxa"/>
            <w:tcBorders>
              <w:top w:val="single" w:sz="4" w:space="0" w:color="2F5496"/>
              <w:left w:val="single" w:sz="4" w:space="0" w:color="000000"/>
              <w:bottom w:val="single" w:sz="4" w:space="0" w:color="2F5496"/>
              <w:right w:val="single" w:sz="4" w:space="0" w:color="000000"/>
            </w:tcBorders>
            <w:hideMark/>
          </w:tcPr>
          <w:p w14:paraId="306EAA67" w14:textId="77777777" w:rsidR="001D6381" w:rsidRPr="001D6381" w:rsidRDefault="001D6381" w:rsidP="001D6381">
            <w:pPr>
              <w:autoSpaceDE w:val="0"/>
              <w:autoSpaceDN w:val="0"/>
              <w:adjustRightInd w:val="0"/>
              <w:spacing w:before="0" w:after="0" w:line="240" w:lineRule="auto"/>
              <w:rPr>
                <w:sz w:val="20"/>
                <w:szCs w:val="20"/>
                <w:lang w:val="en-GB" w:eastAsia="en-US"/>
              </w:rPr>
            </w:pPr>
            <w:r w:rsidRPr="001D6381">
              <w:rPr>
                <w:rFonts w:cs="Calibri"/>
                <w:sz w:val="20"/>
                <w:szCs w:val="20"/>
                <w:lang w:val="en-GB" w:eastAsia="en-US"/>
              </w:rPr>
              <w:t>Unošenje NIS putem balastnih voda ili obraštaja</w:t>
            </w:r>
          </w:p>
        </w:tc>
        <w:tc>
          <w:tcPr>
            <w:tcW w:w="2410" w:type="dxa"/>
            <w:tcBorders>
              <w:top w:val="single" w:sz="4" w:space="0" w:color="2F5496"/>
              <w:left w:val="single" w:sz="4" w:space="0" w:color="000000"/>
              <w:bottom w:val="single" w:sz="4" w:space="0" w:color="2F5496"/>
              <w:right w:val="single" w:sz="4" w:space="0" w:color="000000"/>
            </w:tcBorders>
          </w:tcPr>
          <w:p w14:paraId="208C0650" w14:textId="77777777" w:rsidR="001D6381" w:rsidRPr="001D6381" w:rsidRDefault="001D6381" w:rsidP="001D6381">
            <w:pPr>
              <w:autoSpaceDE w:val="0"/>
              <w:autoSpaceDN w:val="0"/>
              <w:adjustRightInd w:val="0"/>
              <w:spacing w:before="0" w:after="0" w:line="240" w:lineRule="auto"/>
              <w:rPr>
                <w:rFonts w:cs="Calibri"/>
                <w:sz w:val="20"/>
                <w:szCs w:val="20"/>
                <w:lang w:val="en-GB" w:eastAsia="en-US"/>
              </w:rPr>
            </w:pPr>
            <w:r w:rsidRPr="001D6381">
              <w:rPr>
                <w:rFonts w:cs="Calibri"/>
                <w:sz w:val="20"/>
                <w:szCs w:val="20"/>
                <w:lang w:val="en-GB" w:eastAsia="en-US"/>
              </w:rPr>
              <w:t>Trend pritiska:</w:t>
            </w:r>
          </w:p>
          <w:p w14:paraId="36DAFD2F" w14:textId="77777777" w:rsidR="001D6381" w:rsidRPr="001D6381" w:rsidRDefault="001D6381" w:rsidP="001D6381">
            <w:pPr>
              <w:autoSpaceDE w:val="0"/>
              <w:autoSpaceDN w:val="0"/>
              <w:adjustRightInd w:val="0"/>
              <w:spacing w:after="0" w:line="240" w:lineRule="auto"/>
              <w:ind w:left="32"/>
              <w:contextualSpacing/>
              <w:rPr>
                <w:rFonts w:cs="Calibri"/>
                <w:sz w:val="20"/>
                <w:szCs w:val="20"/>
                <w:lang w:val="en-GB" w:eastAsia="en-US"/>
              </w:rPr>
            </w:pPr>
            <w:r w:rsidRPr="001D6381">
              <w:rPr>
                <w:rFonts w:cs="Calibri"/>
                <w:sz w:val="20"/>
                <w:szCs w:val="20"/>
                <w:lang w:val="en-GB" w:eastAsia="en-US"/>
              </w:rPr>
              <w:t>unošenje NIS (+)</w:t>
            </w:r>
          </w:p>
          <w:p w14:paraId="0A2FD0EA" w14:textId="77777777" w:rsidR="001D6381" w:rsidRPr="001D6381" w:rsidRDefault="001D6381" w:rsidP="001D6381">
            <w:pPr>
              <w:spacing w:before="0" w:after="0" w:line="240" w:lineRule="auto"/>
              <w:rPr>
                <w:sz w:val="20"/>
                <w:szCs w:val="20"/>
                <w:lang w:val="en-GB" w:eastAsia="en-US"/>
              </w:rPr>
            </w:pPr>
          </w:p>
        </w:tc>
        <w:tc>
          <w:tcPr>
            <w:tcW w:w="2405" w:type="dxa"/>
            <w:tcBorders>
              <w:top w:val="single" w:sz="4" w:space="0" w:color="2F5496"/>
              <w:left w:val="single" w:sz="4" w:space="0" w:color="000000"/>
              <w:bottom w:val="single" w:sz="4" w:space="0" w:color="2F5496"/>
              <w:right w:val="single" w:sz="4" w:space="0" w:color="000000"/>
            </w:tcBorders>
            <w:hideMark/>
          </w:tcPr>
          <w:p w14:paraId="676E5681" w14:textId="77777777" w:rsidR="001D6381" w:rsidRPr="001D6381" w:rsidRDefault="001D6381" w:rsidP="001D6381">
            <w:pPr>
              <w:spacing w:before="0" w:after="0" w:line="240" w:lineRule="auto"/>
              <w:rPr>
                <w:sz w:val="20"/>
                <w:szCs w:val="20"/>
                <w:lang w:val="en-GB" w:eastAsia="en-US"/>
              </w:rPr>
            </w:pPr>
            <w:r w:rsidRPr="001D6381">
              <w:rPr>
                <w:sz w:val="20"/>
                <w:szCs w:val="20"/>
                <w:lang w:val="en-GB" w:eastAsia="en-US"/>
              </w:rPr>
              <w:t xml:space="preserve">Pogoršanje  </w:t>
            </w:r>
          </w:p>
        </w:tc>
      </w:tr>
      <w:tr w:rsidR="001D6381" w:rsidRPr="001D6381" w14:paraId="66B69C80" w14:textId="77777777" w:rsidTr="001D6381">
        <w:trPr>
          <w:jc w:val="center"/>
        </w:trPr>
        <w:tc>
          <w:tcPr>
            <w:tcW w:w="1701" w:type="dxa"/>
            <w:tcBorders>
              <w:top w:val="single" w:sz="4" w:space="0" w:color="2F5496"/>
              <w:left w:val="single" w:sz="4" w:space="0" w:color="000000"/>
              <w:bottom w:val="single" w:sz="4" w:space="0" w:color="2F5496"/>
              <w:right w:val="single" w:sz="4" w:space="0" w:color="000000"/>
            </w:tcBorders>
            <w:hideMark/>
          </w:tcPr>
          <w:p w14:paraId="15C59949" w14:textId="77777777" w:rsidR="001D6381" w:rsidRPr="001D6381" w:rsidRDefault="001D6381" w:rsidP="001D6381">
            <w:pPr>
              <w:spacing w:before="0" w:after="0" w:line="240" w:lineRule="auto"/>
              <w:jc w:val="left"/>
              <w:rPr>
                <w:rFonts w:cs="Calibri"/>
                <w:sz w:val="20"/>
                <w:szCs w:val="20"/>
                <w:lang w:val="en-GB" w:eastAsia="en-US"/>
              </w:rPr>
            </w:pPr>
            <w:r w:rsidRPr="001D6381">
              <w:rPr>
                <w:rFonts w:cs="Calibri"/>
                <w:sz w:val="20"/>
                <w:szCs w:val="20"/>
                <w:lang w:val="en-GB" w:eastAsia="en-US"/>
              </w:rPr>
              <w:t>Ribarstvo I akvakultura</w:t>
            </w:r>
          </w:p>
        </w:tc>
        <w:tc>
          <w:tcPr>
            <w:tcW w:w="2835" w:type="dxa"/>
            <w:tcBorders>
              <w:top w:val="single" w:sz="4" w:space="0" w:color="2F5496"/>
              <w:left w:val="single" w:sz="4" w:space="0" w:color="000000"/>
              <w:bottom w:val="single" w:sz="4" w:space="0" w:color="2F5496"/>
              <w:right w:val="single" w:sz="4" w:space="0" w:color="000000"/>
            </w:tcBorders>
            <w:hideMark/>
          </w:tcPr>
          <w:p w14:paraId="5896377F" w14:textId="1B6FB981" w:rsidR="001D6381" w:rsidRPr="001D6381" w:rsidRDefault="001D6381" w:rsidP="001D6381">
            <w:pPr>
              <w:autoSpaceDE w:val="0"/>
              <w:autoSpaceDN w:val="0"/>
              <w:adjustRightInd w:val="0"/>
              <w:spacing w:before="0" w:after="0" w:line="240" w:lineRule="auto"/>
              <w:contextualSpacing/>
              <w:jc w:val="left"/>
              <w:rPr>
                <w:rFonts w:cs="Calibri"/>
                <w:sz w:val="20"/>
                <w:szCs w:val="20"/>
                <w:lang w:val="en-GB" w:eastAsia="en-US"/>
              </w:rPr>
            </w:pPr>
            <w:r w:rsidRPr="001D6381">
              <w:rPr>
                <w:rFonts w:cs="Calibri"/>
                <w:sz w:val="20"/>
                <w:szCs w:val="20"/>
                <w:lang w:val="en-GB" w:eastAsia="en-US"/>
              </w:rPr>
              <w:t>Unošenje  NIS</w:t>
            </w:r>
            <w:r w:rsidR="00A46104">
              <w:rPr>
                <w:rFonts w:cs="Calibri"/>
                <w:sz w:val="20"/>
                <w:szCs w:val="20"/>
                <w:lang w:val="en-GB" w:eastAsia="en-US"/>
              </w:rPr>
              <w:t xml:space="preserve"> ribarstvom i akvakulturom</w:t>
            </w:r>
          </w:p>
        </w:tc>
        <w:tc>
          <w:tcPr>
            <w:tcW w:w="2410" w:type="dxa"/>
            <w:tcBorders>
              <w:top w:val="single" w:sz="4" w:space="0" w:color="2F5496"/>
              <w:left w:val="single" w:sz="4" w:space="0" w:color="000000"/>
              <w:bottom w:val="single" w:sz="4" w:space="0" w:color="2F5496"/>
              <w:right w:val="single" w:sz="4" w:space="0" w:color="000000"/>
            </w:tcBorders>
            <w:hideMark/>
          </w:tcPr>
          <w:p w14:paraId="15DBE2E6" w14:textId="77777777" w:rsidR="001D6381" w:rsidRPr="001D6381" w:rsidRDefault="001D6381" w:rsidP="001D6381">
            <w:pPr>
              <w:autoSpaceDE w:val="0"/>
              <w:autoSpaceDN w:val="0"/>
              <w:adjustRightInd w:val="0"/>
              <w:spacing w:after="0" w:line="240" w:lineRule="auto"/>
              <w:contextualSpacing/>
              <w:rPr>
                <w:rFonts w:cs="Calibri"/>
                <w:sz w:val="20"/>
                <w:szCs w:val="20"/>
                <w:lang w:val="en-GB" w:eastAsia="en-US"/>
              </w:rPr>
            </w:pPr>
            <w:r w:rsidRPr="001D6381">
              <w:rPr>
                <w:rFonts w:cs="Calibri"/>
                <w:sz w:val="20"/>
                <w:szCs w:val="20"/>
                <w:lang w:val="en-GB" w:eastAsia="en-US"/>
              </w:rPr>
              <w:t>Trend pritiska:</w:t>
            </w:r>
          </w:p>
          <w:p w14:paraId="2F9C4A47" w14:textId="77777777" w:rsidR="001D6381" w:rsidRPr="001D6381" w:rsidRDefault="001D6381" w:rsidP="001D6381">
            <w:pPr>
              <w:autoSpaceDE w:val="0"/>
              <w:autoSpaceDN w:val="0"/>
              <w:adjustRightInd w:val="0"/>
              <w:spacing w:after="0" w:line="240" w:lineRule="auto"/>
              <w:contextualSpacing/>
              <w:rPr>
                <w:rFonts w:cs="Calibri"/>
                <w:sz w:val="20"/>
                <w:szCs w:val="20"/>
                <w:lang w:val="en-GB" w:eastAsia="en-US"/>
              </w:rPr>
            </w:pPr>
            <w:r w:rsidRPr="001D6381">
              <w:rPr>
                <w:rFonts w:cs="Calibri"/>
                <w:sz w:val="20"/>
                <w:szCs w:val="20"/>
                <w:lang w:val="en-GB" w:eastAsia="en-US"/>
              </w:rPr>
              <w:t>unošenje NIS (+)</w:t>
            </w:r>
          </w:p>
        </w:tc>
        <w:tc>
          <w:tcPr>
            <w:tcW w:w="2405" w:type="dxa"/>
            <w:tcBorders>
              <w:top w:val="single" w:sz="4" w:space="0" w:color="2F5496"/>
              <w:left w:val="single" w:sz="4" w:space="0" w:color="000000"/>
              <w:bottom w:val="single" w:sz="4" w:space="0" w:color="2F5496"/>
              <w:right w:val="single" w:sz="4" w:space="0" w:color="000000"/>
            </w:tcBorders>
            <w:hideMark/>
          </w:tcPr>
          <w:p w14:paraId="19DA4C87" w14:textId="77777777" w:rsidR="001D6381" w:rsidRPr="001D6381" w:rsidRDefault="001D6381" w:rsidP="001D6381">
            <w:pPr>
              <w:spacing w:before="0" w:after="0" w:line="240" w:lineRule="auto"/>
              <w:rPr>
                <w:sz w:val="20"/>
                <w:szCs w:val="20"/>
                <w:lang w:val="en-GB" w:eastAsia="en-US"/>
              </w:rPr>
            </w:pPr>
            <w:r w:rsidRPr="001D6381">
              <w:rPr>
                <w:sz w:val="20"/>
                <w:szCs w:val="20"/>
                <w:lang w:val="en-GB" w:eastAsia="en-US"/>
              </w:rPr>
              <w:t xml:space="preserve">Pogoršanje </w:t>
            </w:r>
          </w:p>
        </w:tc>
      </w:tr>
    </w:tbl>
    <w:p w14:paraId="069EC2F4" w14:textId="2D11FC7F" w:rsidR="001D6381" w:rsidRDefault="001D6381" w:rsidP="001D6381">
      <w:pPr>
        <w:autoSpaceDE w:val="0"/>
        <w:autoSpaceDN w:val="0"/>
        <w:adjustRightInd w:val="0"/>
        <w:spacing w:before="0" w:after="0"/>
        <w:rPr>
          <w:rFonts w:eastAsia="Calibri" w:cs="Calibri"/>
          <w:sz w:val="20"/>
          <w:szCs w:val="20"/>
          <w:lang w:val="en-GB" w:eastAsia="en-US"/>
        </w:rPr>
      </w:pPr>
    </w:p>
    <w:p w14:paraId="13A9C610" w14:textId="5FEA070F" w:rsidR="001D6381" w:rsidRPr="00D419DD" w:rsidRDefault="001D6381" w:rsidP="00D419DD">
      <w:pPr>
        <w:pStyle w:val="Heading3"/>
        <w:rPr>
          <w:lang w:val="sr-Latn-ME"/>
        </w:rPr>
      </w:pPr>
      <w:bookmarkStart w:id="38" w:name="_Toc69678345"/>
      <w:bookmarkStart w:id="39" w:name="_Toc83630895"/>
      <w:r w:rsidRPr="00D419DD">
        <w:rPr>
          <w:lang w:val="sr-Latn-ME"/>
        </w:rPr>
        <w:t>Zakon</w:t>
      </w:r>
      <w:r w:rsidR="00655852">
        <w:rPr>
          <w:lang w:val="sr-Latn-ME"/>
        </w:rPr>
        <w:t>odavni</w:t>
      </w:r>
      <w:r w:rsidRPr="00D419DD">
        <w:rPr>
          <w:lang w:val="sr-Latn-ME"/>
        </w:rPr>
        <w:t xml:space="preserve"> okvir – nacionalni i međunarodni</w:t>
      </w:r>
      <w:bookmarkEnd w:id="38"/>
      <w:bookmarkEnd w:id="39"/>
    </w:p>
    <w:p w14:paraId="732008DC" w14:textId="77777777" w:rsidR="001D6381" w:rsidRPr="001D6381" w:rsidRDefault="001D6381" w:rsidP="001D6381">
      <w:pPr>
        <w:spacing w:after="160"/>
        <w:rPr>
          <w:rFonts w:eastAsia="Calibri"/>
          <w:b/>
          <w:szCs w:val="22"/>
          <w:lang w:val="en-GB" w:eastAsia="en-US"/>
        </w:rPr>
      </w:pPr>
      <w:r w:rsidRPr="001D6381">
        <w:rPr>
          <w:rFonts w:eastAsia="Calibri"/>
          <w:b/>
          <w:szCs w:val="22"/>
          <w:lang w:val="en-GB" w:eastAsia="en-US"/>
        </w:rPr>
        <w:t>Nacionalni nivo</w:t>
      </w:r>
    </w:p>
    <w:p w14:paraId="2F00D0D7" w14:textId="77777777" w:rsidR="001D6381" w:rsidRPr="001D6381" w:rsidRDefault="001D6381" w:rsidP="00C52E6F">
      <w:pPr>
        <w:numPr>
          <w:ilvl w:val="0"/>
          <w:numId w:val="58"/>
        </w:numPr>
        <w:spacing w:after="0"/>
        <w:contextualSpacing/>
        <w:rPr>
          <w:rFonts w:eastAsia="Calibri" w:cs="Calibri"/>
          <w:szCs w:val="22"/>
          <w:lang w:val="en-GB" w:eastAsia="en-US"/>
        </w:rPr>
      </w:pPr>
      <w:r w:rsidRPr="001D6381">
        <w:rPr>
          <w:rFonts w:eastAsia="Calibri" w:cs="Calibri"/>
          <w:szCs w:val="22"/>
          <w:lang w:val="en-GB" w:eastAsia="en-US"/>
        </w:rPr>
        <w:t>Zakon o stranim i invazivnim stranim vrstama biljaka, životinja i gljiva („Službeni list Crne Gore“, br. 18/2019);</w:t>
      </w:r>
    </w:p>
    <w:p w14:paraId="4D5897C1" w14:textId="77777777" w:rsidR="001D6381" w:rsidRPr="001D6381" w:rsidRDefault="001D6381" w:rsidP="00C52E6F">
      <w:pPr>
        <w:numPr>
          <w:ilvl w:val="0"/>
          <w:numId w:val="58"/>
        </w:numPr>
        <w:contextualSpacing/>
        <w:rPr>
          <w:rFonts w:eastAsia="Calibri" w:cs="Calibri"/>
          <w:szCs w:val="22"/>
          <w:lang w:val="en-GB" w:eastAsia="en-US"/>
        </w:rPr>
      </w:pPr>
      <w:r w:rsidRPr="001D6381">
        <w:rPr>
          <w:rFonts w:eastAsia="Calibri" w:cs="Calibri"/>
          <w:szCs w:val="22"/>
          <w:lang w:val="en-GB" w:eastAsia="en-US"/>
        </w:rPr>
        <w:t>Zakon o zaštiti mora (</w:t>
      </w:r>
      <w:r w:rsidRPr="001D6381">
        <w:rPr>
          <w:rFonts w:eastAsia="Calibri"/>
          <w:szCs w:val="22"/>
          <w:lang w:val="en-GB" w:eastAsia="en-US"/>
        </w:rPr>
        <w:t>Sl. List CG, br. 73/19</w:t>
      </w:r>
      <w:r w:rsidRPr="001D6381">
        <w:rPr>
          <w:rFonts w:eastAsia="Calibri" w:cs="Calibri"/>
          <w:szCs w:val="22"/>
          <w:lang w:val="en-GB" w:eastAsia="en-US"/>
        </w:rPr>
        <w:t>);</w:t>
      </w:r>
    </w:p>
    <w:p w14:paraId="5AC2A42C" w14:textId="77777777" w:rsidR="001D6381" w:rsidRPr="001D6381" w:rsidRDefault="001D6381" w:rsidP="00C52E6F">
      <w:pPr>
        <w:numPr>
          <w:ilvl w:val="0"/>
          <w:numId w:val="58"/>
        </w:numPr>
        <w:spacing w:after="0" w:line="254" w:lineRule="auto"/>
        <w:contextualSpacing/>
        <w:rPr>
          <w:rFonts w:eastAsia="Calibri"/>
          <w:szCs w:val="22"/>
          <w:lang w:val="en-GB" w:eastAsia="en-US"/>
        </w:rPr>
      </w:pPr>
      <w:r w:rsidRPr="001D6381">
        <w:rPr>
          <w:rFonts w:eastAsia="Calibri"/>
          <w:szCs w:val="22"/>
          <w:lang w:val="en-GB" w:eastAsia="en-US"/>
        </w:rPr>
        <w:t>Pravilnik o kriterijumima i metodološkim standardima za utvrđivanje dobrog statusa i praćenje morskog okruženja („Službeni list Crne Gore“, br. 036/21).</w:t>
      </w:r>
    </w:p>
    <w:p w14:paraId="78211CC0" w14:textId="77777777" w:rsidR="001D6381" w:rsidRPr="001D6381" w:rsidRDefault="001D6381" w:rsidP="001D6381">
      <w:pPr>
        <w:spacing w:after="0"/>
        <w:rPr>
          <w:rFonts w:eastAsia="Calibri"/>
          <w:b/>
          <w:szCs w:val="22"/>
          <w:lang w:val="en-GB" w:eastAsia="en-US"/>
        </w:rPr>
      </w:pPr>
    </w:p>
    <w:p w14:paraId="2958D9C1" w14:textId="77777777" w:rsidR="001D6381" w:rsidRPr="001D6381" w:rsidRDefault="001D6381" w:rsidP="001D6381">
      <w:pPr>
        <w:spacing w:after="0"/>
        <w:rPr>
          <w:rFonts w:eastAsia="Calibri"/>
          <w:b/>
          <w:szCs w:val="22"/>
          <w:lang w:val="en-GB" w:eastAsia="en-US"/>
        </w:rPr>
      </w:pPr>
      <w:r w:rsidRPr="001D6381">
        <w:rPr>
          <w:rFonts w:eastAsia="Calibri"/>
          <w:b/>
          <w:szCs w:val="22"/>
          <w:lang w:val="en-GB" w:eastAsia="en-US"/>
        </w:rPr>
        <w:t>Međunarodni nivo</w:t>
      </w:r>
    </w:p>
    <w:p w14:paraId="50A67916" w14:textId="77777777" w:rsidR="001D6381" w:rsidRPr="001D6381" w:rsidRDefault="001D6381" w:rsidP="00C52E6F">
      <w:pPr>
        <w:numPr>
          <w:ilvl w:val="0"/>
          <w:numId w:val="59"/>
        </w:numPr>
        <w:spacing w:after="0"/>
        <w:contextualSpacing/>
        <w:rPr>
          <w:rFonts w:eastAsia="Calibri"/>
          <w:szCs w:val="22"/>
          <w:lang w:val="en-GB" w:eastAsia="en-US"/>
        </w:rPr>
      </w:pPr>
      <w:r w:rsidRPr="001D6381">
        <w:rPr>
          <w:rFonts w:eastAsia="Calibri"/>
          <w:szCs w:val="22"/>
          <w:lang w:val="en-GB" w:eastAsia="en-US"/>
        </w:rPr>
        <w:t>Okvirna Direktiva o Morskoj Strategiji (2008/56/EC);</w:t>
      </w:r>
    </w:p>
    <w:p w14:paraId="1D800EC5" w14:textId="77777777" w:rsidR="001D6381" w:rsidRPr="001D6381" w:rsidRDefault="001D6381" w:rsidP="00C52E6F">
      <w:pPr>
        <w:numPr>
          <w:ilvl w:val="0"/>
          <w:numId w:val="59"/>
        </w:numPr>
        <w:spacing w:after="0" w:line="254" w:lineRule="auto"/>
        <w:contextualSpacing/>
        <w:rPr>
          <w:rFonts w:eastAsia="Calibri"/>
          <w:szCs w:val="22"/>
          <w:lang w:val="en-GB" w:eastAsia="en-US"/>
        </w:rPr>
      </w:pPr>
      <w:r w:rsidRPr="001D6381">
        <w:rPr>
          <w:rFonts w:eastAsia="Calibri"/>
          <w:szCs w:val="22"/>
          <w:lang w:val="en-GB" w:eastAsia="en-US"/>
        </w:rPr>
        <w:t>Direktiva Komisije (EU) 2017/845 o izmjenama i dopunama Direktive 2008/56 / EC).</w:t>
      </w:r>
    </w:p>
    <w:p w14:paraId="54C363DF" w14:textId="77777777" w:rsidR="001D6381" w:rsidRPr="001D6381" w:rsidRDefault="001D6381" w:rsidP="00C52E6F">
      <w:pPr>
        <w:numPr>
          <w:ilvl w:val="0"/>
          <w:numId w:val="59"/>
        </w:numPr>
        <w:spacing w:after="0" w:line="254" w:lineRule="auto"/>
        <w:contextualSpacing/>
        <w:rPr>
          <w:rFonts w:eastAsia="Calibri"/>
          <w:szCs w:val="22"/>
          <w:lang w:val="en-GB" w:eastAsia="en-US"/>
        </w:rPr>
      </w:pPr>
      <w:r w:rsidRPr="001D6381">
        <w:rPr>
          <w:rFonts w:eastAsia="Calibri"/>
          <w:szCs w:val="22"/>
          <w:lang w:val="en-GB" w:eastAsia="en-US"/>
        </w:rPr>
        <w:t>Odluka Komisije (EU) 2017/848</w:t>
      </w:r>
    </w:p>
    <w:p w14:paraId="66DB46B7" w14:textId="77777777" w:rsidR="001D6381" w:rsidRPr="001D6381" w:rsidRDefault="001D6381" w:rsidP="00C52E6F">
      <w:pPr>
        <w:numPr>
          <w:ilvl w:val="0"/>
          <w:numId w:val="59"/>
        </w:numPr>
        <w:spacing w:after="0" w:line="254" w:lineRule="auto"/>
        <w:contextualSpacing/>
        <w:rPr>
          <w:rFonts w:eastAsia="Calibri"/>
          <w:szCs w:val="22"/>
          <w:lang w:val="en-GB" w:eastAsia="en-US"/>
        </w:rPr>
      </w:pPr>
      <w:r w:rsidRPr="001D6381">
        <w:rPr>
          <w:rFonts w:eastAsia="Calibri"/>
          <w:szCs w:val="22"/>
          <w:lang w:val="en-GB" w:eastAsia="en-US"/>
        </w:rPr>
        <w:t>Direktiva o pticama (2009/147 / EC);</w:t>
      </w:r>
    </w:p>
    <w:p w14:paraId="0534B91E" w14:textId="77777777" w:rsidR="001D6381" w:rsidRPr="001D6381" w:rsidRDefault="001D6381" w:rsidP="00C52E6F">
      <w:pPr>
        <w:numPr>
          <w:ilvl w:val="0"/>
          <w:numId w:val="59"/>
        </w:numPr>
        <w:spacing w:after="0" w:line="254" w:lineRule="auto"/>
        <w:contextualSpacing/>
        <w:rPr>
          <w:rFonts w:eastAsia="Calibri"/>
          <w:szCs w:val="22"/>
          <w:lang w:val="en-GB" w:eastAsia="en-US"/>
        </w:rPr>
      </w:pPr>
      <w:r w:rsidRPr="001D6381">
        <w:rPr>
          <w:rFonts w:eastAsia="Calibri"/>
          <w:szCs w:val="22"/>
          <w:lang w:val="en-GB" w:eastAsia="en-US"/>
        </w:rPr>
        <w:t>Direktiva o staništima (92/43 / EEC);</w:t>
      </w:r>
    </w:p>
    <w:p w14:paraId="52AE772F" w14:textId="77777777" w:rsidR="001D6381" w:rsidRPr="001D6381" w:rsidRDefault="001D6381" w:rsidP="00C52E6F">
      <w:pPr>
        <w:numPr>
          <w:ilvl w:val="0"/>
          <w:numId w:val="59"/>
        </w:numPr>
        <w:spacing w:after="0" w:line="254" w:lineRule="auto"/>
        <w:contextualSpacing/>
        <w:rPr>
          <w:rFonts w:eastAsia="Calibri"/>
          <w:szCs w:val="22"/>
          <w:lang w:val="en-GB" w:eastAsia="en-US"/>
        </w:rPr>
      </w:pPr>
      <w:r w:rsidRPr="001D6381">
        <w:rPr>
          <w:rFonts w:eastAsia="Calibri"/>
          <w:szCs w:val="22"/>
          <w:lang w:val="en-GB" w:eastAsia="en-US"/>
        </w:rPr>
        <w:t>Direktiva Savjeta (2006/88 / EC) koja se odnosi na zdravstvene zahtjeve životinja za akvakulturu (i proizvode), stavljanje na tržište i prevenciju i kontrolu određenih bolesti kod vodenih životinja;</w:t>
      </w:r>
    </w:p>
    <w:p w14:paraId="0A1F2443" w14:textId="77777777" w:rsidR="001D6381" w:rsidRPr="001D6381" w:rsidRDefault="001D6381" w:rsidP="00C52E6F">
      <w:pPr>
        <w:numPr>
          <w:ilvl w:val="0"/>
          <w:numId w:val="59"/>
        </w:numPr>
        <w:spacing w:after="0" w:line="254" w:lineRule="auto"/>
        <w:contextualSpacing/>
        <w:rPr>
          <w:rFonts w:eastAsia="Calibri"/>
          <w:szCs w:val="22"/>
          <w:lang w:val="en-GB" w:eastAsia="en-US"/>
        </w:rPr>
      </w:pPr>
      <w:r w:rsidRPr="001D6381">
        <w:rPr>
          <w:rFonts w:eastAsia="Calibri"/>
          <w:szCs w:val="22"/>
          <w:lang w:val="en-GB" w:eastAsia="en-US"/>
        </w:rPr>
        <w:t>Direktiva o odgovornosti za životnu sredinu (2004/35 / EC) (sa izmjenama i dopunama);</w:t>
      </w:r>
    </w:p>
    <w:p w14:paraId="67BEDE2D" w14:textId="77777777" w:rsidR="001D6381" w:rsidRPr="001D6381" w:rsidRDefault="001D6381" w:rsidP="00C52E6F">
      <w:pPr>
        <w:numPr>
          <w:ilvl w:val="0"/>
          <w:numId w:val="59"/>
        </w:numPr>
        <w:spacing w:after="0" w:line="254" w:lineRule="auto"/>
        <w:contextualSpacing/>
        <w:rPr>
          <w:rFonts w:eastAsia="Calibri"/>
          <w:szCs w:val="22"/>
          <w:lang w:val="en-GB" w:eastAsia="en-US"/>
        </w:rPr>
      </w:pPr>
      <w:r w:rsidRPr="001D6381">
        <w:rPr>
          <w:rFonts w:eastAsia="Calibri"/>
          <w:szCs w:val="22"/>
          <w:lang w:val="en-GB" w:eastAsia="en-US"/>
        </w:rPr>
        <w:t>EC, 2014, Uredba (EU) br. 1143/2014 Evropskog parlamenta i Savjeta od 22. oktobra 2014. o sprečavanju i upravljanju unošenjem i širenjem invazivnih stranih vrsta;</w:t>
      </w:r>
    </w:p>
    <w:p w14:paraId="205E5B43" w14:textId="77777777" w:rsidR="001D6381" w:rsidRPr="001D6381" w:rsidRDefault="001D6381" w:rsidP="00C52E6F">
      <w:pPr>
        <w:numPr>
          <w:ilvl w:val="0"/>
          <w:numId w:val="59"/>
        </w:numPr>
        <w:spacing w:after="0" w:line="254" w:lineRule="auto"/>
        <w:contextualSpacing/>
        <w:rPr>
          <w:rFonts w:eastAsia="Calibri"/>
          <w:szCs w:val="22"/>
          <w:lang w:val="en-GB" w:eastAsia="en-US"/>
        </w:rPr>
      </w:pPr>
      <w:r w:rsidRPr="001D6381">
        <w:rPr>
          <w:rFonts w:eastAsia="Calibri"/>
          <w:szCs w:val="22"/>
          <w:lang w:val="en-GB" w:eastAsia="en-US"/>
        </w:rPr>
        <w:t>Uredba Savjeta (EC) br. 708/2007 o upotrebi stranih i lokalno odsutnih vrsta u akvakulturi (sa izmjenama i dopunama).</w:t>
      </w:r>
    </w:p>
    <w:p w14:paraId="5EDFD6EE" w14:textId="77777777" w:rsidR="001D6381" w:rsidRPr="001D6381" w:rsidRDefault="001D6381" w:rsidP="001D6381">
      <w:pPr>
        <w:spacing w:after="0"/>
        <w:rPr>
          <w:rFonts w:eastAsia="Calibri"/>
          <w:szCs w:val="22"/>
          <w:lang w:val="en-GB" w:eastAsia="en-US"/>
        </w:rPr>
      </w:pPr>
    </w:p>
    <w:p w14:paraId="4C454E23" w14:textId="77777777" w:rsidR="001D6381" w:rsidRPr="001D6381" w:rsidRDefault="001D6381" w:rsidP="001D6381">
      <w:pPr>
        <w:spacing w:after="0"/>
        <w:rPr>
          <w:rFonts w:eastAsia="Calibri"/>
          <w:szCs w:val="22"/>
          <w:lang w:val="en-GB" w:eastAsia="en-US"/>
        </w:rPr>
      </w:pPr>
    </w:p>
    <w:p w14:paraId="19D38137" w14:textId="77777777" w:rsidR="001D6381" w:rsidRPr="001D6381" w:rsidRDefault="001D6381" w:rsidP="001D6381">
      <w:pPr>
        <w:spacing w:after="0"/>
        <w:rPr>
          <w:rFonts w:eastAsia="Calibri"/>
          <w:szCs w:val="22"/>
          <w:lang w:val="en-GB" w:eastAsia="en-US"/>
        </w:rPr>
      </w:pPr>
    </w:p>
    <w:p w14:paraId="6210CF0E" w14:textId="52B05749" w:rsidR="001D6381" w:rsidRPr="00D419DD" w:rsidRDefault="00655852" w:rsidP="00E711AD">
      <w:pPr>
        <w:pStyle w:val="Heading3"/>
        <w:rPr>
          <w:lang w:val="sr-Latn-ME"/>
        </w:rPr>
      </w:pPr>
      <w:bookmarkStart w:id="40" w:name="_Toc69678346"/>
      <w:bookmarkStart w:id="41" w:name="_Toc83630896"/>
      <w:r>
        <w:rPr>
          <w:lang w:val="sr-Latn-ME"/>
        </w:rPr>
        <w:t>Odabir</w:t>
      </w:r>
      <w:r w:rsidR="001D6381" w:rsidRPr="00D419DD">
        <w:rPr>
          <w:lang w:val="sr-Latn-ME"/>
        </w:rPr>
        <w:t xml:space="preserve"> kriterijuma za procjenu</w:t>
      </w:r>
      <w:bookmarkEnd w:id="40"/>
      <w:r>
        <w:rPr>
          <w:lang w:val="sr-Latn-ME"/>
        </w:rPr>
        <w:t xml:space="preserve"> GES-a</w:t>
      </w:r>
      <w:bookmarkEnd w:id="41"/>
    </w:p>
    <w:p w14:paraId="39E42F24" w14:textId="7AD2A339" w:rsidR="001D6381" w:rsidRPr="001D6381" w:rsidRDefault="001D6381" w:rsidP="001D6381">
      <w:pPr>
        <w:spacing w:before="0" w:after="0"/>
        <w:rPr>
          <w:rFonts w:eastAsia="Calibri" w:cs="Calibri"/>
          <w:szCs w:val="22"/>
          <w:lang w:val="en-GB" w:eastAsia="en-US"/>
        </w:rPr>
      </w:pPr>
      <w:r w:rsidRPr="001D6381">
        <w:rPr>
          <w:rFonts w:eastAsia="Calibri" w:cs="Calibri"/>
          <w:szCs w:val="22"/>
          <w:lang w:val="en-GB" w:eastAsia="en-US"/>
        </w:rPr>
        <w:t xml:space="preserve">Na osnovu Odluke Komisije 2017/848/EU o uspostavljanju kriterijuma i metodoloških standarda o dobrom statusu morskog okruženja, jedan primarni /obavezni (D2C1) kriterijum na osnovu broja novounesenih neautohtonih vrsta u životnoj sredini i drugi sekundarni/opcioni (D2C2 i D2C3) kriterijum koji se odnosi na već unesene (uspostavljene) neautohtone vrste za procjenu dobrog  statusa </w:t>
      </w:r>
      <w:r w:rsidR="009A300B">
        <w:rPr>
          <w:rFonts w:eastAsia="Calibri" w:cs="Calibri"/>
          <w:szCs w:val="22"/>
          <w:lang w:val="en-GB" w:eastAsia="en-US"/>
        </w:rPr>
        <w:t xml:space="preserve">morske sredine </w:t>
      </w:r>
      <w:r w:rsidRPr="001D6381">
        <w:rPr>
          <w:rFonts w:eastAsia="Calibri" w:cs="Calibri"/>
          <w:szCs w:val="22"/>
          <w:lang w:val="en-GB" w:eastAsia="en-US"/>
        </w:rPr>
        <w:t>prema Deskriptoru 2 su uvedeni (Tabela 2.2). Takođe su definisani povezani pokazatelji, istovremeno naglašavajući potrebu za popisivanjem vrsta unutar elemenata kriterijuma i graničnih vrijednosti indikatora (za D2C1 i D2C3) kroz saradnju na nivoima regiona ili subregiona.</w:t>
      </w:r>
    </w:p>
    <w:p w14:paraId="01F156DE" w14:textId="77777777" w:rsidR="001D6381" w:rsidRPr="001D6381" w:rsidRDefault="001D6381" w:rsidP="001D6381">
      <w:pPr>
        <w:spacing w:before="0" w:after="0"/>
        <w:rPr>
          <w:rFonts w:eastAsia="Calibri" w:cs="Calibri"/>
          <w:sz w:val="20"/>
          <w:szCs w:val="20"/>
          <w:lang w:val="en-GB" w:eastAsia="en-US"/>
        </w:rPr>
      </w:pPr>
    </w:p>
    <w:p w14:paraId="229E2D82" w14:textId="6DEF1B15" w:rsidR="001D6381" w:rsidRPr="00FE2179" w:rsidRDefault="001D6381" w:rsidP="00FE2179">
      <w:pPr>
        <w:spacing w:before="0" w:after="200"/>
        <w:rPr>
          <w:rFonts w:eastAsia="Calibri"/>
          <w:b/>
          <w:szCs w:val="22"/>
          <w:lang w:eastAsia="en-US"/>
        </w:rPr>
      </w:pPr>
      <w:r w:rsidRPr="001D6381">
        <w:rPr>
          <w:rFonts w:eastAsia="Calibri" w:cs="Calibri"/>
          <w:b/>
          <w:szCs w:val="22"/>
          <w:lang w:val="en-GB" w:eastAsia="en-US"/>
        </w:rPr>
        <w:t xml:space="preserve">Tabela 2.2. </w:t>
      </w:r>
      <w:r w:rsidR="00FE2179" w:rsidRPr="0046315C">
        <w:rPr>
          <w:rFonts w:eastAsia="Calibri"/>
          <w:b/>
          <w:szCs w:val="22"/>
          <w:lang w:eastAsia="en-US"/>
        </w:rPr>
        <w:t xml:space="preserve">Pregled odabranih kriterijuma za procjenu </w:t>
      </w:r>
      <w:r w:rsidR="00FE2179">
        <w:rPr>
          <w:rFonts w:eastAsia="Calibri"/>
          <w:b/>
          <w:szCs w:val="22"/>
          <w:lang w:eastAsia="en-US"/>
        </w:rPr>
        <w:t>GES-a</w:t>
      </w:r>
      <w:r w:rsidR="00FE2179" w:rsidRPr="0046315C">
        <w:rPr>
          <w:rFonts w:eastAsia="Calibri"/>
          <w:b/>
          <w:szCs w:val="22"/>
          <w:lang w:eastAsia="en-US"/>
        </w:rPr>
        <w:t xml:space="preserve"> za Deskriptor </w:t>
      </w:r>
      <w:r w:rsidR="00FE2179">
        <w:rPr>
          <w:rFonts w:eastAsia="Calibri"/>
          <w:b/>
          <w:szCs w:val="22"/>
          <w:lang w:eastAsia="en-US"/>
        </w:rPr>
        <w:t>2 (NS),</w:t>
      </w:r>
      <w:r w:rsidR="00FE2179" w:rsidRPr="0046315C">
        <w:rPr>
          <w:rFonts w:eastAsia="Calibri"/>
          <w:b/>
          <w:szCs w:val="22"/>
          <w:lang w:eastAsia="en-US"/>
        </w:rPr>
        <w:t xml:space="preserve"> prema Odluci Komisije 2017/848/EU</w:t>
      </w:r>
    </w:p>
    <w:tbl>
      <w:tblPr>
        <w:tblStyle w:val="ListTable4-Accent41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Look w:val="04A0" w:firstRow="1" w:lastRow="0" w:firstColumn="1" w:lastColumn="0" w:noHBand="0" w:noVBand="1"/>
      </w:tblPr>
      <w:tblGrid>
        <w:gridCol w:w="3278"/>
        <w:gridCol w:w="4377"/>
        <w:gridCol w:w="1366"/>
      </w:tblGrid>
      <w:tr w:rsidR="001D6381" w:rsidRPr="001D6381" w14:paraId="23759BD3" w14:textId="77777777" w:rsidTr="00CE12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2944AA2C" w14:textId="77777777" w:rsidR="001D6381" w:rsidRPr="001D6381" w:rsidRDefault="001D6381" w:rsidP="001D6381">
            <w:pPr>
              <w:spacing w:before="100" w:beforeAutospacing="1" w:after="0"/>
              <w:rPr>
                <w:rFonts w:eastAsia="Times New Roman" w:cs="Calibri"/>
                <w:sz w:val="20"/>
                <w:szCs w:val="20"/>
                <w:lang w:val="en-GB" w:eastAsia="en-US"/>
              </w:rPr>
            </w:pPr>
            <w:r w:rsidRPr="001D6381">
              <w:rPr>
                <w:rFonts w:cs="Calibri"/>
                <w:sz w:val="20"/>
                <w:szCs w:val="20"/>
                <w:lang w:val="en-GB" w:eastAsia="en-US"/>
              </w:rPr>
              <w:t>Elementi kriterijuma</w:t>
            </w:r>
          </w:p>
        </w:tc>
        <w:tc>
          <w:tcPr>
            <w:tcW w:w="242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4A413193" w14:textId="3434CE03" w:rsidR="001D6381" w:rsidRPr="001D6381" w:rsidRDefault="009A300B" w:rsidP="001D6381">
            <w:pPr>
              <w:spacing w:before="100" w:beforeAutospacing="1" w:after="0"/>
              <w:cnfStyle w:val="100000000000" w:firstRow="1" w:lastRow="0" w:firstColumn="0" w:lastColumn="0" w:oddVBand="0" w:evenVBand="0" w:oddHBand="0" w:evenHBand="0" w:firstRowFirstColumn="0" w:firstRowLastColumn="0" w:lastRowFirstColumn="0" w:lastRowLastColumn="0"/>
              <w:rPr>
                <w:rFonts w:cs="Calibri"/>
                <w:sz w:val="20"/>
                <w:szCs w:val="20"/>
                <w:lang w:val="en-GB" w:eastAsia="en-US"/>
              </w:rPr>
            </w:pPr>
            <w:r>
              <w:rPr>
                <w:rFonts w:cs="Calibri"/>
                <w:sz w:val="20"/>
                <w:szCs w:val="20"/>
                <w:lang w:val="en-GB" w:eastAsia="en-US"/>
              </w:rPr>
              <w:t>K</w:t>
            </w:r>
            <w:r w:rsidR="001D6381" w:rsidRPr="001D6381">
              <w:rPr>
                <w:rFonts w:cs="Calibri"/>
                <w:sz w:val="20"/>
                <w:szCs w:val="20"/>
                <w:lang w:val="en-GB" w:eastAsia="en-US"/>
              </w:rPr>
              <w:t>riterijum</w:t>
            </w:r>
          </w:p>
        </w:tc>
        <w:tc>
          <w:tcPr>
            <w:tcW w:w="7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4217BB34" w14:textId="5A956FDE" w:rsidR="001D6381" w:rsidRPr="001D6381" w:rsidRDefault="009A300B" w:rsidP="001D6381">
            <w:pPr>
              <w:spacing w:before="100" w:beforeAutospacing="1" w:after="0"/>
              <w:jc w:val="left"/>
              <w:cnfStyle w:val="100000000000" w:firstRow="1" w:lastRow="0" w:firstColumn="0" w:lastColumn="0" w:oddVBand="0" w:evenVBand="0" w:oddHBand="0" w:evenHBand="0" w:firstRowFirstColumn="0" w:firstRowLastColumn="0" w:lastRowFirstColumn="0" w:lastRowLastColumn="0"/>
              <w:rPr>
                <w:rFonts w:cs="Calibri"/>
                <w:sz w:val="20"/>
                <w:szCs w:val="20"/>
                <w:lang w:val="en-GB" w:eastAsia="en-US"/>
              </w:rPr>
            </w:pPr>
            <w:r>
              <w:rPr>
                <w:rFonts w:cs="Calibri"/>
                <w:sz w:val="20"/>
                <w:szCs w:val="20"/>
                <w:lang w:val="en-GB" w:eastAsia="en-US"/>
              </w:rPr>
              <w:t>CG</w:t>
            </w:r>
            <w:r w:rsidR="001D6381" w:rsidRPr="001D6381">
              <w:rPr>
                <w:rFonts w:cs="Calibri"/>
                <w:sz w:val="20"/>
                <w:szCs w:val="20"/>
                <w:lang w:val="en-GB" w:eastAsia="en-US"/>
              </w:rPr>
              <w:t xml:space="preserve"> GES pokrivenost</w:t>
            </w:r>
            <w:r w:rsidR="001D6381" w:rsidRPr="001D6381">
              <w:rPr>
                <w:sz w:val="20"/>
                <w:szCs w:val="20"/>
                <w:vertAlign w:val="superscript"/>
                <w:lang w:val="en-GB" w:eastAsia="en-US"/>
              </w:rPr>
              <w:footnoteReference w:id="17"/>
            </w:r>
          </w:p>
        </w:tc>
      </w:tr>
      <w:tr w:rsidR="001D6381" w:rsidRPr="001D6381" w14:paraId="6737B0E9" w14:textId="77777777" w:rsidTr="00CE12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7" w:type="pct"/>
            <w:tcBorders>
              <w:top w:val="single" w:sz="4" w:space="0" w:color="FFFFFF" w:themeColor="background1"/>
              <w:left w:val="single" w:sz="4" w:space="0" w:color="44546A"/>
              <w:bottom w:val="single" w:sz="4" w:space="0" w:color="44546A"/>
              <w:right w:val="single" w:sz="4" w:space="0" w:color="44546A"/>
            </w:tcBorders>
            <w:shd w:val="clear" w:color="auto" w:fill="FFFFFF"/>
            <w:hideMark/>
          </w:tcPr>
          <w:p w14:paraId="71E7B0A3" w14:textId="36D90136" w:rsidR="001D6381" w:rsidRPr="001D6381" w:rsidRDefault="001D6381" w:rsidP="001D6381">
            <w:pPr>
              <w:spacing w:before="100" w:beforeAutospacing="1" w:after="0"/>
              <w:jc w:val="left"/>
              <w:rPr>
                <w:rFonts w:cs="Calibri"/>
                <w:b w:val="0"/>
                <w:color w:val="000000"/>
                <w:sz w:val="20"/>
                <w:szCs w:val="20"/>
                <w:lang w:val="en-GB" w:eastAsia="en-US"/>
              </w:rPr>
            </w:pPr>
            <w:r w:rsidRPr="001D6381">
              <w:rPr>
                <w:rFonts w:cs="Calibri"/>
                <w:b w:val="0"/>
                <w:sz w:val="20"/>
                <w:szCs w:val="20"/>
                <w:lang w:val="en-GB" w:eastAsia="en-US"/>
              </w:rPr>
              <w:t xml:space="preserve">Nove unesene </w:t>
            </w:r>
            <w:r w:rsidR="00FE2179">
              <w:rPr>
                <w:rFonts w:cs="Calibri"/>
                <w:b w:val="0"/>
                <w:sz w:val="20"/>
                <w:szCs w:val="20"/>
                <w:lang w:val="en-GB" w:eastAsia="en-US"/>
              </w:rPr>
              <w:t>strane</w:t>
            </w:r>
            <w:r w:rsidRPr="001D6381">
              <w:rPr>
                <w:rFonts w:cs="Calibri"/>
                <w:b w:val="0"/>
                <w:sz w:val="20"/>
                <w:szCs w:val="20"/>
                <w:lang w:val="en-GB" w:eastAsia="en-US"/>
              </w:rPr>
              <w:t xml:space="preserve"> vrste (NIS)</w:t>
            </w:r>
          </w:p>
        </w:tc>
        <w:tc>
          <w:tcPr>
            <w:tcW w:w="2426" w:type="pct"/>
            <w:tcBorders>
              <w:top w:val="single" w:sz="4" w:space="0" w:color="FFFFFF" w:themeColor="background1"/>
              <w:left w:val="single" w:sz="4" w:space="0" w:color="44546A"/>
              <w:bottom w:val="single" w:sz="4" w:space="0" w:color="44546A"/>
              <w:right w:val="single" w:sz="4" w:space="0" w:color="44546A"/>
            </w:tcBorders>
            <w:shd w:val="clear" w:color="auto" w:fill="FFFFFF"/>
            <w:hideMark/>
          </w:tcPr>
          <w:p w14:paraId="607045E3" w14:textId="77777777" w:rsidR="001D6381" w:rsidRPr="001D6381" w:rsidRDefault="001D6381" w:rsidP="001D6381">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D6381">
              <w:rPr>
                <w:rFonts w:cs="Calibri"/>
                <w:b/>
                <w:color w:val="000000"/>
                <w:sz w:val="20"/>
                <w:szCs w:val="20"/>
                <w:lang w:val="en-GB" w:eastAsia="en-US"/>
              </w:rPr>
              <w:t>D2C1 – Primarni</w:t>
            </w:r>
            <w:r w:rsidRPr="001D6381">
              <w:rPr>
                <w:rFonts w:cs="Calibri"/>
                <w:color w:val="000000"/>
                <w:sz w:val="20"/>
                <w:szCs w:val="20"/>
                <w:lang w:val="en-GB" w:eastAsia="en-US"/>
              </w:rPr>
              <w:t xml:space="preserve">: </w:t>
            </w:r>
          </w:p>
          <w:p w14:paraId="4E360C3A" w14:textId="77777777" w:rsidR="001D6381" w:rsidRPr="001D6381" w:rsidRDefault="001D6381" w:rsidP="001D6381">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D6381">
              <w:rPr>
                <w:rFonts w:cs="Calibri"/>
                <w:color w:val="000000"/>
                <w:sz w:val="20"/>
                <w:szCs w:val="20"/>
                <w:lang w:val="en-GB" w:eastAsia="en-US"/>
              </w:rPr>
              <w:t xml:space="preserve">Broj novih neautohtonih vrsta koje su unesene u divljinu kao posljedica ljudske aktivnosti, po razdoblju procjene (šest godina), mjereno od referentne godine iz početne procjene na temelju članka 8. stavka 1. Direktive 2008/56/EZ, smanjen je i, gdje je to moguće, sveden na nulu. </w:t>
            </w:r>
          </w:p>
        </w:tc>
        <w:tc>
          <w:tcPr>
            <w:tcW w:w="757" w:type="pct"/>
            <w:tcBorders>
              <w:top w:val="single" w:sz="4" w:space="0" w:color="FFFFFF" w:themeColor="background1"/>
              <w:left w:val="single" w:sz="4" w:space="0" w:color="44546A"/>
              <w:bottom w:val="single" w:sz="4" w:space="0" w:color="44546A"/>
              <w:right w:val="single" w:sz="4" w:space="0" w:color="44546A"/>
            </w:tcBorders>
            <w:shd w:val="clear" w:color="auto" w:fill="FFFFFF"/>
            <w:hideMark/>
          </w:tcPr>
          <w:p w14:paraId="0A7FE317" w14:textId="77777777" w:rsidR="001D6381" w:rsidRPr="001D6381" w:rsidRDefault="001D6381" w:rsidP="001D6381">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D6381">
              <w:rPr>
                <w:rFonts w:cs="Calibri"/>
                <w:color w:val="000000"/>
                <w:sz w:val="20"/>
                <w:szCs w:val="20"/>
                <w:lang w:val="en-GB" w:eastAsia="en-US"/>
              </w:rPr>
              <w:t>Djelimično pokriveno. Nije dostupno dovoljno podataka</w:t>
            </w:r>
          </w:p>
        </w:tc>
      </w:tr>
      <w:tr w:rsidR="001D6381" w:rsidRPr="001D6381" w14:paraId="0010A0D5" w14:textId="77777777" w:rsidTr="001D6381">
        <w:tc>
          <w:tcPr>
            <w:cnfStyle w:val="001000000000" w:firstRow="0" w:lastRow="0" w:firstColumn="1" w:lastColumn="0" w:oddVBand="0" w:evenVBand="0" w:oddHBand="0" w:evenHBand="0" w:firstRowFirstColumn="0" w:firstRowLastColumn="0" w:lastRowFirstColumn="0" w:lastRowLastColumn="0"/>
            <w:tcW w:w="1817" w:type="pct"/>
            <w:tcBorders>
              <w:top w:val="single" w:sz="4" w:space="0" w:color="44546A"/>
              <w:left w:val="single" w:sz="4" w:space="0" w:color="44546A"/>
              <w:bottom w:val="single" w:sz="4" w:space="0" w:color="44546A"/>
              <w:right w:val="single" w:sz="4" w:space="0" w:color="44546A"/>
            </w:tcBorders>
            <w:shd w:val="clear" w:color="auto" w:fill="FFFFFF"/>
            <w:hideMark/>
          </w:tcPr>
          <w:p w14:paraId="5E8AC664" w14:textId="14B83E30" w:rsidR="001D6381" w:rsidRPr="001D6381" w:rsidRDefault="00825899" w:rsidP="006075FE">
            <w:pPr>
              <w:spacing w:before="100" w:beforeAutospacing="1" w:after="0" w:line="240" w:lineRule="auto"/>
              <w:jc w:val="left"/>
              <w:rPr>
                <w:rFonts w:cs="Calibri"/>
                <w:b w:val="0"/>
                <w:sz w:val="20"/>
                <w:szCs w:val="20"/>
                <w:lang w:val="en-GB" w:eastAsia="en-US"/>
              </w:rPr>
            </w:pPr>
            <w:r>
              <w:rPr>
                <w:rFonts w:cs="Calibri"/>
                <w:b w:val="0"/>
                <w:sz w:val="20"/>
                <w:szCs w:val="20"/>
                <w:lang w:val="en-GB" w:eastAsia="en-US"/>
              </w:rPr>
              <w:t>Utvrđene strane</w:t>
            </w:r>
            <w:r w:rsidR="001D6381" w:rsidRPr="001D6381">
              <w:rPr>
                <w:rFonts w:cs="Calibri"/>
                <w:b w:val="0"/>
                <w:sz w:val="20"/>
                <w:szCs w:val="20"/>
                <w:lang w:val="en-GB" w:eastAsia="en-US"/>
              </w:rPr>
              <w:t xml:space="preserve"> vrste, posebno invazivne </w:t>
            </w:r>
            <w:r>
              <w:rPr>
                <w:rFonts w:cs="Calibri"/>
                <w:b w:val="0"/>
                <w:sz w:val="20"/>
                <w:szCs w:val="20"/>
                <w:lang w:val="en-GB" w:eastAsia="en-US"/>
              </w:rPr>
              <w:t>starne</w:t>
            </w:r>
            <w:r w:rsidR="001D6381" w:rsidRPr="001D6381">
              <w:rPr>
                <w:rFonts w:cs="Calibri"/>
                <w:b w:val="0"/>
                <w:sz w:val="20"/>
                <w:szCs w:val="20"/>
                <w:lang w:val="en-GB" w:eastAsia="en-US"/>
              </w:rPr>
              <w:t xml:space="preserve"> vrste, koje uključuju odgovarajuće vrste s popisa invazivnih stranih vrsta koje izazivaju zabrinutost u Uniji donesenog u skladu s članom 4. stavom 1. </w:t>
            </w:r>
            <w:r w:rsidR="006075FE">
              <w:rPr>
                <w:rFonts w:cs="Calibri"/>
                <w:b w:val="0"/>
                <w:sz w:val="20"/>
                <w:szCs w:val="20"/>
                <w:lang w:val="en-GB" w:eastAsia="en-US"/>
              </w:rPr>
              <w:t>Regulative</w:t>
            </w:r>
            <w:r w:rsidR="001D6381" w:rsidRPr="001D6381">
              <w:rPr>
                <w:rFonts w:cs="Calibri"/>
                <w:b w:val="0"/>
                <w:sz w:val="20"/>
                <w:szCs w:val="20"/>
                <w:lang w:val="en-GB" w:eastAsia="en-US"/>
              </w:rPr>
              <w:t xml:space="preserve"> (EU) br. 1143/2014 i vrste koje se upotrebljavaju u okviru kriterijuma D2C3.</w:t>
            </w:r>
          </w:p>
        </w:tc>
        <w:tc>
          <w:tcPr>
            <w:tcW w:w="2426" w:type="pct"/>
            <w:tcBorders>
              <w:top w:val="single" w:sz="4" w:space="0" w:color="44546A"/>
              <w:left w:val="single" w:sz="4" w:space="0" w:color="44546A"/>
              <w:bottom w:val="single" w:sz="4" w:space="0" w:color="44546A"/>
              <w:right w:val="single" w:sz="4" w:space="0" w:color="44546A"/>
            </w:tcBorders>
            <w:shd w:val="clear" w:color="auto" w:fill="FFFFFF"/>
            <w:hideMark/>
          </w:tcPr>
          <w:p w14:paraId="0CE9CBD0" w14:textId="77777777" w:rsidR="001D6381" w:rsidRPr="001D6381" w:rsidRDefault="001D6381" w:rsidP="001D638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val="en-GB" w:eastAsia="en-US"/>
              </w:rPr>
            </w:pPr>
            <w:r w:rsidRPr="001D6381">
              <w:rPr>
                <w:rFonts w:cs="Calibri"/>
                <w:b/>
                <w:sz w:val="20"/>
                <w:szCs w:val="20"/>
                <w:lang w:val="en-GB" w:eastAsia="en-US"/>
              </w:rPr>
              <w:t>D2C2 — Sekundarni</w:t>
            </w:r>
            <w:r w:rsidRPr="001D6381">
              <w:rPr>
                <w:rFonts w:cs="Calibri"/>
                <w:sz w:val="20"/>
                <w:szCs w:val="20"/>
                <w:lang w:val="en-GB" w:eastAsia="en-US"/>
              </w:rPr>
              <w:t xml:space="preserve">: </w:t>
            </w:r>
          </w:p>
          <w:p w14:paraId="003CAA1B" w14:textId="3A4CE5B3" w:rsidR="001D6381" w:rsidRPr="001D6381" w:rsidRDefault="001D6381" w:rsidP="001D6381">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val="en-GB" w:eastAsia="en-US"/>
              </w:rPr>
            </w:pPr>
            <w:r w:rsidRPr="001D6381">
              <w:rPr>
                <w:rFonts w:cs="Calibri"/>
                <w:sz w:val="20"/>
                <w:szCs w:val="20"/>
                <w:lang w:val="en-GB" w:eastAsia="en-US"/>
              </w:rPr>
              <w:t xml:space="preserve">Brojnost i rasprostranjenost </w:t>
            </w:r>
            <w:r w:rsidR="00825899">
              <w:rPr>
                <w:rFonts w:cs="Calibri"/>
                <w:sz w:val="20"/>
                <w:szCs w:val="20"/>
                <w:lang w:val="en-GB" w:eastAsia="en-US"/>
              </w:rPr>
              <w:t>utvrđenih stranih</w:t>
            </w:r>
            <w:r w:rsidRPr="001D6381">
              <w:rPr>
                <w:rFonts w:cs="Calibri"/>
                <w:sz w:val="20"/>
                <w:szCs w:val="20"/>
                <w:lang w:val="en-GB" w:eastAsia="en-US"/>
              </w:rPr>
              <w:t xml:space="preserve"> vrsta, osobito invazivnih vrsta, koje uveliko povećavaju štetne uticaje na određene grupe vrsta ili široke tipove staništa.</w:t>
            </w:r>
          </w:p>
        </w:tc>
        <w:tc>
          <w:tcPr>
            <w:tcW w:w="757" w:type="pct"/>
            <w:tcBorders>
              <w:top w:val="single" w:sz="4" w:space="0" w:color="44546A"/>
              <w:left w:val="single" w:sz="4" w:space="0" w:color="44546A"/>
              <w:bottom w:val="single" w:sz="4" w:space="0" w:color="44546A"/>
              <w:right w:val="single" w:sz="4" w:space="0" w:color="44546A"/>
            </w:tcBorders>
            <w:shd w:val="clear" w:color="auto" w:fill="FFFFFF"/>
          </w:tcPr>
          <w:p w14:paraId="3256827C" w14:textId="77777777" w:rsidR="001D6381" w:rsidRPr="001D6381" w:rsidRDefault="001D6381" w:rsidP="001D6381">
            <w:pPr>
              <w:spacing w:before="0"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D6381">
              <w:rPr>
                <w:rFonts w:cs="Calibri"/>
                <w:color w:val="000000"/>
                <w:sz w:val="20"/>
                <w:szCs w:val="20"/>
                <w:lang w:val="en-GB" w:eastAsia="en-US"/>
              </w:rPr>
              <w:t>Nije pokriveno</w:t>
            </w:r>
          </w:p>
          <w:p w14:paraId="3BD89D20" w14:textId="77777777" w:rsidR="001D6381" w:rsidRPr="001D6381" w:rsidRDefault="001D6381" w:rsidP="001D6381">
            <w:pPr>
              <w:spacing w:before="0"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p>
        </w:tc>
      </w:tr>
      <w:tr w:rsidR="001D6381" w:rsidRPr="001D6381" w14:paraId="0FC9A43E" w14:textId="77777777" w:rsidTr="001D6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7" w:type="pct"/>
            <w:tcBorders>
              <w:top w:val="single" w:sz="4" w:space="0" w:color="44546A"/>
              <w:left w:val="single" w:sz="4" w:space="0" w:color="44546A"/>
              <w:bottom w:val="single" w:sz="4" w:space="0" w:color="44546A"/>
              <w:right w:val="single" w:sz="4" w:space="0" w:color="44546A"/>
            </w:tcBorders>
            <w:shd w:val="clear" w:color="auto" w:fill="FFFFFF"/>
            <w:hideMark/>
          </w:tcPr>
          <w:p w14:paraId="18F6B471" w14:textId="27B351DC" w:rsidR="001D6381" w:rsidRPr="001D6381" w:rsidRDefault="001D6381" w:rsidP="001D6381">
            <w:pPr>
              <w:spacing w:before="100" w:beforeAutospacing="1" w:after="0" w:line="240" w:lineRule="auto"/>
              <w:jc w:val="left"/>
              <w:rPr>
                <w:rFonts w:cs="Calibri"/>
                <w:b w:val="0"/>
                <w:sz w:val="20"/>
                <w:szCs w:val="20"/>
                <w:lang w:val="en-GB" w:eastAsia="en-US"/>
              </w:rPr>
            </w:pPr>
            <w:r w:rsidRPr="001D6381">
              <w:rPr>
                <w:rFonts w:cs="Calibri"/>
                <w:b w:val="0"/>
                <w:sz w:val="20"/>
                <w:szCs w:val="20"/>
                <w:lang w:val="en-GB" w:eastAsia="en-US"/>
              </w:rPr>
              <w:t xml:space="preserve">Grupe vrsta i široki tipovi staništa koje ugrožavaju </w:t>
            </w:r>
            <w:r w:rsidR="00FE2179">
              <w:rPr>
                <w:rFonts w:cs="Calibri"/>
                <w:b w:val="0"/>
                <w:sz w:val="20"/>
                <w:szCs w:val="20"/>
                <w:lang w:val="en-GB" w:eastAsia="en-US"/>
              </w:rPr>
              <w:t>strane</w:t>
            </w:r>
            <w:r w:rsidRPr="001D6381">
              <w:rPr>
                <w:rFonts w:cs="Calibri"/>
                <w:b w:val="0"/>
                <w:sz w:val="20"/>
                <w:szCs w:val="20"/>
                <w:lang w:val="en-GB" w:eastAsia="en-US"/>
              </w:rPr>
              <w:t xml:space="preserve"> vrste, odabrani među onima upotrijebljenima za deskriptore 1. i 6.</w:t>
            </w:r>
          </w:p>
        </w:tc>
        <w:tc>
          <w:tcPr>
            <w:tcW w:w="2426" w:type="pct"/>
            <w:tcBorders>
              <w:top w:val="single" w:sz="4" w:space="0" w:color="44546A"/>
              <w:left w:val="single" w:sz="4" w:space="0" w:color="44546A"/>
              <w:bottom w:val="single" w:sz="4" w:space="0" w:color="44546A"/>
              <w:right w:val="single" w:sz="4" w:space="0" w:color="44546A"/>
            </w:tcBorders>
            <w:shd w:val="clear" w:color="auto" w:fill="FFFFFF"/>
            <w:hideMark/>
          </w:tcPr>
          <w:p w14:paraId="4B751B35" w14:textId="77777777" w:rsidR="001D6381" w:rsidRPr="001D6381" w:rsidRDefault="001D6381" w:rsidP="001D6381">
            <w:pPr>
              <w:shd w:val="clear" w:color="auto" w:fill="FFFFFF"/>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sz w:val="20"/>
                <w:szCs w:val="20"/>
                <w:lang w:val="en-GB" w:eastAsia="en-US"/>
              </w:rPr>
            </w:pPr>
            <w:r w:rsidRPr="001D6381">
              <w:rPr>
                <w:rFonts w:cs="Calibri"/>
                <w:b/>
                <w:sz w:val="20"/>
                <w:szCs w:val="20"/>
                <w:lang w:val="en-GB" w:eastAsia="en-US"/>
              </w:rPr>
              <w:t>D2C3 — Sekundarni</w:t>
            </w:r>
            <w:r w:rsidRPr="001D6381">
              <w:rPr>
                <w:rFonts w:cs="Calibri"/>
                <w:sz w:val="20"/>
                <w:szCs w:val="20"/>
                <w:lang w:val="en-GB" w:eastAsia="en-US"/>
              </w:rPr>
              <w:t xml:space="preserve">: </w:t>
            </w:r>
          </w:p>
          <w:p w14:paraId="66A1A4AD" w14:textId="1B0C3A3E" w:rsidR="001D6381" w:rsidRPr="001D6381" w:rsidRDefault="001D6381" w:rsidP="001D6381">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sz w:val="20"/>
                <w:szCs w:val="20"/>
                <w:lang w:val="en-GB" w:eastAsia="en-US"/>
              </w:rPr>
            </w:pPr>
            <w:r w:rsidRPr="001D6381">
              <w:rPr>
                <w:rFonts w:cs="Calibri"/>
                <w:sz w:val="20"/>
                <w:szCs w:val="20"/>
                <w:lang w:val="en-GB" w:eastAsia="en-US"/>
              </w:rPr>
              <w:t xml:space="preserve">Udio grupe vrsta ili površina širokog tipa staništa na koje štetno utiču </w:t>
            </w:r>
            <w:r w:rsidR="00825899">
              <w:rPr>
                <w:rFonts w:cs="Calibri"/>
                <w:sz w:val="20"/>
                <w:szCs w:val="20"/>
                <w:lang w:val="en-GB" w:eastAsia="en-US"/>
              </w:rPr>
              <w:t>strane</w:t>
            </w:r>
            <w:r w:rsidRPr="001D6381">
              <w:rPr>
                <w:rFonts w:cs="Calibri"/>
                <w:sz w:val="20"/>
                <w:szCs w:val="20"/>
                <w:lang w:val="en-GB" w:eastAsia="en-US"/>
              </w:rPr>
              <w:t xml:space="preserve"> vrste, posebno invazivne </w:t>
            </w:r>
            <w:r w:rsidR="00825899">
              <w:rPr>
                <w:rFonts w:cs="Calibri"/>
                <w:sz w:val="20"/>
                <w:szCs w:val="20"/>
                <w:lang w:val="en-GB" w:eastAsia="en-US"/>
              </w:rPr>
              <w:t>strane</w:t>
            </w:r>
            <w:r w:rsidRPr="001D6381">
              <w:rPr>
                <w:rFonts w:cs="Calibri"/>
                <w:sz w:val="20"/>
                <w:szCs w:val="20"/>
                <w:lang w:val="en-GB" w:eastAsia="en-US"/>
              </w:rPr>
              <w:t xml:space="preserve"> vrste.</w:t>
            </w:r>
          </w:p>
        </w:tc>
        <w:tc>
          <w:tcPr>
            <w:tcW w:w="757" w:type="pct"/>
            <w:tcBorders>
              <w:top w:val="single" w:sz="4" w:space="0" w:color="44546A"/>
              <w:left w:val="single" w:sz="4" w:space="0" w:color="44546A"/>
              <w:bottom w:val="single" w:sz="4" w:space="0" w:color="44546A"/>
              <w:right w:val="single" w:sz="4" w:space="0" w:color="44546A"/>
            </w:tcBorders>
            <w:shd w:val="clear" w:color="auto" w:fill="FFFFFF"/>
          </w:tcPr>
          <w:p w14:paraId="6237621A" w14:textId="77777777" w:rsidR="001D6381" w:rsidRPr="001D6381" w:rsidRDefault="001D6381" w:rsidP="001D6381">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D6381">
              <w:rPr>
                <w:rFonts w:cs="Calibri"/>
                <w:color w:val="000000"/>
                <w:sz w:val="20"/>
                <w:szCs w:val="20"/>
                <w:lang w:val="en-GB" w:eastAsia="en-US"/>
              </w:rPr>
              <w:t>Nije pokriveno</w:t>
            </w:r>
          </w:p>
          <w:p w14:paraId="01BB76CF" w14:textId="77777777" w:rsidR="001D6381" w:rsidRPr="001D6381" w:rsidRDefault="001D6381" w:rsidP="001D6381">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p>
        </w:tc>
      </w:tr>
    </w:tbl>
    <w:p w14:paraId="45AE851D" w14:textId="77777777" w:rsidR="001D6381" w:rsidRPr="001D6381" w:rsidRDefault="001D6381" w:rsidP="001D6381">
      <w:pPr>
        <w:spacing w:before="0" w:after="0"/>
        <w:rPr>
          <w:rFonts w:eastAsia="Calibri" w:cs="Calibri"/>
          <w:sz w:val="20"/>
          <w:szCs w:val="20"/>
          <w:lang w:val="en-GB" w:eastAsia="en-US"/>
        </w:rPr>
      </w:pPr>
    </w:p>
    <w:p w14:paraId="533588EB" w14:textId="77777777" w:rsidR="001D6381" w:rsidRPr="001D6381" w:rsidRDefault="001D6381" w:rsidP="001D6381">
      <w:pPr>
        <w:spacing w:before="0" w:after="0"/>
        <w:rPr>
          <w:rFonts w:eastAsia="Calibri" w:cs="Calibri"/>
          <w:sz w:val="20"/>
          <w:szCs w:val="20"/>
          <w:lang w:val="en-GB" w:eastAsia="en-US"/>
        </w:rPr>
      </w:pPr>
    </w:p>
    <w:p w14:paraId="47D281FA" w14:textId="77777777" w:rsidR="001D6381" w:rsidRPr="001D6381" w:rsidRDefault="001D6381" w:rsidP="001D6381">
      <w:pPr>
        <w:spacing w:before="0" w:after="0"/>
        <w:rPr>
          <w:rFonts w:eastAsia="Calibri" w:cs="Calibri"/>
          <w:sz w:val="20"/>
          <w:szCs w:val="20"/>
          <w:lang w:val="en-GB" w:eastAsia="en-US"/>
        </w:rPr>
      </w:pPr>
    </w:p>
    <w:p w14:paraId="71D12F28" w14:textId="672D29D3" w:rsidR="001D6381" w:rsidRPr="00D419DD" w:rsidRDefault="006D5476" w:rsidP="00AB123E">
      <w:pPr>
        <w:pStyle w:val="Heading3"/>
        <w:ind w:left="1701" w:hanging="708"/>
        <w:rPr>
          <w:lang w:val="sr-Latn-ME"/>
        </w:rPr>
      </w:pPr>
      <w:bookmarkStart w:id="42" w:name="_Toc83630897"/>
      <w:r>
        <w:rPr>
          <w:lang w:val="sr-Latn-ME"/>
        </w:rPr>
        <w:t>Rezime</w:t>
      </w:r>
      <w:r w:rsidR="00825899" w:rsidRPr="00825899">
        <w:rPr>
          <w:lang w:val="sr-Latn-ME"/>
        </w:rPr>
        <w:t xml:space="preserve"> </w:t>
      </w:r>
      <w:r w:rsidR="001D6381" w:rsidRPr="00D419DD">
        <w:rPr>
          <w:lang w:val="sr-Latn-ME"/>
        </w:rPr>
        <w:t xml:space="preserve">stanja </w:t>
      </w:r>
      <w:r w:rsidR="00A96A4C">
        <w:rPr>
          <w:lang w:val="sr-Latn-ME"/>
        </w:rPr>
        <w:t>D2 na osnovu Poče</w:t>
      </w:r>
      <w:r w:rsidR="001D6381" w:rsidRPr="00D419DD">
        <w:rPr>
          <w:lang w:val="sr-Latn-ME"/>
        </w:rPr>
        <w:t>tne procjene</w:t>
      </w:r>
      <w:bookmarkEnd w:id="42"/>
    </w:p>
    <w:p w14:paraId="010AFB7C" w14:textId="0D609263" w:rsidR="001D6381" w:rsidRPr="001D6381" w:rsidRDefault="001D6381" w:rsidP="001D6381">
      <w:pPr>
        <w:spacing w:before="0" w:after="0"/>
        <w:rPr>
          <w:rFonts w:eastAsia="Calibri" w:cs="Calibri"/>
          <w:szCs w:val="22"/>
          <w:lang w:val="en-GB" w:eastAsia="en-US"/>
        </w:rPr>
      </w:pPr>
      <w:r w:rsidRPr="001D6381">
        <w:rPr>
          <w:rFonts w:eastAsia="Calibri" w:cs="Calibri"/>
          <w:szCs w:val="22"/>
          <w:lang w:val="en-GB" w:eastAsia="en-US"/>
        </w:rPr>
        <w:t xml:space="preserve">Za pripremu </w:t>
      </w:r>
      <w:r w:rsidR="00B23467">
        <w:rPr>
          <w:rFonts w:eastAsia="Calibri" w:cs="Calibri"/>
          <w:szCs w:val="22"/>
          <w:lang w:val="en-GB" w:eastAsia="en-US"/>
        </w:rPr>
        <w:t>Početne procjene</w:t>
      </w:r>
      <w:r w:rsidRPr="001D6381">
        <w:rPr>
          <w:rFonts w:eastAsia="Calibri" w:cs="Calibri"/>
          <w:szCs w:val="22"/>
          <w:lang w:val="en-GB" w:eastAsia="en-US"/>
        </w:rPr>
        <w:t xml:space="preserve"> stanja morsk</w:t>
      </w:r>
      <w:r w:rsidR="00B23467">
        <w:rPr>
          <w:rFonts w:eastAsia="Calibri" w:cs="Calibri"/>
          <w:szCs w:val="22"/>
          <w:lang w:val="en-GB" w:eastAsia="en-US"/>
        </w:rPr>
        <w:t>e sredine</w:t>
      </w:r>
      <w:r w:rsidRPr="001D6381">
        <w:rPr>
          <w:rFonts w:eastAsia="Calibri" w:cs="Calibri"/>
          <w:szCs w:val="22"/>
          <w:lang w:val="en-GB" w:eastAsia="en-US"/>
        </w:rPr>
        <w:t xml:space="preserve"> Crne Gore korišćeni su svi dostupni izvori koji se bave unesenim vrstama u crnogorski dio južnog Jadrana i uključuju vrste koje su u Jadran stigle  antropogenim uticajima/pasivni</w:t>
      </w:r>
      <w:r w:rsidR="004B46DC">
        <w:rPr>
          <w:rFonts w:eastAsia="Calibri" w:cs="Calibri"/>
          <w:szCs w:val="22"/>
          <w:lang w:val="en-GB" w:eastAsia="en-US"/>
        </w:rPr>
        <w:t>m</w:t>
      </w:r>
      <w:r w:rsidRPr="001D6381">
        <w:rPr>
          <w:rFonts w:eastAsia="Calibri" w:cs="Calibri"/>
          <w:szCs w:val="22"/>
          <w:lang w:val="en-GB" w:eastAsia="en-US"/>
        </w:rPr>
        <w:t xml:space="preserve"> transport</w:t>
      </w:r>
      <w:r w:rsidR="004B46DC">
        <w:rPr>
          <w:rFonts w:eastAsia="Calibri" w:cs="Calibri"/>
          <w:szCs w:val="22"/>
          <w:lang w:val="en-GB" w:eastAsia="en-US"/>
        </w:rPr>
        <w:t>om</w:t>
      </w:r>
      <w:r w:rsidRPr="001D6381">
        <w:rPr>
          <w:rFonts w:eastAsia="Calibri" w:cs="Calibri"/>
          <w:szCs w:val="22"/>
          <w:lang w:val="en-GB" w:eastAsia="en-US"/>
        </w:rPr>
        <w:t xml:space="preserve"> morskim strujama/širenj</w:t>
      </w:r>
      <w:r w:rsidR="004B46DC">
        <w:rPr>
          <w:rFonts w:eastAsia="Calibri" w:cs="Calibri"/>
          <w:szCs w:val="22"/>
          <w:lang w:val="en-GB" w:eastAsia="en-US"/>
        </w:rPr>
        <w:t>em</w:t>
      </w:r>
      <w:r w:rsidRPr="001D6381">
        <w:rPr>
          <w:rFonts w:eastAsia="Calibri" w:cs="Calibri"/>
          <w:szCs w:val="22"/>
          <w:lang w:val="en-GB" w:eastAsia="en-US"/>
        </w:rPr>
        <w:t xml:space="preserve"> usled klimatskih promjena (Petović i sar., 2019). </w:t>
      </w:r>
      <w:r w:rsidR="004B46DC">
        <w:rPr>
          <w:rFonts w:eastAsia="Calibri" w:cs="Calibri"/>
          <w:szCs w:val="22"/>
          <w:lang w:val="en-GB" w:eastAsia="en-US"/>
        </w:rPr>
        <w:t xml:space="preserve">U ovom dokumentu prikazano je </w:t>
      </w:r>
      <w:r w:rsidRPr="001D6381">
        <w:rPr>
          <w:rFonts w:eastAsia="Calibri" w:cs="Calibri"/>
          <w:szCs w:val="22"/>
          <w:lang w:val="en-GB" w:eastAsia="en-US"/>
        </w:rPr>
        <w:t xml:space="preserve">ukupno 36 </w:t>
      </w:r>
      <w:r w:rsidR="00825899">
        <w:rPr>
          <w:rFonts w:eastAsia="Calibri" w:cs="Calibri"/>
          <w:szCs w:val="22"/>
          <w:lang w:val="en-GB" w:eastAsia="en-US"/>
        </w:rPr>
        <w:t xml:space="preserve">stranih </w:t>
      </w:r>
      <w:r w:rsidRPr="001D6381">
        <w:rPr>
          <w:rFonts w:eastAsia="Calibri" w:cs="Calibri"/>
          <w:szCs w:val="22"/>
          <w:lang w:val="en-GB" w:eastAsia="en-US"/>
        </w:rPr>
        <w:t>vrsta makroalgi, beskičmenjaka i riba (tabela 2.3).</w:t>
      </w:r>
    </w:p>
    <w:p w14:paraId="1D5E7188" w14:textId="77777777" w:rsidR="001D6381" w:rsidRPr="001D6381" w:rsidRDefault="001D6381" w:rsidP="001D6381">
      <w:pPr>
        <w:spacing w:before="0" w:after="0"/>
        <w:rPr>
          <w:rFonts w:eastAsia="Calibri" w:cs="Calibri"/>
          <w:szCs w:val="22"/>
          <w:lang w:val="en-GB" w:eastAsia="en-US"/>
        </w:rPr>
      </w:pPr>
      <w:r w:rsidRPr="001D6381">
        <w:rPr>
          <w:rFonts w:eastAsia="Calibri" w:cs="Calibri"/>
          <w:szCs w:val="22"/>
          <w:lang w:val="en-GB" w:eastAsia="en-US"/>
        </w:rPr>
        <w:t xml:space="preserve">Analiza unesenih makroalgi pokazala je prisustvo 6 vrsta. Neke od njih, poput </w:t>
      </w:r>
      <w:r w:rsidRPr="001D6381">
        <w:rPr>
          <w:rFonts w:eastAsia="Calibri" w:cs="Calibri"/>
          <w:i/>
          <w:szCs w:val="22"/>
          <w:lang w:val="en-GB" w:eastAsia="en-US"/>
        </w:rPr>
        <w:t>Caulerpa cilindracea</w:t>
      </w:r>
      <w:r w:rsidRPr="001D6381">
        <w:rPr>
          <w:rFonts w:eastAsia="Calibri" w:cs="Calibri"/>
          <w:szCs w:val="22"/>
          <w:lang w:val="en-GB" w:eastAsia="en-US"/>
        </w:rPr>
        <w:t xml:space="preserve"> i </w:t>
      </w:r>
      <w:r w:rsidRPr="001D6381">
        <w:rPr>
          <w:rFonts w:eastAsia="Calibri" w:cs="Calibri"/>
          <w:i/>
          <w:szCs w:val="22"/>
          <w:lang w:val="en-GB" w:eastAsia="en-US"/>
        </w:rPr>
        <w:t>Womersleiella setacea</w:t>
      </w:r>
      <w:r w:rsidRPr="001D6381">
        <w:rPr>
          <w:rFonts w:eastAsia="Calibri" w:cs="Calibri"/>
          <w:szCs w:val="22"/>
          <w:lang w:val="en-GB" w:eastAsia="en-US"/>
        </w:rPr>
        <w:t>, već dugo su prisutne u podmorju Crne Gore i uspješno šire svoj areal, dok su neke zabilježene samo jednom.</w:t>
      </w:r>
    </w:p>
    <w:p w14:paraId="4B362BB3" w14:textId="7A7C1820" w:rsidR="001D6381" w:rsidRPr="001D6381" w:rsidRDefault="001D6381" w:rsidP="001D6381">
      <w:pPr>
        <w:spacing w:before="0" w:after="0"/>
        <w:rPr>
          <w:rFonts w:eastAsia="Calibri" w:cs="Calibri"/>
          <w:szCs w:val="22"/>
          <w:lang w:val="en-GB" w:eastAsia="en-US"/>
        </w:rPr>
      </w:pPr>
      <w:r w:rsidRPr="001D6381">
        <w:rPr>
          <w:rFonts w:eastAsia="Calibri" w:cs="Calibri"/>
          <w:szCs w:val="22"/>
          <w:lang w:val="en-GB" w:eastAsia="en-US"/>
        </w:rPr>
        <w:t>Na crnogorskom primorju zabeleženo je ukupno 19 vrsta zoobentos</w:t>
      </w:r>
      <w:r w:rsidR="006D5476">
        <w:rPr>
          <w:rFonts w:eastAsia="Calibri" w:cs="Calibri"/>
          <w:szCs w:val="22"/>
          <w:lang w:val="en-GB" w:eastAsia="en-US"/>
        </w:rPr>
        <w:t>kih organizama</w:t>
      </w:r>
      <w:r w:rsidRPr="001D6381">
        <w:rPr>
          <w:rFonts w:eastAsia="Calibri" w:cs="Calibri"/>
          <w:szCs w:val="22"/>
          <w:lang w:val="en-GB" w:eastAsia="en-US"/>
        </w:rPr>
        <w:t>. U okviru ove grupe postoji 1 vrsta sunđera, 11 vrsta mekušaca, 3 vrste artropoda, 2 crva, 1 briozoa i 1 ascidija.</w:t>
      </w:r>
    </w:p>
    <w:p w14:paraId="78374755" w14:textId="5858B450" w:rsidR="001D6381" w:rsidRPr="001D6381" w:rsidRDefault="001D6381" w:rsidP="001D6381">
      <w:pPr>
        <w:spacing w:before="0" w:after="0"/>
        <w:rPr>
          <w:rFonts w:eastAsia="Calibri" w:cs="Calibri"/>
          <w:szCs w:val="22"/>
          <w:lang w:val="en-GB" w:eastAsia="en-US"/>
        </w:rPr>
      </w:pPr>
      <w:r w:rsidRPr="001D6381">
        <w:rPr>
          <w:rFonts w:eastAsia="Calibri" w:cs="Calibri"/>
          <w:szCs w:val="22"/>
          <w:lang w:val="en-GB" w:eastAsia="en-US"/>
        </w:rPr>
        <w:t xml:space="preserve">Analizom podataka utvrđeno je prisustvo 11 </w:t>
      </w:r>
      <w:r w:rsidR="006D5476">
        <w:rPr>
          <w:rFonts w:eastAsia="Calibri" w:cs="Calibri"/>
          <w:szCs w:val="22"/>
          <w:lang w:val="en-GB" w:eastAsia="en-US"/>
        </w:rPr>
        <w:t>stranih</w:t>
      </w:r>
      <w:r w:rsidRPr="001D6381">
        <w:rPr>
          <w:rFonts w:eastAsia="Calibri" w:cs="Calibri"/>
          <w:szCs w:val="22"/>
          <w:lang w:val="en-GB" w:eastAsia="en-US"/>
        </w:rPr>
        <w:t xml:space="preserve"> vrsta riba. Rezultati su dobijeni pomoću nekoliko metoda i odnose se na primjenu LEK (Lokalno ekološko znanje) metode ili intervjua sa lokalnim ribarima, kao i na identifikaciji vrsta u laboratorijskim uslovima.</w:t>
      </w:r>
    </w:p>
    <w:p w14:paraId="7BB86D2E" w14:textId="77777777" w:rsidR="001D6381" w:rsidRPr="001D6381" w:rsidRDefault="001D6381" w:rsidP="001D6381">
      <w:pPr>
        <w:spacing w:before="0" w:after="0"/>
        <w:rPr>
          <w:rFonts w:eastAsia="Calibri" w:cs="Calibri"/>
          <w:szCs w:val="22"/>
          <w:lang w:val="en-GB" w:eastAsia="en-US"/>
        </w:rPr>
      </w:pPr>
    </w:p>
    <w:p w14:paraId="6D416DBA" w14:textId="03E2CBE3" w:rsidR="001D6381" w:rsidRPr="001D6381" w:rsidRDefault="001D6381" w:rsidP="001D6381">
      <w:pPr>
        <w:spacing w:line="240" w:lineRule="auto"/>
        <w:rPr>
          <w:rFonts w:eastAsia="Calibri" w:cs="Calibri"/>
          <w:b/>
          <w:szCs w:val="22"/>
          <w:lang w:val="en-GB" w:eastAsia="en-US"/>
        </w:rPr>
      </w:pPr>
      <w:r w:rsidRPr="001D6381">
        <w:rPr>
          <w:rFonts w:eastAsia="Calibri" w:cs="Calibri"/>
          <w:b/>
          <w:szCs w:val="22"/>
          <w:lang w:val="en-GB" w:eastAsia="en-US"/>
        </w:rPr>
        <w:t xml:space="preserve">Tabela 2.3. Spisak </w:t>
      </w:r>
      <w:r w:rsidR="004B46DC">
        <w:rPr>
          <w:rFonts w:eastAsia="Calibri" w:cs="Calibri"/>
          <w:b/>
          <w:szCs w:val="22"/>
          <w:lang w:val="en-GB" w:eastAsia="en-US"/>
        </w:rPr>
        <w:t>stranih</w:t>
      </w:r>
      <w:r w:rsidRPr="001D6381">
        <w:rPr>
          <w:rFonts w:eastAsia="Calibri" w:cs="Calibri"/>
          <w:b/>
          <w:szCs w:val="22"/>
          <w:lang w:val="en-GB" w:eastAsia="en-US"/>
        </w:rPr>
        <w:t xml:space="preserve"> vrsta predstavljen u </w:t>
      </w:r>
      <w:r w:rsidR="004B46DC">
        <w:rPr>
          <w:rFonts w:eastAsia="Calibri" w:cs="Calibri"/>
          <w:b/>
          <w:szCs w:val="22"/>
          <w:lang w:val="en-GB" w:eastAsia="en-US"/>
        </w:rPr>
        <w:t>Početnoj</w:t>
      </w:r>
      <w:r w:rsidRPr="001D6381">
        <w:rPr>
          <w:rFonts w:eastAsia="Calibri" w:cs="Calibri"/>
          <w:b/>
          <w:szCs w:val="22"/>
          <w:lang w:val="en-GB" w:eastAsia="en-US"/>
        </w:rPr>
        <w:t xml:space="preserve"> procjeni stanja morsk</w:t>
      </w:r>
      <w:r w:rsidR="004B46DC">
        <w:rPr>
          <w:rFonts w:eastAsia="Calibri" w:cs="Calibri"/>
          <w:b/>
          <w:szCs w:val="22"/>
          <w:lang w:val="en-GB" w:eastAsia="en-US"/>
        </w:rPr>
        <w:t>e sredine</w:t>
      </w:r>
      <w:r w:rsidRPr="001D6381">
        <w:rPr>
          <w:rFonts w:eastAsia="Calibri" w:cs="Calibri"/>
          <w:b/>
          <w:szCs w:val="22"/>
          <w:lang w:val="en-GB" w:eastAsia="en-US"/>
        </w:rPr>
        <w:t xml:space="preserve"> Crne Gore</w:t>
      </w:r>
    </w:p>
    <w:tbl>
      <w:tblPr>
        <w:tblStyle w:val="MottMacTable1"/>
        <w:tblW w:w="9210" w:type="dxa"/>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Layout w:type="fixed"/>
        <w:tblLook w:val="04A0" w:firstRow="1" w:lastRow="0" w:firstColumn="1" w:lastColumn="0" w:noHBand="0" w:noVBand="1"/>
      </w:tblPr>
      <w:tblGrid>
        <w:gridCol w:w="1414"/>
        <w:gridCol w:w="850"/>
        <w:gridCol w:w="1134"/>
        <w:gridCol w:w="1276"/>
        <w:gridCol w:w="1418"/>
        <w:gridCol w:w="1275"/>
        <w:gridCol w:w="1843"/>
      </w:tblGrid>
      <w:tr w:rsidR="001D6381" w:rsidRPr="001D6381" w14:paraId="34180AFD" w14:textId="77777777" w:rsidTr="00B23467">
        <w:trPr>
          <w:cnfStyle w:val="100000000000" w:firstRow="1" w:lastRow="0" w:firstColumn="0" w:lastColumn="0" w:oddVBand="0" w:evenVBand="0" w:oddHBand="0" w:evenHBand="0" w:firstRowFirstColumn="0" w:firstRowLastColumn="0" w:lastRowFirstColumn="0" w:lastRowLastColumn="0"/>
          <w:tblHeader/>
        </w:trPr>
        <w:tc>
          <w:tcPr>
            <w:tcW w:w="14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021B67B1" w14:textId="77777777" w:rsidR="001D6381" w:rsidRPr="001D6381" w:rsidRDefault="001D6381" w:rsidP="001D6381">
            <w:pPr>
              <w:spacing w:before="0" w:after="0"/>
              <w:rPr>
                <w:rFonts w:eastAsia="Times New Roman" w:cs="Calibri"/>
                <w:b/>
                <w:color w:val="FFFFFF"/>
                <w:sz w:val="20"/>
                <w:szCs w:val="20"/>
                <w:lang w:eastAsia="en-US"/>
              </w:rPr>
            </w:pPr>
            <w:r w:rsidRPr="001D6381">
              <w:rPr>
                <w:rFonts w:cs="Calibri"/>
                <w:b/>
                <w:color w:val="FFFFFF"/>
                <w:sz w:val="20"/>
                <w:szCs w:val="20"/>
                <w:lang w:eastAsia="en-US"/>
              </w:rPr>
              <w:t>vrsta</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7065B329" w14:textId="77777777" w:rsidR="001D6381" w:rsidRPr="001D6381" w:rsidRDefault="001D6381" w:rsidP="001D6381">
            <w:pPr>
              <w:spacing w:before="0" w:after="0"/>
              <w:jc w:val="left"/>
              <w:rPr>
                <w:rFonts w:cs="Calibri"/>
                <w:b/>
                <w:color w:val="FFFFFF"/>
                <w:sz w:val="20"/>
                <w:szCs w:val="20"/>
                <w:lang w:eastAsia="en-US"/>
              </w:rPr>
            </w:pPr>
            <w:r w:rsidRPr="001D6381">
              <w:rPr>
                <w:rFonts w:cs="Calibri"/>
                <w:b/>
                <w:color w:val="FFFFFF"/>
                <w:sz w:val="20"/>
                <w:szCs w:val="20"/>
                <w:lang w:eastAsia="en-US"/>
              </w:rPr>
              <w:t>Prvi zapis</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08971F24" w14:textId="77777777" w:rsidR="001D6381" w:rsidRPr="001D6381" w:rsidRDefault="001D6381" w:rsidP="001D6381">
            <w:pPr>
              <w:spacing w:before="0" w:after="0"/>
              <w:jc w:val="left"/>
              <w:rPr>
                <w:rFonts w:cs="Calibri"/>
                <w:b/>
                <w:color w:val="FFFFFF"/>
                <w:sz w:val="20"/>
                <w:szCs w:val="20"/>
                <w:lang w:eastAsia="en-US"/>
              </w:rPr>
            </w:pPr>
            <w:r w:rsidRPr="001D6381">
              <w:rPr>
                <w:rFonts w:cs="Calibri"/>
                <w:b/>
                <w:color w:val="FFFFFF"/>
                <w:sz w:val="20"/>
                <w:szCs w:val="20"/>
                <w:lang w:eastAsia="en-US"/>
              </w:rPr>
              <w:t xml:space="preserve">Porijeklo </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28925A35" w14:textId="77777777" w:rsidR="001D6381" w:rsidRPr="001D6381" w:rsidRDefault="001D6381" w:rsidP="001D6381">
            <w:pPr>
              <w:spacing w:before="0" w:after="0"/>
              <w:jc w:val="left"/>
              <w:rPr>
                <w:rFonts w:cs="Calibri"/>
                <w:b/>
                <w:color w:val="FFFFFF"/>
                <w:sz w:val="20"/>
                <w:szCs w:val="20"/>
                <w:lang w:eastAsia="en-US"/>
              </w:rPr>
            </w:pPr>
            <w:r w:rsidRPr="001D6381">
              <w:rPr>
                <w:rFonts w:cs="Calibri"/>
                <w:b/>
                <w:color w:val="FFFFFF"/>
                <w:sz w:val="20"/>
                <w:szCs w:val="20"/>
                <w:lang w:eastAsia="en-US"/>
              </w:rPr>
              <w:t>Putevi unošenja</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119B6A97" w14:textId="77777777" w:rsidR="001D6381" w:rsidRPr="001D6381" w:rsidRDefault="001D6381" w:rsidP="001D6381">
            <w:pPr>
              <w:spacing w:before="0" w:after="0"/>
              <w:jc w:val="left"/>
              <w:rPr>
                <w:rFonts w:cs="Calibri"/>
                <w:b/>
                <w:color w:val="FFFFFF"/>
                <w:sz w:val="20"/>
                <w:szCs w:val="20"/>
                <w:lang w:eastAsia="en-US"/>
              </w:rPr>
            </w:pPr>
            <w:r w:rsidRPr="001D6381">
              <w:rPr>
                <w:rFonts w:cs="Calibri"/>
                <w:b/>
                <w:color w:val="FFFFFF"/>
                <w:sz w:val="20"/>
                <w:szCs w:val="20"/>
                <w:lang w:eastAsia="en-US"/>
              </w:rPr>
              <w:t>Stepen odomaćenosti</w:t>
            </w:r>
          </w:p>
        </w:tc>
        <w:tc>
          <w:tcPr>
            <w:tcW w:w="12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1254D356" w14:textId="77777777" w:rsidR="001D6381" w:rsidRPr="001D6381" w:rsidRDefault="001D6381" w:rsidP="001D6381">
            <w:pPr>
              <w:spacing w:before="0" w:after="0"/>
              <w:jc w:val="left"/>
              <w:rPr>
                <w:rFonts w:cs="Calibri"/>
                <w:b/>
                <w:color w:val="FFFFFF"/>
                <w:sz w:val="20"/>
                <w:szCs w:val="20"/>
                <w:lang w:eastAsia="en-US"/>
              </w:rPr>
            </w:pPr>
            <w:r w:rsidRPr="001D6381">
              <w:rPr>
                <w:rFonts w:cs="Calibri"/>
                <w:b/>
                <w:color w:val="FFFFFF"/>
                <w:sz w:val="20"/>
                <w:szCs w:val="20"/>
                <w:lang w:eastAsia="en-US"/>
              </w:rPr>
              <w:t>lokalitet</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5B3C51B9" w14:textId="77777777" w:rsidR="001D6381" w:rsidRPr="001D6381" w:rsidRDefault="001D6381" w:rsidP="001D6381">
            <w:pPr>
              <w:spacing w:before="0" w:after="0"/>
              <w:jc w:val="left"/>
              <w:rPr>
                <w:rFonts w:cs="Calibri"/>
                <w:b/>
                <w:color w:val="FFFFFF"/>
                <w:sz w:val="20"/>
                <w:szCs w:val="20"/>
                <w:lang w:eastAsia="en-US"/>
              </w:rPr>
            </w:pPr>
            <w:r w:rsidRPr="001D6381">
              <w:rPr>
                <w:rFonts w:cs="Calibri"/>
                <w:b/>
                <w:color w:val="FFFFFF"/>
                <w:sz w:val="20"/>
                <w:szCs w:val="20"/>
                <w:lang w:eastAsia="en-US"/>
              </w:rPr>
              <w:t>Literature I napomene</w:t>
            </w:r>
          </w:p>
        </w:tc>
      </w:tr>
      <w:tr w:rsidR="001D6381" w:rsidRPr="001D6381" w14:paraId="1DD1D656" w14:textId="77777777" w:rsidTr="00B23467">
        <w:tc>
          <w:tcPr>
            <w:tcW w:w="9209" w:type="dxa"/>
            <w:gridSpan w:val="7"/>
            <w:tcBorders>
              <w:top w:val="single" w:sz="4" w:space="0" w:color="FFFFFF" w:themeColor="background1"/>
              <w:left w:val="single" w:sz="4" w:space="0" w:color="44546A"/>
              <w:bottom w:val="single" w:sz="4" w:space="0" w:color="44546A"/>
              <w:right w:val="single" w:sz="4" w:space="0" w:color="44546A"/>
            </w:tcBorders>
            <w:shd w:val="clear" w:color="auto" w:fill="8DB3E2" w:themeFill="text2" w:themeFillTint="66"/>
            <w:hideMark/>
          </w:tcPr>
          <w:p w14:paraId="196A4B27" w14:textId="77777777" w:rsidR="001D6381" w:rsidRPr="001D6381" w:rsidRDefault="001D6381" w:rsidP="001D6381">
            <w:pPr>
              <w:spacing w:before="0" w:after="0"/>
              <w:rPr>
                <w:rFonts w:cs="Calibri"/>
                <w:sz w:val="20"/>
                <w:szCs w:val="20"/>
                <w:lang w:eastAsia="en-US"/>
              </w:rPr>
            </w:pPr>
            <w:r w:rsidRPr="001D6381">
              <w:rPr>
                <w:rFonts w:cs="Calibri"/>
                <w:b/>
                <w:iCs/>
                <w:sz w:val="20"/>
                <w:szCs w:val="20"/>
                <w:lang w:eastAsia="en-US"/>
              </w:rPr>
              <w:t>RHODOPHYTA</w:t>
            </w:r>
          </w:p>
        </w:tc>
      </w:tr>
      <w:tr w:rsidR="001D6381" w:rsidRPr="001D6381" w14:paraId="78EF76A7"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16185971"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Antithamnion amphigeneum</w:t>
            </w:r>
          </w:p>
        </w:tc>
        <w:tc>
          <w:tcPr>
            <w:tcW w:w="850" w:type="dxa"/>
            <w:tcBorders>
              <w:top w:val="single" w:sz="4" w:space="0" w:color="44546A"/>
              <w:left w:val="single" w:sz="4" w:space="0" w:color="44546A"/>
              <w:bottom w:val="single" w:sz="4" w:space="0" w:color="44546A"/>
              <w:right w:val="single" w:sz="4" w:space="0" w:color="44546A"/>
            </w:tcBorders>
            <w:hideMark/>
          </w:tcPr>
          <w:p w14:paraId="3F2C005E"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2016</w:t>
            </w:r>
          </w:p>
        </w:tc>
        <w:tc>
          <w:tcPr>
            <w:tcW w:w="1134" w:type="dxa"/>
            <w:tcBorders>
              <w:top w:val="single" w:sz="4" w:space="0" w:color="44546A"/>
              <w:left w:val="single" w:sz="4" w:space="0" w:color="44546A"/>
              <w:bottom w:val="single" w:sz="4" w:space="0" w:color="44546A"/>
              <w:right w:val="single" w:sz="4" w:space="0" w:color="44546A"/>
            </w:tcBorders>
            <w:hideMark/>
          </w:tcPr>
          <w:p w14:paraId="1616F875"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Indo Pacifik</w:t>
            </w:r>
          </w:p>
        </w:tc>
        <w:tc>
          <w:tcPr>
            <w:tcW w:w="1276" w:type="dxa"/>
            <w:tcBorders>
              <w:top w:val="single" w:sz="4" w:space="0" w:color="44546A"/>
              <w:left w:val="single" w:sz="4" w:space="0" w:color="44546A"/>
              <w:bottom w:val="single" w:sz="4" w:space="0" w:color="44546A"/>
              <w:right w:val="single" w:sz="4" w:space="0" w:color="44546A"/>
            </w:tcBorders>
            <w:hideMark/>
          </w:tcPr>
          <w:p w14:paraId="0A465FF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48DC812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Strana/Casual</w:t>
            </w:r>
          </w:p>
        </w:tc>
        <w:tc>
          <w:tcPr>
            <w:tcW w:w="1275" w:type="dxa"/>
            <w:tcBorders>
              <w:top w:val="single" w:sz="4" w:space="0" w:color="44546A"/>
              <w:left w:val="single" w:sz="4" w:space="0" w:color="44546A"/>
              <w:bottom w:val="single" w:sz="4" w:space="0" w:color="44546A"/>
              <w:right w:val="single" w:sz="4" w:space="0" w:color="44546A"/>
            </w:tcBorders>
            <w:hideMark/>
          </w:tcPr>
          <w:p w14:paraId="4E53FA7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Tivat</w:t>
            </w:r>
          </w:p>
        </w:tc>
        <w:tc>
          <w:tcPr>
            <w:tcW w:w="1843" w:type="dxa"/>
            <w:tcBorders>
              <w:top w:val="single" w:sz="4" w:space="0" w:color="44546A"/>
              <w:left w:val="single" w:sz="4" w:space="0" w:color="44546A"/>
              <w:bottom w:val="single" w:sz="4" w:space="0" w:color="44546A"/>
              <w:right w:val="single" w:sz="4" w:space="0" w:color="44546A"/>
            </w:tcBorders>
            <w:hideMark/>
          </w:tcPr>
          <w:p w14:paraId="06BC17F3" w14:textId="77777777" w:rsidR="001D6381" w:rsidRPr="001D6381" w:rsidRDefault="001D6381" w:rsidP="001D6381">
            <w:pPr>
              <w:tabs>
                <w:tab w:val="left" w:pos="514"/>
              </w:tabs>
              <w:spacing w:before="0" w:after="0" w:line="240" w:lineRule="auto"/>
              <w:jc w:val="left"/>
              <w:rPr>
                <w:rFonts w:cs="Calibri"/>
                <w:sz w:val="20"/>
                <w:szCs w:val="20"/>
                <w:lang w:eastAsia="en-US"/>
              </w:rPr>
            </w:pPr>
            <w:r w:rsidRPr="001D6381">
              <w:rPr>
                <w:rFonts w:cs="Calibri"/>
                <w:bCs/>
                <w:sz w:val="20"/>
                <w:szCs w:val="20"/>
                <w:lang w:eastAsia="en-US"/>
              </w:rPr>
              <w:t>Mačić &amp; Ballesteros 2016</w:t>
            </w:r>
          </w:p>
        </w:tc>
      </w:tr>
      <w:tr w:rsidR="001D6381" w:rsidRPr="001D6381" w14:paraId="634C449E" w14:textId="77777777" w:rsidTr="0046315C">
        <w:tc>
          <w:tcPr>
            <w:tcW w:w="9209" w:type="dxa"/>
            <w:gridSpan w:val="7"/>
            <w:tcBorders>
              <w:top w:val="single" w:sz="4" w:space="0" w:color="44546A"/>
              <w:left w:val="single" w:sz="4" w:space="0" w:color="44546A"/>
              <w:bottom w:val="single" w:sz="4" w:space="0" w:color="44546A"/>
              <w:right w:val="single" w:sz="4" w:space="0" w:color="44546A"/>
            </w:tcBorders>
            <w:shd w:val="clear" w:color="auto" w:fill="8DB3E2" w:themeFill="text2" w:themeFillTint="66"/>
            <w:hideMark/>
          </w:tcPr>
          <w:p w14:paraId="15A7D969" w14:textId="77777777" w:rsidR="001D6381" w:rsidRPr="001D6381" w:rsidRDefault="001D6381" w:rsidP="001D6381">
            <w:pPr>
              <w:spacing w:before="0" w:after="0" w:line="240" w:lineRule="auto"/>
              <w:jc w:val="left"/>
              <w:rPr>
                <w:rFonts w:cs="Calibri"/>
                <w:b/>
                <w:sz w:val="20"/>
                <w:szCs w:val="20"/>
                <w:lang w:eastAsia="en-US"/>
              </w:rPr>
            </w:pPr>
            <w:r w:rsidRPr="001D6381">
              <w:rPr>
                <w:rFonts w:cs="Calibri"/>
                <w:b/>
                <w:iCs/>
                <w:sz w:val="20"/>
                <w:szCs w:val="20"/>
                <w:lang w:eastAsia="en-US"/>
              </w:rPr>
              <w:t>CHLOROPHYTA</w:t>
            </w:r>
          </w:p>
        </w:tc>
      </w:tr>
      <w:tr w:rsidR="001D6381" w:rsidRPr="001D6381" w14:paraId="2E8609FA"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7FF1596E"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Caulerpa cylindracea</w:t>
            </w:r>
          </w:p>
        </w:tc>
        <w:tc>
          <w:tcPr>
            <w:tcW w:w="850" w:type="dxa"/>
            <w:tcBorders>
              <w:top w:val="single" w:sz="4" w:space="0" w:color="44546A"/>
              <w:left w:val="single" w:sz="4" w:space="0" w:color="44546A"/>
              <w:bottom w:val="single" w:sz="4" w:space="0" w:color="44546A"/>
              <w:right w:val="single" w:sz="4" w:space="0" w:color="44546A"/>
            </w:tcBorders>
            <w:hideMark/>
          </w:tcPr>
          <w:p w14:paraId="6900D0B6"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2004</w:t>
            </w:r>
          </w:p>
        </w:tc>
        <w:tc>
          <w:tcPr>
            <w:tcW w:w="1134" w:type="dxa"/>
            <w:tcBorders>
              <w:top w:val="single" w:sz="4" w:space="0" w:color="44546A"/>
              <w:left w:val="single" w:sz="4" w:space="0" w:color="44546A"/>
              <w:bottom w:val="single" w:sz="4" w:space="0" w:color="44546A"/>
              <w:right w:val="single" w:sz="4" w:space="0" w:color="44546A"/>
            </w:tcBorders>
            <w:hideMark/>
          </w:tcPr>
          <w:p w14:paraId="5F53CAC7"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Indo Zapadni Pacifik</w:t>
            </w:r>
          </w:p>
        </w:tc>
        <w:tc>
          <w:tcPr>
            <w:tcW w:w="1276" w:type="dxa"/>
            <w:tcBorders>
              <w:top w:val="single" w:sz="4" w:space="0" w:color="44546A"/>
              <w:left w:val="single" w:sz="4" w:space="0" w:color="44546A"/>
              <w:bottom w:val="single" w:sz="4" w:space="0" w:color="44546A"/>
              <w:right w:val="single" w:sz="4" w:space="0" w:color="44546A"/>
            </w:tcBorders>
            <w:hideMark/>
          </w:tcPr>
          <w:p w14:paraId="2C972D61" w14:textId="400E30A5" w:rsidR="001D6381" w:rsidRPr="001D6381" w:rsidRDefault="00D25156" w:rsidP="001D6381">
            <w:pPr>
              <w:spacing w:before="0" w:after="0" w:line="240" w:lineRule="auto"/>
              <w:jc w:val="left"/>
              <w:rPr>
                <w:rFonts w:cs="Calibri"/>
                <w:sz w:val="20"/>
                <w:szCs w:val="20"/>
                <w:lang w:eastAsia="en-US"/>
              </w:rPr>
            </w:pPr>
            <w:r w:rsidRPr="001D6381">
              <w:rPr>
                <w:rFonts w:cs="Calibri"/>
                <w:sz w:val="20"/>
                <w:szCs w:val="20"/>
                <w:lang w:eastAsia="en-US"/>
              </w:rPr>
              <w:t>A</w:t>
            </w:r>
            <w:r w:rsidR="001D6381" w:rsidRPr="001D6381">
              <w:rPr>
                <w:rFonts w:cs="Calibri"/>
                <w:sz w:val="20"/>
                <w:szCs w:val="20"/>
                <w:lang w:eastAsia="en-US"/>
              </w:rPr>
              <w:t>kvarijum</w:t>
            </w:r>
          </w:p>
        </w:tc>
        <w:tc>
          <w:tcPr>
            <w:tcW w:w="1418" w:type="dxa"/>
            <w:tcBorders>
              <w:top w:val="single" w:sz="4" w:space="0" w:color="44546A"/>
              <w:left w:val="single" w:sz="4" w:space="0" w:color="44546A"/>
              <w:bottom w:val="single" w:sz="4" w:space="0" w:color="44546A"/>
              <w:right w:val="single" w:sz="4" w:space="0" w:color="44546A"/>
            </w:tcBorders>
            <w:hideMark/>
          </w:tcPr>
          <w:p w14:paraId="3EB4AA1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33EE3BF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Invazivna/</w:t>
            </w:r>
          </w:p>
          <w:p w14:paraId="557FB6D1"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Odomaćena</w:t>
            </w:r>
          </w:p>
        </w:tc>
        <w:tc>
          <w:tcPr>
            <w:tcW w:w="1275" w:type="dxa"/>
            <w:tcBorders>
              <w:top w:val="single" w:sz="4" w:space="0" w:color="44546A"/>
              <w:left w:val="single" w:sz="4" w:space="0" w:color="44546A"/>
              <w:bottom w:val="single" w:sz="4" w:space="0" w:color="44546A"/>
              <w:right w:val="single" w:sz="4" w:space="0" w:color="44546A"/>
            </w:tcBorders>
            <w:hideMark/>
          </w:tcPr>
          <w:p w14:paraId="1F95575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Budva</w:t>
            </w:r>
          </w:p>
        </w:tc>
        <w:tc>
          <w:tcPr>
            <w:tcW w:w="1843" w:type="dxa"/>
            <w:tcBorders>
              <w:top w:val="single" w:sz="4" w:space="0" w:color="44546A"/>
              <w:left w:val="single" w:sz="4" w:space="0" w:color="44546A"/>
              <w:bottom w:val="single" w:sz="4" w:space="0" w:color="44546A"/>
              <w:right w:val="single" w:sz="4" w:space="0" w:color="44546A"/>
            </w:tcBorders>
            <w:hideMark/>
          </w:tcPr>
          <w:p w14:paraId="3F43FE7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Mačić 2005</w:t>
            </w:r>
          </w:p>
        </w:tc>
      </w:tr>
      <w:tr w:rsidR="001D6381" w:rsidRPr="001D6381" w14:paraId="32DAE5EF"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67398120"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Asparagopsis taxiformis</w:t>
            </w:r>
          </w:p>
        </w:tc>
        <w:tc>
          <w:tcPr>
            <w:tcW w:w="850" w:type="dxa"/>
            <w:tcBorders>
              <w:top w:val="single" w:sz="4" w:space="0" w:color="44546A"/>
              <w:left w:val="single" w:sz="4" w:space="0" w:color="44546A"/>
              <w:bottom w:val="single" w:sz="4" w:space="0" w:color="44546A"/>
              <w:right w:val="single" w:sz="4" w:space="0" w:color="44546A"/>
            </w:tcBorders>
            <w:hideMark/>
          </w:tcPr>
          <w:p w14:paraId="241BA981"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2006</w:t>
            </w:r>
          </w:p>
        </w:tc>
        <w:tc>
          <w:tcPr>
            <w:tcW w:w="1134" w:type="dxa"/>
            <w:tcBorders>
              <w:top w:val="single" w:sz="4" w:space="0" w:color="44546A"/>
              <w:left w:val="single" w:sz="4" w:space="0" w:color="44546A"/>
              <w:bottom w:val="single" w:sz="4" w:space="0" w:color="44546A"/>
              <w:right w:val="single" w:sz="4" w:space="0" w:color="44546A"/>
            </w:tcBorders>
            <w:hideMark/>
          </w:tcPr>
          <w:p w14:paraId="54427D86"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Indo Zapadni Pacifi</w:t>
            </w:r>
          </w:p>
        </w:tc>
        <w:tc>
          <w:tcPr>
            <w:tcW w:w="1276" w:type="dxa"/>
            <w:tcBorders>
              <w:top w:val="single" w:sz="4" w:space="0" w:color="44546A"/>
              <w:left w:val="single" w:sz="4" w:space="0" w:color="44546A"/>
              <w:bottom w:val="single" w:sz="4" w:space="0" w:color="44546A"/>
              <w:right w:val="single" w:sz="4" w:space="0" w:color="44546A"/>
            </w:tcBorders>
            <w:hideMark/>
          </w:tcPr>
          <w:p w14:paraId="15D6585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Suez/</w:t>
            </w:r>
          </w:p>
          <w:p w14:paraId="5B07F99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5BFE021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3AA34B6E"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Odomaćena</w:t>
            </w:r>
          </w:p>
        </w:tc>
        <w:tc>
          <w:tcPr>
            <w:tcW w:w="1275" w:type="dxa"/>
            <w:tcBorders>
              <w:top w:val="single" w:sz="4" w:space="0" w:color="44546A"/>
              <w:left w:val="single" w:sz="4" w:space="0" w:color="44546A"/>
              <w:bottom w:val="single" w:sz="4" w:space="0" w:color="44546A"/>
              <w:right w:val="single" w:sz="4" w:space="0" w:color="44546A"/>
            </w:tcBorders>
            <w:hideMark/>
          </w:tcPr>
          <w:p w14:paraId="25918657"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Herceg Novi</w:t>
            </w:r>
          </w:p>
        </w:tc>
        <w:tc>
          <w:tcPr>
            <w:tcW w:w="1843" w:type="dxa"/>
            <w:tcBorders>
              <w:top w:val="single" w:sz="4" w:space="0" w:color="44546A"/>
              <w:left w:val="single" w:sz="4" w:space="0" w:color="44546A"/>
              <w:bottom w:val="single" w:sz="4" w:space="0" w:color="44546A"/>
              <w:right w:val="single" w:sz="4" w:space="0" w:color="44546A"/>
            </w:tcBorders>
            <w:hideMark/>
          </w:tcPr>
          <w:p w14:paraId="5ADB871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Zenetos et al. 2011</w:t>
            </w:r>
          </w:p>
        </w:tc>
      </w:tr>
      <w:tr w:rsidR="001D6381" w:rsidRPr="001D6381" w14:paraId="48C8BA19"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12B3D479"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Asparagopsis armata</w:t>
            </w:r>
          </w:p>
        </w:tc>
        <w:tc>
          <w:tcPr>
            <w:tcW w:w="850" w:type="dxa"/>
            <w:tcBorders>
              <w:top w:val="single" w:sz="4" w:space="0" w:color="44546A"/>
              <w:left w:val="single" w:sz="4" w:space="0" w:color="44546A"/>
              <w:bottom w:val="single" w:sz="4" w:space="0" w:color="44546A"/>
              <w:right w:val="single" w:sz="4" w:space="0" w:color="44546A"/>
            </w:tcBorders>
            <w:hideMark/>
          </w:tcPr>
          <w:p w14:paraId="17EAE6D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1979/80</w:t>
            </w:r>
          </w:p>
        </w:tc>
        <w:tc>
          <w:tcPr>
            <w:tcW w:w="1134" w:type="dxa"/>
            <w:tcBorders>
              <w:top w:val="single" w:sz="4" w:space="0" w:color="44546A"/>
              <w:left w:val="single" w:sz="4" w:space="0" w:color="44546A"/>
              <w:bottom w:val="single" w:sz="4" w:space="0" w:color="44546A"/>
              <w:right w:val="single" w:sz="4" w:space="0" w:color="44546A"/>
            </w:tcBorders>
            <w:hideMark/>
          </w:tcPr>
          <w:p w14:paraId="29A6D1D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Zapadna Australija</w:t>
            </w:r>
          </w:p>
        </w:tc>
        <w:tc>
          <w:tcPr>
            <w:tcW w:w="1276" w:type="dxa"/>
            <w:tcBorders>
              <w:top w:val="single" w:sz="4" w:space="0" w:color="44546A"/>
              <w:left w:val="single" w:sz="4" w:space="0" w:color="44546A"/>
              <w:bottom w:val="single" w:sz="4" w:space="0" w:color="44546A"/>
              <w:right w:val="single" w:sz="4" w:space="0" w:color="44546A"/>
            </w:tcBorders>
            <w:hideMark/>
          </w:tcPr>
          <w:p w14:paraId="7FCD427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Aquaculture/</w:t>
            </w:r>
          </w:p>
          <w:p w14:paraId="007B4711"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14621272"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tc>
        <w:tc>
          <w:tcPr>
            <w:tcW w:w="1275" w:type="dxa"/>
            <w:tcBorders>
              <w:top w:val="single" w:sz="4" w:space="0" w:color="44546A"/>
              <w:left w:val="single" w:sz="4" w:space="0" w:color="44546A"/>
              <w:bottom w:val="single" w:sz="4" w:space="0" w:color="44546A"/>
              <w:right w:val="single" w:sz="4" w:space="0" w:color="44546A"/>
            </w:tcBorders>
            <w:hideMark/>
          </w:tcPr>
          <w:p w14:paraId="116A6CE5"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Herceg Novi</w:t>
            </w:r>
          </w:p>
        </w:tc>
        <w:tc>
          <w:tcPr>
            <w:tcW w:w="1843" w:type="dxa"/>
            <w:tcBorders>
              <w:top w:val="single" w:sz="4" w:space="0" w:color="44546A"/>
              <w:left w:val="single" w:sz="4" w:space="0" w:color="44546A"/>
              <w:bottom w:val="single" w:sz="4" w:space="0" w:color="44546A"/>
              <w:right w:val="single" w:sz="4" w:space="0" w:color="44546A"/>
            </w:tcBorders>
            <w:hideMark/>
          </w:tcPr>
          <w:p w14:paraId="3AE0452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Špan &amp; Antolić 1987</w:t>
            </w:r>
          </w:p>
        </w:tc>
      </w:tr>
      <w:tr w:rsidR="001D6381" w:rsidRPr="001D6381" w14:paraId="1EAAA000"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57982E97"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Womersleyella setacea</w:t>
            </w:r>
          </w:p>
        </w:tc>
        <w:tc>
          <w:tcPr>
            <w:tcW w:w="850" w:type="dxa"/>
            <w:tcBorders>
              <w:top w:val="single" w:sz="4" w:space="0" w:color="44546A"/>
              <w:left w:val="single" w:sz="4" w:space="0" w:color="44546A"/>
              <w:bottom w:val="single" w:sz="4" w:space="0" w:color="44546A"/>
              <w:right w:val="single" w:sz="4" w:space="0" w:color="44546A"/>
            </w:tcBorders>
            <w:hideMark/>
          </w:tcPr>
          <w:p w14:paraId="04404B13"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2003</w:t>
            </w:r>
          </w:p>
        </w:tc>
        <w:tc>
          <w:tcPr>
            <w:tcW w:w="1134" w:type="dxa"/>
            <w:tcBorders>
              <w:top w:val="single" w:sz="4" w:space="0" w:color="44546A"/>
              <w:left w:val="single" w:sz="4" w:space="0" w:color="44546A"/>
              <w:bottom w:val="single" w:sz="4" w:space="0" w:color="44546A"/>
              <w:right w:val="single" w:sz="4" w:space="0" w:color="44546A"/>
            </w:tcBorders>
            <w:hideMark/>
          </w:tcPr>
          <w:p w14:paraId="318CC0D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Indo zapadni Pacifik</w:t>
            </w:r>
          </w:p>
        </w:tc>
        <w:tc>
          <w:tcPr>
            <w:tcW w:w="1276" w:type="dxa"/>
            <w:tcBorders>
              <w:top w:val="single" w:sz="4" w:space="0" w:color="44546A"/>
              <w:left w:val="single" w:sz="4" w:space="0" w:color="44546A"/>
              <w:bottom w:val="single" w:sz="4" w:space="0" w:color="44546A"/>
              <w:right w:val="single" w:sz="4" w:space="0" w:color="44546A"/>
            </w:tcBorders>
            <w:hideMark/>
          </w:tcPr>
          <w:p w14:paraId="7FCDCC2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151D867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Strana/Casual</w:t>
            </w:r>
          </w:p>
        </w:tc>
        <w:tc>
          <w:tcPr>
            <w:tcW w:w="1275" w:type="dxa"/>
            <w:tcBorders>
              <w:top w:val="single" w:sz="4" w:space="0" w:color="44546A"/>
              <w:left w:val="single" w:sz="4" w:space="0" w:color="44546A"/>
              <w:bottom w:val="single" w:sz="4" w:space="0" w:color="44546A"/>
              <w:right w:val="single" w:sz="4" w:space="0" w:color="44546A"/>
            </w:tcBorders>
            <w:hideMark/>
          </w:tcPr>
          <w:p w14:paraId="28BBCFE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Herceg Novi</w:t>
            </w:r>
          </w:p>
        </w:tc>
        <w:tc>
          <w:tcPr>
            <w:tcW w:w="1843" w:type="dxa"/>
            <w:tcBorders>
              <w:top w:val="single" w:sz="4" w:space="0" w:color="44546A"/>
              <w:left w:val="single" w:sz="4" w:space="0" w:color="44546A"/>
              <w:bottom w:val="single" w:sz="4" w:space="0" w:color="44546A"/>
              <w:right w:val="single" w:sz="4" w:space="0" w:color="44546A"/>
            </w:tcBorders>
            <w:hideMark/>
          </w:tcPr>
          <w:p w14:paraId="4823C0D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Batteli &amp; Rindi 2008</w:t>
            </w:r>
          </w:p>
        </w:tc>
      </w:tr>
      <w:tr w:rsidR="001D6381" w:rsidRPr="001D6381" w14:paraId="0456D5DB" w14:textId="77777777" w:rsidTr="001D6381">
        <w:trPr>
          <w:trHeight w:val="654"/>
        </w:trPr>
        <w:tc>
          <w:tcPr>
            <w:tcW w:w="1413" w:type="dxa"/>
            <w:tcBorders>
              <w:top w:val="single" w:sz="4" w:space="0" w:color="44546A"/>
              <w:left w:val="single" w:sz="4" w:space="0" w:color="44546A"/>
              <w:bottom w:val="single" w:sz="4" w:space="0" w:color="44546A"/>
              <w:right w:val="single" w:sz="4" w:space="0" w:color="44546A"/>
            </w:tcBorders>
            <w:hideMark/>
          </w:tcPr>
          <w:p w14:paraId="12C8DEF1"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Ganonema farinosum</w:t>
            </w:r>
          </w:p>
        </w:tc>
        <w:tc>
          <w:tcPr>
            <w:tcW w:w="850" w:type="dxa"/>
            <w:tcBorders>
              <w:top w:val="single" w:sz="4" w:space="0" w:color="44546A"/>
              <w:left w:val="single" w:sz="4" w:space="0" w:color="44546A"/>
              <w:bottom w:val="single" w:sz="4" w:space="0" w:color="44546A"/>
              <w:right w:val="single" w:sz="4" w:space="0" w:color="44546A"/>
            </w:tcBorders>
            <w:hideMark/>
          </w:tcPr>
          <w:p w14:paraId="3F1D8D35"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2019</w:t>
            </w:r>
          </w:p>
        </w:tc>
        <w:tc>
          <w:tcPr>
            <w:tcW w:w="1134" w:type="dxa"/>
            <w:tcBorders>
              <w:top w:val="single" w:sz="4" w:space="0" w:color="44546A"/>
              <w:left w:val="single" w:sz="4" w:space="0" w:color="44546A"/>
              <w:bottom w:val="single" w:sz="4" w:space="0" w:color="44546A"/>
              <w:right w:val="single" w:sz="4" w:space="0" w:color="44546A"/>
            </w:tcBorders>
            <w:hideMark/>
          </w:tcPr>
          <w:p w14:paraId="6BBEF2EF"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Indo-Pacifik, Atlantski Okean</w:t>
            </w:r>
          </w:p>
        </w:tc>
        <w:tc>
          <w:tcPr>
            <w:tcW w:w="1276" w:type="dxa"/>
            <w:tcBorders>
              <w:top w:val="single" w:sz="4" w:space="0" w:color="44546A"/>
              <w:left w:val="single" w:sz="4" w:space="0" w:color="44546A"/>
              <w:bottom w:val="single" w:sz="4" w:space="0" w:color="44546A"/>
              <w:right w:val="single" w:sz="4" w:space="0" w:color="44546A"/>
            </w:tcBorders>
            <w:hideMark/>
          </w:tcPr>
          <w:p w14:paraId="177A9C02"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55BFC2D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 xml:space="preserve">Strana </w:t>
            </w:r>
          </w:p>
        </w:tc>
        <w:tc>
          <w:tcPr>
            <w:tcW w:w="1275" w:type="dxa"/>
            <w:tcBorders>
              <w:top w:val="single" w:sz="4" w:space="0" w:color="44546A"/>
              <w:left w:val="single" w:sz="4" w:space="0" w:color="44546A"/>
              <w:bottom w:val="single" w:sz="4" w:space="0" w:color="44546A"/>
              <w:right w:val="single" w:sz="4" w:space="0" w:color="44546A"/>
            </w:tcBorders>
            <w:hideMark/>
          </w:tcPr>
          <w:p w14:paraId="38A23182"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Bar</w:t>
            </w:r>
          </w:p>
        </w:tc>
        <w:tc>
          <w:tcPr>
            <w:tcW w:w="1843" w:type="dxa"/>
            <w:tcBorders>
              <w:top w:val="single" w:sz="4" w:space="0" w:color="44546A"/>
              <w:left w:val="single" w:sz="4" w:space="0" w:color="44546A"/>
              <w:bottom w:val="single" w:sz="4" w:space="0" w:color="44546A"/>
              <w:right w:val="single" w:sz="4" w:space="0" w:color="44546A"/>
            </w:tcBorders>
            <w:hideMark/>
          </w:tcPr>
          <w:p w14:paraId="415210AF"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Petović &amp; Mačić, 2020</w:t>
            </w:r>
          </w:p>
        </w:tc>
      </w:tr>
      <w:tr w:rsidR="001D6381" w:rsidRPr="001D6381" w14:paraId="2A3F7EE4" w14:textId="77777777" w:rsidTr="0046315C">
        <w:tc>
          <w:tcPr>
            <w:tcW w:w="9209" w:type="dxa"/>
            <w:gridSpan w:val="7"/>
            <w:tcBorders>
              <w:top w:val="single" w:sz="4" w:space="0" w:color="44546A"/>
              <w:left w:val="single" w:sz="4" w:space="0" w:color="44546A"/>
              <w:bottom w:val="single" w:sz="4" w:space="0" w:color="44546A"/>
              <w:right w:val="single" w:sz="4" w:space="0" w:color="44546A"/>
            </w:tcBorders>
            <w:shd w:val="clear" w:color="auto" w:fill="8DB3E2" w:themeFill="text2" w:themeFillTint="66"/>
            <w:hideMark/>
          </w:tcPr>
          <w:p w14:paraId="1256E297" w14:textId="77777777" w:rsidR="001D6381" w:rsidRPr="001D6381" w:rsidRDefault="001D6381" w:rsidP="001D6381">
            <w:pPr>
              <w:spacing w:before="0" w:after="0" w:line="240" w:lineRule="auto"/>
              <w:jc w:val="left"/>
              <w:rPr>
                <w:rFonts w:cs="Calibri"/>
                <w:sz w:val="20"/>
                <w:szCs w:val="20"/>
                <w:lang w:eastAsia="en-US"/>
              </w:rPr>
            </w:pPr>
            <w:r w:rsidRPr="001D6381">
              <w:rPr>
                <w:rFonts w:cs="Calibri"/>
                <w:b/>
                <w:iCs/>
                <w:sz w:val="20"/>
                <w:szCs w:val="20"/>
                <w:lang w:eastAsia="en-US"/>
              </w:rPr>
              <w:t>PORIFERA</w:t>
            </w:r>
          </w:p>
        </w:tc>
      </w:tr>
      <w:tr w:rsidR="001D6381" w:rsidRPr="001D6381" w14:paraId="51434EE5"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60F3C7F8"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Paraleucilla magna</w:t>
            </w:r>
          </w:p>
        </w:tc>
        <w:tc>
          <w:tcPr>
            <w:tcW w:w="850" w:type="dxa"/>
            <w:tcBorders>
              <w:top w:val="single" w:sz="4" w:space="0" w:color="44546A"/>
              <w:left w:val="single" w:sz="4" w:space="0" w:color="44546A"/>
              <w:bottom w:val="single" w:sz="4" w:space="0" w:color="44546A"/>
              <w:right w:val="single" w:sz="4" w:space="0" w:color="44546A"/>
            </w:tcBorders>
            <w:hideMark/>
          </w:tcPr>
          <w:p w14:paraId="034B587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2016</w:t>
            </w:r>
          </w:p>
        </w:tc>
        <w:tc>
          <w:tcPr>
            <w:tcW w:w="1134" w:type="dxa"/>
            <w:tcBorders>
              <w:top w:val="single" w:sz="4" w:space="0" w:color="44546A"/>
              <w:left w:val="single" w:sz="4" w:space="0" w:color="44546A"/>
              <w:bottom w:val="single" w:sz="4" w:space="0" w:color="44546A"/>
              <w:right w:val="single" w:sz="4" w:space="0" w:color="44546A"/>
            </w:tcBorders>
            <w:hideMark/>
          </w:tcPr>
          <w:p w14:paraId="7C8D0811"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Jugo zapadni Atlantik</w:t>
            </w:r>
          </w:p>
        </w:tc>
        <w:tc>
          <w:tcPr>
            <w:tcW w:w="1276" w:type="dxa"/>
            <w:tcBorders>
              <w:top w:val="single" w:sz="4" w:space="0" w:color="44546A"/>
              <w:left w:val="single" w:sz="4" w:space="0" w:color="44546A"/>
              <w:bottom w:val="single" w:sz="4" w:space="0" w:color="44546A"/>
              <w:right w:val="single" w:sz="4" w:space="0" w:color="44546A"/>
            </w:tcBorders>
            <w:hideMark/>
          </w:tcPr>
          <w:p w14:paraId="497B81A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22295F1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283218D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Odomaćena</w:t>
            </w:r>
          </w:p>
        </w:tc>
        <w:tc>
          <w:tcPr>
            <w:tcW w:w="1275" w:type="dxa"/>
            <w:tcBorders>
              <w:top w:val="single" w:sz="4" w:space="0" w:color="44546A"/>
              <w:left w:val="single" w:sz="4" w:space="0" w:color="44546A"/>
              <w:bottom w:val="single" w:sz="4" w:space="0" w:color="44546A"/>
              <w:right w:val="single" w:sz="4" w:space="0" w:color="44546A"/>
            </w:tcBorders>
            <w:hideMark/>
          </w:tcPr>
          <w:p w14:paraId="24F023B6"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Tivat</w:t>
            </w:r>
          </w:p>
        </w:tc>
        <w:tc>
          <w:tcPr>
            <w:tcW w:w="1843" w:type="dxa"/>
            <w:tcBorders>
              <w:top w:val="single" w:sz="4" w:space="0" w:color="44546A"/>
              <w:left w:val="single" w:sz="4" w:space="0" w:color="44546A"/>
              <w:bottom w:val="single" w:sz="4" w:space="0" w:color="44546A"/>
              <w:right w:val="single" w:sz="4" w:space="0" w:color="44546A"/>
            </w:tcBorders>
            <w:hideMark/>
          </w:tcPr>
          <w:p w14:paraId="2B96BFA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Mačić &amp; Petović 2016</w:t>
            </w:r>
          </w:p>
        </w:tc>
      </w:tr>
      <w:tr w:rsidR="001D6381" w:rsidRPr="001D6381" w14:paraId="2E486754" w14:textId="77777777" w:rsidTr="0046315C">
        <w:tc>
          <w:tcPr>
            <w:tcW w:w="9209" w:type="dxa"/>
            <w:gridSpan w:val="7"/>
            <w:tcBorders>
              <w:top w:val="single" w:sz="4" w:space="0" w:color="44546A"/>
              <w:left w:val="single" w:sz="4" w:space="0" w:color="44546A"/>
              <w:bottom w:val="single" w:sz="4" w:space="0" w:color="44546A"/>
              <w:right w:val="single" w:sz="4" w:space="0" w:color="44546A"/>
            </w:tcBorders>
            <w:shd w:val="clear" w:color="auto" w:fill="8DB3E2" w:themeFill="text2" w:themeFillTint="66"/>
            <w:hideMark/>
          </w:tcPr>
          <w:p w14:paraId="1E36903E" w14:textId="77777777" w:rsidR="001D6381" w:rsidRPr="001D6381" w:rsidRDefault="001D6381" w:rsidP="001D6381">
            <w:pPr>
              <w:spacing w:before="0" w:after="0" w:line="240" w:lineRule="auto"/>
              <w:jc w:val="left"/>
              <w:rPr>
                <w:rFonts w:cs="Calibri"/>
                <w:b/>
                <w:sz w:val="20"/>
                <w:szCs w:val="20"/>
                <w:lang w:eastAsia="en-US"/>
              </w:rPr>
            </w:pPr>
            <w:r w:rsidRPr="001D6381">
              <w:rPr>
                <w:rFonts w:cs="Calibri"/>
                <w:b/>
                <w:iCs/>
                <w:sz w:val="20"/>
                <w:szCs w:val="20"/>
                <w:lang w:eastAsia="en-US"/>
              </w:rPr>
              <w:t>MOLLUSCA</w:t>
            </w:r>
          </w:p>
        </w:tc>
      </w:tr>
      <w:tr w:rsidR="001D6381" w:rsidRPr="001D6381" w14:paraId="50088C82"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2AB0BBF6"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Aplysia dactylomela</w:t>
            </w:r>
          </w:p>
        </w:tc>
        <w:tc>
          <w:tcPr>
            <w:tcW w:w="850" w:type="dxa"/>
            <w:tcBorders>
              <w:top w:val="single" w:sz="4" w:space="0" w:color="44546A"/>
              <w:left w:val="single" w:sz="4" w:space="0" w:color="44546A"/>
              <w:bottom w:val="single" w:sz="4" w:space="0" w:color="44546A"/>
              <w:right w:val="single" w:sz="4" w:space="0" w:color="44546A"/>
            </w:tcBorders>
            <w:hideMark/>
          </w:tcPr>
          <w:p w14:paraId="592799E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2011</w:t>
            </w:r>
          </w:p>
        </w:tc>
        <w:tc>
          <w:tcPr>
            <w:tcW w:w="1134" w:type="dxa"/>
            <w:tcBorders>
              <w:top w:val="single" w:sz="4" w:space="0" w:color="44546A"/>
              <w:left w:val="single" w:sz="4" w:space="0" w:color="44546A"/>
              <w:bottom w:val="single" w:sz="4" w:space="0" w:color="44546A"/>
              <w:right w:val="single" w:sz="4" w:space="0" w:color="44546A"/>
            </w:tcBorders>
            <w:hideMark/>
          </w:tcPr>
          <w:p w14:paraId="5F48A622"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Circumtropical</w:t>
            </w:r>
          </w:p>
        </w:tc>
        <w:tc>
          <w:tcPr>
            <w:tcW w:w="1276" w:type="dxa"/>
            <w:tcBorders>
              <w:top w:val="single" w:sz="4" w:space="0" w:color="44546A"/>
              <w:left w:val="single" w:sz="4" w:space="0" w:color="44546A"/>
              <w:bottom w:val="single" w:sz="4" w:space="0" w:color="44546A"/>
              <w:right w:val="single" w:sz="4" w:space="0" w:color="44546A"/>
            </w:tcBorders>
            <w:hideMark/>
          </w:tcPr>
          <w:p w14:paraId="011A576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6A988161"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77A85A73"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Odomaćena</w:t>
            </w:r>
          </w:p>
        </w:tc>
        <w:tc>
          <w:tcPr>
            <w:tcW w:w="1275" w:type="dxa"/>
            <w:tcBorders>
              <w:top w:val="single" w:sz="4" w:space="0" w:color="44546A"/>
              <w:left w:val="single" w:sz="4" w:space="0" w:color="44546A"/>
              <w:bottom w:val="single" w:sz="4" w:space="0" w:color="44546A"/>
              <w:right w:val="single" w:sz="4" w:space="0" w:color="44546A"/>
            </w:tcBorders>
            <w:hideMark/>
          </w:tcPr>
          <w:p w14:paraId="10A2EEE2"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Herceg Novi</w:t>
            </w:r>
          </w:p>
        </w:tc>
        <w:tc>
          <w:tcPr>
            <w:tcW w:w="1843" w:type="dxa"/>
            <w:tcBorders>
              <w:top w:val="single" w:sz="4" w:space="0" w:color="44546A"/>
              <w:left w:val="single" w:sz="4" w:space="0" w:color="44546A"/>
              <w:bottom w:val="single" w:sz="4" w:space="0" w:color="44546A"/>
              <w:right w:val="single" w:sz="4" w:space="0" w:color="44546A"/>
            </w:tcBorders>
            <w:hideMark/>
          </w:tcPr>
          <w:p w14:paraId="55B30661"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Mačić &amp; Kljajić 2012</w:t>
            </w:r>
          </w:p>
        </w:tc>
      </w:tr>
      <w:tr w:rsidR="001D6381" w:rsidRPr="001D6381" w14:paraId="58C6FC8E"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730325D3"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Bursatella leachi</w:t>
            </w:r>
          </w:p>
        </w:tc>
        <w:tc>
          <w:tcPr>
            <w:tcW w:w="850" w:type="dxa"/>
            <w:tcBorders>
              <w:top w:val="single" w:sz="4" w:space="0" w:color="44546A"/>
              <w:left w:val="single" w:sz="4" w:space="0" w:color="44546A"/>
              <w:bottom w:val="single" w:sz="4" w:space="0" w:color="44546A"/>
              <w:right w:val="single" w:sz="4" w:space="0" w:color="44546A"/>
            </w:tcBorders>
            <w:hideMark/>
          </w:tcPr>
          <w:p w14:paraId="5ACEFE3F"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2009</w:t>
            </w:r>
          </w:p>
        </w:tc>
        <w:tc>
          <w:tcPr>
            <w:tcW w:w="1134" w:type="dxa"/>
            <w:tcBorders>
              <w:top w:val="single" w:sz="4" w:space="0" w:color="44546A"/>
              <w:left w:val="single" w:sz="4" w:space="0" w:color="44546A"/>
              <w:bottom w:val="single" w:sz="4" w:space="0" w:color="44546A"/>
              <w:right w:val="single" w:sz="4" w:space="0" w:color="44546A"/>
            </w:tcBorders>
            <w:hideMark/>
          </w:tcPr>
          <w:p w14:paraId="51FC949F"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Circumtropical</w:t>
            </w:r>
          </w:p>
        </w:tc>
        <w:tc>
          <w:tcPr>
            <w:tcW w:w="1276" w:type="dxa"/>
            <w:tcBorders>
              <w:top w:val="single" w:sz="4" w:space="0" w:color="44546A"/>
              <w:left w:val="single" w:sz="4" w:space="0" w:color="44546A"/>
              <w:bottom w:val="single" w:sz="4" w:space="0" w:color="44546A"/>
              <w:right w:val="single" w:sz="4" w:space="0" w:color="44546A"/>
            </w:tcBorders>
            <w:hideMark/>
          </w:tcPr>
          <w:p w14:paraId="61DE7A8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Suez/</w:t>
            </w:r>
          </w:p>
          <w:p w14:paraId="2F0F033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6DFBA9C6"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6AAD0BB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Odomaćena</w:t>
            </w:r>
          </w:p>
        </w:tc>
        <w:tc>
          <w:tcPr>
            <w:tcW w:w="1275" w:type="dxa"/>
            <w:tcBorders>
              <w:top w:val="single" w:sz="4" w:space="0" w:color="44546A"/>
              <w:left w:val="single" w:sz="4" w:space="0" w:color="44546A"/>
              <w:bottom w:val="single" w:sz="4" w:space="0" w:color="44546A"/>
              <w:right w:val="single" w:sz="4" w:space="0" w:color="44546A"/>
            </w:tcBorders>
            <w:hideMark/>
          </w:tcPr>
          <w:p w14:paraId="0BA8206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Herceg Novi</w:t>
            </w:r>
          </w:p>
        </w:tc>
        <w:tc>
          <w:tcPr>
            <w:tcW w:w="1843" w:type="dxa"/>
            <w:tcBorders>
              <w:top w:val="single" w:sz="4" w:space="0" w:color="44546A"/>
              <w:left w:val="single" w:sz="4" w:space="0" w:color="44546A"/>
              <w:bottom w:val="single" w:sz="4" w:space="0" w:color="44546A"/>
              <w:right w:val="single" w:sz="4" w:space="0" w:color="44546A"/>
            </w:tcBorders>
            <w:hideMark/>
          </w:tcPr>
          <w:p w14:paraId="4BF0325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Zenetos et al. 2011</w:t>
            </w:r>
          </w:p>
        </w:tc>
      </w:tr>
      <w:tr w:rsidR="001D6381" w:rsidRPr="001D6381" w14:paraId="74A6A42B"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64D3B717"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Melibe viridis</w:t>
            </w:r>
          </w:p>
        </w:tc>
        <w:tc>
          <w:tcPr>
            <w:tcW w:w="850" w:type="dxa"/>
            <w:tcBorders>
              <w:top w:val="single" w:sz="4" w:space="0" w:color="44546A"/>
              <w:left w:val="single" w:sz="4" w:space="0" w:color="44546A"/>
              <w:bottom w:val="single" w:sz="4" w:space="0" w:color="44546A"/>
              <w:right w:val="single" w:sz="4" w:space="0" w:color="44546A"/>
            </w:tcBorders>
            <w:hideMark/>
          </w:tcPr>
          <w:p w14:paraId="2923CF97"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2003</w:t>
            </w:r>
          </w:p>
        </w:tc>
        <w:tc>
          <w:tcPr>
            <w:tcW w:w="1134" w:type="dxa"/>
            <w:tcBorders>
              <w:top w:val="single" w:sz="4" w:space="0" w:color="44546A"/>
              <w:left w:val="single" w:sz="4" w:space="0" w:color="44546A"/>
              <w:bottom w:val="single" w:sz="4" w:space="0" w:color="44546A"/>
              <w:right w:val="single" w:sz="4" w:space="0" w:color="44546A"/>
            </w:tcBorders>
            <w:hideMark/>
          </w:tcPr>
          <w:p w14:paraId="5DDF8C5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Indo zapadni Pacifik</w:t>
            </w:r>
          </w:p>
        </w:tc>
        <w:tc>
          <w:tcPr>
            <w:tcW w:w="1276" w:type="dxa"/>
            <w:tcBorders>
              <w:top w:val="single" w:sz="4" w:space="0" w:color="44546A"/>
              <w:left w:val="single" w:sz="4" w:space="0" w:color="44546A"/>
              <w:bottom w:val="single" w:sz="4" w:space="0" w:color="44546A"/>
              <w:right w:val="single" w:sz="4" w:space="0" w:color="44546A"/>
            </w:tcBorders>
            <w:hideMark/>
          </w:tcPr>
          <w:p w14:paraId="641830E2"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Suez/</w:t>
            </w:r>
          </w:p>
          <w:p w14:paraId="0F18464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314D45D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7C7D5BD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Odomaćena</w:t>
            </w:r>
          </w:p>
        </w:tc>
        <w:tc>
          <w:tcPr>
            <w:tcW w:w="1275" w:type="dxa"/>
            <w:tcBorders>
              <w:top w:val="single" w:sz="4" w:space="0" w:color="44546A"/>
              <w:left w:val="single" w:sz="4" w:space="0" w:color="44546A"/>
              <w:bottom w:val="single" w:sz="4" w:space="0" w:color="44546A"/>
              <w:right w:val="single" w:sz="4" w:space="0" w:color="44546A"/>
            </w:tcBorders>
            <w:hideMark/>
          </w:tcPr>
          <w:p w14:paraId="70382D6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Herceg Novi</w:t>
            </w:r>
          </w:p>
        </w:tc>
        <w:tc>
          <w:tcPr>
            <w:tcW w:w="1843" w:type="dxa"/>
            <w:tcBorders>
              <w:top w:val="single" w:sz="4" w:space="0" w:color="44546A"/>
              <w:left w:val="single" w:sz="4" w:space="0" w:color="44546A"/>
              <w:bottom w:val="single" w:sz="4" w:space="0" w:color="44546A"/>
              <w:right w:val="single" w:sz="4" w:space="0" w:color="44546A"/>
            </w:tcBorders>
            <w:hideMark/>
          </w:tcPr>
          <w:p w14:paraId="363399F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Jančić 2004</w:t>
            </w:r>
          </w:p>
        </w:tc>
      </w:tr>
      <w:tr w:rsidR="001D6381" w:rsidRPr="001D6381" w14:paraId="41AC90AF"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37F50719"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Thecacera pennigera</w:t>
            </w:r>
          </w:p>
        </w:tc>
        <w:tc>
          <w:tcPr>
            <w:tcW w:w="850" w:type="dxa"/>
            <w:tcBorders>
              <w:top w:val="single" w:sz="4" w:space="0" w:color="44546A"/>
              <w:left w:val="single" w:sz="4" w:space="0" w:color="44546A"/>
              <w:bottom w:val="single" w:sz="4" w:space="0" w:color="44546A"/>
              <w:right w:val="single" w:sz="4" w:space="0" w:color="44546A"/>
            </w:tcBorders>
            <w:hideMark/>
          </w:tcPr>
          <w:p w14:paraId="4E1E1F2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2017</w:t>
            </w:r>
          </w:p>
        </w:tc>
        <w:tc>
          <w:tcPr>
            <w:tcW w:w="1134" w:type="dxa"/>
            <w:tcBorders>
              <w:top w:val="single" w:sz="4" w:space="0" w:color="44546A"/>
              <w:left w:val="single" w:sz="4" w:space="0" w:color="44546A"/>
              <w:bottom w:val="single" w:sz="4" w:space="0" w:color="44546A"/>
              <w:right w:val="single" w:sz="4" w:space="0" w:color="44546A"/>
            </w:tcBorders>
            <w:hideMark/>
          </w:tcPr>
          <w:p w14:paraId="749CEEAE"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Cosmopolitsko</w:t>
            </w:r>
          </w:p>
        </w:tc>
        <w:tc>
          <w:tcPr>
            <w:tcW w:w="1276" w:type="dxa"/>
            <w:tcBorders>
              <w:top w:val="single" w:sz="4" w:space="0" w:color="44546A"/>
              <w:left w:val="single" w:sz="4" w:space="0" w:color="44546A"/>
              <w:bottom w:val="single" w:sz="4" w:space="0" w:color="44546A"/>
              <w:right w:val="single" w:sz="4" w:space="0" w:color="44546A"/>
            </w:tcBorders>
            <w:hideMark/>
          </w:tcPr>
          <w:p w14:paraId="437D842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4144424F"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Cryptogenic</w:t>
            </w:r>
          </w:p>
        </w:tc>
        <w:tc>
          <w:tcPr>
            <w:tcW w:w="1275" w:type="dxa"/>
            <w:tcBorders>
              <w:top w:val="single" w:sz="4" w:space="0" w:color="44546A"/>
              <w:left w:val="single" w:sz="4" w:space="0" w:color="44546A"/>
              <w:bottom w:val="single" w:sz="4" w:space="0" w:color="44546A"/>
              <w:right w:val="single" w:sz="4" w:space="0" w:color="44546A"/>
            </w:tcBorders>
            <w:hideMark/>
          </w:tcPr>
          <w:p w14:paraId="72B09E9F"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Tivat</w:t>
            </w:r>
          </w:p>
        </w:tc>
        <w:tc>
          <w:tcPr>
            <w:tcW w:w="1843" w:type="dxa"/>
            <w:tcBorders>
              <w:top w:val="single" w:sz="4" w:space="0" w:color="44546A"/>
              <w:left w:val="single" w:sz="4" w:space="0" w:color="44546A"/>
              <w:bottom w:val="single" w:sz="4" w:space="0" w:color="44546A"/>
              <w:right w:val="single" w:sz="4" w:space="0" w:color="44546A"/>
            </w:tcBorders>
            <w:hideMark/>
          </w:tcPr>
          <w:p w14:paraId="7CC2365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Petović &amp; Lipej in Gerovasileiou et al., 2017</w:t>
            </w:r>
          </w:p>
        </w:tc>
      </w:tr>
      <w:tr w:rsidR="001D6381" w:rsidRPr="001D6381" w14:paraId="43928820"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14377001"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Anadara transversa</w:t>
            </w:r>
          </w:p>
        </w:tc>
        <w:tc>
          <w:tcPr>
            <w:tcW w:w="850" w:type="dxa"/>
            <w:tcBorders>
              <w:top w:val="single" w:sz="4" w:space="0" w:color="44546A"/>
              <w:left w:val="single" w:sz="4" w:space="0" w:color="44546A"/>
              <w:bottom w:val="single" w:sz="4" w:space="0" w:color="44546A"/>
              <w:right w:val="single" w:sz="4" w:space="0" w:color="44546A"/>
            </w:tcBorders>
            <w:hideMark/>
          </w:tcPr>
          <w:p w14:paraId="2DD0957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2015</w:t>
            </w:r>
          </w:p>
        </w:tc>
        <w:tc>
          <w:tcPr>
            <w:tcW w:w="1134" w:type="dxa"/>
            <w:tcBorders>
              <w:top w:val="single" w:sz="4" w:space="0" w:color="44546A"/>
              <w:left w:val="single" w:sz="4" w:space="0" w:color="44546A"/>
              <w:bottom w:val="single" w:sz="4" w:space="0" w:color="44546A"/>
              <w:right w:val="single" w:sz="4" w:space="0" w:color="44546A"/>
            </w:tcBorders>
            <w:hideMark/>
          </w:tcPr>
          <w:p w14:paraId="36025AB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Zapadni  Atlantik</w:t>
            </w:r>
          </w:p>
        </w:tc>
        <w:tc>
          <w:tcPr>
            <w:tcW w:w="1276" w:type="dxa"/>
            <w:tcBorders>
              <w:top w:val="single" w:sz="4" w:space="0" w:color="44546A"/>
              <w:left w:val="single" w:sz="4" w:space="0" w:color="44546A"/>
              <w:bottom w:val="single" w:sz="4" w:space="0" w:color="44546A"/>
              <w:right w:val="single" w:sz="4" w:space="0" w:color="44546A"/>
            </w:tcBorders>
            <w:hideMark/>
          </w:tcPr>
          <w:p w14:paraId="135F9EB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5659743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40CCBE6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Odomaćena</w:t>
            </w:r>
          </w:p>
        </w:tc>
        <w:tc>
          <w:tcPr>
            <w:tcW w:w="1275" w:type="dxa"/>
            <w:tcBorders>
              <w:top w:val="single" w:sz="4" w:space="0" w:color="44546A"/>
              <w:left w:val="single" w:sz="4" w:space="0" w:color="44546A"/>
              <w:bottom w:val="single" w:sz="4" w:space="0" w:color="44546A"/>
              <w:right w:val="single" w:sz="4" w:space="0" w:color="44546A"/>
            </w:tcBorders>
            <w:hideMark/>
          </w:tcPr>
          <w:p w14:paraId="09B1F78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Kotor</w:t>
            </w:r>
          </w:p>
        </w:tc>
        <w:tc>
          <w:tcPr>
            <w:tcW w:w="1843" w:type="dxa"/>
            <w:tcBorders>
              <w:top w:val="single" w:sz="4" w:space="0" w:color="44546A"/>
              <w:left w:val="single" w:sz="4" w:space="0" w:color="44546A"/>
              <w:bottom w:val="single" w:sz="4" w:space="0" w:color="44546A"/>
              <w:right w:val="single" w:sz="4" w:space="0" w:color="44546A"/>
            </w:tcBorders>
            <w:hideMark/>
          </w:tcPr>
          <w:p w14:paraId="0B72863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Petović et al., 2017</w:t>
            </w:r>
          </w:p>
        </w:tc>
      </w:tr>
      <w:tr w:rsidR="001D6381" w:rsidRPr="001D6381" w14:paraId="294399EE"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677CFF4D"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Arcuatula senhousia</w:t>
            </w:r>
          </w:p>
        </w:tc>
        <w:tc>
          <w:tcPr>
            <w:tcW w:w="850" w:type="dxa"/>
            <w:tcBorders>
              <w:top w:val="single" w:sz="4" w:space="0" w:color="44546A"/>
              <w:left w:val="single" w:sz="4" w:space="0" w:color="44546A"/>
              <w:bottom w:val="single" w:sz="4" w:space="0" w:color="44546A"/>
              <w:right w:val="single" w:sz="4" w:space="0" w:color="44546A"/>
            </w:tcBorders>
            <w:hideMark/>
          </w:tcPr>
          <w:p w14:paraId="415B185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2014</w:t>
            </w:r>
          </w:p>
        </w:tc>
        <w:tc>
          <w:tcPr>
            <w:tcW w:w="1134" w:type="dxa"/>
            <w:tcBorders>
              <w:top w:val="single" w:sz="4" w:space="0" w:color="44546A"/>
              <w:left w:val="single" w:sz="4" w:space="0" w:color="44546A"/>
              <w:bottom w:val="single" w:sz="4" w:space="0" w:color="44546A"/>
              <w:right w:val="single" w:sz="4" w:space="0" w:color="44546A"/>
            </w:tcBorders>
            <w:hideMark/>
          </w:tcPr>
          <w:p w14:paraId="5EC1CCF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Indo Pacifik</w:t>
            </w:r>
          </w:p>
        </w:tc>
        <w:tc>
          <w:tcPr>
            <w:tcW w:w="1276" w:type="dxa"/>
            <w:tcBorders>
              <w:top w:val="single" w:sz="4" w:space="0" w:color="44546A"/>
              <w:left w:val="single" w:sz="4" w:space="0" w:color="44546A"/>
              <w:bottom w:val="single" w:sz="4" w:space="0" w:color="44546A"/>
              <w:right w:val="single" w:sz="4" w:space="0" w:color="44546A"/>
            </w:tcBorders>
            <w:hideMark/>
          </w:tcPr>
          <w:p w14:paraId="4BE1409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Akvakultura/</w:t>
            </w:r>
          </w:p>
          <w:p w14:paraId="1B782D1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6C676AD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567B2BA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Odomaćena</w:t>
            </w:r>
          </w:p>
        </w:tc>
        <w:tc>
          <w:tcPr>
            <w:tcW w:w="1275" w:type="dxa"/>
            <w:tcBorders>
              <w:top w:val="single" w:sz="4" w:space="0" w:color="44546A"/>
              <w:left w:val="single" w:sz="4" w:space="0" w:color="44546A"/>
              <w:bottom w:val="single" w:sz="4" w:space="0" w:color="44546A"/>
              <w:right w:val="single" w:sz="4" w:space="0" w:color="44546A"/>
            </w:tcBorders>
            <w:hideMark/>
          </w:tcPr>
          <w:p w14:paraId="4E4756B3"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Bar</w:t>
            </w:r>
          </w:p>
        </w:tc>
        <w:tc>
          <w:tcPr>
            <w:tcW w:w="1843" w:type="dxa"/>
            <w:tcBorders>
              <w:top w:val="single" w:sz="4" w:space="0" w:color="44546A"/>
              <w:left w:val="single" w:sz="4" w:space="0" w:color="44546A"/>
              <w:bottom w:val="single" w:sz="4" w:space="0" w:color="44546A"/>
              <w:right w:val="single" w:sz="4" w:space="0" w:color="44546A"/>
            </w:tcBorders>
            <w:hideMark/>
          </w:tcPr>
          <w:p w14:paraId="21D5FC7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Petović et al. 2017</w:t>
            </w:r>
          </w:p>
        </w:tc>
      </w:tr>
      <w:tr w:rsidR="001D6381" w:rsidRPr="001D6381" w14:paraId="59C90B46"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21750F7D"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Ruditapes philippinarum</w:t>
            </w:r>
          </w:p>
        </w:tc>
        <w:tc>
          <w:tcPr>
            <w:tcW w:w="850" w:type="dxa"/>
            <w:tcBorders>
              <w:top w:val="single" w:sz="4" w:space="0" w:color="44546A"/>
              <w:left w:val="single" w:sz="4" w:space="0" w:color="44546A"/>
              <w:bottom w:val="single" w:sz="4" w:space="0" w:color="44546A"/>
              <w:right w:val="single" w:sz="4" w:space="0" w:color="44546A"/>
            </w:tcBorders>
            <w:hideMark/>
          </w:tcPr>
          <w:p w14:paraId="22DFE197"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2015</w:t>
            </w:r>
          </w:p>
        </w:tc>
        <w:tc>
          <w:tcPr>
            <w:tcW w:w="1134" w:type="dxa"/>
            <w:tcBorders>
              <w:top w:val="single" w:sz="4" w:space="0" w:color="44546A"/>
              <w:left w:val="single" w:sz="4" w:space="0" w:color="44546A"/>
              <w:bottom w:val="single" w:sz="4" w:space="0" w:color="44546A"/>
              <w:right w:val="single" w:sz="4" w:space="0" w:color="44546A"/>
            </w:tcBorders>
            <w:hideMark/>
          </w:tcPr>
          <w:p w14:paraId="01DE13A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Indo Pacifik</w:t>
            </w:r>
          </w:p>
        </w:tc>
        <w:tc>
          <w:tcPr>
            <w:tcW w:w="1276" w:type="dxa"/>
            <w:tcBorders>
              <w:top w:val="single" w:sz="4" w:space="0" w:color="44546A"/>
              <w:left w:val="single" w:sz="4" w:space="0" w:color="44546A"/>
              <w:bottom w:val="single" w:sz="4" w:space="0" w:color="44546A"/>
              <w:right w:val="single" w:sz="4" w:space="0" w:color="44546A"/>
            </w:tcBorders>
            <w:hideMark/>
          </w:tcPr>
          <w:p w14:paraId="3FA4D78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Akvakultura/</w:t>
            </w:r>
          </w:p>
          <w:p w14:paraId="31EDBC3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085AC78E"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1DA634D5"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Invazivna</w:t>
            </w:r>
          </w:p>
        </w:tc>
        <w:tc>
          <w:tcPr>
            <w:tcW w:w="1275" w:type="dxa"/>
            <w:tcBorders>
              <w:top w:val="single" w:sz="4" w:space="0" w:color="44546A"/>
              <w:left w:val="single" w:sz="4" w:space="0" w:color="44546A"/>
              <w:bottom w:val="single" w:sz="4" w:space="0" w:color="44546A"/>
              <w:right w:val="single" w:sz="4" w:space="0" w:color="44546A"/>
            </w:tcBorders>
            <w:hideMark/>
          </w:tcPr>
          <w:p w14:paraId="0C45833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Bar</w:t>
            </w:r>
          </w:p>
        </w:tc>
        <w:tc>
          <w:tcPr>
            <w:tcW w:w="1843" w:type="dxa"/>
            <w:tcBorders>
              <w:top w:val="single" w:sz="4" w:space="0" w:color="44546A"/>
              <w:left w:val="single" w:sz="4" w:space="0" w:color="44546A"/>
              <w:bottom w:val="single" w:sz="4" w:space="0" w:color="44546A"/>
              <w:right w:val="single" w:sz="4" w:space="0" w:color="44546A"/>
            </w:tcBorders>
            <w:hideMark/>
          </w:tcPr>
          <w:p w14:paraId="61C83C95"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Petović et al. 2017</w:t>
            </w:r>
          </w:p>
        </w:tc>
      </w:tr>
      <w:tr w:rsidR="001D6381" w:rsidRPr="001D6381" w14:paraId="636494B1"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10C272E5"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Teredo navalis</w:t>
            </w:r>
          </w:p>
        </w:tc>
        <w:tc>
          <w:tcPr>
            <w:tcW w:w="850" w:type="dxa"/>
            <w:tcBorders>
              <w:top w:val="single" w:sz="4" w:space="0" w:color="44546A"/>
              <w:left w:val="single" w:sz="4" w:space="0" w:color="44546A"/>
              <w:bottom w:val="single" w:sz="4" w:space="0" w:color="44546A"/>
              <w:right w:val="single" w:sz="4" w:space="0" w:color="44546A"/>
            </w:tcBorders>
            <w:hideMark/>
          </w:tcPr>
          <w:p w14:paraId="0EBE7557"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1967</w:t>
            </w:r>
          </w:p>
        </w:tc>
        <w:tc>
          <w:tcPr>
            <w:tcW w:w="1134" w:type="dxa"/>
            <w:tcBorders>
              <w:top w:val="single" w:sz="4" w:space="0" w:color="44546A"/>
              <w:left w:val="single" w:sz="4" w:space="0" w:color="44546A"/>
              <w:bottom w:val="single" w:sz="4" w:space="0" w:color="44546A"/>
              <w:right w:val="single" w:sz="4" w:space="0" w:color="44546A"/>
            </w:tcBorders>
            <w:hideMark/>
          </w:tcPr>
          <w:p w14:paraId="3BA83C4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Circumtropical</w:t>
            </w:r>
          </w:p>
        </w:tc>
        <w:tc>
          <w:tcPr>
            <w:tcW w:w="1276" w:type="dxa"/>
            <w:tcBorders>
              <w:top w:val="single" w:sz="4" w:space="0" w:color="44546A"/>
              <w:left w:val="single" w:sz="4" w:space="0" w:color="44546A"/>
              <w:bottom w:val="single" w:sz="4" w:space="0" w:color="44546A"/>
              <w:right w:val="single" w:sz="4" w:space="0" w:color="44546A"/>
            </w:tcBorders>
            <w:hideMark/>
          </w:tcPr>
          <w:p w14:paraId="401D806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46D3DEF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Cryptogenic</w:t>
            </w:r>
          </w:p>
        </w:tc>
        <w:tc>
          <w:tcPr>
            <w:tcW w:w="1275" w:type="dxa"/>
            <w:tcBorders>
              <w:top w:val="single" w:sz="4" w:space="0" w:color="44546A"/>
              <w:left w:val="single" w:sz="4" w:space="0" w:color="44546A"/>
              <w:bottom w:val="single" w:sz="4" w:space="0" w:color="44546A"/>
              <w:right w:val="single" w:sz="4" w:space="0" w:color="44546A"/>
            </w:tcBorders>
            <w:hideMark/>
          </w:tcPr>
          <w:p w14:paraId="491E5525"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Kotor</w:t>
            </w:r>
          </w:p>
        </w:tc>
        <w:tc>
          <w:tcPr>
            <w:tcW w:w="1843" w:type="dxa"/>
            <w:tcBorders>
              <w:top w:val="single" w:sz="4" w:space="0" w:color="44546A"/>
              <w:left w:val="single" w:sz="4" w:space="0" w:color="44546A"/>
              <w:bottom w:val="single" w:sz="4" w:space="0" w:color="44546A"/>
              <w:right w:val="single" w:sz="4" w:space="0" w:color="44546A"/>
            </w:tcBorders>
            <w:hideMark/>
          </w:tcPr>
          <w:p w14:paraId="2BB53FF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Stjepčević 1967</w:t>
            </w:r>
          </w:p>
        </w:tc>
      </w:tr>
      <w:tr w:rsidR="001D6381" w:rsidRPr="001D6381" w14:paraId="74238EFF"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24A92497"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Pinctada imbricate radiatea</w:t>
            </w:r>
          </w:p>
        </w:tc>
        <w:tc>
          <w:tcPr>
            <w:tcW w:w="850" w:type="dxa"/>
            <w:tcBorders>
              <w:top w:val="single" w:sz="4" w:space="0" w:color="44546A"/>
              <w:left w:val="single" w:sz="4" w:space="0" w:color="44546A"/>
              <w:bottom w:val="single" w:sz="4" w:space="0" w:color="44546A"/>
              <w:right w:val="single" w:sz="4" w:space="0" w:color="44546A"/>
            </w:tcBorders>
            <w:hideMark/>
          </w:tcPr>
          <w:p w14:paraId="07ED89F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2016</w:t>
            </w:r>
          </w:p>
        </w:tc>
        <w:tc>
          <w:tcPr>
            <w:tcW w:w="1134" w:type="dxa"/>
            <w:tcBorders>
              <w:top w:val="single" w:sz="4" w:space="0" w:color="44546A"/>
              <w:left w:val="single" w:sz="4" w:space="0" w:color="44546A"/>
              <w:bottom w:val="single" w:sz="4" w:space="0" w:color="44546A"/>
              <w:right w:val="single" w:sz="4" w:space="0" w:color="44546A"/>
            </w:tcBorders>
            <w:hideMark/>
          </w:tcPr>
          <w:p w14:paraId="3ED2FC7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Indo Zapadni Pacifik</w:t>
            </w:r>
          </w:p>
        </w:tc>
        <w:tc>
          <w:tcPr>
            <w:tcW w:w="1276" w:type="dxa"/>
            <w:tcBorders>
              <w:top w:val="single" w:sz="4" w:space="0" w:color="44546A"/>
              <w:left w:val="single" w:sz="4" w:space="0" w:color="44546A"/>
              <w:bottom w:val="single" w:sz="4" w:space="0" w:color="44546A"/>
              <w:right w:val="single" w:sz="4" w:space="0" w:color="44546A"/>
            </w:tcBorders>
            <w:hideMark/>
          </w:tcPr>
          <w:p w14:paraId="3F2CF185"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Suez/</w:t>
            </w:r>
          </w:p>
          <w:p w14:paraId="3A3A584E"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6B5A6BC5"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06E550B1"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Odomaćena</w:t>
            </w:r>
          </w:p>
        </w:tc>
        <w:tc>
          <w:tcPr>
            <w:tcW w:w="1275" w:type="dxa"/>
            <w:tcBorders>
              <w:top w:val="single" w:sz="4" w:space="0" w:color="44546A"/>
              <w:left w:val="single" w:sz="4" w:space="0" w:color="44546A"/>
              <w:bottom w:val="single" w:sz="4" w:space="0" w:color="44546A"/>
              <w:right w:val="single" w:sz="4" w:space="0" w:color="44546A"/>
            </w:tcBorders>
            <w:hideMark/>
          </w:tcPr>
          <w:p w14:paraId="26554DF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Tivat</w:t>
            </w:r>
          </w:p>
        </w:tc>
        <w:tc>
          <w:tcPr>
            <w:tcW w:w="1843" w:type="dxa"/>
            <w:tcBorders>
              <w:top w:val="single" w:sz="4" w:space="0" w:color="44546A"/>
              <w:left w:val="single" w:sz="4" w:space="0" w:color="44546A"/>
              <w:bottom w:val="single" w:sz="4" w:space="0" w:color="44546A"/>
              <w:right w:val="single" w:sz="4" w:space="0" w:color="44546A"/>
            </w:tcBorders>
            <w:hideMark/>
          </w:tcPr>
          <w:p w14:paraId="319D21B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Petović &amp; Mačić 2017</w:t>
            </w:r>
          </w:p>
        </w:tc>
      </w:tr>
      <w:tr w:rsidR="001D6381" w:rsidRPr="001D6381" w14:paraId="647EACB6"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1331AFD8" w14:textId="77777777" w:rsidR="001D6381" w:rsidRPr="001D6381" w:rsidRDefault="001D6381" w:rsidP="001D6381">
            <w:pPr>
              <w:spacing w:before="0" w:after="0" w:line="240" w:lineRule="auto"/>
              <w:jc w:val="left"/>
              <w:rPr>
                <w:rFonts w:cs="Calibri"/>
                <w:sz w:val="20"/>
                <w:szCs w:val="20"/>
                <w:lang w:eastAsia="en-US"/>
              </w:rPr>
            </w:pPr>
            <w:r w:rsidRPr="001D6381">
              <w:rPr>
                <w:rFonts w:cs="Calibri"/>
                <w:i/>
                <w:sz w:val="20"/>
                <w:szCs w:val="20"/>
                <w:lang w:eastAsia="en-US"/>
              </w:rPr>
              <w:t>Magallana gigas</w:t>
            </w:r>
          </w:p>
        </w:tc>
        <w:tc>
          <w:tcPr>
            <w:tcW w:w="850" w:type="dxa"/>
            <w:tcBorders>
              <w:top w:val="single" w:sz="4" w:space="0" w:color="44546A"/>
              <w:left w:val="single" w:sz="4" w:space="0" w:color="44546A"/>
              <w:bottom w:val="single" w:sz="4" w:space="0" w:color="44546A"/>
              <w:right w:val="single" w:sz="4" w:space="0" w:color="44546A"/>
            </w:tcBorders>
            <w:hideMark/>
          </w:tcPr>
          <w:p w14:paraId="7433B7D3"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1977</w:t>
            </w:r>
          </w:p>
        </w:tc>
        <w:tc>
          <w:tcPr>
            <w:tcW w:w="1134" w:type="dxa"/>
            <w:tcBorders>
              <w:top w:val="single" w:sz="4" w:space="0" w:color="44546A"/>
              <w:left w:val="single" w:sz="4" w:space="0" w:color="44546A"/>
              <w:bottom w:val="single" w:sz="4" w:space="0" w:color="44546A"/>
              <w:right w:val="single" w:sz="4" w:space="0" w:color="44546A"/>
            </w:tcBorders>
            <w:hideMark/>
          </w:tcPr>
          <w:p w14:paraId="7F2008FE"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Indo Pacifik</w:t>
            </w:r>
          </w:p>
        </w:tc>
        <w:tc>
          <w:tcPr>
            <w:tcW w:w="1276" w:type="dxa"/>
            <w:tcBorders>
              <w:top w:val="single" w:sz="4" w:space="0" w:color="44546A"/>
              <w:left w:val="single" w:sz="4" w:space="0" w:color="44546A"/>
              <w:bottom w:val="single" w:sz="4" w:space="0" w:color="44546A"/>
              <w:right w:val="single" w:sz="4" w:space="0" w:color="44546A"/>
            </w:tcBorders>
            <w:hideMark/>
          </w:tcPr>
          <w:p w14:paraId="0B05F57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Akvakultura</w:t>
            </w:r>
          </w:p>
        </w:tc>
        <w:tc>
          <w:tcPr>
            <w:tcW w:w="1418" w:type="dxa"/>
            <w:tcBorders>
              <w:top w:val="single" w:sz="4" w:space="0" w:color="44546A"/>
              <w:left w:val="single" w:sz="4" w:space="0" w:color="44546A"/>
              <w:bottom w:val="single" w:sz="4" w:space="0" w:color="44546A"/>
              <w:right w:val="single" w:sz="4" w:space="0" w:color="44546A"/>
            </w:tcBorders>
            <w:hideMark/>
          </w:tcPr>
          <w:p w14:paraId="7EA7373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6FFF0AE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Odomaćena</w:t>
            </w:r>
          </w:p>
        </w:tc>
        <w:tc>
          <w:tcPr>
            <w:tcW w:w="1275" w:type="dxa"/>
            <w:tcBorders>
              <w:top w:val="single" w:sz="4" w:space="0" w:color="44546A"/>
              <w:left w:val="single" w:sz="4" w:space="0" w:color="44546A"/>
              <w:bottom w:val="single" w:sz="4" w:space="0" w:color="44546A"/>
              <w:right w:val="single" w:sz="4" w:space="0" w:color="44546A"/>
            </w:tcBorders>
            <w:hideMark/>
          </w:tcPr>
          <w:p w14:paraId="265247E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Kotor</w:t>
            </w:r>
          </w:p>
        </w:tc>
        <w:tc>
          <w:tcPr>
            <w:tcW w:w="1843" w:type="dxa"/>
            <w:tcBorders>
              <w:top w:val="single" w:sz="4" w:space="0" w:color="44546A"/>
              <w:left w:val="single" w:sz="4" w:space="0" w:color="44546A"/>
              <w:bottom w:val="single" w:sz="4" w:space="0" w:color="44546A"/>
              <w:right w:val="single" w:sz="4" w:space="0" w:color="44546A"/>
            </w:tcBorders>
            <w:hideMark/>
          </w:tcPr>
          <w:p w14:paraId="3D9DA98F"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Stjepčević et al. 1977</w:t>
            </w:r>
          </w:p>
        </w:tc>
      </w:tr>
      <w:tr w:rsidR="001D6381" w:rsidRPr="001D6381" w14:paraId="50E2D6D5"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6AB4B32F"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Rapana venosa</w:t>
            </w:r>
          </w:p>
        </w:tc>
        <w:tc>
          <w:tcPr>
            <w:tcW w:w="850" w:type="dxa"/>
            <w:tcBorders>
              <w:top w:val="single" w:sz="4" w:space="0" w:color="44546A"/>
              <w:left w:val="single" w:sz="4" w:space="0" w:color="44546A"/>
              <w:bottom w:val="single" w:sz="4" w:space="0" w:color="44546A"/>
              <w:right w:val="single" w:sz="4" w:space="0" w:color="44546A"/>
            </w:tcBorders>
            <w:hideMark/>
          </w:tcPr>
          <w:p w14:paraId="314AEF96"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2019</w:t>
            </w:r>
          </w:p>
        </w:tc>
        <w:tc>
          <w:tcPr>
            <w:tcW w:w="1134" w:type="dxa"/>
            <w:tcBorders>
              <w:top w:val="single" w:sz="4" w:space="0" w:color="44546A"/>
              <w:left w:val="single" w:sz="4" w:space="0" w:color="44546A"/>
              <w:bottom w:val="single" w:sz="4" w:space="0" w:color="44546A"/>
              <w:right w:val="single" w:sz="4" w:space="0" w:color="44546A"/>
            </w:tcBorders>
            <w:hideMark/>
          </w:tcPr>
          <w:p w14:paraId="22D61B5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Zapadni Pacifik</w:t>
            </w:r>
          </w:p>
        </w:tc>
        <w:tc>
          <w:tcPr>
            <w:tcW w:w="1276" w:type="dxa"/>
            <w:tcBorders>
              <w:top w:val="single" w:sz="4" w:space="0" w:color="44546A"/>
              <w:left w:val="single" w:sz="4" w:space="0" w:color="44546A"/>
              <w:bottom w:val="single" w:sz="4" w:space="0" w:color="44546A"/>
              <w:right w:val="single" w:sz="4" w:space="0" w:color="44546A"/>
            </w:tcBorders>
            <w:hideMark/>
          </w:tcPr>
          <w:p w14:paraId="0AE3CE3F"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 xml:space="preserve">Brodovi </w:t>
            </w:r>
          </w:p>
        </w:tc>
        <w:tc>
          <w:tcPr>
            <w:tcW w:w="1418" w:type="dxa"/>
            <w:tcBorders>
              <w:top w:val="single" w:sz="4" w:space="0" w:color="44546A"/>
              <w:left w:val="single" w:sz="4" w:space="0" w:color="44546A"/>
              <w:bottom w:val="single" w:sz="4" w:space="0" w:color="44546A"/>
              <w:right w:val="single" w:sz="4" w:space="0" w:color="44546A"/>
            </w:tcBorders>
            <w:hideMark/>
          </w:tcPr>
          <w:p w14:paraId="606C011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2A7347D2"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Odomaćena</w:t>
            </w:r>
          </w:p>
        </w:tc>
        <w:tc>
          <w:tcPr>
            <w:tcW w:w="1275" w:type="dxa"/>
            <w:tcBorders>
              <w:top w:val="single" w:sz="4" w:space="0" w:color="44546A"/>
              <w:left w:val="single" w:sz="4" w:space="0" w:color="44546A"/>
              <w:bottom w:val="single" w:sz="4" w:space="0" w:color="44546A"/>
              <w:right w:val="single" w:sz="4" w:space="0" w:color="44546A"/>
            </w:tcBorders>
            <w:hideMark/>
          </w:tcPr>
          <w:p w14:paraId="2397030E"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Herceg Novi</w:t>
            </w:r>
          </w:p>
        </w:tc>
        <w:tc>
          <w:tcPr>
            <w:tcW w:w="1843" w:type="dxa"/>
            <w:tcBorders>
              <w:top w:val="single" w:sz="4" w:space="0" w:color="44546A"/>
              <w:left w:val="single" w:sz="4" w:space="0" w:color="44546A"/>
              <w:bottom w:val="single" w:sz="4" w:space="0" w:color="44546A"/>
              <w:right w:val="single" w:sz="4" w:space="0" w:color="44546A"/>
            </w:tcBorders>
            <w:hideMark/>
          </w:tcPr>
          <w:p w14:paraId="735CF9A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Petović 2019</w:t>
            </w:r>
          </w:p>
        </w:tc>
      </w:tr>
      <w:tr w:rsidR="001D6381" w:rsidRPr="001D6381" w14:paraId="45697919" w14:textId="77777777" w:rsidTr="0046315C">
        <w:tc>
          <w:tcPr>
            <w:tcW w:w="9209" w:type="dxa"/>
            <w:gridSpan w:val="7"/>
            <w:tcBorders>
              <w:top w:val="single" w:sz="4" w:space="0" w:color="44546A"/>
              <w:left w:val="single" w:sz="4" w:space="0" w:color="44546A"/>
              <w:bottom w:val="single" w:sz="4" w:space="0" w:color="44546A"/>
              <w:right w:val="single" w:sz="4" w:space="0" w:color="44546A"/>
            </w:tcBorders>
            <w:shd w:val="clear" w:color="auto" w:fill="8DB3E2" w:themeFill="text2" w:themeFillTint="66"/>
            <w:hideMark/>
          </w:tcPr>
          <w:p w14:paraId="29588EC2" w14:textId="77777777" w:rsidR="001D6381" w:rsidRPr="001D6381" w:rsidRDefault="001D6381" w:rsidP="001D6381">
            <w:pPr>
              <w:spacing w:before="0" w:after="0" w:line="240" w:lineRule="auto"/>
              <w:jc w:val="left"/>
              <w:rPr>
                <w:rFonts w:cs="Calibri"/>
                <w:sz w:val="20"/>
                <w:szCs w:val="20"/>
                <w:lang w:eastAsia="en-US"/>
              </w:rPr>
            </w:pPr>
            <w:r w:rsidRPr="001D6381">
              <w:rPr>
                <w:rFonts w:cs="Calibri"/>
                <w:b/>
                <w:iCs/>
                <w:sz w:val="20"/>
                <w:szCs w:val="20"/>
                <w:lang w:eastAsia="en-US"/>
              </w:rPr>
              <w:t>CRUSTACEA</w:t>
            </w:r>
          </w:p>
        </w:tc>
      </w:tr>
      <w:tr w:rsidR="001D6381" w:rsidRPr="001D6381" w14:paraId="52CC500F"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7A579F00" w14:textId="77777777" w:rsidR="001D6381" w:rsidRPr="001D6381" w:rsidRDefault="001D6381" w:rsidP="001D6381">
            <w:pPr>
              <w:spacing w:before="0" w:after="0" w:line="240" w:lineRule="auto"/>
              <w:jc w:val="left"/>
              <w:rPr>
                <w:rFonts w:cs="Calibri"/>
                <w:sz w:val="20"/>
                <w:szCs w:val="20"/>
                <w:lang w:eastAsia="en-US"/>
              </w:rPr>
            </w:pPr>
            <w:r w:rsidRPr="001D6381">
              <w:rPr>
                <w:rFonts w:cs="Calibri"/>
                <w:i/>
                <w:sz w:val="20"/>
                <w:szCs w:val="20"/>
                <w:lang w:eastAsia="en-US"/>
              </w:rPr>
              <w:t>Penaeus aztecus</w:t>
            </w:r>
          </w:p>
        </w:tc>
        <w:tc>
          <w:tcPr>
            <w:tcW w:w="850" w:type="dxa"/>
            <w:tcBorders>
              <w:top w:val="single" w:sz="4" w:space="0" w:color="44546A"/>
              <w:left w:val="single" w:sz="4" w:space="0" w:color="44546A"/>
              <w:bottom w:val="single" w:sz="4" w:space="0" w:color="44546A"/>
              <w:right w:val="single" w:sz="4" w:space="0" w:color="44546A"/>
            </w:tcBorders>
            <w:hideMark/>
          </w:tcPr>
          <w:p w14:paraId="0E7BCAE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2013</w:t>
            </w:r>
          </w:p>
        </w:tc>
        <w:tc>
          <w:tcPr>
            <w:tcW w:w="1134" w:type="dxa"/>
            <w:tcBorders>
              <w:top w:val="single" w:sz="4" w:space="0" w:color="44546A"/>
              <w:left w:val="single" w:sz="4" w:space="0" w:color="44546A"/>
              <w:bottom w:val="single" w:sz="4" w:space="0" w:color="44546A"/>
              <w:right w:val="single" w:sz="4" w:space="0" w:color="44546A"/>
            </w:tcBorders>
            <w:hideMark/>
          </w:tcPr>
          <w:p w14:paraId="3E24866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Sjevero zapadni Atlantik</w:t>
            </w:r>
          </w:p>
        </w:tc>
        <w:tc>
          <w:tcPr>
            <w:tcW w:w="1276" w:type="dxa"/>
            <w:tcBorders>
              <w:top w:val="single" w:sz="4" w:space="0" w:color="44546A"/>
              <w:left w:val="single" w:sz="4" w:space="0" w:color="44546A"/>
              <w:bottom w:val="single" w:sz="4" w:space="0" w:color="44546A"/>
              <w:right w:val="single" w:sz="4" w:space="0" w:color="44546A"/>
            </w:tcBorders>
            <w:hideMark/>
          </w:tcPr>
          <w:p w14:paraId="1A448F2F"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5335C44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50B7DF9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Odomaćena</w:t>
            </w:r>
          </w:p>
        </w:tc>
        <w:tc>
          <w:tcPr>
            <w:tcW w:w="1275" w:type="dxa"/>
            <w:tcBorders>
              <w:top w:val="single" w:sz="4" w:space="0" w:color="44546A"/>
              <w:left w:val="single" w:sz="4" w:space="0" w:color="44546A"/>
              <w:bottom w:val="single" w:sz="4" w:space="0" w:color="44546A"/>
              <w:right w:val="single" w:sz="4" w:space="0" w:color="44546A"/>
            </w:tcBorders>
            <w:hideMark/>
          </w:tcPr>
          <w:p w14:paraId="3908763F"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Tivat</w:t>
            </w:r>
          </w:p>
        </w:tc>
        <w:tc>
          <w:tcPr>
            <w:tcW w:w="1843" w:type="dxa"/>
            <w:tcBorders>
              <w:top w:val="single" w:sz="4" w:space="0" w:color="44546A"/>
              <w:left w:val="single" w:sz="4" w:space="0" w:color="44546A"/>
              <w:bottom w:val="single" w:sz="4" w:space="0" w:color="44546A"/>
              <w:right w:val="single" w:sz="4" w:space="0" w:color="44546A"/>
            </w:tcBorders>
            <w:hideMark/>
          </w:tcPr>
          <w:p w14:paraId="14AD2E0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Marković et al. 2013</w:t>
            </w:r>
          </w:p>
        </w:tc>
      </w:tr>
      <w:tr w:rsidR="001D6381" w:rsidRPr="001D6381" w14:paraId="0BA178D8"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03283727" w14:textId="77777777" w:rsidR="001D6381" w:rsidRPr="001D6381" w:rsidRDefault="001D6381" w:rsidP="001D6381">
            <w:pPr>
              <w:spacing w:before="0" w:after="0" w:line="240" w:lineRule="auto"/>
              <w:jc w:val="left"/>
              <w:rPr>
                <w:rFonts w:cs="Calibri"/>
                <w:sz w:val="20"/>
                <w:szCs w:val="20"/>
                <w:lang w:eastAsia="en-US"/>
              </w:rPr>
            </w:pPr>
            <w:r w:rsidRPr="001D6381">
              <w:rPr>
                <w:rFonts w:cs="Calibri"/>
                <w:i/>
                <w:sz w:val="20"/>
                <w:szCs w:val="20"/>
                <w:lang w:eastAsia="en-US"/>
              </w:rPr>
              <w:t>Callinectes sapidus</w:t>
            </w:r>
          </w:p>
        </w:tc>
        <w:tc>
          <w:tcPr>
            <w:tcW w:w="850" w:type="dxa"/>
            <w:tcBorders>
              <w:top w:val="single" w:sz="4" w:space="0" w:color="44546A"/>
              <w:left w:val="single" w:sz="4" w:space="0" w:color="44546A"/>
              <w:bottom w:val="single" w:sz="4" w:space="0" w:color="44546A"/>
              <w:right w:val="single" w:sz="4" w:space="0" w:color="44546A"/>
            </w:tcBorders>
            <w:hideMark/>
          </w:tcPr>
          <w:p w14:paraId="38D895A1"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2006</w:t>
            </w:r>
          </w:p>
        </w:tc>
        <w:tc>
          <w:tcPr>
            <w:tcW w:w="1134" w:type="dxa"/>
            <w:tcBorders>
              <w:top w:val="single" w:sz="4" w:space="0" w:color="44546A"/>
              <w:left w:val="single" w:sz="4" w:space="0" w:color="44546A"/>
              <w:bottom w:val="single" w:sz="4" w:space="0" w:color="44546A"/>
              <w:right w:val="single" w:sz="4" w:space="0" w:color="44546A"/>
            </w:tcBorders>
            <w:hideMark/>
          </w:tcPr>
          <w:p w14:paraId="67F11FC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Zapadni  Atlantik</w:t>
            </w:r>
          </w:p>
        </w:tc>
        <w:tc>
          <w:tcPr>
            <w:tcW w:w="1276" w:type="dxa"/>
            <w:tcBorders>
              <w:top w:val="single" w:sz="4" w:space="0" w:color="44546A"/>
              <w:left w:val="single" w:sz="4" w:space="0" w:color="44546A"/>
              <w:bottom w:val="single" w:sz="4" w:space="0" w:color="44546A"/>
              <w:right w:val="single" w:sz="4" w:space="0" w:color="44546A"/>
            </w:tcBorders>
            <w:hideMark/>
          </w:tcPr>
          <w:p w14:paraId="285BE69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68A8E5A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327FDCA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Odomaćena</w:t>
            </w:r>
          </w:p>
        </w:tc>
        <w:tc>
          <w:tcPr>
            <w:tcW w:w="1275" w:type="dxa"/>
            <w:tcBorders>
              <w:top w:val="single" w:sz="4" w:space="0" w:color="44546A"/>
              <w:left w:val="single" w:sz="4" w:space="0" w:color="44546A"/>
              <w:bottom w:val="single" w:sz="4" w:space="0" w:color="44546A"/>
              <w:right w:val="single" w:sz="4" w:space="0" w:color="44546A"/>
            </w:tcBorders>
            <w:hideMark/>
          </w:tcPr>
          <w:p w14:paraId="6E403B4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Ulcinj ,Jaz, Oblatno</w:t>
            </w:r>
          </w:p>
        </w:tc>
        <w:tc>
          <w:tcPr>
            <w:tcW w:w="1843" w:type="dxa"/>
            <w:tcBorders>
              <w:top w:val="single" w:sz="4" w:space="0" w:color="44546A"/>
              <w:left w:val="single" w:sz="4" w:space="0" w:color="44546A"/>
              <w:bottom w:val="single" w:sz="4" w:space="0" w:color="44546A"/>
              <w:right w:val="single" w:sz="4" w:space="0" w:color="44546A"/>
            </w:tcBorders>
            <w:hideMark/>
          </w:tcPr>
          <w:p w14:paraId="312FA38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Zenetos et al. 2011</w:t>
            </w:r>
          </w:p>
        </w:tc>
      </w:tr>
      <w:tr w:rsidR="001D6381" w:rsidRPr="001D6381" w14:paraId="01C1CF21"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4CA5A12D" w14:textId="77777777" w:rsidR="001D6381" w:rsidRPr="001D6381" w:rsidRDefault="001D6381" w:rsidP="001D6381">
            <w:pPr>
              <w:spacing w:before="0" w:after="0" w:line="240" w:lineRule="auto"/>
              <w:jc w:val="left"/>
              <w:rPr>
                <w:rFonts w:cs="Calibri"/>
                <w:sz w:val="20"/>
                <w:szCs w:val="20"/>
                <w:lang w:eastAsia="en-US"/>
              </w:rPr>
            </w:pPr>
            <w:r w:rsidRPr="001D6381">
              <w:rPr>
                <w:rFonts w:cs="Calibri"/>
                <w:i/>
                <w:sz w:val="20"/>
                <w:szCs w:val="20"/>
                <w:lang w:eastAsia="en-US"/>
              </w:rPr>
              <w:t>Amphibalanus eburneus</w:t>
            </w:r>
          </w:p>
        </w:tc>
        <w:tc>
          <w:tcPr>
            <w:tcW w:w="850" w:type="dxa"/>
            <w:tcBorders>
              <w:top w:val="single" w:sz="4" w:space="0" w:color="44546A"/>
              <w:left w:val="single" w:sz="4" w:space="0" w:color="44546A"/>
              <w:bottom w:val="single" w:sz="4" w:space="0" w:color="44546A"/>
              <w:right w:val="single" w:sz="4" w:space="0" w:color="44546A"/>
            </w:tcBorders>
            <w:hideMark/>
          </w:tcPr>
          <w:p w14:paraId="092529B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1983</w:t>
            </w:r>
          </w:p>
        </w:tc>
        <w:tc>
          <w:tcPr>
            <w:tcW w:w="1134" w:type="dxa"/>
            <w:tcBorders>
              <w:top w:val="single" w:sz="4" w:space="0" w:color="44546A"/>
              <w:left w:val="single" w:sz="4" w:space="0" w:color="44546A"/>
              <w:bottom w:val="single" w:sz="4" w:space="0" w:color="44546A"/>
              <w:right w:val="single" w:sz="4" w:space="0" w:color="44546A"/>
            </w:tcBorders>
            <w:hideMark/>
          </w:tcPr>
          <w:p w14:paraId="71BE40A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Zapadni  Atlantik</w:t>
            </w:r>
          </w:p>
        </w:tc>
        <w:tc>
          <w:tcPr>
            <w:tcW w:w="1276" w:type="dxa"/>
            <w:tcBorders>
              <w:top w:val="single" w:sz="4" w:space="0" w:color="44546A"/>
              <w:left w:val="single" w:sz="4" w:space="0" w:color="44546A"/>
              <w:bottom w:val="single" w:sz="4" w:space="0" w:color="44546A"/>
              <w:right w:val="single" w:sz="4" w:space="0" w:color="44546A"/>
            </w:tcBorders>
            <w:hideMark/>
          </w:tcPr>
          <w:p w14:paraId="2AC3F59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Akvakultura/</w:t>
            </w:r>
          </w:p>
          <w:p w14:paraId="3AB1FD2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594A4DD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1299D8B3"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Odomaćena</w:t>
            </w:r>
          </w:p>
        </w:tc>
        <w:tc>
          <w:tcPr>
            <w:tcW w:w="1275" w:type="dxa"/>
            <w:tcBorders>
              <w:top w:val="single" w:sz="4" w:space="0" w:color="44546A"/>
              <w:left w:val="single" w:sz="4" w:space="0" w:color="44546A"/>
              <w:bottom w:val="single" w:sz="4" w:space="0" w:color="44546A"/>
              <w:right w:val="single" w:sz="4" w:space="0" w:color="44546A"/>
            </w:tcBorders>
            <w:hideMark/>
          </w:tcPr>
          <w:p w14:paraId="331B1475"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Kotor</w:t>
            </w:r>
          </w:p>
        </w:tc>
        <w:tc>
          <w:tcPr>
            <w:tcW w:w="1843" w:type="dxa"/>
            <w:tcBorders>
              <w:top w:val="single" w:sz="4" w:space="0" w:color="44546A"/>
              <w:left w:val="single" w:sz="4" w:space="0" w:color="44546A"/>
              <w:bottom w:val="single" w:sz="4" w:space="0" w:color="44546A"/>
              <w:right w:val="single" w:sz="4" w:space="0" w:color="44546A"/>
            </w:tcBorders>
            <w:hideMark/>
          </w:tcPr>
          <w:p w14:paraId="30ECA6A5"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Igić 1983</w:t>
            </w:r>
          </w:p>
        </w:tc>
      </w:tr>
      <w:tr w:rsidR="001D6381" w:rsidRPr="001D6381" w14:paraId="747A7C21" w14:textId="77777777" w:rsidTr="0046315C">
        <w:tc>
          <w:tcPr>
            <w:tcW w:w="9209" w:type="dxa"/>
            <w:gridSpan w:val="7"/>
            <w:tcBorders>
              <w:top w:val="single" w:sz="4" w:space="0" w:color="44546A"/>
              <w:left w:val="single" w:sz="4" w:space="0" w:color="44546A"/>
              <w:bottom w:val="single" w:sz="4" w:space="0" w:color="44546A"/>
              <w:right w:val="single" w:sz="4" w:space="0" w:color="44546A"/>
            </w:tcBorders>
            <w:shd w:val="clear" w:color="auto" w:fill="8DB3E2" w:themeFill="text2" w:themeFillTint="66"/>
            <w:hideMark/>
          </w:tcPr>
          <w:p w14:paraId="0333C789" w14:textId="2A336BB2" w:rsidR="001D6381" w:rsidRPr="001D6381" w:rsidRDefault="001D6381" w:rsidP="001D6381">
            <w:pPr>
              <w:spacing w:before="0" w:after="0" w:line="240" w:lineRule="auto"/>
              <w:jc w:val="left"/>
              <w:rPr>
                <w:rFonts w:cs="Calibri"/>
                <w:sz w:val="20"/>
                <w:szCs w:val="20"/>
                <w:lang w:eastAsia="en-US"/>
              </w:rPr>
            </w:pPr>
            <w:r w:rsidRPr="001D6381">
              <w:rPr>
                <w:rFonts w:cs="Calibri"/>
                <w:b/>
                <w:iCs/>
                <w:sz w:val="20"/>
                <w:szCs w:val="20"/>
                <w:lang w:eastAsia="en-US"/>
              </w:rPr>
              <w:t>ANN</w:t>
            </w:r>
            <w:r w:rsidR="00D70BE8">
              <w:rPr>
                <w:rFonts w:cs="Calibri"/>
                <w:b/>
                <w:iCs/>
                <w:sz w:val="20"/>
                <w:szCs w:val="20"/>
                <w:lang w:eastAsia="en-US"/>
              </w:rPr>
              <w:t>E</w:t>
            </w:r>
            <w:r w:rsidRPr="001D6381">
              <w:rPr>
                <w:rFonts w:cs="Calibri"/>
                <w:b/>
                <w:iCs/>
                <w:sz w:val="20"/>
                <w:szCs w:val="20"/>
                <w:lang w:eastAsia="en-US"/>
              </w:rPr>
              <w:t>LIDA</w:t>
            </w:r>
          </w:p>
        </w:tc>
      </w:tr>
      <w:tr w:rsidR="001D6381" w:rsidRPr="001D6381" w14:paraId="4A792C34"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19F8F905" w14:textId="77777777" w:rsidR="001D6381" w:rsidRPr="001D6381" w:rsidRDefault="001D6381" w:rsidP="001D6381">
            <w:pPr>
              <w:spacing w:before="0" w:after="0" w:line="240" w:lineRule="auto"/>
              <w:jc w:val="left"/>
              <w:rPr>
                <w:rFonts w:cs="Calibri"/>
                <w:sz w:val="20"/>
                <w:szCs w:val="20"/>
                <w:lang w:eastAsia="en-US"/>
              </w:rPr>
            </w:pPr>
            <w:r w:rsidRPr="001D6381">
              <w:rPr>
                <w:rFonts w:cs="Calibri"/>
                <w:i/>
                <w:sz w:val="20"/>
                <w:szCs w:val="20"/>
                <w:lang w:eastAsia="en-US"/>
              </w:rPr>
              <w:t>Hydroides dirampha</w:t>
            </w:r>
          </w:p>
        </w:tc>
        <w:tc>
          <w:tcPr>
            <w:tcW w:w="850" w:type="dxa"/>
            <w:tcBorders>
              <w:top w:val="single" w:sz="4" w:space="0" w:color="44546A"/>
              <w:left w:val="single" w:sz="4" w:space="0" w:color="44546A"/>
              <w:bottom w:val="single" w:sz="4" w:space="0" w:color="44546A"/>
              <w:right w:val="single" w:sz="4" w:space="0" w:color="44546A"/>
            </w:tcBorders>
            <w:hideMark/>
          </w:tcPr>
          <w:p w14:paraId="7F75EA8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2014</w:t>
            </w:r>
          </w:p>
        </w:tc>
        <w:tc>
          <w:tcPr>
            <w:tcW w:w="1134" w:type="dxa"/>
            <w:tcBorders>
              <w:top w:val="single" w:sz="4" w:space="0" w:color="44546A"/>
              <w:left w:val="single" w:sz="4" w:space="0" w:color="44546A"/>
              <w:bottom w:val="single" w:sz="4" w:space="0" w:color="44546A"/>
              <w:right w:val="single" w:sz="4" w:space="0" w:color="44546A"/>
            </w:tcBorders>
            <w:hideMark/>
          </w:tcPr>
          <w:p w14:paraId="69B3930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Circumtropical</w:t>
            </w:r>
          </w:p>
        </w:tc>
        <w:tc>
          <w:tcPr>
            <w:tcW w:w="1276" w:type="dxa"/>
            <w:tcBorders>
              <w:top w:val="single" w:sz="4" w:space="0" w:color="44546A"/>
              <w:left w:val="single" w:sz="4" w:space="0" w:color="44546A"/>
              <w:bottom w:val="single" w:sz="4" w:space="0" w:color="44546A"/>
              <w:right w:val="single" w:sz="4" w:space="0" w:color="44546A"/>
            </w:tcBorders>
            <w:hideMark/>
          </w:tcPr>
          <w:p w14:paraId="291CB77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4DB7C326"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tc>
        <w:tc>
          <w:tcPr>
            <w:tcW w:w="1275" w:type="dxa"/>
            <w:tcBorders>
              <w:top w:val="single" w:sz="4" w:space="0" w:color="44546A"/>
              <w:left w:val="single" w:sz="4" w:space="0" w:color="44546A"/>
              <w:bottom w:val="single" w:sz="4" w:space="0" w:color="44546A"/>
              <w:right w:val="single" w:sz="4" w:space="0" w:color="44546A"/>
            </w:tcBorders>
            <w:hideMark/>
          </w:tcPr>
          <w:p w14:paraId="1DC65E0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Bar</w:t>
            </w:r>
          </w:p>
        </w:tc>
        <w:tc>
          <w:tcPr>
            <w:tcW w:w="1843" w:type="dxa"/>
            <w:tcBorders>
              <w:top w:val="single" w:sz="4" w:space="0" w:color="44546A"/>
              <w:left w:val="single" w:sz="4" w:space="0" w:color="44546A"/>
              <w:bottom w:val="single" w:sz="4" w:space="0" w:color="44546A"/>
              <w:right w:val="single" w:sz="4" w:space="0" w:color="44546A"/>
            </w:tcBorders>
            <w:hideMark/>
          </w:tcPr>
          <w:p w14:paraId="5E10EDA1"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Spagnolo et al. 2018</w:t>
            </w:r>
          </w:p>
        </w:tc>
      </w:tr>
      <w:tr w:rsidR="001D6381" w:rsidRPr="001D6381" w14:paraId="692CD121"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25A1A441"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Palola valida</w:t>
            </w:r>
          </w:p>
        </w:tc>
        <w:tc>
          <w:tcPr>
            <w:tcW w:w="850" w:type="dxa"/>
            <w:tcBorders>
              <w:top w:val="single" w:sz="4" w:space="0" w:color="44546A"/>
              <w:left w:val="single" w:sz="4" w:space="0" w:color="44546A"/>
              <w:bottom w:val="single" w:sz="4" w:space="0" w:color="44546A"/>
              <w:right w:val="single" w:sz="4" w:space="0" w:color="44546A"/>
            </w:tcBorders>
            <w:hideMark/>
          </w:tcPr>
          <w:p w14:paraId="45271187"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2014</w:t>
            </w:r>
          </w:p>
        </w:tc>
        <w:tc>
          <w:tcPr>
            <w:tcW w:w="1134" w:type="dxa"/>
            <w:tcBorders>
              <w:top w:val="single" w:sz="4" w:space="0" w:color="44546A"/>
              <w:left w:val="single" w:sz="4" w:space="0" w:color="44546A"/>
              <w:bottom w:val="single" w:sz="4" w:space="0" w:color="44546A"/>
              <w:right w:val="single" w:sz="4" w:space="0" w:color="44546A"/>
            </w:tcBorders>
            <w:hideMark/>
          </w:tcPr>
          <w:p w14:paraId="06D83F9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Crveno more</w:t>
            </w:r>
          </w:p>
        </w:tc>
        <w:tc>
          <w:tcPr>
            <w:tcW w:w="1276" w:type="dxa"/>
            <w:tcBorders>
              <w:top w:val="single" w:sz="4" w:space="0" w:color="44546A"/>
              <w:left w:val="single" w:sz="4" w:space="0" w:color="44546A"/>
              <w:bottom w:val="single" w:sz="4" w:space="0" w:color="44546A"/>
              <w:right w:val="single" w:sz="4" w:space="0" w:color="44546A"/>
            </w:tcBorders>
            <w:hideMark/>
          </w:tcPr>
          <w:p w14:paraId="310B30C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155B4EB6"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tc>
        <w:tc>
          <w:tcPr>
            <w:tcW w:w="1275" w:type="dxa"/>
            <w:tcBorders>
              <w:top w:val="single" w:sz="4" w:space="0" w:color="44546A"/>
              <w:left w:val="single" w:sz="4" w:space="0" w:color="44546A"/>
              <w:bottom w:val="single" w:sz="4" w:space="0" w:color="44546A"/>
              <w:right w:val="single" w:sz="4" w:space="0" w:color="44546A"/>
            </w:tcBorders>
            <w:hideMark/>
          </w:tcPr>
          <w:p w14:paraId="6AE75EB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Bar</w:t>
            </w:r>
          </w:p>
        </w:tc>
        <w:tc>
          <w:tcPr>
            <w:tcW w:w="1843" w:type="dxa"/>
            <w:tcBorders>
              <w:top w:val="single" w:sz="4" w:space="0" w:color="44546A"/>
              <w:left w:val="single" w:sz="4" w:space="0" w:color="44546A"/>
              <w:bottom w:val="single" w:sz="4" w:space="0" w:color="44546A"/>
              <w:right w:val="single" w:sz="4" w:space="0" w:color="44546A"/>
            </w:tcBorders>
            <w:hideMark/>
          </w:tcPr>
          <w:p w14:paraId="4929F1C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Spagnolo et al. 2018</w:t>
            </w:r>
          </w:p>
        </w:tc>
      </w:tr>
      <w:tr w:rsidR="001D6381" w:rsidRPr="001D6381" w14:paraId="321C6254" w14:textId="77777777" w:rsidTr="0046315C">
        <w:tc>
          <w:tcPr>
            <w:tcW w:w="9209" w:type="dxa"/>
            <w:gridSpan w:val="7"/>
            <w:tcBorders>
              <w:top w:val="single" w:sz="4" w:space="0" w:color="44546A"/>
              <w:left w:val="single" w:sz="4" w:space="0" w:color="44546A"/>
              <w:bottom w:val="single" w:sz="4" w:space="0" w:color="44546A"/>
              <w:right w:val="single" w:sz="4" w:space="0" w:color="44546A"/>
            </w:tcBorders>
            <w:shd w:val="clear" w:color="auto" w:fill="8DB3E2" w:themeFill="text2" w:themeFillTint="66"/>
            <w:hideMark/>
          </w:tcPr>
          <w:p w14:paraId="775FD286" w14:textId="77777777" w:rsidR="001D6381" w:rsidRPr="001D6381" w:rsidRDefault="001D6381" w:rsidP="001D6381">
            <w:pPr>
              <w:spacing w:before="0" w:after="0" w:line="240" w:lineRule="auto"/>
              <w:jc w:val="left"/>
              <w:rPr>
                <w:rFonts w:cs="Calibri"/>
                <w:sz w:val="20"/>
                <w:szCs w:val="20"/>
                <w:lang w:eastAsia="en-US"/>
              </w:rPr>
            </w:pPr>
            <w:r w:rsidRPr="001D6381">
              <w:rPr>
                <w:rFonts w:cs="Calibri"/>
                <w:b/>
                <w:iCs/>
                <w:sz w:val="20"/>
                <w:szCs w:val="20"/>
                <w:lang w:eastAsia="en-US"/>
              </w:rPr>
              <w:t>BRYOZOA</w:t>
            </w:r>
          </w:p>
        </w:tc>
      </w:tr>
      <w:tr w:rsidR="001D6381" w:rsidRPr="001D6381" w14:paraId="6844182E"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05F50FE7" w14:textId="77777777" w:rsidR="001D6381" w:rsidRPr="001D6381" w:rsidRDefault="001D6381" w:rsidP="001D6381">
            <w:pPr>
              <w:spacing w:before="0" w:after="0" w:line="240" w:lineRule="auto"/>
              <w:jc w:val="left"/>
              <w:rPr>
                <w:rFonts w:cs="Calibri"/>
                <w:sz w:val="20"/>
                <w:szCs w:val="20"/>
                <w:lang w:eastAsia="en-US"/>
              </w:rPr>
            </w:pPr>
            <w:r w:rsidRPr="001D6381">
              <w:rPr>
                <w:rFonts w:cs="Calibri"/>
                <w:i/>
                <w:sz w:val="20"/>
                <w:szCs w:val="20"/>
                <w:lang w:eastAsia="en-US"/>
              </w:rPr>
              <w:t>Bugula neritina</w:t>
            </w:r>
          </w:p>
        </w:tc>
        <w:tc>
          <w:tcPr>
            <w:tcW w:w="850" w:type="dxa"/>
            <w:tcBorders>
              <w:top w:val="single" w:sz="4" w:space="0" w:color="44546A"/>
              <w:left w:val="single" w:sz="4" w:space="0" w:color="44546A"/>
              <w:bottom w:val="single" w:sz="4" w:space="0" w:color="44546A"/>
              <w:right w:val="single" w:sz="4" w:space="0" w:color="44546A"/>
            </w:tcBorders>
            <w:hideMark/>
          </w:tcPr>
          <w:p w14:paraId="256FCD2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2014</w:t>
            </w:r>
          </w:p>
        </w:tc>
        <w:tc>
          <w:tcPr>
            <w:tcW w:w="1134" w:type="dxa"/>
            <w:tcBorders>
              <w:top w:val="single" w:sz="4" w:space="0" w:color="44546A"/>
              <w:left w:val="single" w:sz="4" w:space="0" w:color="44546A"/>
              <w:bottom w:val="single" w:sz="4" w:space="0" w:color="44546A"/>
              <w:right w:val="single" w:sz="4" w:space="0" w:color="44546A"/>
            </w:tcBorders>
            <w:hideMark/>
          </w:tcPr>
          <w:p w14:paraId="4D1E793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Nepoznato</w:t>
            </w:r>
          </w:p>
        </w:tc>
        <w:tc>
          <w:tcPr>
            <w:tcW w:w="1276" w:type="dxa"/>
            <w:tcBorders>
              <w:top w:val="single" w:sz="4" w:space="0" w:color="44546A"/>
              <w:left w:val="single" w:sz="4" w:space="0" w:color="44546A"/>
              <w:bottom w:val="single" w:sz="4" w:space="0" w:color="44546A"/>
              <w:right w:val="single" w:sz="4" w:space="0" w:color="44546A"/>
            </w:tcBorders>
            <w:hideMark/>
          </w:tcPr>
          <w:p w14:paraId="251DB662"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7FEAA14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Cryptogenic</w:t>
            </w:r>
          </w:p>
        </w:tc>
        <w:tc>
          <w:tcPr>
            <w:tcW w:w="1275" w:type="dxa"/>
            <w:tcBorders>
              <w:top w:val="single" w:sz="4" w:space="0" w:color="44546A"/>
              <w:left w:val="single" w:sz="4" w:space="0" w:color="44546A"/>
              <w:bottom w:val="single" w:sz="4" w:space="0" w:color="44546A"/>
              <w:right w:val="single" w:sz="4" w:space="0" w:color="44546A"/>
            </w:tcBorders>
            <w:hideMark/>
          </w:tcPr>
          <w:p w14:paraId="673AB653"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Bar</w:t>
            </w:r>
          </w:p>
        </w:tc>
        <w:tc>
          <w:tcPr>
            <w:tcW w:w="1843" w:type="dxa"/>
            <w:tcBorders>
              <w:top w:val="single" w:sz="4" w:space="0" w:color="44546A"/>
              <w:left w:val="single" w:sz="4" w:space="0" w:color="44546A"/>
              <w:bottom w:val="single" w:sz="4" w:space="0" w:color="44546A"/>
              <w:right w:val="single" w:sz="4" w:space="0" w:color="44546A"/>
            </w:tcBorders>
            <w:hideMark/>
          </w:tcPr>
          <w:p w14:paraId="5271869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Spagnolo et al. 2018</w:t>
            </w:r>
          </w:p>
        </w:tc>
      </w:tr>
      <w:tr w:rsidR="001D6381" w:rsidRPr="001D6381" w14:paraId="6B9C864A" w14:textId="77777777" w:rsidTr="001D6381">
        <w:tc>
          <w:tcPr>
            <w:tcW w:w="9209" w:type="dxa"/>
            <w:gridSpan w:val="7"/>
            <w:tcBorders>
              <w:top w:val="single" w:sz="4" w:space="0" w:color="44546A"/>
              <w:left w:val="single" w:sz="4" w:space="0" w:color="44546A"/>
              <w:bottom w:val="single" w:sz="4" w:space="0" w:color="44546A"/>
              <w:right w:val="single" w:sz="4" w:space="0" w:color="44546A"/>
            </w:tcBorders>
            <w:shd w:val="clear" w:color="auto" w:fill="BDD6EE"/>
            <w:hideMark/>
          </w:tcPr>
          <w:p w14:paraId="17607CB2" w14:textId="77777777" w:rsidR="001D6381" w:rsidRPr="001D6381" w:rsidRDefault="001D6381" w:rsidP="001D6381">
            <w:pPr>
              <w:spacing w:before="0" w:after="0" w:line="240" w:lineRule="auto"/>
              <w:jc w:val="left"/>
              <w:rPr>
                <w:rFonts w:cs="Calibri"/>
                <w:sz w:val="20"/>
                <w:szCs w:val="20"/>
                <w:lang w:eastAsia="en-US"/>
              </w:rPr>
            </w:pPr>
            <w:r w:rsidRPr="001D6381">
              <w:rPr>
                <w:rFonts w:cs="Calibri"/>
                <w:b/>
                <w:sz w:val="20"/>
                <w:szCs w:val="20"/>
                <w:lang w:eastAsia="en-US"/>
              </w:rPr>
              <w:t>TUNICATA</w:t>
            </w:r>
          </w:p>
        </w:tc>
      </w:tr>
      <w:tr w:rsidR="001D6381" w:rsidRPr="001D6381" w14:paraId="3F51AB2C"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6ED8A59D" w14:textId="77777777" w:rsidR="001D6381" w:rsidRPr="001D6381" w:rsidRDefault="001D6381" w:rsidP="001D6381">
            <w:pPr>
              <w:spacing w:before="0" w:after="0" w:line="240" w:lineRule="auto"/>
              <w:jc w:val="left"/>
              <w:rPr>
                <w:rFonts w:cs="Calibri"/>
                <w:sz w:val="20"/>
                <w:szCs w:val="20"/>
                <w:lang w:eastAsia="en-US"/>
              </w:rPr>
            </w:pPr>
            <w:r w:rsidRPr="001D6381">
              <w:rPr>
                <w:rFonts w:cs="Calibri"/>
                <w:i/>
                <w:sz w:val="20"/>
                <w:szCs w:val="20"/>
                <w:lang w:eastAsia="en-US"/>
              </w:rPr>
              <w:t>Styela plicata</w:t>
            </w:r>
          </w:p>
        </w:tc>
        <w:tc>
          <w:tcPr>
            <w:tcW w:w="850" w:type="dxa"/>
            <w:tcBorders>
              <w:top w:val="single" w:sz="4" w:space="0" w:color="44546A"/>
              <w:left w:val="single" w:sz="4" w:space="0" w:color="44546A"/>
              <w:bottom w:val="single" w:sz="4" w:space="0" w:color="44546A"/>
              <w:right w:val="single" w:sz="4" w:space="0" w:color="44546A"/>
            </w:tcBorders>
            <w:hideMark/>
          </w:tcPr>
          <w:p w14:paraId="0856650F"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2016</w:t>
            </w:r>
          </w:p>
        </w:tc>
        <w:tc>
          <w:tcPr>
            <w:tcW w:w="1134" w:type="dxa"/>
            <w:tcBorders>
              <w:top w:val="single" w:sz="4" w:space="0" w:color="44546A"/>
              <w:left w:val="single" w:sz="4" w:space="0" w:color="44546A"/>
              <w:bottom w:val="single" w:sz="4" w:space="0" w:color="44546A"/>
              <w:right w:val="single" w:sz="4" w:space="0" w:color="44546A"/>
            </w:tcBorders>
            <w:hideMark/>
          </w:tcPr>
          <w:p w14:paraId="756FAF03"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Zapadni  Atlantik</w:t>
            </w:r>
          </w:p>
        </w:tc>
        <w:tc>
          <w:tcPr>
            <w:tcW w:w="1276" w:type="dxa"/>
            <w:tcBorders>
              <w:top w:val="single" w:sz="4" w:space="0" w:color="44546A"/>
              <w:left w:val="single" w:sz="4" w:space="0" w:color="44546A"/>
              <w:bottom w:val="single" w:sz="4" w:space="0" w:color="44546A"/>
              <w:right w:val="single" w:sz="4" w:space="0" w:color="44546A"/>
            </w:tcBorders>
            <w:hideMark/>
          </w:tcPr>
          <w:p w14:paraId="5899F9A1"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Akvakultura/</w:t>
            </w:r>
          </w:p>
          <w:p w14:paraId="260A72E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Brodovi</w:t>
            </w:r>
          </w:p>
        </w:tc>
        <w:tc>
          <w:tcPr>
            <w:tcW w:w="1418" w:type="dxa"/>
            <w:tcBorders>
              <w:top w:val="single" w:sz="4" w:space="0" w:color="44546A"/>
              <w:left w:val="single" w:sz="4" w:space="0" w:color="44546A"/>
              <w:bottom w:val="single" w:sz="4" w:space="0" w:color="44546A"/>
              <w:right w:val="single" w:sz="4" w:space="0" w:color="44546A"/>
            </w:tcBorders>
            <w:hideMark/>
          </w:tcPr>
          <w:p w14:paraId="79E7B4F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4916D49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 xml:space="preserve">Odomaćena </w:t>
            </w:r>
          </w:p>
        </w:tc>
        <w:tc>
          <w:tcPr>
            <w:tcW w:w="1275" w:type="dxa"/>
            <w:tcBorders>
              <w:top w:val="single" w:sz="4" w:space="0" w:color="44546A"/>
              <w:left w:val="single" w:sz="4" w:space="0" w:color="44546A"/>
              <w:bottom w:val="single" w:sz="4" w:space="0" w:color="44546A"/>
              <w:right w:val="single" w:sz="4" w:space="0" w:color="44546A"/>
            </w:tcBorders>
            <w:hideMark/>
          </w:tcPr>
          <w:p w14:paraId="0BE6120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Tivat</w:t>
            </w:r>
          </w:p>
        </w:tc>
        <w:tc>
          <w:tcPr>
            <w:tcW w:w="1843" w:type="dxa"/>
            <w:tcBorders>
              <w:top w:val="single" w:sz="4" w:space="0" w:color="44546A"/>
              <w:left w:val="single" w:sz="4" w:space="0" w:color="44546A"/>
              <w:bottom w:val="single" w:sz="4" w:space="0" w:color="44546A"/>
              <w:right w:val="single" w:sz="4" w:space="0" w:color="44546A"/>
            </w:tcBorders>
            <w:hideMark/>
          </w:tcPr>
          <w:p w14:paraId="144F3FD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Petović &amp; Mačić, 2020</w:t>
            </w:r>
          </w:p>
        </w:tc>
      </w:tr>
      <w:tr w:rsidR="001D6381" w:rsidRPr="001D6381" w14:paraId="68B77EF9" w14:textId="77777777" w:rsidTr="0046315C">
        <w:tc>
          <w:tcPr>
            <w:tcW w:w="9209" w:type="dxa"/>
            <w:gridSpan w:val="7"/>
            <w:tcBorders>
              <w:top w:val="single" w:sz="4" w:space="0" w:color="44546A"/>
              <w:left w:val="single" w:sz="4" w:space="0" w:color="44546A"/>
              <w:bottom w:val="single" w:sz="4" w:space="0" w:color="44546A"/>
              <w:right w:val="single" w:sz="4" w:space="0" w:color="44546A"/>
            </w:tcBorders>
            <w:shd w:val="clear" w:color="auto" w:fill="8DB3E2" w:themeFill="text2" w:themeFillTint="66"/>
            <w:hideMark/>
          </w:tcPr>
          <w:p w14:paraId="3B207F11" w14:textId="77777777" w:rsidR="001D6381" w:rsidRPr="001D6381" w:rsidRDefault="001D6381" w:rsidP="001D6381">
            <w:pPr>
              <w:spacing w:before="0" w:after="0" w:line="240" w:lineRule="auto"/>
              <w:jc w:val="left"/>
              <w:rPr>
                <w:rFonts w:cs="Calibri"/>
                <w:sz w:val="20"/>
                <w:szCs w:val="20"/>
                <w:lang w:eastAsia="en-US"/>
              </w:rPr>
            </w:pPr>
            <w:r w:rsidRPr="001D6381">
              <w:rPr>
                <w:rFonts w:cs="Calibri"/>
                <w:b/>
                <w:iCs/>
                <w:sz w:val="20"/>
                <w:szCs w:val="20"/>
                <w:lang w:eastAsia="en-US"/>
              </w:rPr>
              <w:t>PISCES</w:t>
            </w:r>
          </w:p>
        </w:tc>
      </w:tr>
      <w:tr w:rsidR="001D6381" w:rsidRPr="001D6381" w14:paraId="764DBD23"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628F0174"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iCs/>
                <w:sz w:val="20"/>
                <w:szCs w:val="20"/>
                <w:lang w:eastAsia="en-US"/>
              </w:rPr>
              <w:t>Fistularia commersonii</w:t>
            </w:r>
          </w:p>
        </w:tc>
        <w:tc>
          <w:tcPr>
            <w:tcW w:w="850" w:type="dxa"/>
            <w:tcBorders>
              <w:top w:val="single" w:sz="4" w:space="0" w:color="44546A"/>
              <w:left w:val="single" w:sz="4" w:space="0" w:color="44546A"/>
              <w:bottom w:val="single" w:sz="4" w:space="0" w:color="44546A"/>
              <w:right w:val="single" w:sz="4" w:space="0" w:color="44546A"/>
            </w:tcBorders>
            <w:hideMark/>
          </w:tcPr>
          <w:p w14:paraId="2337A7A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2008</w:t>
            </w:r>
          </w:p>
        </w:tc>
        <w:tc>
          <w:tcPr>
            <w:tcW w:w="1134" w:type="dxa"/>
            <w:tcBorders>
              <w:top w:val="single" w:sz="4" w:space="0" w:color="44546A"/>
              <w:left w:val="single" w:sz="4" w:space="0" w:color="44546A"/>
              <w:bottom w:val="single" w:sz="4" w:space="0" w:color="44546A"/>
              <w:right w:val="single" w:sz="4" w:space="0" w:color="44546A"/>
            </w:tcBorders>
            <w:hideMark/>
          </w:tcPr>
          <w:p w14:paraId="29280D82"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Indijski I Pacifički okean</w:t>
            </w:r>
          </w:p>
        </w:tc>
        <w:tc>
          <w:tcPr>
            <w:tcW w:w="1276" w:type="dxa"/>
            <w:tcBorders>
              <w:top w:val="single" w:sz="4" w:space="0" w:color="44546A"/>
              <w:left w:val="single" w:sz="4" w:space="0" w:color="44546A"/>
              <w:bottom w:val="single" w:sz="4" w:space="0" w:color="44546A"/>
              <w:right w:val="single" w:sz="4" w:space="0" w:color="44546A"/>
            </w:tcBorders>
            <w:hideMark/>
          </w:tcPr>
          <w:p w14:paraId="009B0B86"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kroz Suetski kanal</w:t>
            </w:r>
          </w:p>
        </w:tc>
        <w:tc>
          <w:tcPr>
            <w:tcW w:w="1418" w:type="dxa"/>
            <w:tcBorders>
              <w:top w:val="single" w:sz="4" w:space="0" w:color="44546A"/>
              <w:left w:val="single" w:sz="4" w:space="0" w:color="44546A"/>
              <w:bottom w:val="single" w:sz="4" w:space="0" w:color="44546A"/>
              <w:right w:val="single" w:sz="4" w:space="0" w:color="44546A"/>
            </w:tcBorders>
            <w:hideMark/>
          </w:tcPr>
          <w:p w14:paraId="5715B83E"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774A14F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Invazivna</w:t>
            </w:r>
          </w:p>
        </w:tc>
        <w:tc>
          <w:tcPr>
            <w:tcW w:w="1275" w:type="dxa"/>
            <w:tcBorders>
              <w:top w:val="single" w:sz="4" w:space="0" w:color="44546A"/>
              <w:left w:val="single" w:sz="4" w:space="0" w:color="44546A"/>
              <w:bottom w:val="single" w:sz="4" w:space="0" w:color="44546A"/>
              <w:right w:val="single" w:sz="4" w:space="0" w:color="44546A"/>
            </w:tcBorders>
            <w:hideMark/>
          </w:tcPr>
          <w:p w14:paraId="70122E8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Tivat</w:t>
            </w:r>
          </w:p>
        </w:tc>
        <w:tc>
          <w:tcPr>
            <w:tcW w:w="1843" w:type="dxa"/>
            <w:tcBorders>
              <w:top w:val="single" w:sz="4" w:space="0" w:color="44546A"/>
              <w:left w:val="single" w:sz="4" w:space="0" w:color="44546A"/>
              <w:bottom w:val="single" w:sz="4" w:space="0" w:color="44546A"/>
              <w:right w:val="single" w:sz="4" w:space="0" w:color="44546A"/>
            </w:tcBorders>
            <w:hideMark/>
          </w:tcPr>
          <w:p w14:paraId="048ED353"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Joksimović et al., 2008</w:t>
            </w:r>
          </w:p>
        </w:tc>
      </w:tr>
      <w:tr w:rsidR="001D6381" w:rsidRPr="001D6381" w14:paraId="200D97DB"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1F5DEB71"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Lagocephalus sceleratus</w:t>
            </w:r>
          </w:p>
        </w:tc>
        <w:tc>
          <w:tcPr>
            <w:tcW w:w="850" w:type="dxa"/>
            <w:tcBorders>
              <w:top w:val="single" w:sz="4" w:space="0" w:color="44546A"/>
              <w:left w:val="single" w:sz="4" w:space="0" w:color="44546A"/>
              <w:bottom w:val="single" w:sz="4" w:space="0" w:color="44546A"/>
              <w:right w:val="single" w:sz="4" w:space="0" w:color="44546A"/>
            </w:tcBorders>
            <w:hideMark/>
          </w:tcPr>
          <w:p w14:paraId="711E0E1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2015</w:t>
            </w:r>
          </w:p>
        </w:tc>
        <w:tc>
          <w:tcPr>
            <w:tcW w:w="1134" w:type="dxa"/>
            <w:tcBorders>
              <w:top w:val="single" w:sz="4" w:space="0" w:color="44546A"/>
              <w:left w:val="single" w:sz="4" w:space="0" w:color="44546A"/>
              <w:bottom w:val="single" w:sz="4" w:space="0" w:color="44546A"/>
              <w:right w:val="single" w:sz="4" w:space="0" w:color="44546A"/>
            </w:tcBorders>
            <w:hideMark/>
          </w:tcPr>
          <w:p w14:paraId="291053F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Indijski I Pacifički okean</w:t>
            </w:r>
          </w:p>
        </w:tc>
        <w:tc>
          <w:tcPr>
            <w:tcW w:w="1276" w:type="dxa"/>
            <w:tcBorders>
              <w:top w:val="single" w:sz="4" w:space="0" w:color="44546A"/>
              <w:left w:val="single" w:sz="4" w:space="0" w:color="44546A"/>
              <w:bottom w:val="single" w:sz="4" w:space="0" w:color="44546A"/>
              <w:right w:val="single" w:sz="4" w:space="0" w:color="44546A"/>
            </w:tcBorders>
            <w:hideMark/>
          </w:tcPr>
          <w:p w14:paraId="7272E8A6"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kroz Suetski kanal</w:t>
            </w:r>
          </w:p>
        </w:tc>
        <w:tc>
          <w:tcPr>
            <w:tcW w:w="1418" w:type="dxa"/>
            <w:tcBorders>
              <w:top w:val="single" w:sz="4" w:space="0" w:color="44546A"/>
              <w:left w:val="single" w:sz="4" w:space="0" w:color="44546A"/>
              <w:bottom w:val="single" w:sz="4" w:space="0" w:color="44546A"/>
              <w:right w:val="single" w:sz="4" w:space="0" w:color="44546A"/>
            </w:tcBorders>
            <w:hideMark/>
          </w:tcPr>
          <w:p w14:paraId="3D541D0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5EEB08D5"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Invazivna</w:t>
            </w:r>
          </w:p>
        </w:tc>
        <w:tc>
          <w:tcPr>
            <w:tcW w:w="1275" w:type="dxa"/>
            <w:tcBorders>
              <w:top w:val="single" w:sz="4" w:space="0" w:color="44546A"/>
              <w:left w:val="single" w:sz="4" w:space="0" w:color="44546A"/>
              <w:bottom w:val="single" w:sz="4" w:space="0" w:color="44546A"/>
              <w:right w:val="single" w:sz="4" w:space="0" w:color="44546A"/>
            </w:tcBorders>
            <w:hideMark/>
          </w:tcPr>
          <w:p w14:paraId="79BECB6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Budva</w:t>
            </w:r>
          </w:p>
        </w:tc>
        <w:tc>
          <w:tcPr>
            <w:tcW w:w="1843" w:type="dxa"/>
            <w:tcBorders>
              <w:top w:val="single" w:sz="4" w:space="0" w:color="44546A"/>
              <w:left w:val="single" w:sz="4" w:space="0" w:color="44546A"/>
              <w:bottom w:val="single" w:sz="4" w:space="0" w:color="44546A"/>
              <w:right w:val="single" w:sz="4" w:space="0" w:color="44546A"/>
            </w:tcBorders>
            <w:hideMark/>
          </w:tcPr>
          <w:p w14:paraId="278E7AE6"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Joksimović &amp; Dulčić, 2015</w:t>
            </w:r>
          </w:p>
        </w:tc>
      </w:tr>
      <w:tr w:rsidR="001D6381" w:rsidRPr="001D6381" w14:paraId="69A913C7"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44877F48"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Siganus luridus</w:t>
            </w:r>
          </w:p>
        </w:tc>
        <w:tc>
          <w:tcPr>
            <w:tcW w:w="850" w:type="dxa"/>
            <w:tcBorders>
              <w:top w:val="single" w:sz="4" w:space="0" w:color="44546A"/>
              <w:left w:val="single" w:sz="4" w:space="0" w:color="44546A"/>
              <w:bottom w:val="single" w:sz="4" w:space="0" w:color="44546A"/>
              <w:right w:val="single" w:sz="4" w:space="0" w:color="44546A"/>
            </w:tcBorders>
            <w:hideMark/>
          </w:tcPr>
          <w:p w14:paraId="1D2AB50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2014</w:t>
            </w:r>
          </w:p>
        </w:tc>
        <w:tc>
          <w:tcPr>
            <w:tcW w:w="1134" w:type="dxa"/>
            <w:tcBorders>
              <w:top w:val="single" w:sz="4" w:space="0" w:color="44546A"/>
              <w:left w:val="single" w:sz="4" w:space="0" w:color="44546A"/>
              <w:bottom w:val="single" w:sz="4" w:space="0" w:color="44546A"/>
              <w:right w:val="single" w:sz="4" w:space="0" w:color="44546A"/>
            </w:tcBorders>
            <w:hideMark/>
          </w:tcPr>
          <w:p w14:paraId="0A6F155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Zapadni djelovi Indijskog okeana</w:t>
            </w:r>
          </w:p>
        </w:tc>
        <w:tc>
          <w:tcPr>
            <w:tcW w:w="1276" w:type="dxa"/>
            <w:tcBorders>
              <w:top w:val="single" w:sz="4" w:space="0" w:color="44546A"/>
              <w:left w:val="single" w:sz="4" w:space="0" w:color="44546A"/>
              <w:bottom w:val="single" w:sz="4" w:space="0" w:color="44546A"/>
              <w:right w:val="single" w:sz="4" w:space="0" w:color="44546A"/>
            </w:tcBorders>
            <w:hideMark/>
          </w:tcPr>
          <w:p w14:paraId="6292C85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kroz Suetski kanal</w:t>
            </w:r>
          </w:p>
        </w:tc>
        <w:tc>
          <w:tcPr>
            <w:tcW w:w="1418" w:type="dxa"/>
            <w:tcBorders>
              <w:top w:val="single" w:sz="4" w:space="0" w:color="44546A"/>
              <w:left w:val="single" w:sz="4" w:space="0" w:color="44546A"/>
              <w:bottom w:val="single" w:sz="4" w:space="0" w:color="44546A"/>
              <w:right w:val="single" w:sz="4" w:space="0" w:color="44546A"/>
            </w:tcBorders>
            <w:hideMark/>
          </w:tcPr>
          <w:p w14:paraId="341C25E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Strana/</w:t>
            </w:r>
          </w:p>
          <w:p w14:paraId="36E77553"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Invazivna</w:t>
            </w:r>
          </w:p>
        </w:tc>
        <w:tc>
          <w:tcPr>
            <w:tcW w:w="1275" w:type="dxa"/>
            <w:tcBorders>
              <w:top w:val="single" w:sz="4" w:space="0" w:color="44546A"/>
              <w:left w:val="single" w:sz="4" w:space="0" w:color="44546A"/>
              <w:bottom w:val="single" w:sz="4" w:space="0" w:color="44546A"/>
              <w:right w:val="single" w:sz="4" w:space="0" w:color="44546A"/>
            </w:tcBorders>
            <w:hideMark/>
          </w:tcPr>
          <w:p w14:paraId="688CB98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Bigova</w:t>
            </w:r>
          </w:p>
        </w:tc>
        <w:tc>
          <w:tcPr>
            <w:tcW w:w="1843" w:type="dxa"/>
            <w:tcBorders>
              <w:top w:val="single" w:sz="4" w:space="0" w:color="44546A"/>
              <w:left w:val="single" w:sz="4" w:space="0" w:color="44546A"/>
              <w:bottom w:val="single" w:sz="4" w:space="0" w:color="44546A"/>
              <w:right w:val="single" w:sz="4" w:space="0" w:color="44546A"/>
            </w:tcBorders>
            <w:hideMark/>
          </w:tcPr>
          <w:p w14:paraId="79B68213"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Joksimović et al., 2015</w:t>
            </w:r>
          </w:p>
        </w:tc>
      </w:tr>
      <w:tr w:rsidR="001D6381" w:rsidRPr="001D6381" w14:paraId="4E25A496"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1668A352"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Siganus rivulatus</w:t>
            </w:r>
          </w:p>
        </w:tc>
        <w:tc>
          <w:tcPr>
            <w:tcW w:w="850" w:type="dxa"/>
            <w:tcBorders>
              <w:top w:val="single" w:sz="4" w:space="0" w:color="44546A"/>
              <w:left w:val="single" w:sz="4" w:space="0" w:color="44546A"/>
              <w:bottom w:val="single" w:sz="4" w:space="0" w:color="44546A"/>
              <w:right w:val="single" w:sz="4" w:space="0" w:color="44546A"/>
            </w:tcBorders>
            <w:hideMark/>
          </w:tcPr>
          <w:p w14:paraId="474E3517"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2015</w:t>
            </w:r>
          </w:p>
        </w:tc>
        <w:tc>
          <w:tcPr>
            <w:tcW w:w="1134" w:type="dxa"/>
            <w:tcBorders>
              <w:top w:val="single" w:sz="4" w:space="0" w:color="44546A"/>
              <w:left w:val="single" w:sz="4" w:space="0" w:color="44546A"/>
              <w:bottom w:val="single" w:sz="4" w:space="0" w:color="44546A"/>
              <w:right w:val="single" w:sz="4" w:space="0" w:color="44546A"/>
            </w:tcBorders>
            <w:hideMark/>
          </w:tcPr>
          <w:p w14:paraId="1E5784F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shd w:val="clear" w:color="auto" w:fill="FFFFFF"/>
                <w:lang w:eastAsia="en-US"/>
              </w:rPr>
              <w:t>Zapadni Indijski okean</w:t>
            </w:r>
          </w:p>
        </w:tc>
        <w:tc>
          <w:tcPr>
            <w:tcW w:w="1276" w:type="dxa"/>
            <w:tcBorders>
              <w:top w:val="single" w:sz="4" w:space="0" w:color="44546A"/>
              <w:left w:val="single" w:sz="4" w:space="0" w:color="44546A"/>
              <w:bottom w:val="single" w:sz="4" w:space="0" w:color="44546A"/>
              <w:right w:val="single" w:sz="4" w:space="0" w:color="44546A"/>
            </w:tcBorders>
            <w:hideMark/>
          </w:tcPr>
          <w:p w14:paraId="1E94571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kroz Suetski kanal</w:t>
            </w:r>
          </w:p>
        </w:tc>
        <w:tc>
          <w:tcPr>
            <w:tcW w:w="1418" w:type="dxa"/>
            <w:tcBorders>
              <w:top w:val="single" w:sz="4" w:space="0" w:color="44546A"/>
              <w:left w:val="single" w:sz="4" w:space="0" w:color="44546A"/>
              <w:bottom w:val="single" w:sz="4" w:space="0" w:color="44546A"/>
              <w:right w:val="single" w:sz="4" w:space="0" w:color="44546A"/>
            </w:tcBorders>
            <w:hideMark/>
          </w:tcPr>
          <w:p w14:paraId="3BDCD32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Nedovoljno podataka</w:t>
            </w:r>
          </w:p>
        </w:tc>
        <w:tc>
          <w:tcPr>
            <w:tcW w:w="1275" w:type="dxa"/>
            <w:tcBorders>
              <w:top w:val="single" w:sz="4" w:space="0" w:color="44546A"/>
              <w:left w:val="single" w:sz="4" w:space="0" w:color="44546A"/>
              <w:bottom w:val="single" w:sz="4" w:space="0" w:color="44546A"/>
              <w:right w:val="single" w:sz="4" w:space="0" w:color="44546A"/>
            </w:tcBorders>
            <w:hideMark/>
          </w:tcPr>
          <w:p w14:paraId="219D9746"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Žukovica and Zagorski Pijesak</w:t>
            </w:r>
          </w:p>
        </w:tc>
        <w:tc>
          <w:tcPr>
            <w:tcW w:w="1843" w:type="dxa"/>
            <w:tcBorders>
              <w:top w:val="single" w:sz="4" w:space="0" w:color="44546A"/>
              <w:left w:val="single" w:sz="4" w:space="0" w:color="44546A"/>
              <w:bottom w:val="single" w:sz="4" w:space="0" w:color="44546A"/>
              <w:right w:val="single" w:sz="4" w:space="0" w:color="44546A"/>
            </w:tcBorders>
            <w:hideMark/>
          </w:tcPr>
          <w:p w14:paraId="35C127EE"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Petović et al., 2018</w:t>
            </w:r>
          </w:p>
        </w:tc>
      </w:tr>
      <w:tr w:rsidR="001D6381" w:rsidRPr="001D6381" w14:paraId="08879EC4"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1527E124"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iCs/>
                <w:sz w:val="20"/>
                <w:szCs w:val="20"/>
                <w:lang w:eastAsia="en-US"/>
              </w:rPr>
              <w:t>Caranx crysos</w:t>
            </w:r>
          </w:p>
        </w:tc>
        <w:tc>
          <w:tcPr>
            <w:tcW w:w="850" w:type="dxa"/>
            <w:tcBorders>
              <w:top w:val="single" w:sz="4" w:space="0" w:color="44546A"/>
              <w:left w:val="single" w:sz="4" w:space="0" w:color="44546A"/>
              <w:bottom w:val="single" w:sz="4" w:space="0" w:color="44546A"/>
              <w:right w:val="single" w:sz="4" w:space="0" w:color="44546A"/>
            </w:tcBorders>
            <w:hideMark/>
          </w:tcPr>
          <w:p w14:paraId="35F4E2F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2013</w:t>
            </w:r>
          </w:p>
        </w:tc>
        <w:tc>
          <w:tcPr>
            <w:tcW w:w="1134" w:type="dxa"/>
            <w:tcBorders>
              <w:top w:val="single" w:sz="4" w:space="0" w:color="44546A"/>
              <w:left w:val="single" w:sz="4" w:space="0" w:color="44546A"/>
              <w:bottom w:val="single" w:sz="4" w:space="0" w:color="44546A"/>
              <w:right w:val="single" w:sz="4" w:space="0" w:color="44546A"/>
            </w:tcBorders>
            <w:hideMark/>
          </w:tcPr>
          <w:p w14:paraId="0EB4031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Istočni I zapadni Atlantik</w:t>
            </w:r>
          </w:p>
        </w:tc>
        <w:tc>
          <w:tcPr>
            <w:tcW w:w="1276" w:type="dxa"/>
            <w:tcBorders>
              <w:top w:val="single" w:sz="4" w:space="0" w:color="44546A"/>
              <w:left w:val="single" w:sz="4" w:space="0" w:color="44546A"/>
              <w:bottom w:val="single" w:sz="4" w:space="0" w:color="44546A"/>
              <w:right w:val="single" w:sz="4" w:space="0" w:color="44546A"/>
            </w:tcBorders>
            <w:hideMark/>
          </w:tcPr>
          <w:p w14:paraId="2AE819C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kroz Gibraltar</w:t>
            </w:r>
          </w:p>
        </w:tc>
        <w:tc>
          <w:tcPr>
            <w:tcW w:w="1418" w:type="dxa"/>
            <w:tcBorders>
              <w:top w:val="single" w:sz="4" w:space="0" w:color="44546A"/>
              <w:left w:val="single" w:sz="4" w:space="0" w:color="44546A"/>
              <w:bottom w:val="single" w:sz="4" w:space="0" w:color="44546A"/>
              <w:right w:val="single" w:sz="4" w:space="0" w:color="44546A"/>
            </w:tcBorders>
            <w:hideMark/>
          </w:tcPr>
          <w:p w14:paraId="25326BA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Nedovoljno podataka</w:t>
            </w:r>
          </w:p>
        </w:tc>
        <w:tc>
          <w:tcPr>
            <w:tcW w:w="1275" w:type="dxa"/>
            <w:tcBorders>
              <w:top w:val="single" w:sz="4" w:space="0" w:color="44546A"/>
              <w:left w:val="single" w:sz="4" w:space="0" w:color="44546A"/>
              <w:bottom w:val="single" w:sz="4" w:space="0" w:color="44546A"/>
              <w:right w:val="single" w:sz="4" w:space="0" w:color="44546A"/>
            </w:tcBorders>
            <w:hideMark/>
          </w:tcPr>
          <w:p w14:paraId="1A5960AE"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Orahovac (Boka Kotorska Bay</w:t>
            </w:r>
          </w:p>
        </w:tc>
        <w:tc>
          <w:tcPr>
            <w:tcW w:w="1843" w:type="dxa"/>
            <w:tcBorders>
              <w:top w:val="single" w:sz="4" w:space="0" w:color="44546A"/>
              <w:left w:val="single" w:sz="4" w:space="0" w:color="44546A"/>
              <w:bottom w:val="single" w:sz="4" w:space="0" w:color="44546A"/>
              <w:right w:val="single" w:sz="4" w:space="0" w:color="44546A"/>
            </w:tcBorders>
            <w:hideMark/>
          </w:tcPr>
          <w:p w14:paraId="71DEB9B7"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Dulčić et al. 2014</w:t>
            </w:r>
          </w:p>
        </w:tc>
      </w:tr>
      <w:tr w:rsidR="001D6381" w:rsidRPr="001D6381" w14:paraId="6C73195D"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55E26D4A"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sz w:val="20"/>
                <w:szCs w:val="20"/>
                <w:lang w:eastAsia="en-US"/>
              </w:rPr>
              <w:t>Tylosurus imperialis</w:t>
            </w:r>
          </w:p>
        </w:tc>
        <w:tc>
          <w:tcPr>
            <w:tcW w:w="850" w:type="dxa"/>
            <w:tcBorders>
              <w:top w:val="single" w:sz="4" w:space="0" w:color="44546A"/>
              <w:left w:val="single" w:sz="4" w:space="0" w:color="44546A"/>
              <w:bottom w:val="single" w:sz="4" w:space="0" w:color="44546A"/>
              <w:right w:val="single" w:sz="4" w:space="0" w:color="44546A"/>
            </w:tcBorders>
            <w:hideMark/>
          </w:tcPr>
          <w:p w14:paraId="6A87908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2007</w:t>
            </w:r>
          </w:p>
        </w:tc>
        <w:tc>
          <w:tcPr>
            <w:tcW w:w="1134" w:type="dxa"/>
            <w:tcBorders>
              <w:top w:val="single" w:sz="4" w:space="0" w:color="44546A"/>
              <w:left w:val="single" w:sz="4" w:space="0" w:color="44546A"/>
              <w:bottom w:val="single" w:sz="4" w:space="0" w:color="44546A"/>
              <w:right w:val="single" w:sz="4" w:space="0" w:color="44546A"/>
            </w:tcBorders>
            <w:hideMark/>
          </w:tcPr>
          <w:p w14:paraId="6DC0E41C"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Istočni atlantik.</w:t>
            </w:r>
          </w:p>
        </w:tc>
        <w:tc>
          <w:tcPr>
            <w:tcW w:w="1276" w:type="dxa"/>
            <w:tcBorders>
              <w:top w:val="single" w:sz="4" w:space="0" w:color="44546A"/>
              <w:left w:val="single" w:sz="4" w:space="0" w:color="44546A"/>
              <w:bottom w:val="single" w:sz="4" w:space="0" w:color="44546A"/>
              <w:right w:val="single" w:sz="4" w:space="0" w:color="44546A"/>
            </w:tcBorders>
            <w:hideMark/>
          </w:tcPr>
          <w:p w14:paraId="1BFBE82E"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kroz Gibraltar</w:t>
            </w:r>
          </w:p>
        </w:tc>
        <w:tc>
          <w:tcPr>
            <w:tcW w:w="1418" w:type="dxa"/>
            <w:tcBorders>
              <w:top w:val="single" w:sz="4" w:space="0" w:color="44546A"/>
              <w:left w:val="single" w:sz="4" w:space="0" w:color="44546A"/>
              <w:bottom w:val="single" w:sz="4" w:space="0" w:color="44546A"/>
              <w:right w:val="single" w:sz="4" w:space="0" w:color="44546A"/>
            </w:tcBorders>
            <w:hideMark/>
          </w:tcPr>
          <w:p w14:paraId="2A06F6A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Nedovoljno podataka</w:t>
            </w:r>
          </w:p>
        </w:tc>
        <w:tc>
          <w:tcPr>
            <w:tcW w:w="1275" w:type="dxa"/>
            <w:tcBorders>
              <w:top w:val="single" w:sz="4" w:space="0" w:color="44546A"/>
              <w:left w:val="single" w:sz="4" w:space="0" w:color="44546A"/>
              <w:bottom w:val="single" w:sz="4" w:space="0" w:color="44546A"/>
              <w:right w:val="single" w:sz="4" w:space="0" w:color="44546A"/>
            </w:tcBorders>
            <w:hideMark/>
          </w:tcPr>
          <w:p w14:paraId="6831BC4F"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Budva</w:t>
            </w:r>
          </w:p>
        </w:tc>
        <w:tc>
          <w:tcPr>
            <w:tcW w:w="1843" w:type="dxa"/>
            <w:tcBorders>
              <w:top w:val="single" w:sz="4" w:space="0" w:color="44546A"/>
              <w:left w:val="single" w:sz="4" w:space="0" w:color="44546A"/>
              <w:bottom w:val="single" w:sz="4" w:space="0" w:color="44546A"/>
              <w:right w:val="single" w:sz="4" w:space="0" w:color="44546A"/>
            </w:tcBorders>
            <w:hideMark/>
          </w:tcPr>
          <w:p w14:paraId="571219C2"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Dulčić et al. 2014</w:t>
            </w:r>
          </w:p>
        </w:tc>
      </w:tr>
      <w:tr w:rsidR="001D6381" w:rsidRPr="001D6381" w14:paraId="7737B57E"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16A10896"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iCs/>
                <w:sz w:val="20"/>
                <w:szCs w:val="20"/>
                <w:lang w:eastAsia="en-US"/>
              </w:rPr>
              <w:t>Sphyraena chrysotaenia</w:t>
            </w:r>
          </w:p>
        </w:tc>
        <w:tc>
          <w:tcPr>
            <w:tcW w:w="850" w:type="dxa"/>
            <w:tcBorders>
              <w:top w:val="single" w:sz="4" w:space="0" w:color="44546A"/>
              <w:left w:val="single" w:sz="4" w:space="0" w:color="44546A"/>
              <w:bottom w:val="single" w:sz="4" w:space="0" w:color="44546A"/>
              <w:right w:val="single" w:sz="4" w:space="0" w:color="44546A"/>
            </w:tcBorders>
            <w:hideMark/>
          </w:tcPr>
          <w:p w14:paraId="3AD32973"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2012</w:t>
            </w:r>
          </w:p>
        </w:tc>
        <w:tc>
          <w:tcPr>
            <w:tcW w:w="1134" w:type="dxa"/>
            <w:tcBorders>
              <w:top w:val="single" w:sz="4" w:space="0" w:color="44546A"/>
              <w:left w:val="single" w:sz="4" w:space="0" w:color="44546A"/>
              <w:bottom w:val="single" w:sz="4" w:space="0" w:color="44546A"/>
              <w:right w:val="single" w:sz="4" w:space="0" w:color="44546A"/>
            </w:tcBorders>
            <w:hideMark/>
          </w:tcPr>
          <w:p w14:paraId="51E9FB2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shd w:val="clear" w:color="auto" w:fill="FFFFFF"/>
                <w:lang w:eastAsia="en-US"/>
              </w:rPr>
              <w:t>Indo zapadni pacifički region</w:t>
            </w:r>
          </w:p>
        </w:tc>
        <w:tc>
          <w:tcPr>
            <w:tcW w:w="1276" w:type="dxa"/>
            <w:tcBorders>
              <w:top w:val="single" w:sz="4" w:space="0" w:color="44546A"/>
              <w:left w:val="single" w:sz="4" w:space="0" w:color="44546A"/>
              <w:bottom w:val="single" w:sz="4" w:space="0" w:color="44546A"/>
              <w:right w:val="single" w:sz="4" w:space="0" w:color="44546A"/>
            </w:tcBorders>
            <w:hideMark/>
          </w:tcPr>
          <w:p w14:paraId="1854702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u w:val="single"/>
                <w:shd w:val="clear" w:color="auto" w:fill="FFFFFF"/>
                <w:lang w:eastAsia="en-US"/>
              </w:rPr>
              <w:t>Lessepsian migrant</w:t>
            </w:r>
          </w:p>
        </w:tc>
        <w:tc>
          <w:tcPr>
            <w:tcW w:w="1418" w:type="dxa"/>
            <w:tcBorders>
              <w:top w:val="single" w:sz="4" w:space="0" w:color="44546A"/>
              <w:left w:val="single" w:sz="4" w:space="0" w:color="44546A"/>
              <w:bottom w:val="single" w:sz="4" w:space="0" w:color="44546A"/>
              <w:right w:val="single" w:sz="4" w:space="0" w:color="44546A"/>
            </w:tcBorders>
          </w:tcPr>
          <w:p w14:paraId="7A5FDE29" w14:textId="77777777" w:rsidR="001D6381" w:rsidRPr="001D6381" w:rsidRDefault="001D6381" w:rsidP="001D6381">
            <w:pPr>
              <w:spacing w:before="0" w:after="0" w:line="240" w:lineRule="auto"/>
              <w:jc w:val="left"/>
              <w:rPr>
                <w:rFonts w:cs="Calibri"/>
                <w:sz w:val="20"/>
                <w:szCs w:val="20"/>
                <w:lang w:eastAsia="en-US"/>
              </w:rPr>
            </w:pPr>
          </w:p>
        </w:tc>
        <w:tc>
          <w:tcPr>
            <w:tcW w:w="1275" w:type="dxa"/>
            <w:tcBorders>
              <w:top w:val="single" w:sz="4" w:space="0" w:color="44546A"/>
              <w:left w:val="single" w:sz="4" w:space="0" w:color="44546A"/>
              <w:bottom w:val="single" w:sz="4" w:space="0" w:color="44546A"/>
              <w:right w:val="single" w:sz="4" w:space="0" w:color="44546A"/>
            </w:tcBorders>
          </w:tcPr>
          <w:p w14:paraId="4ADAC21B" w14:textId="77777777" w:rsidR="001D6381" w:rsidRPr="001D6381" w:rsidRDefault="001D6381" w:rsidP="001D6381">
            <w:pPr>
              <w:spacing w:before="0" w:after="0" w:line="240" w:lineRule="auto"/>
              <w:jc w:val="left"/>
              <w:rPr>
                <w:rFonts w:cs="Calibri"/>
                <w:sz w:val="20"/>
                <w:szCs w:val="20"/>
                <w:lang w:eastAsia="en-US"/>
              </w:rPr>
            </w:pPr>
          </w:p>
        </w:tc>
        <w:tc>
          <w:tcPr>
            <w:tcW w:w="1843" w:type="dxa"/>
            <w:tcBorders>
              <w:top w:val="single" w:sz="4" w:space="0" w:color="44546A"/>
              <w:left w:val="single" w:sz="4" w:space="0" w:color="44546A"/>
              <w:bottom w:val="single" w:sz="4" w:space="0" w:color="44546A"/>
              <w:right w:val="single" w:sz="4" w:space="0" w:color="44546A"/>
            </w:tcBorders>
            <w:hideMark/>
          </w:tcPr>
          <w:p w14:paraId="45555F59"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Joksimović et al. 2016</w:t>
            </w:r>
          </w:p>
        </w:tc>
      </w:tr>
      <w:tr w:rsidR="001D6381" w:rsidRPr="001D6381" w14:paraId="794460D1"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2F3A8CA6"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iCs/>
                <w:sz w:val="20"/>
                <w:szCs w:val="20"/>
                <w:lang w:eastAsia="en-US"/>
              </w:rPr>
              <w:t>Sphyraena viridensis</w:t>
            </w:r>
          </w:p>
        </w:tc>
        <w:tc>
          <w:tcPr>
            <w:tcW w:w="850" w:type="dxa"/>
            <w:tcBorders>
              <w:top w:val="single" w:sz="4" w:space="0" w:color="44546A"/>
              <w:left w:val="single" w:sz="4" w:space="0" w:color="44546A"/>
              <w:bottom w:val="single" w:sz="4" w:space="0" w:color="44546A"/>
              <w:right w:val="single" w:sz="4" w:space="0" w:color="44546A"/>
            </w:tcBorders>
            <w:hideMark/>
          </w:tcPr>
          <w:p w14:paraId="7432891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2016</w:t>
            </w:r>
          </w:p>
        </w:tc>
        <w:tc>
          <w:tcPr>
            <w:tcW w:w="1134" w:type="dxa"/>
            <w:tcBorders>
              <w:top w:val="single" w:sz="4" w:space="0" w:color="44546A"/>
              <w:left w:val="single" w:sz="4" w:space="0" w:color="44546A"/>
              <w:bottom w:val="single" w:sz="4" w:space="0" w:color="44546A"/>
              <w:right w:val="single" w:sz="4" w:space="0" w:color="44546A"/>
            </w:tcBorders>
            <w:hideMark/>
          </w:tcPr>
          <w:p w14:paraId="51C2B19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Istočno centralni Atlantik</w:t>
            </w:r>
          </w:p>
        </w:tc>
        <w:tc>
          <w:tcPr>
            <w:tcW w:w="1276" w:type="dxa"/>
            <w:tcBorders>
              <w:top w:val="single" w:sz="4" w:space="0" w:color="44546A"/>
              <w:left w:val="single" w:sz="4" w:space="0" w:color="44546A"/>
              <w:bottom w:val="single" w:sz="4" w:space="0" w:color="44546A"/>
              <w:right w:val="single" w:sz="4" w:space="0" w:color="44546A"/>
            </w:tcBorders>
            <w:hideMark/>
          </w:tcPr>
          <w:p w14:paraId="3524C7F3"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kroz Gibraltar</w:t>
            </w:r>
          </w:p>
        </w:tc>
        <w:tc>
          <w:tcPr>
            <w:tcW w:w="1418" w:type="dxa"/>
            <w:tcBorders>
              <w:top w:val="single" w:sz="4" w:space="0" w:color="44546A"/>
              <w:left w:val="single" w:sz="4" w:space="0" w:color="44546A"/>
              <w:bottom w:val="single" w:sz="4" w:space="0" w:color="44546A"/>
              <w:right w:val="single" w:sz="4" w:space="0" w:color="44546A"/>
            </w:tcBorders>
            <w:hideMark/>
          </w:tcPr>
          <w:p w14:paraId="5F178F0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Nedovoljno podataka</w:t>
            </w:r>
          </w:p>
        </w:tc>
        <w:tc>
          <w:tcPr>
            <w:tcW w:w="1275" w:type="dxa"/>
            <w:tcBorders>
              <w:top w:val="single" w:sz="4" w:space="0" w:color="44546A"/>
              <w:left w:val="single" w:sz="4" w:space="0" w:color="44546A"/>
              <w:bottom w:val="single" w:sz="4" w:space="0" w:color="44546A"/>
              <w:right w:val="single" w:sz="4" w:space="0" w:color="44546A"/>
            </w:tcBorders>
          </w:tcPr>
          <w:p w14:paraId="25D763B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 xml:space="preserve">Debeli rt </w:t>
            </w:r>
          </w:p>
          <w:p w14:paraId="5318A789" w14:textId="77777777" w:rsidR="001D6381" w:rsidRPr="001D6381" w:rsidRDefault="001D6381" w:rsidP="001D6381">
            <w:pPr>
              <w:spacing w:before="0" w:after="0" w:line="240" w:lineRule="auto"/>
              <w:jc w:val="left"/>
              <w:rPr>
                <w:rFonts w:cs="Calibri"/>
                <w:sz w:val="20"/>
                <w:szCs w:val="20"/>
                <w:lang w:eastAsia="en-US"/>
              </w:rPr>
            </w:pPr>
          </w:p>
        </w:tc>
        <w:tc>
          <w:tcPr>
            <w:tcW w:w="1843" w:type="dxa"/>
            <w:tcBorders>
              <w:top w:val="single" w:sz="4" w:space="0" w:color="44546A"/>
              <w:left w:val="single" w:sz="4" w:space="0" w:color="44546A"/>
              <w:bottom w:val="single" w:sz="4" w:space="0" w:color="44546A"/>
              <w:right w:val="single" w:sz="4" w:space="0" w:color="44546A"/>
            </w:tcBorders>
          </w:tcPr>
          <w:p w14:paraId="73E026FB" w14:textId="77777777" w:rsidR="001D6381" w:rsidRPr="001D6381" w:rsidRDefault="001D6381" w:rsidP="001D6381">
            <w:pPr>
              <w:spacing w:before="0" w:after="0" w:line="240" w:lineRule="auto"/>
              <w:jc w:val="left"/>
              <w:rPr>
                <w:rFonts w:cs="Calibri"/>
                <w:sz w:val="20"/>
                <w:szCs w:val="20"/>
                <w:lang w:eastAsia="en-US"/>
              </w:rPr>
            </w:pPr>
          </w:p>
        </w:tc>
      </w:tr>
      <w:tr w:rsidR="001D6381" w:rsidRPr="001D6381" w14:paraId="65225E31"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4F433905"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iCs/>
                <w:sz w:val="20"/>
                <w:szCs w:val="20"/>
                <w:lang w:eastAsia="en-US"/>
              </w:rPr>
              <w:t>Sphoeroides pachygaster</w:t>
            </w:r>
          </w:p>
        </w:tc>
        <w:tc>
          <w:tcPr>
            <w:tcW w:w="850" w:type="dxa"/>
            <w:tcBorders>
              <w:top w:val="single" w:sz="4" w:space="0" w:color="44546A"/>
              <w:left w:val="single" w:sz="4" w:space="0" w:color="44546A"/>
              <w:bottom w:val="single" w:sz="4" w:space="0" w:color="44546A"/>
              <w:right w:val="single" w:sz="4" w:space="0" w:color="44546A"/>
            </w:tcBorders>
            <w:hideMark/>
          </w:tcPr>
          <w:p w14:paraId="60EF61D6"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2008</w:t>
            </w:r>
          </w:p>
        </w:tc>
        <w:tc>
          <w:tcPr>
            <w:tcW w:w="1134" w:type="dxa"/>
            <w:tcBorders>
              <w:top w:val="single" w:sz="4" w:space="0" w:color="44546A"/>
              <w:left w:val="single" w:sz="4" w:space="0" w:color="44546A"/>
              <w:bottom w:val="single" w:sz="4" w:space="0" w:color="44546A"/>
              <w:right w:val="single" w:sz="4" w:space="0" w:color="44546A"/>
            </w:tcBorders>
            <w:hideMark/>
          </w:tcPr>
          <w:p w14:paraId="5A893398"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Atlanski okean</w:t>
            </w:r>
          </w:p>
        </w:tc>
        <w:tc>
          <w:tcPr>
            <w:tcW w:w="1276" w:type="dxa"/>
            <w:tcBorders>
              <w:top w:val="single" w:sz="4" w:space="0" w:color="44546A"/>
              <w:left w:val="single" w:sz="4" w:space="0" w:color="44546A"/>
              <w:bottom w:val="single" w:sz="4" w:space="0" w:color="44546A"/>
              <w:right w:val="single" w:sz="4" w:space="0" w:color="44546A"/>
            </w:tcBorders>
            <w:hideMark/>
          </w:tcPr>
          <w:p w14:paraId="5C8D3AC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kroz Gibraltar</w:t>
            </w:r>
          </w:p>
        </w:tc>
        <w:tc>
          <w:tcPr>
            <w:tcW w:w="1418" w:type="dxa"/>
            <w:tcBorders>
              <w:top w:val="single" w:sz="4" w:space="0" w:color="44546A"/>
              <w:left w:val="single" w:sz="4" w:space="0" w:color="44546A"/>
              <w:bottom w:val="single" w:sz="4" w:space="0" w:color="44546A"/>
              <w:right w:val="single" w:sz="4" w:space="0" w:color="44546A"/>
            </w:tcBorders>
            <w:hideMark/>
          </w:tcPr>
          <w:p w14:paraId="311538C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Nedovoljno podataka</w:t>
            </w:r>
          </w:p>
        </w:tc>
        <w:tc>
          <w:tcPr>
            <w:tcW w:w="1275" w:type="dxa"/>
            <w:tcBorders>
              <w:top w:val="single" w:sz="4" w:space="0" w:color="44546A"/>
              <w:left w:val="single" w:sz="4" w:space="0" w:color="44546A"/>
              <w:bottom w:val="single" w:sz="4" w:space="0" w:color="44546A"/>
              <w:right w:val="single" w:sz="4" w:space="0" w:color="44546A"/>
            </w:tcBorders>
            <w:hideMark/>
          </w:tcPr>
          <w:p w14:paraId="16307C52"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Budva</w:t>
            </w:r>
          </w:p>
        </w:tc>
        <w:tc>
          <w:tcPr>
            <w:tcW w:w="1843" w:type="dxa"/>
            <w:tcBorders>
              <w:top w:val="single" w:sz="4" w:space="0" w:color="44546A"/>
              <w:left w:val="single" w:sz="4" w:space="0" w:color="44546A"/>
              <w:bottom w:val="single" w:sz="4" w:space="0" w:color="44546A"/>
              <w:right w:val="single" w:sz="4" w:space="0" w:color="44546A"/>
            </w:tcBorders>
            <w:hideMark/>
          </w:tcPr>
          <w:p w14:paraId="5D1E0E95"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Joksimović et al., 2015</w:t>
            </w:r>
          </w:p>
        </w:tc>
      </w:tr>
      <w:tr w:rsidR="001D6381" w:rsidRPr="001D6381" w14:paraId="3291338A"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72846580"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iCs/>
                <w:sz w:val="20"/>
                <w:szCs w:val="20"/>
                <w:lang w:eastAsia="en-US"/>
              </w:rPr>
              <w:t>Stephanolepis diaspros</w:t>
            </w:r>
          </w:p>
        </w:tc>
        <w:tc>
          <w:tcPr>
            <w:tcW w:w="850" w:type="dxa"/>
            <w:tcBorders>
              <w:top w:val="single" w:sz="4" w:space="0" w:color="44546A"/>
              <w:left w:val="single" w:sz="4" w:space="0" w:color="44546A"/>
              <w:bottom w:val="single" w:sz="4" w:space="0" w:color="44546A"/>
              <w:right w:val="single" w:sz="4" w:space="0" w:color="44546A"/>
            </w:tcBorders>
            <w:hideMark/>
          </w:tcPr>
          <w:p w14:paraId="5C36C853"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2003</w:t>
            </w:r>
          </w:p>
        </w:tc>
        <w:tc>
          <w:tcPr>
            <w:tcW w:w="1134" w:type="dxa"/>
            <w:tcBorders>
              <w:top w:val="single" w:sz="4" w:space="0" w:color="44546A"/>
              <w:left w:val="single" w:sz="4" w:space="0" w:color="44546A"/>
              <w:bottom w:val="single" w:sz="4" w:space="0" w:color="44546A"/>
              <w:right w:val="single" w:sz="4" w:space="0" w:color="44546A"/>
            </w:tcBorders>
            <w:hideMark/>
          </w:tcPr>
          <w:p w14:paraId="3CAFF67D"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Zapadni dio Indijskog okeana</w:t>
            </w:r>
          </w:p>
        </w:tc>
        <w:tc>
          <w:tcPr>
            <w:tcW w:w="1276" w:type="dxa"/>
            <w:tcBorders>
              <w:top w:val="single" w:sz="4" w:space="0" w:color="44546A"/>
              <w:left w:val="single" w:sz="4" w:space="0" w:color="44546A"/>
              <w:bottom w:val="single" w:sz="4" w:space="0" w:color="44546A"/>
              <w:right w:val="single" w:sz="4" w:space="0" w:color="44546A"/>
            </w:tcBorders>
            <w:hideMark/>
          </w:tcPr>
          <w:p w14:paraId="458FE73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u w:val="single"/>
                <w:shd w:val="clear" w:color="auto" w:fill="FFFFFF"/>
                <w:lang w:eastAsia="en-US"/>
              </w:rPr>
              <w:t>Lessepsian migrant</w:t>
            </w:r>
          </w:p>
        </w:tc>
        <w:tc>
          <w:tcPr>
            <w:tcW w:w="1418" w:type="dxa"/>
            <w:tcBorders>
              <w:top w:val="single" w:sz="4" w:space="0" w:color="44546A"/>
              <w:left w:val="single" w:sz="4" w:space="0" w:color="44546A"/>
              <w:bottom w:val="single" w:sz="4" w:space="0" w:color="44546A"/>
              <w:right w:val="single" w:sz="4" w:space="0" w:color="44546A"/>
            </w:tcBorders>
            <w:hideMark/>
          </w:tcPr>
          <w:p w14:paraId="3CA4E4BE"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Nedovoljno podataka</w:t>
            </w:r>
          </w:p>
        </w:tc>
        <w:tc>
          <w:tcPr>
            <w:tcW w:w="1275" w:type="dxa"/>
            <w:tcBorders>
              <w:top w:val="single" w:sz="4" w:space="0" w:color="44546A"/>
              <w:left w:val="single" w:sz="4" w:space="0" w:color="44546A"/>
              <w:bottom w:val="single" w:sz="4" w:space="0" w:color="44546A"/>
              <w:right w:val="single" w:sz="4" w:space="0" w:color="44546A"/>
            </w:tcBorders>
            <w:hideMark/>
          </w:tcPr>
          <w:p w14:paraId="1CE831BB"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Ulcinj</w:t>
            </w:r>
          </w:p>
        </w:tc>
        <w:tc>
          <w:tcPr>
            <w:tcW w:w="1843" w:type="dxa"/>
            <w:tcBorders>
              <w:top w:val="single" w:sz="4" w:space="0" w:color="44546A"/>
              <w:left w:val="single" w:sz="4" w:space="0" w:color="44546A"/>
              <w:bottom w:val="single" w:sz="4" w:space="0" w:color="44546A"/>
              <w:right w:val="single" w:sz="4" w:space="0" w:color="44546A"/>
            </w:tcBorders>
            <w:hideMark/>
          </w:tcPr>
          <w:p w14:paraId="12C88B35"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Dulčić &amp; Pallaoro 2003</w:t>
            </w:r>
          </w:p>
        </w:tc>
      </w:tr>
      <w:tr w:rsidR="001D6381" w:rsidRPr="001D6381" w14:paraId="570C6C5F" w14:textId="77777777" w:rsidTr="001D6381">
        <w:tc>
          <w:tcPr>
            <w:tcW w:w="1413" w:type="dxa"/>
            <w:tcBorders>
              <w:top w:val="single" w:sz="4" w:space="0" w:color="44546A"/>
              <w:left w:val="single" w:sz="4" w:space="0" w:color="44546A"/>
              <w:bottom w:val="single" w:sz="4" w:space="0" w:color="44546A"/>
              <w:right w:val="single" w:sz="4" w:space="0" w:color="44546A"/>
            </w:tcBorders>
            <w:hideMark/>
          </w:tcPr>
          <w:p w14:paraId="07731352" w14:textId="77777777" w:rsidR="001D6381" w:rsidRPr="001D6381" w:rsidRDefault="001D6381" w:rsidP="001D6381">
            <w:pPr>
              <w:spacing w:before="0" w:after="0" w:line="240" w:lineRule="auto"/>
              <w:jc w:val="left"/>
              <w:rPr>
                <w:rFonts w:cs="Calibri"/>
                <w:i/>
                <w:sz w:val="20"/>
                <w:szCs w:val="20"/>
                <w:lang w:eastAsia="en-US"/>
              </w:rPr>
            </w:pPr>
            <w:r w:rsidRPr="001D6381">
              <w:rPr>
                <w:rFonts w:cs="Calibri"/>
                <w:i/>
                <w:iCs/>
                <w:sz w:val="20"/>
                <w:szCs w:val="20"/>
                <w:lang w:eastAsia="en-US"/>
              </w:rPr>
              <w:t>Cheilopogon furcatus</w:t>
            </w:r>
          </w:p>
        </w:tc>
        <w:tc>
          <w:tcPr>
            <w:tcW w:w="850" w:type="dxa"/>
            <w:tcBorders>
              <w:top w:val="single" w:sz="4" w:space="0" w:color="44546A"/>
              <w:left w:val="single" w:sz="4" w:space="0" w:color="44546A"/>
              <w:bottom w:val="single" w:sz="4" w:space="0" w:color="44546A"/>
              <w:right w:val="single" w:sz="4" w:space="0" w:color="44546A"/>
            </w:tcBorders>
            <w:hideMark/>
          </w:tcPr>
          <w:p w14:paraId="64B8F0A0"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2012</w:t>
            </w:r>
          </w:p>
        </w:tc>
        <w:tc>
          <w:tcPr>
            <w:tcW w:w="1134" w:type="dxa"/>
            <w:tcBorders>
              <w:top w:val="single" w:sz="4" w:space="0" w:color="44546A"/>
              <w:left w:val="single" w:sz="4" w:space="0" w:color="44546A"/>
              <w:bottom w:val="single" w:sz="4" w:space="0" w:color="44546A"/>
              <w:right w:val="single" w:sz="4" w:space="0" w:color="44546A"/>
            </w:tcBorders>
            <w:hideMark/>
          </w:tcPr>
          <w:p w14:paraId="25F4210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shd w:val="clear" w:color="auto" w:fill="FFFFFF"/>
                <w:lang w:eastAsia="en-US"/>
              </w:rPr>
              <w:t>Široko rasprostranjena u tropskim zonama svih okeana</w:t>
            </w:r>
          </w:p>
        </w:tc>
        <w:tc>
          <w:tcPr>
            <w:tcW w:w="1276" w:type="dxa"/>
            <w:tcBorders>
              <w:top w:val="single" w:sz="4" w:space="0" w:color="44546A"/>
              <w:left w:val="single" w:sz="4" w:space="0" w:color="44546A"/>
              <w:bottom w:val="single" w:sz="4" w:space="0" w:color="44546A"/>
              <w:right w:val="single" w:sz="4" w:space="0" w:color="44546A"/>
            </w:tcBorders>
          </w:tcPr>
          <w:p w14:paraId="21A43A3A" w14:textId="77777777" w:rsidR="001D6381" w:rsidRPr="001D6381" w:rsidRDefault="001D6381" w:rsidP="001D6381">
            <w:pPr>
              <w:spacing w:before="0" w:after="0" w:line="240" w:lineRule="auto"/>
              <w:jc w:val="left"/>
              <w:rPr>
                <w:rFonts w:cs="Calibri"/>
                <w:sz w:val="20"/>
                <w:szCs w:val="20"/>
                <w:lang w:eastAsia="en-US"/>
              </w:rPr>
            </w:pPr>
          </w:p>
        </w:tc>
        <w:tc>
          <w:tcPr>
            <w:tcW w:w="1418" w:type="dxa"/>
            <w:tcBorders>
              <w:top w:val="single" w:sz="4" w:space="0" w:color="44546A"/>
              <w:left w:val="single" w:sz="4" w:space="0" w:color="44546A"/>
              <w:bottom w:val="single" w:sz="4" w:space="0" w:color="44546A"/>
              <w:right w:val="single" w:sz="4" w:space="0" w:color="44546A"/>
            </w:tcBorders>
            <w:hideMark/>
          </w:tcPr>
          <w:p w14:paraId="345A8263"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Nedovoljno podataka</w:t>
            </w:r>
          </w:p>
        </w:tc>
        <w:tc>
          <w:tcPr>
            <w:tcW w:w="1275" w:type="dxa"/>
            <w:tcBorders>
              <w:top w:val="single" w:sz="4" w:space="0" w:color="44546A"/>
              <w:left w:val="single" w:sz="4" w:space="0" w:color="44546A"/>
              <w:bottom w:val="single" w:sz="4" w:space="0" w:color="44546A"/>
              <w:right w:val="single" w:sz="4" w:space="0" w:color="44546A"/>
            </w:tcBorders>
            <w:hideMark/>
          </w:tcPr>
          <w:p w14:paraId="0F48D61A"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Boka Kotorska Bay</w:t>
            </w:r>
          </w:p>
        </w:tc>
        <w:tc>
          <w:tcPr>
            <w:tcW w:w="1843" w:type="dxa"/>
            <w:tcBorders>
              <w:top w:val="single" w:sz="4" w:space="0" w:color="44546A"/>
              <w:left w:val="single" w:sz="4" w:space="0" w:color="44546A"/>
              <w:bottom w:val="single" w:sz="4" w:space="0" w:color="44546A"/>
              <w:right w:val="single" w:sz="4" w:space="0" w:color="44546A"/>
            </w:tcBorders>
            <w:hideMark/>
          </w:tcPr>
          <w:p w14:paraId="784A5784" w14:textId="77777777" w:rsidR="001D6381" w:rsidRPr="001D6381" w:rsidRDefault="001D6381" w:rsidP="001D6381">
            <w:pPr>
              <w:spacing w:before="0" w:after="0" w:line="240" w:lineRule="auto"/>
              <w:jc w:val="left"/>
              <w:rPr>
                <w:rFonts w:cs="Calibri"/>
                <w:sz w:val="20"/>
                <w:szCs w:val="20"/>
                <w:lang w:eastAsia="en-US"/>
              </w:rPr>
            </w:pPr>
            <w:r w:rsidRPr="001D6381">
              <w:rPr>
                <w:rFonts w:cs="Calibri"/>
                <w:sz w:val="20"/>
                <w:szCs w:val="20"/>
                <w:lang w:eastAsia="en-US"/>
              </w:rPr>
              <w:t>Joksimović et al. 2016</w:t>
            </w:r>
          </w:p>
        </w:tc>
      </w:tr>
    </w:tbl>
    <w:p w14:paraId="12A65773" w14:textId="77777777" w:rsidR="001D6381" w:rsidRPr="001D6381" w:rsidRDefault="001D6381" w:rsidP="001D6381">
      <w:pPr>
        <w:spacing w:before="0" w:after="0"/>
        <w:rPr>
          <w:rFonts w:eastAsia="Calibri" w:cs="Calibri"/>
          <w:b/>
          <w:sz w:val="20"/>
          <w:szCs w:val="20"/>
          <w:lang w:val="en-GB" w:eastAsia="en-US"/>
        </w:rPr>
      </w:pPr>
    </w:p>
    <w:p w14:paraId="12758F93" w14:textId="77777777" w:rsidR="001D6381" w:rsidRPr="001D6381" w:rsidRDefault="001D6381" w:rsidP="001D6381">
      <w:pPr>
        <w:spacing w:before="0" w:after="0"/>
        <w:rPr>
          <w:rFonts w:eastAsia="Calibri" w:cs="Calibri"/>
          <w:b/>
          <w:sz w:val="20"/>
          <w:szCs w:val="20"/>
          <w:lang w:val="en-GB" w:eastAsia="en-US"/>
        </w:rPr>
      </w:pPr>
    </w:p>
    <w:p w14:paraId="4311C81A" w14:textId="5CF818BF" w:rsidR="001D6381" w:rsidRPr="00D419DD" w:rsidRDefault="001D6381" w:rsidP="00D419DD">
      <w:pPr>
        <w:pStyle w:val="Heading3"/>
        <w:rPr>
          <w:lang w:val="sr-Latn-ME"/>
        </w:rPr>
      </w:pPr>
      <w:bookmarkStart w:id="43" w:name="_Toc69678348"/>
      <w:bookmarkStart w:id="44" w:name="_Toc83630898"/>
      <w:r w:rsidRPr="00D419DD">
        <w:rPr>
          <w:lang w:val="sr-Latn-ME"/>
        </w:rPr>
        <w:t>Pristup procjeni</w:t>
      </w:r>
      <w:bookmarkEnd w:id="43"/>
      <w:r w:rsidRPr="00D419DD">
        <w:rPr>
          <w:lang w:val="sr-Latn-ME"/>
        </w:rPr>
        <w:t xml:space="preserve"> </w:t>
      </w:r>
      <w:r w:rsidR="004B46DC">
        <w:rPr>
          <w:lang w:val="sr-Latn-ME"/>
        </w:rPr>
        <w:t>GES-a</w:t>
      </w:r>
      <w:bookmarkEnd w:id="44"/>
    </w:p>
    <w:p w14:paraId="1C367526" w14:textId="79993251" w:rsidR="001D6381" w:rsidRPr="001D6381" w:rsidRDefault="001D6381" w:rsidP="001D6381">
      <w:pPr>
        <w:spacing w:before="0" w:after="0"/>
        <w:rPr>
          <w:rFonts w:eastAsia="Calibri" w:cs="Calibri"/>
          <w:color w:val="000000"/>
          <w:szCs w:val="22"/>
          <w:lang w:val="en-GB" w:eastAsia="en-US"/>
        </w:rPr>
      </w:pPr>
      <w:r w:rsidRPr="001D6381">
        <w:rPr>
          <w:rFonts w:eastAsia="Calibri" w:cs="Calibri"/>
          <w:color w:val="000000"/>
          <w:szCs w:val="22"/>
          <w:lang w:val="en-GB" w:eastAsia="en-US"/>
        </w:rPr>
        <w:t xml:space="preserve">Prema Odluci Komisije 2017/848 / EU za deskriptor 2 (NIS), procjena GES-a je moguća ako dostupni podaci </w:t>
      </w:r>
      <w:r w:rsidR="006B117B">
        <w:rPr>
          <w:rFonts w:eastAsia="Calibri" w:cs="Calibri"/>
          <w:color w:val="000000"/>
          <w:szCs w:val="22"/>
          <w:lang w:val="en-GB" w:eastAsia="en-US"/>
        </w:rPr>
        <w:t xml:space="preserve">odgovaraju </w:t>
      </w:r>
      <w:r w:rsidR="00FB049B">
        <w:rPr>
          <w:rFonts w:eastAsia="Calibri" w:cs="Calibri"/>
          <w:color w:val="000000"/>
          <w:szCs w:val="22"/>
          <w:lang w:val="en-GB" w:eastAsia="en-US"/>
        </w:rPr>
        <w:t xml:space="preserve">zahtjevima </w:t>
      </w:r>
      <w:r w:rsidRPr="001D6381">
        <w:rPr>
          <w:rFonts w:eastAsia="Calibri" w:cs="Calibri"/>
          <w:color w:val="000000"/>
          <w:szCs w:val="22"/>
          <w:lang w:val="en-GB" w:eastAsia="en-US"/>
        </w:rPr>
        <w:t>kriterijuma navedeni</w:t>
      </w:r>
      <w:r w:rsidR="00CA5262">
        <w:rPr>
          <w:rFonts w:eastAsia="Calibri" w:cs="Calibri"/>
          <w:color w:val="000000"/>
          <w:szCs w:val="22"/>
          <w:lang w:val="en-GB" w:eastAsia="en-US"/>
        </w:rPr>
        <w:t>h</w:t>
      </w:r>
      <w:r w:rsidRPr="001D6381">
        <w:rPr>
          <w:rFonts w:eastAsia="Calibri" w:cs="Calibri"/>
          <w:color w:val="000000"/>
          <w:szCs w:val="22"/>
          <w:lang w:val="en-GB" w:eastAsia="en-US"/>
        </w:rPr>
        <w:t xml:space="preserve"> u tabeli 2.2.</w:t>
      </w:r>
    </w:p>
    <w:p w14:paraId="7038F543" w14:textId="03EE1B9B" w:rsidR="001D6381" w:rsidRPr="001D6381" w:rsidRDefault="001D6381" w:rsidP="001D6381">
      <w:pPr>
        <w:spacing w:before="0" w:after="0"/>
        <w:rPr>
          <w:rFonts w:eastAsia="Calibri" w:cs="Calibri"/>
          <w:color w:val="000000"/>
          <w:szCs w:val="22"/>
          <w:lang w:val="en-GB" w:eastAsia="en-US"/>
        </w:rPr>
      </w:pPr>
      <w:r w:rsidRPr="001D6381">
        <w:rPr>
          <w:rFonts w:eastAsia="Calibri" w:cs="Calibri"/>
          <w:color w:val="000000"/>
          <w:szCs w:val="22"/>
          <w:lang w:val="en-GB" w:eastAsia="en-US"/>
        </w:rPr>
        <w:t>Za primarn</w:t>
      </w:r>
      <w:r w:rsidR="00FB049B">
        <w:rPr>
          <w:rFonts w:eastAsia="Calibri" w:cs="Calibri"/>
          <w:color w:val="000000"/>
          <w:szCs w:val="22"/>
          <w:lang w:val="en-GB" w:eastAsia="en-US"/>
        </w:rPr>
        <w:t>i</w:t>
      </w:r>
      <w:r w:rsidRPr="001D6381">
        <w:rPr>
          <w:rFonts w:eastAsia="Calibri" w:cs="Calibri"/>
          <w:color w:val="000000"/>
          <w:szCs w:val="22"/>
          <w:lang w:val="en-GB" w:eastAsia="en-US"/>
        </w:rPr>
        <w:t xml:space="preserve"> kriterijum D2C1 neophodno je </w:t>
      </w:r>
      <w:r w:rsidR="00F86F89">
        <w:rPr>
          <w:rFonts w:eastAsia="Calibri" w:cs="Calibri"/>
          <w:color w:val="000000"/>
          <w:szCs w:val="22"/>
          <w:lang w:val="en-GB" w:eastAsia="en-US"/>
        </w:rPr>
        <w:t>dogovoriti</w:t>
      </w:r>
      <w:r w:rsidRPr="001D6381">
        <w:rPr>
          <w:rFonts w:eastAsia="Calibri" w:cs="Calibri"/>
          <w:color w:val="000000"/>
          <w:szCs w:val="22"/>
          <w:lang w:val="en-GB" w:eastAsia="en-US"/>
        </w:rPr>
        <w:t xml:space="preserve"> </w:t>
      </w:r>
      <w:r w:rsidR="00CA5262">
        <w:rPr>
          <w:rFonts w:eastAsia="Calibri" w:cs="Calibri"/>
          <w:color w:val="000000"/>
          <w:szCs w:val="22"/>
          <w:lang w:val="en-GB" w:eastAsia="en-US"/>
        </w:rPr>
        <w:t>graničn</w:t>
      </w:r>
      <w:r w:rsidR="00F86F89">
        <w:rPr>
          <w:rFonts w:eastAsia="Calibri" w:cs="Calibri"/>
          <w:color w:val="000000"/>
          <w:szCs w:val="22"/>
          <w:lang w:val="en-GB" w:eastAsia="en-US"/>
        </w:rPr>
        <w:t>e</w:t>
      </w:r>
      <w:r w:rsidR="00CA5262">
        <w:rPr>
          <w:rFonts w:eastAsia="Calibri" w:cs="Calibri"/>
          <w:color w:val="000000"/>
          <w:szCs w:val="22"/>
          <w:lang w:val="en-GB" w:eastAsia="en-US"/>
        </w:rPr>
        <w:t xml:space="preserve"> vrijednosti</w:t>
      </w:r>
      <w:r w:rsidRPr="001D6381">
        <w:rPr>
          <w:rFonts w:eastAsia="Calibri" w:cs="Calibri"/>
          <w:color w:val="000000"/>
          <w:szCs w:val="22"/>
          <w:lang w:val="en-GB" w:eastAsia="en-US"/>
        </w:rPr>
        <w:t xml:space="preserve"> na podregionalnom nivou, dok za kriterijume D2C2 i D2C3 Crna Gora treba da kreira listu </w:t>
      </w:r>
      <w:r w:rsidR="007D5ADA" w:rsidRPr="007D5ADA">
        <w:rPr>
          <w:rFonts w:asciiTheme="minorHAnsi" w:eastAsia="Calibri" w:hAnsiTheme="minorHAnsi" w:cstheme="minorHAnsi"/>
          <w:color w:val="000000"/>
          <w:szCs w:val="22"/>
          <w:lang w:val="en-GB" w:eastAsia="en-US"/>
        </w:rPr>
        <w:t xml:space="preserve">unesenih </w:t>
      </w:r>
      <w:r w:rsidR="007D5ADA" w:rsidRPr="007D5ADA">
        <w:rPr>
          <w:rFonts w:asciiTheme="minorHAnsi" w:eastAsia="Calibri" w:hAnsiTheme="minorHAnsi" w:cstheme="minorHAnsi"/>
          <w:szCs w:val="22"/>
          <w:lang w:val="hr-HR" w:eastAsia="en-US"/>
        </w:rPr>
        <w:t xml:space="preserve">vrsta koje su uspostavile populacije </w:t>
      </w:r>
      <w:r w:rsidR="007D5ADA" w:rsidRPr="007D5ADA">
        <w:rPr>
          <w:rFonts w:asciiTheme="minorHAnsi" w:eastAsia="Calibri" w:hAnsiTheme="minorHAnsi" w:cstheme="minorHAnsi"/>
          <w:color w:val="000000"/>
          <w:szCs w:val="22"/>
          <w:lang w:val="en-GB" w:eastAsia="en-US"/>
        </w:rPr>
        <w:t xml:space="preserve">I </w:t>
      </w:r>
      <w:r w:rsidRPr="007D5ADA">
        <w:rPr>
          <w:rFonts w:asciiTheme="minorHAnsi" w:eastAsia="Calibri" w:hAnsiTheme="minorHAnsi" w:cstheme="minorHAnsi"/>
          <w:color w:val="000000"/>
          <w:szCs w:val="22"/>
          <w:lang w:val="en-GB" w:eastAsia="en-US"/>
        </w:rPr>
        <w:t>koj</w:t>
      </w:r>
      <w:r w:rsidR="00CA5262" w:rsidRPr="007D5ADA">
        <w:rPr>
          <w:rFonts w:asciiTheme="minorHAnsi" w:eastAsia="Calibri" w:hAnsiTheme="minorHAnsi" w:cstheme="minorHAnsi"/>
          <w:color w:val="000000"/>
          <w:szCs w:val="22"/>
          <w:lang w:val="en-GB" w:eastAsia="en-US"/>
        </w:rPr>
        <w:t>e</w:t>
      </w:r>
      <w:r w:rsidRPr="007D5ADA">
        <w:rPr>
          <w:rFonts w:asciiTheme="minorHAnsi" w:eastAsia="Calibri" w:hAnsiTheme="minorHAnsi" w:cstheme="minorHAnsi"/>
          <w:color w:val="000000"/>
          <w:szCs w:val="22"/>
          <w:lang w:val="en-GB" w:eastAsia="en-US"/>
        </w:rPr>
        <w:t xml:space="preserve"> će se pratiti</w:t>
      </w:r>
      <w:r w:rsidR="00F86F89" w:rsidRPr="007D5ADA">
        <w:rPr>
          <w:rFonts w:asciiTheme="minorHAnsi" w:eastAsia="Calibri" w:hAnsiTheme="minorHAnsi" w:cstheme="minorHAnsi"/>
          <w:color w:val="000000"/>
          <w:szCs w:val="22"/>
          <w:lang w:val="en-GB" w:eastAsia="en-US"/>
        </w:rPr>
        <w:t xml:space="preserve"> monitoring programom</w:t>
      </w:r>
      <w:r w:rsidRPr="007D5ADA">
        <w:rPr>
          <w:rFonts w:asciiTheme="minorHAnsi" w:eastAsia="Calibri" w:hAnsiTheme="minorHAnsi" w:cstheme="minorHAnsi"/>
          <w:color w:val="000000"/>
          <w:szCs w:val="22"/>
          <w:lang w:val="en-GB" w:eastAsia="en-US"/>
        </w:rPr>
        <w:t>.</w:t>
      </w:r>
      <w:r w:rsidRPr="001D6381">
        <w:rPr>
          <w:rFonts w:eastAsia="Calibri" w:cs="Calibri"/>
          <w:color w:val="000000"/>
          <w:szCs w:val="22"/>
          <w:lang w:val="en-GB" w:eastAsia="en-US"/>
        </w:rPr>
        <w:t xml:space="preserve"> Glavna prepreka za procjenu </w:t>
      </w:r>
      <w:r w:rsidR="00CA5262">
        <w:rPr>
          <w:rFonts w:eastAsia="Calibri" w:cs="Calibri"/>
          <w:color w:val="000000"/>
          <w:szCs w:val="22"/>
          <w:lang w:val="en-GB" w:eastAsia="en-US"/>
        </w:rPr>
        <w:t xml:space="preserve">dobrog stanja morske sredine </w:t>
      </w:r>
      <w:r w:rsidR="00F86F89">
        <w:rPr>
          <w:rFonts w:eastAsia="Calibri" w:cs="Calibri"/>
          <w:color w:val="000000"/>
          <w:szCs w:val="22"/>
          <w:lang w:val="en-GB" w:eastAsia="en-US"/>
        </w:rPr>
        <w:t>u</w:t>
      </w:r>
      <w:r w:rsidR="00CA5262">
        <w:rPr>
          <w:rFonts w:eastAsia="Calibri" w:cs="Calibri"/>
          <w:color w:val="000000"/>
          <w:szCs w:val="22"/>
          <w:lang w:val="en-GB" w:eastAsia="en-US"/>
        </w:rPr>
        <w:t xml:space="preserve"> odnosu na D2 </w:t>
      </w:r>
      <w:r w:rsidRPr="001D6381">
        <w:rPr>
          <w:rFonts w:eastAsia="Calibri" w:cs="Calibri"/>
          <w:color w:val="000000"/>
          <w:szCs w:val="22"/>
          <w:lang w:val="en-GB" w:eastAsia="en-US"/>
        </w:rPr>
        <w:t xml:space="preserve">za čitav jadranski region je činjenica da </w:t>
      </w:r>
      <w:r w:rsidR="00CA5262">
        <w:rPr>
          <w:rFonts w:eastAsia="Calibri" w:cs="Calibri"/>
          <w:color w:val="000000"/>
          <w:szCs w:val="22"/>
          <w:lang w:val="en-GB" w:eastAsia="en-US"/>
        </w:rPr>
        <w:t>grančn</w:t>
      </w:r>
      <w:r w:rsidR="00F86F89">
        <w:rPr>
          <w:rFonts w:eastAsia="Calibri" w:cs="Calibri"/>
          <w:color w:val="000000"/>
          <w:szCs w:val="22"/>
          <w:lang w:val="en-GB" w:eastAsia="en-US"/>
        </w:rPr>
        <w:t>e</w:t>
      </w:r>
      <w:r w:rsidR="00CA5262">
        <w:rPr>
          <w:rFonts w:eastAsia="Calibri" w:cs="Calibri"/>
          <w:color w:val="000000"/>
          <w:szCs w:val="22"/>
          <w:lang w:val="en-GB" w:eastAsia="en-US"/>
        </w:rPr>
        <w:t xml:space="preserve"> vrijednosti </w:t>
      </w:r>
      <w:r w:rsidRPr="001D6381">
        <w:rPr>
          <w:rFonts w:eastAsia="Calibri" w:cs="Calibri"/>
          <w:color w:val="000000"/>
          <w:szCs w:val="22"/>
          <w:lang w:val="en-GB" w:eastAsia="en-US"/>
        </w:rPr>
        <w:t xml:space="preserve">na subregionalnom nivou još nisu </w:t>
      </w:r>
      <w:r w:rsidR="00CA5262">
        <w:rPr>
          <w:rFonts w:eastAsia="Calibri" w:cs="Calibri"/>
          <w:color w:val="000000"/>
          <w:szCs w:val="22"/>
          <w:lang w:val="en-GB" w:eastAsia="en-US"/>
        </w:rPr>
        <w:t>uspostavljene</w:t>
      </w:r>
      <w:r w:rsidRPr="001D6381">
        <w:rPr>
          <w:rFonts w:eastAsia="Calibri" w:cs="Calibri"/>
          <w:color w:val="000000"/>
          <w:szCs w:val="22"/>
          <w:lang w:val="en-GB" w:eastAsia="en-US"/>
        </w:rPr>
        <w:t xml:space="preserve">. Međutim, pripremljen je osnovni </w:t>
      </w:r>
      <w:r w:rsidRPr="003B33D9">
        <w:rPr>
          <w:rFonts w:eastAsia="Calibri" w:cs="Calibri"/>
          <w:b/>
          <w:color w:val="000000"/>
          <w:szCs w:val="22"/>
          <w:lang w:val="en-GB" w:eastAsia="en-US"/>
        </w:rPr>
        <w:t>nacionalni</w:t>
      </w:r>
      <w:r w:rsidRPr="001D6381">
        <w:rPr>
          <w:rFonts w:eastAsia="Calibri" w:cs="Calibri"/>
          <w:color w:val="000000"/>
          <w:szCs w:val="22"/>
          <w:lang w:val="en-GB" w:eastAsia="en-US"/>
        </w:rPr>
        <w:t xml:space="preserve"> pregled postojećih unesenih vrsta što bi trebalo da bude osnov za buduću procjenu GES-a u okviru 6-godišnjeg ciklusa </w:t>
      </w:r>
      <w:r w:rsidR="00480592">
        <w:rPr>
          <w:rFonts w:eastAsia="Calibri" w:cs="Calibri"/>
          <w:color w:val="000000"/>
          <w:szCs w:val="22"/>
          <w:lang w:val="en-GB" w:eastAsia="en-US"/>
        </w:rPr>
        <w:t>ODMS-a.</w:t>
      </w:r>
    </w:p>
    <w:p w14:paraId="54260FF6" w14:textId="77777777" w:rsidR="001D6381" w:rsidRPr="001D6381" w:rsidRDefault="001D6381" w:rsidP="001D6381">
      <w:pPr>
        <w:spacing w:before="0" w:after="0"/>
        <w:rPr>
          <w:rFonts w:eastAsia="Calibri" w:cs="Calibri"/>
          <w:color w:val="000000"/>
          <w:szCs w:val="22"/>
          <w:lang w:val="en-GB" w:eastAsia="en-US"/>
        </w:rPr>
      </w:pPr>
    </w:p>
    <w:p w14:paraId="533F3DB0" w14:textId="01D52B2C" w:rsidR="001D6381" w:rsidRPr="00D419DD" w:rsidRDefault="001D6381" w:rsidP="00710AC9">
      <w:pPr>
        <w:pStyle w:val="Heading3"/>
        <w:ind w:left="1701" w:hanging="708"/>
        <w:rPr>
          <w:lang w:val="sr-Latn-ME"/>
        </w:rPr>
      </w:pPr>
      <w:bookmarkStart w:id="45" w:name="_Toc83630899"/>
      <w:r w:rsidRPr="00D419DD">
        <w:rPr>
          <w:lang w:val="sr-Latn-ME"/>
        </w:rPr>
        <w:t xml:space="preserve">Pristup </w:t>
      </w:r>
      <w:r w:rsidR="00FB7FA0">
        <w:rPr>
          <w:lang w:val="sr-Latn-ME"/>
        </w:rPr>
        <w:t xml:space="preserve">definisanju </w:t>
      </w:r>
      <w:r w:rsidR="00181774">
        <w:rPr>
          <w:lang w:val="sr-Latn-ME"/>
        </w:rPr>
        <w:t xml:space="preserve">ciljeva </w:t>
      </w:r>
      <w:bookmarkStart w:id="46" w:name="_Hlk78557064"/>
      <w:r w:rsidR="00181774">
        <w:rPr>
          <w:lang w:val="sr-Latn-ME"/>
        </w:rPr>
        <w:t>za ostvarivanje/održavanje GES-a z</w:t>
      </w:r>
      <w:r w:rsidRPr="00D419DD">
        <w:rPr>
          <w:lang w:val="sr-Latn-ME"/>
        </w:rPr>
        <w:t>a D2</w:t>
      </w:r>
      <w:bookmarkEnd w:id="45"/>
    </w:p>
    <w:bookmarkEnd w:id="46"/>
    <w:p w14:paraId="3C2E634D" w14:textId="7C0169D8" w:rsidR="001D6381" w:rsidRPr="001D6381" w:rsidRDefault="00C31D21" w:rsidP="001D6381">
      <w:pPr>
        <w:spacing w:before="0" w:after="160"/>
        <w:rPr>
          <w:rFonts w:eastAsia="Calibri" w:cs="Calibri"/>
          <w:color w:val="000000"/>
          <w:szCs w:val="22"/>
          <w:lang w:val="en-GB" w:eastAsia="en-US"/>
        </w:rPr>
      </w:pPr>
      <w:r>
        <w:rPr>
          <w:rFonts w:eastAsia="Calibri" w:cs="Calibri"/>
          <w:color w:val="000000"/>
          <w:szCs w:val="22"/>
          <w:lang w:val="en-GB" w:eastAsia="en-US"/>
        </w:rPr>
        <w:t>Definisanje ciljeva za ostvarivanje/održavanje GES-a za D2 usmjereno je na</w:t>
      </w:r>
      <w:r w:rsidR="001D6381" w:rsidRPr="001D6381">
        <w:rPr>
          <w:rFonts w:eastAsia="Calibri" w:cs="Calibri"/>
          <w:color w:val="000000"/>
          <w:szCs w:val="22"/>
          <w:lang w:val="en-GB" w:eastAsia="en-US"/>
        </w:rPr>
        <w:t xml:space="preserve"> (i) upravljanje kako bi se smanjio rizik od ključnih puteva i vektora unošenja i širenja </w:t>
      </w:r>
      <w:r w:rsidR="0049692E">
        <w:rPr>
          <w:rFonts w:eastAsia="Calibri" w:cs="Calibri"/>
          <w:color w:val="000000"/>
          <w:szCs w:val="22"/>
          <w:lang w:val="en-GB" w:eastAsia="en-US"/>
        </w:rPr>
        <w:t>stranih vrsta</w:t>
      </w:r>
      <w:r w:rsidR="001D6381" w:rsidRPr="001D6381">
        <w:rPr>
          <w:rFonts w:eastAsia="Calibri" w:cs="Calibri"/>
          <w:color w:val="000000"/>
          <w:szCs w:val="22"/>
          <w:lang w:val="en-GB" w:eastAsia="en-US"/>
        </w:rPr>
        <w:t>, i (ii) razvoj i sprovođenje planova upravljanja za postupanje sa ključnim vrstama visokog rizika ukoliko stignu u</w:t>
      </w:r>
      <w:r w:rsidR="0049692E">
        <w:rPr>
          <w:rFonts w:eastAsia="Calibri" w:cs="Calibri"/>
          <w:color w:val="000000"/>
          <w:szCs w:val="22"/>
          <w:lang w:val="en-GB" w:eastAsia="en-US"/>
        </w:rPr>
        <w:t xml:space="preserve"> crnogorski dio Jadrana</w:t>
      </w:r>
      <w:r w:rsidR="001D6381" w:rsidRPr="001D6381">
        <w:rPr>
          <w:rFonts w:eastAsia="Calibri" w:cs="Calibri"/>
          <w:color w:val="000000"/>
          <w:szCs w:val="22"/>
          <w:lang w:val="en-GB" w:eastAsia="en-US"/>
        </w:rPr>
        <w:t xml:space="preserve"> (tabela 2.4).</w:t>
      </w:r>
    </w:p>
    <w:p w14:paraId="5AA45D0F" w14:textId="5671D36A" w:rsidR="001D6381" w:rsidRPr="001D6381" w:rsidRDefault="001D6381" w:rsidP="001D6381">
      <w:pPr>
        <w:spacing w:before="120" w:after="160" w:line="240" w:lineRule="auto"/>
        <w:rPr>
          <w:rFonts w:eastAsia="Calibri" w:cs="Calibri"/>
          <w:b/>
          <w:bCs/>
          <w:szCs w:val="22"/>
          <w:lang w:val="en-GB" w:eastAsia="en-US"/>
        </w:rPr>
      </w:pPr>
      <w:r w:rsidRPr="001D6381">
        <w:rPr>
          <w:rFonts w:cs="Calibri"/>
          <w:b/>
          <w:color w:val="000000"/>
          <w:szCs w:val="22"/>
          <w:lang w:val="en-GB" w:eastAsia="en-US"/>
        </w:rPr>
        <w:t xml:space="preserve">Tabela 2.4. </w:t>
      </w:r>
      <w:r w:rsidR="00181774">
        <w:rPr>
          <w:rFonts w:cs="Calibri"/>
          <w:b/>
          <w:color w:val="000000"/>
          <w:szCs w:val="22"/>
          <w:lang w:val="en-GB" w:eastAsia="en-US"/>
        </w:rPr>
        <w:t>C</w:t>
      </w:r>
      <w:r w:rsidRPr="001D6381">
        <w:rPr>
          <w:rFonts w:cs="Calibri"/>
          <w:b/>
          <w:color w:val="000000"/>
          <w:szCs w:val="22"/>
          <w:lang w:val="en-GB" w:eastAsia="en-US"/>
        </w:rPr>
        <w:t xml:space="preserve">iljevi koji vode ka </w:t>
      </w:r>
      <w:r w:rsidR="00C31D21">
        <w:rPr>
          <w:rFonts w:cs="Calibri"/>
          <w:b/>
          <w:color w:val="000000"/>
          <w:szCs w:val="22"/>
          <w:lang w:val="en-GB" w:eastAsia="en-US"/>
        </w:rPr>
        <w:t xml:space="preserve">napretku u </w:t>
      </w:r>
      <w:r w:rsidRPr="001D6381">
        <w:rPr>
          <w:rFonts w:cs="Calibri"/>
          <w:b/>
          <w:color w:val="000000"/>
          <w:szCs w:val="22"/>
          <w:lang w:val="en-GB" w:eastAsia="en-US"/>
        </w:rPr>
        <w:t>postizanju GES-a za Deskriptor 2</w:t>
      </w:r>
    </w:p>
    <w:tbl>
      <w:tblPr>
        <w:tblStyle w:val="GolderTable1"/>
        <w:tblW w:w="8931" w:type="dxa"/>
        <w:jc w:val="center"/>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ook w:val="04A0" w:firstRow="1" w:lastRow="0" w:firstColumn="1" w:lastColumn="0" w:noHBand="0" w:noVBand="1"/>
      </w:tblPr>
      <w:tblGrid>
        <w:gridCol w:w="2275"/>
        <w:gridCol w:w="5386"/>
        <w:gridCol w:w="1270"/>
      </w:tblGrid>
      <w:tr w:rsidR="006D4452" w:rsidRPr="001D6381" w14:paraId="1896C8EE" w14:textId="77777777" w:rsidTr="00D25156">
        <w:trPr>
          <w:trHeight w:val="497"/>
          <w:tblHeader/>
          <w:jc w:val="center"/>
        </w:trPr>
        <w:tc>
          <w:tcPr>
            <w:tcW w:w="893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487DAE5C" w14:textId="59C9DE25" w:rsidR="006D4452" w:rsidRDefault="00850703" w:rsidP="00B23467">
            <w:pPr>
              <w:autoSpaceDE w:val="0"/>
              <w:autoSpaceDN w:val="0"/>
              <w:adjustRightInd w:val="0"/>
              <w:spacing w:before="0" w:after="0" w:line="240" w:lineRule="auto"/>
              <w:jc w:val="center"/>
              <w:rPr>
                <w:rFonts w:cs="Calibri"/>
                <w:b/>
                <w:color w:val="FFFFFF" w:themeColor="background1"/>
                <w:lang w:val="en-GB" w:eastAsia="en-US"/>
              </w:rPr>
            </w:pPr>
            <w:r>
              <w:rPr>
                <w:rFonts w:cs="Calibri"/>
                <w:b/>
                <w:color w:val="FFFFFF" w:themeColor="background1"/>
                <w:lang w:val="en-GB" w:eastAsia="en-US"/>
              </w:rPr>
              <w:t>Područje procjene</w:t>
            </w:r>
            <w:r w:rsidR="006D4452" w:rsidRPr="00C673F6">
              <w:rPr>
                <w:rFonts w:cs="Calibri"/>
                <w:b/>
                <w:color w:val="FFFFFF" w:themeColor="background1"/>
                <w:lang w:val="en-GB" w:eastAsia="en-US"/>
              </w:rPr>
              <w:t xml:space="preserve">: </w:t>
            </w:r>
            <w:r w:rsidR="00CE1233">
              <w:rPr>
                <w:rFonts w:cs="Calibri"/>
                <w:b/>
                <w:color w:val="FFFFFF" w:themeColor="background1"/>
                <w:lang w:val="en-GB" w:eastAsia="en-US"/>
              </w:rPr>
              <w:t xml:space="preserve">nacionalni nivo - </w:t>
            </w:r>
            <w:r>
              <w:rPr>
                <w:rFonts w:cs="Calibri"/>
                <w:b/>
                <w:color w:val="FFFFFF" w:themeColor="background1"/>
                <w:lang w:val="en-GB" w:eastAsia="en-US"/>
              </w:rPr>
              <w:t xml:space="preserve">Crnogorski dio </w:t>
            </w:r>
            <w:r w:rsidR="00115E47">
              <w:rPr>
                <w:rFonts w:cs="Calibri"/>
                <w:b/>
                <w:color w:val="FFFFFF" w:themeColor="background1"/>
                <w:lang w:val="en-GB" w:eastAsia="en-US"/>
              </w:rPr>
              <w:t xml:space="preserve"> </w:t>
            </w:r>
            <w:r>
              <w:rPr>
                <w:rFonts w:cs="Calibri"/>
                <w:b/>
                <w:color w:val="FFFFFF" w:themeColor="background1"/>
                <w:lang w:val="en-GB" w:eastAsia="en-US"/>
              </w:rPr>
              <w:t>Jadrana</w:t>
            </w:r>
          </w:p>
        </w:tc>
      </w:tr>
      <w:tr w:rsidR="001D6381" w:rsidRPr="001D6381" w14:paraId="6DD708CC" w14:textId="77777777" w:rsidTr="00D25156">
        <w:trPr>
          <w:trHeight w:val="639"/>
          <w:tblHeader/>
          <w:jc w:val="center"/>
        </w:trPr>
        <w:tc>
          <w:tcPr>
            <w:tcW w:w="22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6E92EB5A" w14:textId="77777777" w:rsidR="001D6381" w:rsidRPr="00480592" w:rsidRDefault="001D6381" w:rsidP="006D4452">
            <w:pPr>
              <w:spacing w:before="0" w:after="0" w:line="240" w:lineRule="auto"/>
              <w:jc w:val="center"/>
              <w:rPr>
                <w:rFonts w:eastAsia="Times New Roman" w:cs="Calibri"/>
                <w:b/>
                <w:color w:val="FFFFFF" w:themeColor="background1"/>
                <w:lang w:val="en-GB" w:eastAsia="en-US"/>
              </w:rPr>
            </w:pPr>
            <w:r w:rsidRPr="00480592">
              <w:rPr>
                <w:rFonts w:cs="Calibri"/>
                <w:b/>
                <w:color w:val="FFFFFF" w:themeColor="background1"/>
                <w:lang w:val="en-GB" w:eastAsia="en-US"/>
              </w:rPr>
              <w:t xml:space="preserve">Kriterijum </w:t>
            </w:r>
          </w:p>
        </w:tc>
        <w:tc>
          <w:tcPr>
            <w:tcW w:w="53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155BD2E9" w14:textId="77777777" w:rsidR="001D6381" w:rsidRPr="00480592" w:rsidRDefault="001D6381" w:rsidP="006D4452">
            <w:pPr>
              <w:autoSpaceDE w:val="0"/>
              <w:autoSpaceDN w:val="0"/>
              <w:adjustRightInd w:val="0"/>
              <w:spacing w:before="0" w:after="0" w:line="240" w:lineRule="auto"/>
              <w:jc w:val="center"/>
              <w:rPr>
                <w:rFonts w:cs="Calibri"/>
                <w:b/>
                <w:color w:val="FFFFFF" w:themeColor="background1"/>
                <w:lang w:val="en-GB" w:eastAsia="en-US"/>
              </w:rPr>
            </w:pPr>
            <w:r w:rsidRPr="00480592">
              <w:rPr>
                <w:rFonts w:cs="Calibri"/>
                <w:b/>
                <w:color w:val="FFFFFF" w:themeColor="background1"/>
                <w:lang w:val="en-GB" w:eastAsia="en-US"/>
              </w:rPr>
              <w:t xml:space="preserve">Ciljevi </w:t>
            </w:r>
          </w:p>
          <w:p w14:paraId="7EB6E7D1" w14:textId="77777777" w:rsidR="001D6381" w:rsidRPr="00480592" w:rsidRDefault="001D6381" w:rsidP="006D4452">
            <w:pPr>
              <w:autoSpaceDE w:val="0"/>
              <w:autoSpaceDN w:val="0"/>
              <w:adjustRightInd w:val="0"/>
              <w:spacing w:before="0" w:after="0" w:line="240" w:lineRule="auto"/>
              <w:jc w:val="left"/>
              <w:rPr>
                <w:rFonts w:cs="Calibri"/>
                <w:b/>
                <w:color w:val="FFFFFF" w:themeColor="background1"/>
                <w:lang w:val="en-GB" w:eastAsia="en-US"/>
              </w:rPr>
            </w:pPr>
          </w:p>
        </w:tc>
        <w:tc>
          <w:tcPr>
            <w:tcW w:w="12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7F1538CB" w14:textId="77777777" w:rsidR="001D6381" w:rsidRDefault="00480592" w:rsidP="006D4452">
            <w:pPr>
              <w:autoSpaceDE w:val="0"/>
              <w:autoSpaceDN w:val="0"/>
              <w:adjustRightInd w:val="0"/>
              <w:spacing w:before="0" w:after="0" w:line="240" w:lineRule="auto"/>
              <w:jc w:val="center"/>
              <w:rPr>
                <w:rFonts w:cs="Calibri"/>
                <w:b/>
                <w:color w:val="FFFFFF" w:themeColor="background1"/>
                <w:lang w:val="en-GB" w:eastAsia="en-US"/>
              </w:rPr>
            </w:pPr>
            <w:r>
              <w:rPr>
                <w:rFonts w:cs="Calibri"/>
                <w:b/>
                <w:color w:val="FFFFFF" w:themeColor="background1"/>
                <w:lang w:val="en-GB" w:eastAsia="en-US"/>
              </w:rPr>
              <w:t>K</w:t>
            </w:r>
            <w:r w:rsidR="001D6381" w:rsidRPr="00480592">
              <w:rPr>
                <w:rFonts w:cs="Calibri"/>
                <w:b/>
                <w:color w:val="FFFFFF" w:themeColor="background1"/>
                <w:lang w:val="en-GB" w:eastAsia="en-US"/>
              </w:rPr>
              <w:t>od</w:t>
            </w:r>
          </w:p>
          <w:p w14:paraId="49E83F73" w14:textId="5BB2B37A" w:rsidR="00480592" w:rsidRPr="00480592" w:rsidRDefault="00480592" w:rsidP="006D4452">
            <w:pPr>
              <w:autoSpaceDE w:val="0"/>
              <w:autoSpaceDN w:val="0"/>
              <w:adjustRightInd w:val="0"/>
              <w:spacing w:before="0" w:after="0" w:line="240" w:lineRule="auto"/>
              <w:jc w:val="center"/>
              <w:rPr>
                <w:rFonts w:cs="Calibri"/>
                <w:b/>
                <w:color w:val="FFFFFF" w:themeColor="background1"/>
                <w:lang w:val="en-GB" w:eastAsia="en-US"/>
              </w:rPr>
            </w:pPr>
            <w:r>
              <w:rPr>
                <w:rFonts w:cs="Calibri"/>
                <w:b/>
                <w:color w:val="FFFFFF" w:themeColor="background1"/>
                <w:lang w:val="en-GB" w:eastAsia="en-US"/>
              </w:rPr>
              <w:t>cilja</w:t>
            </w:r>
          </w:p>
        </w:tc>
      </w:tr>
      <w:tr w:rsidR="001D6381" w:rsidRPr="001D6381" w14:paraId="71E2450B" w14:textId="77777777" w:rsidTr="00B23467">
        <w:trPr>
          <w:jc w:val="center"/>
        </w:trPr>
        <w:tc>
          <w:tcPr>
            <w:tcW w:w="2275" w:type="dxa"/>
            <w:tcBorders>
              <w:top w:val="single" w:sz="4" w:space="0" w:color="FFFFFF" w:themeColor="background1"/>
              <w:left w:val="single" w:sz="4" w:space="0" w:color="8496B0"/>
              <w:bottom w:val="single" w:sz="4" w:space="0" w:color="8496B0"/>
              <w:right w:val="single" w:sz="4" w:space="0" w:color="8496B0"/>
            </w:tcBorders>
            <w:hideMark/>
          </w:tcPr>
          <w:p w14:paraId="6D797B22" w14:textId="77777777" w:rsidR="001D6381" w:rsidRPr="001D6381" w:rsidRDefault="001D6381" w:rsidP="001D6381">
            <w:pPr>
              <w:autoSpaceDE w:val="0"/>
              <w:autoSpaceDN w:val="0"/>
              <w:adjustRightInd w:val="0"/>
              <w:spacing w:before="0" w:after="0" w:line="240" w:lineRule="auto"/>
              <w:jc w:val="center"/>
              <w:rPr>
                <w:rFonts w:cs="Calibri"/>
                <w:b/>
                <w:color w:val="000000"/>
                <w:sz w:val="20"/>
                <w:szCs w:val="20"/>
                <w:lang w:val="en-GB" w:eastAsia="en-US"/>
              </w:rPr>
            </w:pPr>
            <w:r w:rsidRPr="001D6381">
              <w:rPr>
                <w:rFonts w:cs="Calibri"/>
                <w:b/>
                <w:color w:val="000000"/>
                <w:sz w:val="20"/>
                <w:szCs w:val="20"/>
                <w:lang w:val="en-GB" w:eastAsia="en-US"/>
              </w:rPr>
              <w:t>D2C1</w:t>
            </w:r>
          </w:p>
        </w:tc>
        <w:tc>
          <w:tcPr>
            <w:tcW w:w="5386" w:type="dxa"/>
            <w:tcBorders>
              <w:top w:val="single" w:sz="4" w:space="0" w:color="FFFFFF" w:themeColor="background1"/>
              <w:left w:val="single" w:sz="4" w:space="0" w:color="8496B0"/>
              <w:bottom w:val="single" w:sz="4" w:space="0" w:color="8496B0"/>
              <w:right w:val="single" w:sz="4" w:space="0" w:color="8496B0"/>
            </w:tcBorders>
            <w:hideMark/>
          </w:tcPr>
          <w:p w14:paraId="6875BF76" w14:textId="0040C9F8" w:rsidR="001D6381" w:rsidRPr="001D6381" w:rsidRDefault="0049692E" w:rsidP="004F6AED">
            <w:pPr>
              <w:spacing w:before="0" w:after="0"/>
              <w:rPr>
                <w:rFonts w:cs="Calibri"/>
                <w:color w:val="000000"/>
                <w:sz w:val="20"/>
                <w:szCs w:val="20"/>
                <w:lang w:val="en-GB" w:eastAsia="en-US"/>
              </w:rPr>
            </w:pPr>
            <w:r>
              <w:rPr>
                <w:rFonts w:cs="Calibri"/>
                <w:color w:val="000000"/>
                <w:sz w:val="20"/>
                <w:szCs w:val="20"/>
                <w:lang w:val="en-GB" w:eastAsia="en-US"/>
              </w:rPr>
              <w:t>Smanjivanje</w:t>
            </w:r>
            <w:r w:rsidR="001D6381" w:rsidRPr="001D6381">
              <w:rPr>
                <w:rFonts w:cs="Calibri"/>
                <w:color w:val="000000"/>
                <w:sz w:val="20"/>
                <w:szCs w:val="20"/>
                <w:lang w:val="en-GB" w:eastAsia="en-US"/>
              </w:rPr>
              <w:t xml:space="preserve"> rizika od novih unosa stranih vrsta određivanjem prioritet</w:t>
            </w:r>
            <w:r w:rsidR="00FB049B">
              <w:rPr>
                <w:rFonts w:cs="Calibri"/>
                <w:color w:val="000000"/>
                <w:sz w:val="20"/>
                <w:szCs w:val="20"/>
                <w:lang w:val="en-GB" w:eastAsia="en-US"/>
              </w:rPr>
              <w:t>etnih</w:t>
            </w:r>
            <w:r w:rsidR="001D6381" w:rsidRPr="001D6381">
              <w:rPr>
                <w:rFonts w:cs="Calibri"/>
                <w:color w:val="000000"/>
                <w:sz w:val="20"/>
                <w:szCs w:val="20"/>
                <w:lang w:val="en-GB" w:eastAsia="en-US"/>
              </w:rPr>
              <w:t xml:space="preserve"> vrsta i poboljšan</w:t>
            </w:r>
            <w:r>
              <w:rPr>
                <w:rFonts w:cs="Calibri"/>
                <w:color w:val="000000"/>
                <w:sz w:val="20"/>
                <w:szCs w:val="20"/>
                <w:lang w:val="en-GB" w:eastAsia="en-US"/>
              </w:rPr>
              <w:t>im</w:t>
            </w:r>
            <w:r w:rsidR="001D6381" w:rsidRPr="001D6381">
              <w:rPr>
                <w:rFonts w:cs="Calibri"/>
                <w:color w:val="000000"/>
                <w:sz w:val="20"/>
                <w:szCs w:val="20"/>
                <w:lang w:val="en-GB" w:eastAsia="en-US"/>
              </w:rPr>
              <w:t xml:space="preserve"> upravljanje</w:t>
            </w:r>
            <w:r>
              <w:rPr>
                <w:rFonts w:cs="Calibri"/>
                <w:color w:val="000000"/>
                <w:sz w:val="20"/>
                <w:szCs w:val="20"/>
                <w:lang w:val="en-GB" w:eastAsia="en-US"/>
              </w:rPr>
              <w:t>m</w:t>
            </w:r>
            <w:r w:rsidR="001D6381" w:rsidRPr="001D6381">
              <w:rPr>
                <w:rFonts w:cs="Calibri"/>
                <w:color w:val="000000"/>
                <w:sz w:val="20"/>
                <w:szCs w:val="20"/>
                <w:lang w:val="en-GB" w:eastAsia="en-US"/>
              </w:rPr>
              <w:t xml:space="preserve"> putevima visokog rizika (balastne vode </w:t>
            </w:r>
            <w:r w:rsidR="000236D0">
              <w:rPr>
                <w:rFonts w:cs="Calibri"/>
                <w:color w:val="000000"/>
                <w:sz w:val="20"/>
                <w:szCs w:val="20"/>
                <w:lang w:val="en-GB" w:eastAsia="en-US"/>
              </w:rPr>
              <w:t>i</w:t>
            </w:r>
            <w:r w:rsidR="001D6381" w:rsidRPr="001D6381">
              <w:rPr>
                <w:rFonts w:cs="Calibri"/>
                <w:color w:val="000000"/>
                <w:sz w:val="20"/>
                <w:szCs w:val="20"/>
                <w:lang w:val="en-GB" w:eastAsia="en-US"/>
              </w:rPr>
              <w:t xml:space="preserve"> obraštaj trupa</w:t>
            </w:r>
            <w:r w:rsidR="00FB049B">
              <w:rPr>
                <w:rFonts w:cs="Calibri"/>
                <w:color w:val="000000"/>
                <w:sz w:val="20"/>
                <w:szCs w:val="20"/>
                <w:lang w:val="en-GB" w:eastAsia="en-US"/>
              </w:rPr>
              <w:t xml:space="preserve"> brodova</w:t>
            </w:r>
            <w:r w:rsidR="001D6381" w:rsidRPr="001D6381">
              <w:rPr>
                <w:rFonts w:cs="Calibri"/>
                <w:color w:val="000000"/>
                <w:sz w:val="20"/>
                <w:szCs w:val="20"/>
                <w:lang w:val="en-GB" w:eastAsia="en-US"/>
              </w:rPr>
              <w:t>, akvakultura).</w:t>
            </w:r>
          </w:p>
        </w:tc>
        <w:tc>
          <w:tcPr>
            <w:tcW w:w="1270" w:type="dxa"/>
            <w:tcBorders>
              <w:top w:val="single" w:sz="4" w:space="0" w:color="FFFFFF" w:themeColor="background1"/>
              <w:left w:val="single" w:sz="4" w:space="0" w:color="8496B0"/>
              <w:bottom w:val="single" w:sz="4" w:space="0" w:color="8496B0"/>
              <w:right w:val="single" w:sz="4" w:space="0" w:color="8496B0"/>
            </w:tcBorders>
            <w:hideMark/>
          </w:tcPr>
          <w:p w14:paraId="083EF24E" w14:textId="77777777" w:rsidR="001D6381" w:rsidRPr="001D6381" w:rsidRDefault="001D6381" w:rsidP="001D6381">
            <w:pPr>
              <w:autoSpaceDE w:val="0"/>
              <w:autoSpaceDN w:val="0"/>
              <w:adjustRightInd w:val="0"/>
              <w:spacing w:before="0" w:after="0"/>
              <w:jc w:val="center"/>
              <w:rPr>
                <w:rFonts w:cs="Calibri"/>
                <w:b/>
                <w:color w:val="000000"/>
                <w:sz w:val="20"/>
                <w:szCs w:val="20"/>
                <w:lang w:val="en-GB" w:eastAsia="en-US"/>
              </w:rPr>
            </w:pPr>
            <w:r w:rsidRPr="001D6381">
              <w:rPr>
                <w:rFonts w:cs="Calibri"/>
                <w:b/>
                <w:color w:val="000000"/>
                <w:sz w:val="20"/>
                <w:szCs w:val="20"/>
                <w:lang w:val="en-GB" w:eastAsia="en-US"/>
              </w:rPr>
              <w:t>D2T1</w:t>
            </w:r>
          </w:p>
        </w:tc>
      </w:tr>
      <w:tr w:rsidR="001D6381" w:rsidRPr="001D6381" w14:paraId="3028813B" w14:textId="77777777" w:rsidTr="00480592">
        <w:trPr>
          <w:jc w:val="center"/>
        </w:trPr>
        <w:tc>
          <w:tcPr>
            <w:tcW w:w="2275" w:type="dxa"/>
            <w:tcBorders>
              <w:top w:val="single" w:sz="4" w:space="0" w:color="8496B0"/>
              <w:left w:val="single" w:sz="4" w:space="0" w:color="8496B0"/>
              <w:bottom w:val="single" w:sz="4" w:space="0" w:color="8496B0"/>
              <w:right w:val="single" w:sz="4" w:space="0" w:color="8496B0"/>
            </w:tcBorders>
            <w:hideMark/>
          </w:tcPr>
          <w:p w14:paraId="107FA55E" w14:textId="77777777" w:rsidR="001D6381" w:rsidRPr="001D6381" w:rsidRDefault="001D6381" w:rsidP="001D6381">
            <w:pPr>
              <w:spacing w:before="0" w:after="0" w:line="240" w:lineRule="auto"/>
              <w:jc w:val="center"/>
              <w:rPr>
                <w:rFonts w:cs="Calibri"/>
                <w:b/>
                <w:sz w:val="20"/>
                <w:szCs w:val="20"/>
                <w:lang w:val="en-GB" w:eastAsia="en-US"/>
              </w:rPr>
            </w:pPr>
            <w:r w:rsidRPr="001D6381">
              <w:rPr>
                <w:rFonts w:cs="Calibri"/>
                <w:b/>
                <w:sz w:val="20"/>
                <w:szCs w:val="20"/>
                <w:lang w:val="en-GB" w:eastAsia="en-US"/>
              </w:rPr>
              <w:t>D2C2</w:t>
            </w:r>
          </w:p>
        </w:tc>
        <w:tc>
          <w:tcPr>
            <w:tcW w:w="5386" w:type="dxa"/>
            <w:tcBorders>
              <w:top w:val="single" w:sz="4" w:space="0" w:color="8496B0"/>
              <w:left w:val="single" w:sz="4" w:space="0" w:color="8496B0"/>
              <w:bottom w:val="single" w:sz="4" w:space="0" w:color="8496B0"/>
              <w:right w:val="single" w:sz="4" w:space="0" w:color="8496B0"/>
            </w:tcBorders>
            <w:hideMark/>
          </w:tcPr>
          <w:p w14:paraId="0BF7D00F" w14:textId="4E8AE51C" w:rsidR="001D6381" w:rsidRPr="001D6381" w:rsidRDefault="001D6381" w:rsidP="004F6AED">
            <w:pPr>
              <w:spacing w:before="0" w:after="0"/>
              <w:rPr>
                <w:rFonts w:cs="Calibri"/>
                <w:color w:val="000000"/>
                <w:sz w:val="20"/>
                <w:szCs w:val="20"/>
                <w:lang w:val="en-GB" w:eastAsia="en-US"/>
              </w:rPr>
            </w:pPr>
            <w:r w:rsidRPr="001D6381">
              <w:rPr>
                <w:rFonts w:cs="Calibri"/>
                <w:color w:val="000000"/>
                <w:sz w:val="20"/>
                <w:szCs w:val="20"/>
                <w:lang w:val="en-GB" w:eastAsia="en-US"/>
              </w:rPr>
              <w:t xml:space="preserve">Stopa širenja invazivnih </w:t>
            </w:r>
            <w:r w:rsidR="0049692E">
              <w:rPr>
                <w:rFonts w:cs="Calibri"/>
                <w:color w:val="000000"/>
                <w:sz w:val="20"/>
                <w:szCs w:val="20"/>
                <w:lang w:val="en-GB" w:eastAsia="en-US"/>
              </w:rPr>
              <w:t>stranih vrsta</w:t>
            </w:r>
            <w:r w:rsidRPr="001D6381">
              <w:rPr>
                <w:rFonts w:cs="Calibri"/>
                <w:color w:val="000000"/>
                <w:sz w:val="20"/>
                <w:szCs w:val="20"/>
                <w:lang w:val="en-GB" w:eastAsia="en-US"/>
              </w:rPr>
              <w:t>, kao rezultat ljudskih aktivnosti, je svedena na najmanju moguću mjeru</w:t>
            </w:r>
            <w:r w:rsidR="0049692E">
              <w:rPr>
                <w:rFonts w:cs="Calibri"/>
                <w:color w:val="000000"/>
                <w:sz w:val="20"/>
                <w:szCs w:val="20"/>
                <w:lang w:val="en-GB" w:eastAsia="en-US"/>
              </w:rPr>
              <w:t xml:space="preserve"> gdje je to moguće</w:t>
            </w:r>
            <w:r w:rsidRPr="001D6381">
              <w:rPr>
                <w:rFonts w:cs="Calibri"/>
                <w:color w:val="000000"/>
                <w:sz w:val="20"/>
                <w:szCs w:val="20"/>
                <w:lang w:val="en-GB" w:eastAsia="en-US"/>
              </w:rPr>
              <w:t>.</w:t>
            </w:r>
          </w:p>
        </w:tc>
        <w:tc>
          <w:tcPr>
            <w:tcW w:w="1270" w:type="dxa"/>
            <w:tcBorders>
              <w:top w:val="single" w:sz="4" w:space="0" w:color="8496B0"/>
              <w:left w:val="single" w:sz="4" w:space="0" w:color="8496B0"/>
              <w:bottom w:val="single" w:sz="4" w:space="0" w:color="8496B0"/>
              <w:right w:val="single" w:sz="4" w:space="0" w:color="8496B0"/>
            </w:tcBorders>
            <w:hideMark/>
          </w:tcPr>
          <w:p w14:paraId="3CF578CF" w14:textId="77777777" w:rsidR="001D6381" w:rsidRPr="001D6381" w:rsidRDefault="001D6381" w:rsidP="001D6381">
            <w:pPr>
              <w:autoSpaceDE w:val="0"/>
              <w:autoSpaceDN w:val="0"/>
              <w:adjustRightInd w:val="0"/>
              <w:spacing w:before="0" w:after="0"/>
              <w:jc w:val="center"/>
              <w:rPr>
                <w:rFonts w:cs="Calibri"/>
                <w:b/>
                <w:color w:val="000000"/>
                <w:sz w:val="20"/>
                <w:szCs w:val="20"/>
                <w:lang w:val="en-GB" w:eastAsia="en-US"/>
              </w:rPr>
            </w:pPr>
            <w:r w:rsidRPr="001D6381">
              <w:rPr>
                <w:rFonts w:cs="Calibri"/>
                <w:b/>
                <w:color w:val="000000"/>
                <w:sz w:val="20"/>
                <w:szCs w:val="20"/>
                <w:lang w:val="en-GB" w:eastAsia="en-US"/>
              </w:rPr>
              <w:t>D2T2</w:t>
            </w:r>
          </w:p>
        </w:tc>
      </w:tr>
      <w:tr w:rsidR="001D6381" w:rsidRPr="001D6381" w14:paraId="14F4EE0C" w14:textId="77777777" w:rsidTr="00480592">
        <w:trPr>
          <w:trHeight w:val="557"/>
          <w:jc w:val="center"/>
        </w:trPr>
        <w:tc>
          <w:tcPr>
            <w:tcW w:w="2275" w:type="dxa"/>
            <w:tcBorders>
              <w:top w:val="single" w:sz="4" w:space="0" w:color="8496B0"/>
              <w:left w:val="single" w:sz="4" w:space="0" w:color="8496B0"/>
              <w:bottom w:val="single" w:sz="4" w:space="0" w:color="8496B0"/>
              <w:right w:val="single" w:sz="4" w:space="0" w:color="8496B0"/>
            </w:tcBorders>
            <w:hideMark/>
          </w:tcPr>
          <w:p w14:paraId="1CF27AB8" w14:textId="77777777" w:rsidR="001D6381" w:rsidRPr="001D6381" w:rsidRDefault="001D6381" w:rsidP="001D6381">
            <w:pPr>
              <w:spacing w:before="0" w:after="0" w:line="240" w:lineRule="auto"/>
              <w:jc w:val="center"/>
              <w:rPr>
                <w:b/>
                <w:sz w:val="20"/>
                <w:szCs w:val="20"/>
                <w:lang w:val="en-GB" w:eastAsia="en-US"/>
              </w:rPr>
            </w:pPr>
            <w:r w:rsidRPr="001D6381">
              <w:rPr>
                <w:b/>
                <w:sz w:val="20"/>
                <w:szCs w:val="20"/>
                <w:lang w:val="en-GB" w:eastAsia="en-US"/>
              </w:rPr>
              <w:t>D2C3</w:t>
            </w:r>
          </w:p>
        </w:tc>
        <w:tc>
          <w:tcPr>
            <w:tcW w:w="5386" w:type="dxa"/>
            <w:tcBorders>
              <w:top w:val="single" w:sz="4" w:space="0" w:color="8496B0"/>
              <w:left w:val="single" w:sz="4" w:space="0" w:color="8496B0"/>
              <w:bottom w:val="single" w:sz="4" w:space="0" w:color="8496B0"/>
              <w:right w:val="single" w:sz="4" w:space="0" w:color="8496B0"/>
            </w:tcBorders>
            <w:hideMark/>
          </w:tcPr>
          <w:p w14:paraId="1D5AA6DC" w14:textId="4A7C9F7D" w:rsidR="001D6381" w:rsidRPr="001D6381" w:rsidRDefault="001D6381" w:rsidP="004F6AED">
            <w:pPr>
              <w:autoSpaceDE w:val="0"/>
              <w:autoSpaceDN w:val="0"/>
              <w:adjustRightInd w:val="0"/>
              <w:spacing w:before="0" w:after="0" w:line="240" w:lineRule="auto"/>
              <w:rPr>
                <w:rFonts w:cs="Calibri"/>
                <w:color w:val="000000"/>
                <w:sz w:val="20"/>
                <w:szCs w:val="20"/>
                <w:lang w:val="en-GB" w:eastAsia="en-US"/>
              </w:rPr>
            </w:pPr>
            <w:r w:rsidRPr="001D6381">
              <w:rPr>
                <w:rFonts w:cs="Calibri"/>
                <w:color w:val="000000"/>
                <w:sz w:val="20"/>
                <w:szCs w:val="20"/>
                <w:lang w:val="en-GB" w:eastAsia="en-US"/>
              </w:rPr>
              <w:t xml:space="preserve">Uspostavljanje planova upravljanja za postupanje sa ključnim visoko rizičnim vrstama ukoliko </w:t>
            </w:r>
            <w:r w:rsidR="0049692E">
              <w:rPr>
                <w:rFonts w:cs="Calibri"/>
                <w:color w:val="000000"/>
                <w:sz w:val="20"/>
                <w:szCs w:val="20"/>
                <w:lang w:val="en-GB" w:eastAsia="en-US"/>
              </w:rPr>
              <w:t>se unesu</w:t>
            </w:r>
            <w:r w:rsidRPr="001D6381">
              <w:rPr>
                <w:rFonts w:cs="Calibri"/>
                <w:color w:val="000000"/>
                <w:sz w:val="20"/>
                <w:szCs w:val="20"/>
                <w:lang w:val="en-GB" w:eastAsia="en-US"/>
              </w:rPr>
              <w:t xml:space="preserve"> u crnogorske vode.</w:t>
            </w:r>
          </w:p>
        </w:tc>
        <w:tc>
          <w:tcPr>
            <w:tcW w:w="1270" w:type="dxa"/>
            <w:tcBorders>
              <w:top w:val="single" w:sz="4" w:space="0" w:color="8496B0"/>
              <w:left w:val="single" w:sz="4" w:space="0" w:color="8496B0"/>
              <w:bottom w:val="single" w:sz="4" w:space="0" w:color="8496B0"/>
              <w:right w:val="single" w:sz="4" w:space="0" w:color="8496B0"/>
            </w:tcBorders>
            <w:hideMark/>
          </w:tcPr>
          <w:p w14:paraId="39BFFA5F" w14:textId="77777777" w:rsidR="001D6381" w:rsidRPr="001D6381" w:rsidRDefault="001D6381" w:rsidP="001D6381">
            <w:pPr>
              <w:autoSpaceDE w:val="0"/>
              <w:autoSpaceDN w:val="0"/>
              <w:adjustRightInd w:val="0"/>
              <w:spacing w:before="0" w:after="0"/>
              <w:jc w:val="center"/>
              <w:rPr>
                <w:rFonts w:cs="Calibri"/>
                <w:b/>
                <w:color w:val="000000"/>
                <w:sz w:val="20"/>
                <w:szCs w:val="20"/>
                <w:lang w:val="en-GB" w:eastAsia="en-US"/>
              </w:rPr>
            </w:pPr>
            <w:r w:rsidRPr="001D6381">
              <w:rPr>
                <w:rFonts w:cs="Calibri"/>
                <w:b/>
                <w:color w:val="000000"/>
                <w:sz w:val="20"/>
                <w:szCs w:val="20"/>
                <w:lang w:val="en-GB" w:eastAsia="en-US"/>
              </w:rPr>
              <w:t>D2T3</w:t>
            </w:r>
          </w:p>
        </w:tc>
      </w:tr>
      <w:tr w:rsidR="001D6381" w:rsidRPr="001D6381" w14:paraId="65C22637" w14:textId="77777777" w:rsidTr="00480592">
        <w:trPr>
          <w:jc w:val="center"/>
        </w:trPr>
        <w:tc>
          <w:tcPr>
            <w:tcW w:w="2275" w:type="dxa"/>
            <w:tcBorders>
              <w:top w:val="single" w:sz="4" w:space="0" w:color="8496B0"/>
              <w:left w:val="single" w:sz="4" w:space="0" w:color="8496B0"/>
              <w:bottom w:val="single" w:sz="4" w:space="0" w:color="8496B0"/>
              <w:right w:val="single" w:sz="4" w:space="0" w:color="8496B0"/>
            </w:tcBorders>
            <w:hideMark/>
          </w:tcPr>
          <w:p w14:paraId="135D0C8B" w14:textId="77777777" w:rsidR="001D6381" w:rsidRPr="001D6381" w:rsidRDefault="001D6381" w:rsidP="001D6381">
            <w:pPr>
              <w:spacing w:before="0" w:after="0" w:line="240" w:lineRule="auto"/>
              <w:jc w:val="center"/>
              <w:rPr>
                <w:b/>
                <w:sz w:val="20"/>
                <w:szCs w:val="20"/>
                <w:lang w:val="en-GB" w:eastAsia="en-US"/>
              </w:rPr>
            </w:pPr>
            <w:r w:rsidRPr="001D6381">
              <w:rPr>
                <w:b/>
                <w:sz w:val="20"/>
                <w:szCs w:val="20"/>
                <w:lang w:val="en-GB" w:eastAsia="en-US"/>
              </w:rPr>
              <w:t>Operativni cilj</w:t>
            </w:r>
          </w:p>
        </w:tc>
        <w:tc>
          <w:tcPr>
            <w:tcW w:w="6656" w:type="dxa"/>
            <w:gridSpan w:val="2"/>
            <w:tcBorders>
              <w:top w:val="single" w:sz="4" w:space="0" w:color="8496B0"/>
              <w:left w:val="single" w:sz="4" w:space="0" w:color="8496B0"/>
              <w:bottom w:val="single" w:sz="4" w:space="0" w:color="8496B0"/>
              <w:right w:val="single" w:sz="4" w:space="0" w:color="8496B0"/>
            </w:tcBorders>
            <w:hideMark/>
          </w:tcPr>
          <w:p w14:paraId="4951E4C5" w14:textId="5051ED84" w:rsidR="001D6381" w:rsidRPr="001D6381" w:rsidRDefault="001D6381" w:rsidP="001D6381">
            <w:pPr>
              <w:autoSpaceDE w:val="0"/>
              <w:autoSpaceDN w:val="0"/>
              <w:adjustRightInd w:val="0"/>
              <w:spacing w:before="0" w:after="0"/>
              <w:jc w:val="left"/>
              <w:rPr>
                <w:rFonts w:cs="Calibri"/>
                <w:color w:val="000000"/>
                <w:sz w:val="20"/>
                <w:szCs w:val="20"/>
                <w:lang w:val="en-GB" w:eastAsia="en-US"/>
              </w:rPr>
            </w:pPr>
            <w:r w:rsidRPr="001D6381">
              <w:rPr>
                <w:rFonts w:cs="Calibri"/>
                <w:color w:val="000000"/>
                <w:sz w:val="20"/>
                <w:szCs w:val="20"/>
                <w:lang w:val="en-GB" w:eastAsia="en-US"/>
              </w:rPr>
              <w:t xml:space="preserve">Poboljšanje praćenja i nadzora radi otkrivanja novih unosa stranih vrsta, posebno na lokacijama </w:t>
            </w:r>
            <w:r w:rsidR="003A0615">
              <w:rPr>
                <w:rFonts w:cs="Calibri"/>
                <w:color w:val="000000"/>
                <w:sz w:val="20"/>
                <w:szCs w:val="20"/>
                <w:lang w:val="en-GB" w:eastAsia="en-US"/>
              </w:rPr>
              <w:t>visokog rizika</w:t>
            </w:r>
            <w:r w:rsidRPr="001D6381">
              <w:rPr>
                <w:rFonts w:cs="Calibri"/>
                <w:color w:val="000000"/>
                <w:sz w:val="20"/>
                <w:szCs w:val="20"/>
                <w:lang w:val="en-GB" w:eastAsia="en-US"/>
              </w:rPr>
              <w:t>.</w:t>
            </w:r>
          </w:p>
        </w:tc>
      </w:tr>
      <w:tr w:rsidR="001D6381" w:rsidRPr="001D6381" w14:paraId="28FB0DAA" w14:textId="77777777" w:rsidTr="00480592">
        <w:trPr>
          <w:jc w:val="center"/>
        </w:trPr>
        <w:tc>
          <w:tcPr>
            <w:tcW w:w="2275" w:type="dxa"/>
            <w:tcBorders>
              <w:top w:val="single" w:sz="4" w:space="0" w:color="8496B0"/>
              <w:left w:val="single" w:sz="4" w:space="0" w:color="8496B0"/>
              <w:bottom w:val="single" w:sz="4" w:space="0" w:color="8496B0"/>
              <w:right w:val="single" w:sz="4" w:space="0" w:color="8496B0"/>
            </w:tcBorders>
            <w:hideMark/>
          </w:tcPr>
          <w:p w14:paraId="64410536" w14:textId="77777777" w:rsidR="001D6381" w:rsidRPr="001D6381" w:rsidRDefault="001D6381" w:rsidP="001D6381">
            <w:pPr>
              <w:autoSpaceDE w:val="0"/>
              <w:autoSpaceDN w:val="0"/>
              <w:adjustRightInd w:val="0"/>
              <w:spacing w:before="0" w:after="0" w:line="240" w:lineRule="auto"/>
              <w:jc w:val="center"/>
              <w:rPr>
                <w:rFonts w:cs="Calibri"/>
                <w:b/>
                <w:color w:val="000000"/>
                <w:sz w:val="20"/>
                <w:szCs w:val="20"/>
                <w:lang w:val="en-GB" w:eastAsia="en-US"/>
              </w:rPr>
            </w:pPr>
            <w:r w:rsidRPr="001D6381">
              <w:rPr>
                <w:rFonts w:cs="Calibri"/>
                <w:b/>
                <w:color w:val="000000"/>
                <w:sz w:val="20"/>
                <w:szCs w:val="20"/>
                <w:lang w:val="en-GB" w:eastAsia="en-US"/>
              </w:rPr>
              <w:t>Indikatori koji se koriste za procenu statusa</w:t>
            </w:r>
          </w:p>
        </w:tc>
        <w:tc>
          <w:tcPr>
            <w:tcW w:w="6656" w:type="dxa"/>
            <w:gridSpan w:val="2"/>
            <w:tcBorders>
              <w:top w:val="single" w:sz="4" w:space="0" w:color="8496B0"/>
              <w:left w:val="single" w:sz="4" w:space="0" w:color="8496B0"/>
              <w:bottom w:val="single" w:sz="4" w:space="0" w:color="8496B0"/>
              <w:right w:val="single" w:sz="4" w:space="0" w:color="8496B0"/>
            </w:tcBorders>
            <w:hideMark/>
          </w:tcPr>
          <w:p w14:paraId="2D71E4C6" w14:textId="4C945808" w:rsidR="001D6381" w:rsidRPr="001D6381" w:rsidRDefault="000236D0" w:rsidP="000236D0">
            <w:pPr>
              <w:autoSpaceDE w:val="0"/>
              <w:autoSpaceDN w:val="0"/>
              <w:adjustRightInd w:val="0"/>
              <w:spacing w:before="0" w:after="0" w:line="240" w:lineRule="auto"/>
              <w:contextualSpacing/>
              <w:jc w:val="left"/>
              <w:rPr>
                <w:rFonts w:cs="Calibri"/>
                <w:color w:val="000000"/>
                <w:sz w:val="20"/>
                <w:szCs w:val="20"/>
                <w:lang w:val="en-GB" w:eastAsia="en-US"/>
              </w:rPr>
            </w:pPr>
            <w:r w:rsidRPr="000236D0">
              <w:rPr>
                <w:rFonts w:cs="Calibri"/>
                <w:b/>
                <w:color w:val="000000"/>
                <w:sz w:val="20"/>
                <w:szCs w:val="20"/>
                <w:lang w:val="en-GB" w:eastAsia="en-US"/>
              </w:rPr>
              <w:t>D2C1.1:</w:t>
            </w:r>
            <w:r>
              <w:rPr>
                <w:rFonts w:cs="Calibri"/>
                <w:color w:val="000000"/>
                <w:sz w:val="20"/>
                <w:szCs w:val="20"/>
                <w:lang w:val="en-GB" w:eastAsia="en-US"/>
              </w:rPr>
              <w:t xml:space="preserve"> </w:t>
            </w:r>
            <w:r w:rsidR="001D6381" w:rsidRPr="001D6381">
              <w:rPr>
                <w:rFonts w:cs="Calibri"/>
                <w:color w:val="000000"/>
                <w:sz w:val="20"/>
                <w:szCs w:val="20"/>
                <w:lang w:val="en-GB" w:eastAsia="en-US"/>
              </w:rPr>
              <w:t>Broj novih unesenih vrsta</w:t>
            </w:r>
          </w:p>
          <w:p w14:paraId="056258F3" w14:textId="6AEEDE85" w:rsidR="001D6381" w:rsidRPr="001D6381" w:rsidRDefault="000236D0" w:rsidP="000236D0">
            <w:pPr>
              <w:autoSpaceDE w:val="0"/>
              <w:autoSpaceDN w:val="0"/>
              <w:adjustRightInd w:val="0"/>
              <w:spacing w:before="0" w:after="0" w:line="240" w:lineRule="auto"/>
              <w:contextualSpacing/>
              <w:jc w:val="left"/>
              <w:rPr>
                <w:rFonts w:cs="Calibri"/>
                <w:color w:val="000000"/>
                <w:sz w:val="20"/>
                <w:szCs w:val="20"/>
                <w:lang w:val="en-GB" w:eastAsia="en-US"/>
              </w:rPr>
            </w:pPr>
            <w:r w:rsidRPr="000236D0">
              <w:rPr>
                <w:rFonts w:cs="Calibri"/>
                <w:b/>
                <w:color w:val="000000"/>
                <w:sz w:val="20"/>
                <w:szCs w:val="20"/>
                <w:lang w:val="en-GB" w:eastAsia="en-US"/>
              </w:rPr>
              <w:t>D2C2.1:</w:t>
            </w:r>
            <w:r>
              <w:rPr>
                <w:rFonts w:cs="Calibri"/>
                <w:color w:val="000000"/>
                <w:sz w:val="20"/>
                <w:szCs w:val="20"/>
                <w:lang w:val="en-GB" w:eastAsia="en-US"/>
              </w:rPr>
              <w:t xml:space="preserve"> </w:t>
            </w:r>
            <w:r w:rsidR="001D6381" w:rsidRPr="001D6381">
              <w:rPr>
                <w:rFonts w:cs="Calibri"/>
                <w:color w:val="000000"/>
                <w:sz w:val="20"/>
                <w:szCs w:val="20"/>
                <w:lang w:val="en-GB" w:eastAsia="en-US"/>
              </w:rPr>
              <w:t xml:space="preserve">Broj novih populacija </w:t>
            </w:r>
            <w:r w:rsidR="0049692E">
              <w:rPr>
                <w:rFonts w:cs="Calibri"/>
                <w:color w:val="000000"/>
                <w:sz w:val="20"/>
                <w:szCs w:val="20"/>
                <w:lang w:val="en-GB" w:eastAsia="en-US"/>
              </w:rPr>
              <w:t>u</w:t>
            </w:r>
            <w:r w:rsidR="003A0615">
              <w:rPr>
                <w:rFonts w:cs="Calibri"/>
                <w:color w:val="000000"/>
                <w:sz w:val="20"/>
                <w:szCs w:val="20"/>
                <w:lang w:val="en-GB" w:eastAsia="en-US"/>
              </w:rPr>
              <w:t>spostavljenih</w:t>
            </w:r>
            <w:r w:rsidR="0049692E">
              <w:rPr>
                <w:rFonts w:cs="Calibri"/>
                <w:color w:val="000000"/>
                <w:sz w:val="20"/>
                <w:szCs w:val="20"/>
                <w:lang w:val="en-GB" w:eastAsia="en-US"/>
              </w:rPr>
              <w:t xml:space="preserve"> </w:t>
            </w:r>
            <w:r w:rsidR="001D6381" w:rsidRPr="001D6381">
              <w:rPr>
                <w:rFonts w:cs="Calibri"/>
                <w:color w:val="000000"/>
                <w:sz w:val="20"/>
                <w:szCs w:val="20"/>
                <w:lang w:val="en-GB" w:eastAsia="en-US"/>
              </w:rPr>
              <w:t>inv</w:t>
            </w:r>
            <w:r w:rsidR="00FB049B">
              <w:rPr>
                <w:rFonts w:cs="Calibri"/>
                <w:color w:val="000000"/>
                <w:sz w:val="20"/>
                <w:szCs w:val="20"/>
                <w:lang w:val="en-GB" w:eastAsia="en-US"/>
              </w:rPr>
              <w:t>a</w:t>
            </w:r>
            <w:r w:rsidR="001D6381" w:rsidRPr="001D6381">
              <w:rPr>
                <w:rFonts w:cs="Calibri"/>
                <w:color w:val="000000"/>
                <w:sz w:val="20"/>
                <w:szCs w:val="20"/>
                <w:lang w:val="en-GB" w:eastAsia="en-US"/>
              </w:rPr>
              <w:t>zivnih stranih vrsta</w:t>
            </w:r>
          </w:p>
        </w:tc>
      </w:tr>
    </w:tbl>
    <w:p w14:paraId="4247ECC1" w14:textId="77777777" w:rsidR="001D6381" w:rsidRPr="001D6381" w:rsidRDefault="001D6381" w:rsidP="001D6381">
      <w:pPr>
        <w:autoSpaceDE w:val="0"/>
        <w:autoSpaceDN w:val="0"/>
        <w:adjustRightInd w:val="0"/>
        <w:spacing w:before="0" w:after="0" w:line="240" w:lineRule="auto"/>
        <w:jc w:val="left"/>
        <w:rPr>
          <w:rFonts w:eastAsia="Calibri" w:cs="Arial"/>
          <w:color w:val="000000"/>
          <w:sz w:val="20"/>
          <w:szCs w:val="20"/>
          <w:lang w:val="en-GB" w:eastAsia="en-US"/>
        </w:rPr>
      </w:pPr>
    </w:p>
    <w:p w14:paraId="5C527237" w14:textId="77777777" w:rsidR="001D6381" w:rsidRPr="001D6381" w:rsidRDefault="001D6381" w:rsidP="001D6381">
      <w:pPr>
        <w:autoSpaceDE w:val="0"/>
        <w:autoSpaceDN w:val="0"/>
        <w:adjustRightInd w:val="0"/>
        <w:spacing w:before="0" w:after="0" w:line="240" w:lineRule="auto"/>
        <w:jc w:val="left"/>
        <w:rPr>
          <w:rFonts w:eastAsia="Calibri" w:cs="Arial"/>
          <w:color w:val="000000"/>
          <w:sz w:val="20"/>
          <w:szCs w:val="20"/>
          <w:lang w:val="en-GB" w:eastAsia="en-US"/>
        </w:rPr>
      </w:pPr>
    </w:p>
    <w:p w14:paraId="61F49A78" w14:textId="77777777" w:rsidR="001D6381" w:rsidRPr="00D419DD" w:rsidRDefault="001D6381" w:rsidP="00D419DD">
      <w:pPr>
        <w:pStyle w:val="Heading3"/>
        <w:rPr>
          <w:lang w:val="sr-Latn-ME"/>
        </w:rPr>
      </w:pPr>
      <w:bookmarkStart w:id="47" w:name="_Toc69678350"/>
      <w:bookmarkStart w:id="48" w:name="_Toc83630900"/>
      <w:r w:rsidRPr="00D419DD">
        <w:rPr>
          <w:lang w:val="sr-Latn-ME"/>
        </w:rPr>
        <w:t>Veza sa ostalim deskriptorima</w:t>
      </w:r>
      <w:bookmarkEnd w:id="47"/>
      <w:bookmarkEnd w:id="48"/>
    </w:p>
    <w:p w14:paraId="7FD6DC69" w14:textId="47C89B69" w:rsidR="001D6381" w:rsidRDefault="001D6381" w:rsidP="001D6381">
      <w:pPr>
        <w:spacing w:before="0" w:after="0"/>
        <w:rPr>
          <w:rFonts w:eastAsia="Calibri" w:cs="Calibri"/>
          <w:szCs w:val="22"/>
          <w:lang w:val="en-GB" w:eastAsia="en-US"/>
        </w:rPr>
      </w:pPr>
      <w:r w:rsidRPr="001D6381">
        <w:rPr>
          <w:rFonts w:eastAsia="Calibri" w:cs="Calibri"/>
          <w:szCs w:val="22"/>
          <w:lang w:val="en-GB" w:eastAsia="en-US"/>
        </w:rPr>
        <w:t>Deskriptor D2 je usko povezan sa biodiverzitetom D1 i integritetom morskog dna D6. Opšte je prihvaćeno da jednu od najvećih pretnji biodiverzitetu širom sveta predstavljaju strane vrste (NIS) koje postaju invazivne, a prema Konvenciji o biološkoj raznolikosti poznate su kao invazivne strane vrste (IAS). Alohtone vrste mogu mijenjati bentosna staništa i vršiti modifikacije na morskom dnu.</w:t>
      </w:r>
    </w:p>
    <w:p w14:paraId="75FEECEC" w14:textId="77777777" w:rsidR="007A302A" w:rsidRPr="001D6381" w:rsidRDefault="007A302A" w:rsidP="001D6381">
      <w:pPr>
        <w:spacing w:before="0" w:after="0"/>
        <w:rPr>
          <w:rFonts w:eastAsia="Calibri" w:cs="Calibri"/>
          <w:szCs w:val="22"/>
          <w:lang w:val="en-GB" w:eastAsia="en-US"/>
        </w:rPr>
      </w:pPr>
    </w:p>
    <w:p w14:paraId="70D29AC8" w14:textId="56B1860F" w:rsidR="001D6381" w:rsidRPr="00D419DD" w:rsidRDefault="001D6381" w:rsidP="00D419DD">
      <w:pPr>
        <w:pStyle w:val="Heading3"/>
        <w:rPr>
          <w:lang w:val="sr-Latn-ME"/>
        </w:rPr>
      </w:pPr>
      <w:bookmarkStart w:id="49" w:name="_Toc83630901"/>
      <w:r w:rsidRPr="00D419DD">
        <w:rPr>
          <w:lang w:val="sr-Latn-ME"/>
        </w:rPr>
        <w:t>Nedostaci i potrebe</w:t>
      </w:r>
      <w:r w:rsidR="00E24841">
        <w:rPr>
          <w:lang w:val="sr-Latn-ME"/>
        </w:rPr>
        <w:t xml:space="preserve"> za unapređenjem</w:t>
      </w:r>
      <w:bookmarkEnd w:id="49"/>
      <w:r w:rsidR="00E24841">
        <w:rPr>
          <w:lang w:val="sr-Latn-ME"/>
        </w:rPr>
        <w:t xml:space="preserve"> </w:t>
      </w:r>
    </w:p>
    <w:p w14:paraId="5A88E78F" w14:textId="251EA9A6" w:rsidR="001D6381" w:rsidRPr="001D6381" w:rsidRDefault="001D6381" w:rsidP="001D6381">
      <w:pPr>
        <w:spacing w:before="0" w:after="160"/>
        <w:rPr>
          <w:rFonts w:eastAsia="Calibri" w:cs="Calibri"/>
          <w:szCs w:val="22"/>
          <w:lang w:val="en-GB" w:eastAsia="en-US"/>
        </w:rPr>
      </w:pPr>
      <w:r w:rsidRPr="001D6381">
        <w:rPr>
          <w:rFonts w:eastAsia="Calibri" w:cs="Calibri"/>
          <w:szCs w:val="22"/>
          <w:lang w:val="en-GB" w:eastAsia="en-US"/>
        </w:rPr>
        <w:t>Proučavanje stranih vrsta je kontinuirani proces, pa su potrebni stalni napori. Ciljana istraživanja vezana za pronalaženje novih vrsta i utvrđivanje njihove brojnosti i rasprostranjenosti nikada nisu primijenjena, jer je ova vrsta istraživanja dugotrajna i skupa. Podaci o unesenim vrstama potiču iz projekata ili istraživanja čiji je cilj šira analiza, pa ako se nova vrsta pojavi unutar bentosne zajednice, to se evidentira. Ali generalno, manji broj identifikovanih stranih vrsta karakteriše zemlje istočnog Jadrana (Albanija, Crna Gora, Hrvatska i Slovenija) u poređenju sa zapadnim Jadranom (Italija) i ukupan broj poznatih NIS vrsta u Mediteranu, što može biti vezano za manji broj stručnjaka koji istražuju unsen</w:t>
      </w:r>
      <w:r w:rsidR="00FB049B">
        <w:rPr>
          <w:rFonts w:eastAsia="Calibri" w:cs="Calibri"/>
          <w:szCs w:val="22"/>
          <w:lang w:val="en-GB" w:eastAsia="en-US"/>
        </w:rPr>
        <w:t>e</w:t>
      </w:r>
      <w:r w:rsidRPr="001D6381">
        <w:rPr>
          <w:rFonts w:eastAsia="Calibri" w:cs="Calibri"/>
          <w:szCs w:val="22"/>
          <w:lang w:val="en-GB" w:eastAsia="en-US"/>
        </w:rPr>
        <w:t xml:space="preserve"> vrste u ovim zemljama (Karachle et al., 2017).</w:t>
      </w:r>
    </w:p>
    <w:p w14:paraId="5128515C" w14:textId="04AA263C" w:rsidR="001D6381" w:rsidRPr="001D6381" w:rsidRDefault="001D6381" w:rsidP="001D6381">
      <w:pPr>
        <w:spacing w:before="0" w:after="160"/>
        <w:rPr>
          <w:rFonts w:eastAsia="Calibri" w:cs="Calibri"/>
          <w:szCs w:val="22"/>
          <w:lang w:val="en-GB" w:eastAsia="en-US"/>
        </w:rPr>
      </w:pPr>
      <w:r w:rsidRPr="001D6381">
        <w:rPr>
          <w:rFonts w:eastAsia="Calibri" w:cs="Calibri"/>
          <w:szCs w:val="22"/>
          <w:lang w:val="en-GB" w:eastAsia="en-US"/>
        </w:rPr>
        <w:t xml:space="preserve">Nova istraživanja treba da budu usredsređena na određivanje veličine populacije, njihovu brojnost i rasprostranjenosti, kao i na procjenu njihovog uticaja na autohtone vrste. Definicija granične vrednosti na regionalnom i subregionalnom nivou za novo unesene vrste treba da bude prioritet, kao i identifikacija grupa unesenih vrsta koje će se pratiti i </w:t>
      </w:r>
      <w:r w:rsidR="00FB049B">
        <w:rPr>
          <w:rFonts w:eastAsia="Calibri" w:cs="Calibri"/>
          <w:szCs w:val="22"/>
          <w:lang w:val="en-GB" w:eastAsia="en-US"/>
        </w:rPr>
        <w:t>širok</w:t>
      </w:r>
      <w:r w:rsidRPr="001D6381">
        <w:rPr>
          <w:rFonts w:eastAsia="Calibri" w:cs="Calibri"/>
          <w:szCs w:val="22"/>
          <w:lang w:val="en-GB" w:eastAsia="en-US"/>
        </w:rPr>
        <w:t>ih stanišnih tipova koji su u riziku.</w:t>
      </w:r>
    </w:p>
    <w:p w14:paraId="52D252DD" w14:textId="77777777" w:rsidR="001D6381" w:rsidRDefault="001D6381" w:rsidP="001D6381"/>
    <w:p w14:paraId="7B6D116A" w14:textId="77777777" w:rsidR="00D25156" w:rsidRPr="001D6381" w:rsidRDefault="00D25156" w:rsidP="001D6381"/>
    <w:bookmarkEnd w:id="18"/>
    <w:bookmarkEnd w:id="32"/>
    <w:bookmarkEnd w:id="34"/>
    <w:p w14:paraId="6348AD18" w14:textId="77777777" w:rsidR="00714338" w:rsidRPr="001C6CCA" w:rsidRDefault="00714338" w:rsidP="00F65CFF">
      <w:pPr>
        <w:spacing w:before="0" w:after="0"/>
        <w:rPr>
          <w:rFonts w:eastAsia="Calibri" w:cs="Calibri"/>
          <w:sz w:val="20"/>
          <w:szCs w:val="20"/>
          <w:lang w:val="en-GB" w:eastAsia="en-US"/>
        </w:rPr>
      </w:pPr>
    </w:p>
    <w:p w14:paraId="4D240B50" w14:textId="60185216" w:rsidR="00971473" w:rsidRPr="00971473" w:rsidRDefault="00971473" w:rsidP="00971473">
      <w:pPr>
        <w:pStyle w:val="Heading2"/>
        <w:spacing w:before="0" w:after="160"/>
        <w:ind w:left="567" w:hanging="567"/>
        <w:rPr>
          <w:caps w:val="0"/>
          <w:lang w:val="en-GB" w:eastAsia="en-US"/>
        </w:rPr>
      </w:pPr>
      <w:bookmarkStart w:id="50" w:name="_Toc69678352"/>
      <w:bookmarkStart w:id="51" w:name="_Toc83630902"/>
      <w:bookmarkStart w:id="52" w:name="_Hlk68679680"/>
      <w:r w:rsidRPr="00971473">
        <w:rPr>
          <w:caps w:val="0"/>
          <w:lang w:val="en-GB" w:eastAsia="en-US"/>
        </w:rPr>
        <w:t>POPULACIJE RIBA I RAKOVA KOJI SE ISKORIŠĆAVAJU U KOMERCIJALNE SVRHE (DESKRIPTOR 3)</w:t>
      </w:r>
      <w:bookmarkEnd w:id="50"/>
      <w:bookmarkEnd w:id="51"/>
    </w:p>
    <w:p w14:paraId="6C799DC9" w14:textId="77777777" w:rsidR="00971473" w:rsidRPr="00D716F4" w:rsidRDefault="00971473" w:rsidP="00971473">
      <w:pPr>
        <w:spacing w:before="0" w:after="160"/>
        <w:rPr>
          <w:rFonts w:eastAsia="Calibri" w:cs="Calibri"/>
          <w:b/>
          <w:spacing w:val="5"/>
          <w:szCs w:val="22"/>
          <w:lang w:val="sr-Latn-ME" w:eastAsia="en-US"/>
        </w:rPr>
      </w:pPr>
      <w:r w:rsidRPr="00D716F4">
        <w:rPr>
          <w:rFonts w:eastAsia="Calibri" w:cs="Calibri"/>
          <w:b/>
          <w:spacing w:val="5"/>
          <w:szCs w:val="22"/>
          <w:lang w:val="sr-Latn-ME" w:eastAsia="en-US"/>
        </w:rPr>
        <w:t>Uvod</w:t>
      </w:r>
    </w:p>
    <w:p w14:paraId="5AF5157F" w14:textId="259BB0CA" w:rsidR="00FF61D4" w:rsidRDefault="00971473" w:rsidP="003A0615">
      <w:pPr>
        <w:spacing w:before="0" w:after="160"/>
        <w:rPr>
          <w:rFonts w:eastAsia="Calibri" w:cs="Calibri"/>
          <w:spacing w:val="5"/>
          <w:szCs w:val="22"/>
          <w:lang w:val="sr-Latn-ME" w:eastAsia="en-US"/>
        </w:rPr>
      </w:pPr>
      <w:r w:rsidRPr="00D716F4">
        <w:rPr>
          <w:rFonts w:eastAsia="Calibri" w:cs="Calibri"/>
          <w:spacing w:val="5"/>
          <w:szCs w:val="22"/>
          <w:lang w:val="sr-Latn-ME" w:eastAsia="en-US"/>
        </w:rPr>
        <w:t>Ovo poglavlje se bavi podacima o stanju morskog ekosistema Crne Gore</w:t>
      </w:r>
      <w:r>
        <w:rPr>
          <w:rFonts w:eastAsia="Calibri" w:cs="Calibri"/>
          <w:spacing w:val="5"/>
          <w:szCs w:val="22"/>
          <w:lang w:val="sr-Latn-ME" w:eastAsia="en-US"/>
        </w:rPr>
        <w:t>,</w:t>
      </w:r>
      <w:r w:rsidRPr="00D716F4">
        <w:rPr>
          <w:rFonts w:eastAsia="Calibri" w:cs="Calibri"/>
          <w:spacing w:val="5"/>
          <w:szCs w:val="22"/>
          <w:lang w:val="sr-Latn-ME" w:eastAsia="en-US"/>
        </w:rPr>
        <w:t xml:space="preserve"> i to o onim</w:t>
      </w:r>
      <w:r>
        <w:rPr>
          <w:rFonts w:eastAsia="Calibri" w:cs="Calibri"/>
          <w:spacing w:val="5"/>
          <w:szCs w:val="22"/>
          <w:lang w:val="sr-Latn-ME" w:eastAsia="en-US"/>
        </w:rPr>
        <w:t xml:space="preserve">a koji opisuju pritiske na populacije riba i rakova koji se komercijalno iskorišćavaju </w:t>
      </w:r>
      <w:r w:rsidRPr="00D716F4">
        <w:rPr>
          <w:rFonts w:eastAsia="Calibri" w:cs="Calibri"/>
          <w:b/>
          <w:spacing w:val="5"/>
          <w:szCs w:val="22"/>
          <w:lang w:val="sr-Latn-ME" w:eastAsia="en-US"/>
        </w:rPr>
        <w:t>(D3)</w:t>
      </w:r>
      <w:r>
        <w:rPr>
          <w:rFonts w:eastAsia="Calibri" w:cs="Calibri"/>
          <w:spacing w:val="5"/>
          <w:szCs w:val="22"/>
          <w:lang w:val="sr-Latn-ME" w:eastAsia="en-US"/>
        </w:rPr>
        <w:t>. Metodologija za procjenu dobrog stanja životne sredine (GES) objašnjena je u Sekciji 2.2.5, kao i u izvorima podataka koji su detaljno predstavljeni u „Inicijalnoj procjeni stanja morske sredine u Crnoj Gori“ 2020. Ovaj dokument je dio IPA projekta „Podrška implementaciji i monitoringu upravljanja vodama u Crnoj Gori“. Zaključci/rezultati predstavljeni u ovom dokumentu trebaju se koristiti u svrhu prevencije prekomjernog izlova, očuvanja dobrog stanja populacija riba i rakova koji se komercijalno eksploatišu i za postizanje GES-a.</w:t>
      </w:r>
    </w:p>
    <w:p w14:paraId="7BE19134" w14:textId="60D9EF4D" w:rsidR="00710AC9" w:rsidRDefault="00D25156" w:rsidP="003A0615">
      <w:pPr>
        <w:spacing w:before="0" w:after="160"/>
        <w:rPr>
          <w:rFonts w:eastAsia="Calibri" w:cs="Calibri"/>
          <w:spacing w:val="5"/>
          <w:szCs w:val="22"/>
          <w:lang w:val="sr-Latn-ME" w:eastAsia="en-US"/>
        </w:rPr>
      </w:pPr>
      <w:r w:rsidRPr="00D716F4">
        <w:rPr>
          <w:rFonts w:cs="Stag Sans Semibold"/>
          <w:b/>
          <w:bCs/>
          <w:noProof/>
          <w:color w:val="000000"/>
          <w:sz w:val="20"/>
          <w:szCs w:val="20"/>
          <w:lang w:eastAsia="en-US"/>
        </w:rPr>
        <mc:AlternateContent>
          <mc:Choice Requires="wps">
            <w:drawing>
              <wp:anchor distT="0" distB="0" distL="114300" distR="114300" simplePos="0" relativeHeight="251827200" behindDoc="0" locked="0" layoutInCell="1" allowOverlap="1" wp14:anchorId="3B26F370" wp14:editId="5CF7538D">
                <wp:simplePos x="0" y="0"/>
                <wp:positionH relativeFrom="margin">
                  <wp:posOffset>-38100</wp:posOffset>
                </wp:positionH>
                <wp:positionV relativeFrom="paragraph">
                  <wp:posOffset>8039</wp:posOffset>
                </wp:positionV>
                <wp:extent cx="5852160" cy="785812"/>
                <wp:effectExtent l="0" t="0" r="0" b="0"/>
                <wp:wrapNone/>
                <wp:docPr id="110" name="Rectangle: Rounded Corners 110"/>
                <wp:cNvGraphicFramePr/>
                <a:graphic xmlns:a="http://schemas.openxmlformats.org/drawingml/2006/main">
                  <a:graphicData uri="http://schemas.microsoft.com/office/word/2010/wordprocessingShape">
                    <wps:wsp>
                      <wps:cNvSpPr/>
                      <wps:spPr>
                        <a:xfrm>
                          <a:off x="0" y="0"/>
                          <a:ext cx="5852160" cy="785812"/>
                        </a:xfrm>
                        <a:prstGeom prst="roundRect">
                          <a:avLst/>
                        </a:prstGeom>
                        <a:solidFill>
                          <a:srgbClr val="4F81BD">
                            <a:lumMod val="20000"/>
                            <a:lumOff val="80000"/>
                            <a:alpha val="84000"/>
                          </a:srgbClr>
                        </a:solidFill>
                        <a:ln w="25400" cap="flat" cmpd="sng" algn="ctr">
                          <a:noFill/>
                          <a:prstDash val="solid"/>
                        </a:ln>
                        <a:effectLst/>
                      </wps:spPr>
                      <wps:txbx>
                        <w:txbxContent>
                          <w:p w14:paraId="208BE7DB" w14:textId="77777777" w:rsidR="00515997" w:rsidRDefault="00515997" w:rsidP="00971473">
                            <w:pPr>
                              <w:spacing w:before="120" w:after="160"/>
                              <w:rPr>
                                <w:rFonts w:eastAsia="Calibri" w:cs="Calibri"/>
                                <w:b/>
                                <w:i/>
                                <w:iCs/>
                                <w:szCs w:val="22"/>
                                <w:lang w:val="en-GB" w:eastAsia="en-US"/>
                              </w:rPr>
                            </w:pPr>
                            <w:r>
                              <w:rPr>
                                <w:b/>
                                <w:color w:val="000000" w:themeColor="text1"/>
                                <w:lang w:val="hr-HR"/>
                                <w14:textOutline w14:w="9525" w14:cap="rnd" w14:cmpd="sng" w14:algn="ctr">
                                  <w14:noFill/>
                                  <w14:prstDash w14:val="solid"/>
                                  <w14:bevel/>
                                </w14:textOutline>
                              </w:rPr>
                              <w:t xml:space="preserve">Definicija GES-a: </w:t>
                            </w:r>
                            <w:r w:rsidRPr="0013082E">
                              <w:rPr>
                                <w:b/>
                                <w:i/>
                                <w:color w:val="000000" w:themeColor="text1"/>
                                <w:lang w:val="hr-HR"/>
                                <w14:textOutline w14:w="9525" w14:cap="rnd" w14:cmpd="sng" w14:algn="ctr">
                                  <w14:noFill/>
                                  <w14:prstDash w14:val="solid"/>
                                  <w14:bevel/>
                                </w14:textOutline>
                              </w:rPr>
                              <w:t>Populacije svih riba i rakova koji se komercijalno eksploatišu su u okviru</w:t>
                            </w:r>
                            <w:r>
                              <w:rPr>
                                <w:b/>
                                <w:color w:val="000000" w:themeColor="text1"/>
                                <w:lang w:val="hr-HR"/>
                                <w14:textOutline w14:w="9525" w14:cap="rnd" w14:cmpd="sng" w14:algn="ctr">
                                  <w14:noFill/>
                                  <w14:prstDash w14:val="solid"/>
                                  <w14:bevel/>
                                </w14:textOutline>
                              </w:rPr>
                              <w:t xml:space="preserve"> </w:t>
                            </w:r>
                            <w:r>
                              <w:rPr>
                                <w:rFonts w:eastAsia="Calibri" w:cs="Calibri"/>
                                <w:b/>
                                <w:i/>
                                <w:iCs/>
                                <w:szCs w:val="22"/>
                                <w:lang w:val="en-GB" w:eastAsia="en-US"/>
                              </w:rPr>
                              <w:t xml:space="preserve">sigurnih bioloških granica, pokazujući starost populacije i distribuciju veličine tijela kao indikatore zdravih stokova.  </w:t>
                            </w:r>
                            <w:r w:rsidRPr="00A52E7D">
                              <w:rPr>
                                <w:rFonts w:eastAsia="Calibri" w:cs="Calibri"/>
                                <w:b/>
                                <w:i/>
                                <w:iCs/>
                                <w:szCs w:val="22"/>
                                <w:lang w:val="en-GB" w:eastAsia="en-US"/>
                              </w:rPr>
                              <w:t xml:space="preserve"> </w:t>
                            </w:r>
                          </w:p>
                          <w:p w14:paraId="2D20F857" w14:textId="77777777" w:rsidR="00515997" w:rsidRDefault="00515997" w:rsidP="00971473">
                            <w:pPr>
                              <w:spacing w:before="120" w:after="160"/>
                              <w:rPr>
                                <w:rFonts w:eastAsia="Calibri" w:cs="Calibri"/>
                                <w:b/>
                                <w:i/>
                                <w:iCs/>
                                <w:szCs w:val="22"/>
                                <w:lang w:val="en-GB" w:eastAsia="en-US"/>
                              </w:rPr>
                            </w:pPr>
                          </w:p>
                          <w:p w14:paraId="64E3E138" w14:textId="77777777" w:rsidR="00515997" w:rsidRPr="00A52E7D" w:rsidRDefault="00515997" w:rsidP="00971473">
                            <w:pPr>
                              <w:spacing w:before="120" w:after="160"/>
                              <w:rPr>
                                <w:rFonts w:eastAsia="Calibri" w:cs="Calibri"/>
                                <w:i/>
                                <w:szCs w:val="22"/>
                                <w:lang w:val="en-GB" w:eastAsia="en-US"/>
                              </w:rPr>
                            </w:pPr>
                          </w:p>
                          <w:p w14:paraId="324A6E63" w14:textId="77777777" w:rsidR="00515997" w:rsidRPr="00FA419F" w:rsidRDefault="00515997" w:rsidP="00971473">
                            <w:pPr>
                              <w:rPr>
                                <w:b/>
                                <w:i/>
                                <w:color w:val="000000" w:themeColor="text1"/>
                                <w:lang w:val="hr-H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26F370" id="Rectangle: Rounded Corners 110" o:spid="_x0000_s1027" style="position:absolute;left:0;text-align:left;margin-left:-3pt;margin-top:.65pt;width:460.8pt;height:61.85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" fillcolor="#dce6f2" stroked="f" strokeweight="2pt">
                <v:fill opacity="54998f"/>
                <v:textbox>
                  <w:txbxContent>
                    <w:p w14:paraId="208BE7DB" w14:textId="77777777" w:rsidR="00515997" w:rsidRDefault="00515997" w:rsidP="00971473">
                      <w:pPr>
                        <w:spacing w:before="120" w:after="160"/>
                        <w:rPr>
                          <w:rFonts w:eastAsia="Calibri" w:cs="Calibri"/>
                          <w:b/>
                          <w:i/>
                          <w:iCs/>
                          <w:szCs w:val="22"/>
                          <w:lang w:val="en-GB" w:eastAsia="en-US"/>
                        </w:rPr>
                      </w:pPr>
                      <w:r>
                        <w:rPr>
                          <w:b/>
                          <w:color w:val="000000" w:themeColor="text1"/>
                          <w:lang w:val="hr-HR"/>
                          <w14:textOutline w14:w="9525" w14:cap="rnd" w14:cmpd="sng" w14:algn="ctr">
                            <w14:noFill/>
                            <w14:prstDash w14:val="solid"/>
                            <w14:bevel/>
                          </w14:textOutline>
                        </w:rPr>
                        <w:t xml:space="preserve">Definicija GES-a: </w:t>
                      </w:r>
                      <w:r w:rsidRPr="0013082E">
                        <w:rPr>
                          <w:b/>
                          <w:i/>
                          <w:color w:val="000000" w:themeColor="text1"/>
                          <w:lang w:val="hr-HR"/>
                          <w14:textOutline w14:w="9525" w14:cap="rnd" w14:cmpd="sng" w14:algn="ctr">
                            <w14:noFill/>
                            <w14:prstDash w14:val="solid"/>
                            <w14:bevel/>
                          </w14:textOutline>
                        </w:rPr>
                        <w:t>Populacije svih riba i rakova koji se komercijalno eksploatišu su u okviru</w:t>
                      </w:r>
                      <w:r>
                        <w:rPr>
                          <w:b/>
                          <w:color w:val="000000" w:themeColor="text1"/>
                          <w:lang w:val="hr-HR"/>
                          <w14:textOutline w14:w="9525" w14:cap="rnd" w14:cmpd="sng" w14:algn="ctr">
                            <w14:noFill/>
                            <w14:prstDash w14:val="solid"/>
                            <w14:bevel/>
                          </w14:textOutline>
                        </w:rPr>
                        <w:t xml:space="preserve"> </w:t>
                      </w:r>
                      <w:r>
                        <w:rPr>
                          <w:rFonts w:eastAsia="Calibri" w:cs="Calibri"/>
                          <w:b/>
                          <w:i/>
                          <w:iCs/>
                          <w:szCs w:val="22"/>
                          <w:lang w:val="en-GB" w:eastAsia="en-US"/>
                        </w:rPr>
                        <w:t xml:space="preserve">sigurnih bioloških granica, pokazujući starost populacije i distribuciju veličine tijela kao indikatore zdravih stokova.  </w:t>
                      </w:r>
                      <w:r w:rsidRPr="00A52E7D">
                        <w:rPr>
                          <w:rFonts w:eastAsia="Calibri" w:cs="Calibri"/>
                          <w:b/>
                          <w:i/>
                          <w:iCs/>
                          <w:szCs w:val="22"/>
                          <w:lang w:val="en-GB" w:eastAsia="en-US"/>
                        </w:rPr>
                        <w:t xml:space="preserve"> </w:t>
                      </w:r>
                    </w:p>
                    <w:p w14:paraId="2D20F857" w14:textId="77777777" w:rsidR="00515997" w:rsidRDefault="00515997" w:rsidP="00971473">
                      <w:pPr>
                        <w:spacing w:before="120" w:after="160"/>
                        <w:rPr>
                          <w:rFonts w:eastAsia="Calibri" w:cs="Calibri"/>
                          <w:b/>
                          <w:i/>
                          <w:iCs/>
                          <w:szCs w:val="22"/>
                          <w:lang w:val="en-GB" w:eastAsia="en-US"/>
                        </w:rPr>
                      </w:pPr>
                    </w:p>
                    <w:p w14:paraId="64E3E138" w14:textId="77777777" w:rsidR="00515997" w:rsidRPr="00A52E7D" w:rsidRDefault="00515997" w:rsidP="00971473">
                      <w:pPr>
                        <w:spacing w:before="120" w:after="160"/>
                        <w:rPr>
                          <w:rFonts w:eastAsia="Calibri" w:cs="Calibri"/>
                          <w:i/>
                          <w:szCs w:val="22"/>
                          <w:lang w:val="en-GB" w:eastAsia="en-US"/>
                        </w:rPr>
                      </w:pPr>
                    </w:p>
                    <w:p w14:paraId="324A6E63" w14:textId="77777777" w:rsidR="00515997" w:rsidRPr="00FA419F" w:rsidRDefault="00515997" w:rsidP="00971473">
                      <w:pPr>
                        <w:rPr>
                          <w:b/>
                          <w:i/>
                          <w:color w:val="000000" w:themeColor="text1"/>
                          <w:lang w:val="hr-HR"/>
                          <w14:textOutline w14:w="9525" w14:cap="rnd" w14:cmpd="sng" w14:algn="ctr">
                            <w14:noFill/>
                            <w14:prstDash w14:val="solid"/>
                            <w14:bevel/>
                          </w14:textOutline>
                        </w:rPr>
                      </w:pPr>
                    </w:p>
                  </w:txbxContent>
                </v:textbox>
                <w10:wrap anchorx="margin"/>
              </v:roundrect>
            </w:pict>
          </mc:Fallback>
        </mc:AlternateContent>
      </w:r>
    </w:p>
    <w:p w14:paraId="027DA754" w14:textId="24D53EB9" w:rsidR="00710AC9" w:rsidRDefault="00710AC9" w:rsidP="003A0615">
      <w:pPr>
        <w:spacing w:before="0" w:after="160"/>
        <w:rPr>
          <w:rFonts w:eastAsia="Calibri" w:cs="Calibri"/>
          <w:spacing w:val="5"/>
          <w:szCs w:val="22"/>
          <w:lang w:val="sr-Latn-ME" w:eastAsia="en-US"/>
        </w:rPr>
      </w:pPr>
    </w:p>
    <w:p w14:paraId="35345FDE" w14:textId="38A0B89E" w:rsidR="00710AC9" w:rsidRDefault="00710AC9" w:rsidP="003A0615">
      <w:pPr>
        <w:spacing w:before="0" w:after="160"/>
        <w:rPr>
          <w:rFonts w:eastAsia="Calibri" w:cs="Calibri"/>
          <w:spacing w:val="5"/>
          <w:szCs w:val="22"/>
          <w:lang w:val="sr-Latn-ME" w:eastAsia="en-US"/>
        </w:rPr>
      </w:pPr>
    </w:p>
    <w:p w14:paraId="08D765C3" w14:textId="77777777" w:rsidR="003B33D9" w:rsidRPr="003A0615" w:rsidRDefault="003B33D9" w:rsidP="003A0615">
      <w:pPr>
        <w:spacing w:before="0" w:after="160"/>
        <w:rPr>
          <w:rFonts w:eastAsia="Calibri" w:cs="Calibri"/>
          <w:spacing w:val="5"/>
          <w:szCs w:val="22"/>
          <w:lang w:val="sr-Latn-ME" w:eastAsia="en-US"/>
        </w:rPr>
      </w:pPr>
    </w:p>
    <w:p w14:paraId="0CCD5FBD" w14:textId="3AAEA1F0" w:rsidR="00971473" w:rsidRPr="00971473" w:rsidRDefault="00971473" w:rsidP="00971473">
      <w:pPr>
        <w:pStyle w:val="Heading3"/>
        <w:rPr>
          <w:lang w:val="en-GB" w:eastAsia="en-US"/>
        </w:rPr>
      </w:pPr>
      <w:bookmarkStart w:id="53" w:name="_Toc69678353"/>
      <w:bookmarkStart w:id="54" w:name="_Toc83630903"/>
      <w:r w:rsidRPr="00971473">
        <w:rPr>
          <w:lang w:val="sr-Latn-ME"/>
        </w:rPr>
        <w:t xml:space="preserve">Zakonodavni okvir </w:t>
      </w:r>
      <w:r w:rsidRPr="00971473">
        <w:rPr>
          <w:lang w:val="sr-Latn-ME" w:eastAsia="en-US"/>
        </w:rPr>
        <w:t xml:space="preserve"> – na</w:t>
      </w:r>
      <w:bookmarkEnd w:id="53"/>
      <w:r w:rsidRPr="00971473">
        <w:rPr>
          <w:lang w:val="sr-Latn-ME" w:eastAsia="en-US"/>
        </w:rPr>
        <w:t xml:space="preserve">cionalni i </w:t>
      </w:r>
      <w:r>
        <w:rPr>
          <w:lang w:val="sr-Latn-ME" w:eastAsia="en-US"/>
        </w:rPr>
        <w:t>međunarodni</w:t>
      </w:r>
      <w:bookmarkEnd w:id="54"/>
    </w:p>
    <w:p w14:paraId="49632087" w14:textId="77777777" w:rsidR="00971473" w:rsidRPr="00D716F4" w:rsidRDefault="00971473" w:rsidP="00971473">
      <w:pPr>
        <w:rPr>
          <w:b/>
          <w:lang w:val="sr-Latn-ME" w:eastAsia="en-US"/>
        </w:rPr>
      </w:pPr>
      <w:bookmarkStart w:id="55" w:name="_Toc68078480"/>
      <w:bookmarkStart w:id="56" w:name="_Toc68180745"/>
      <w:bookmarkStart w:id="57" w:name="_Toc68247518"/>
      <w:bookmarkStart w:id="58" w:name="_Toc68078479"/>
      <w:bookmarkStart w:id="59" w:name="_Toc68180744"/>
      <w:bookmarkStart w:id="60" w:name="_Toc68247517"/>
      <w:bookmarkStart w:id="61" w:name="_Hlk68772206"/>
      <w:r w:rsidRPr="00D716F4">
        <w:rPr>
          <w:b/>
          <w:lang w:val="sr-Latn-ME" w:eastAsia="en-US"/>
        </w:rPr>
        <w:t>Na</w:t>
      </w:r>
      <w:bookmarkEnd w:id="55"/>
      <w:bookmarkEnd w:id="56"/>
      <w:bookmarkEnd w:id="57"/>
      <w:r>
        <w:rPr>
          <w:b/>
          <w:lang w:val="sr-Latn-ME" w:eastAsia="en-US"/>
        </w:rPr>
        <w:t>cionalni nivo</w:t>
      </w:r>
    </w:p>
    <w:p w14:paraId="7AE3B87A" w14:textId="77777777" w:rsidR="00971473" w:rsidRDefault="00971473" w:rsidP="00971473">
      <w:pPr>
        <w:spacing w:before="0" w:after="160"/>
        <w:rPr>
          <w:rFonts w:eastAsia="Calibri" w:cs="Calibri"/>
          <w:szCs w:val="22"/>
          <w:lang w:val="sr-Latn-ME" w:eastAsia="en-US"/>
        </w:rPr>
      </w:pPr>
      <w:r>
        <w:rPr>
          <w:rFonts w:eastAsia="Calibri" w:cs="Calibri"/>
          <w:szCs w:val="22"/>
          <w:lang w:val="sr-Latn-ME" w:eastAsia="en-US"/>
        </w:rPr>
        <w:t>Glavni dokument koji reguliše morsko ribarstvo i njegovo upravljanje u Crnoj Gori jeste Zakon o morskom ribarstvu i marikulturi (Službeni list Crne Gore, No 56/09, 40/11, 47/15) sa pratećim Pravilnicima. Pored ovog Zakona, postoji još značajan broj crnogorskih zakona koji su posvećeni zaštiti životne sredine, prirode, upravljanju obalnim područjem i morem. Najvažniji su:</w:t>
      </w:r>
    </w:p>
    <w:p w14:paraId="0D290D92" w14:textId="77777777" w:rsidR="00971473" w:rsidRPr="00D716F4" w:rsidRDefault="00971473" w:rsidP="00C52E6F">
      <w:pPr>
        <w:pStyle w:val="ListParagraph"/>
        <w:numPr>
          <w:ilvl w:val="0"/>
          <w:numId w:val="50"/>
        </w:numPr>
        <w:spacing w:before="0" w:after="0"/>
        <w:jc w:val="left"/>
        <w:rPr>
          <w:rFonts w:eastAsia="Calibri" w:cs="Calibri"/>
          <w:szCs w:val="22"/>
          <w:lang w:val="sr-Latn-ME" w:eastAsia="hr-HR"/>
        </w:rPr>
      </w:pPr>
      <w:r>
        <w:rPr>
          <w:rFonts w:eastAsia="Calibri" w:cs="Calibri"/>
          <w:szCs w:val="22"/>
          <w:lang w:val="sr-Latn-ME" w:eastAsia="hr-HR"/>
        </w:rPr>
        <w:t>Zakon o zaštiti prirode</w:t>
      </w:r>
      <w:r w:rsidRPr="00D716F4">
        <w:rPr>
          <w:rFonts w:eastAsia="Calibri" w:cs="Calibri"/>
          <w:szCs w:val="22"/>
          <w:lang w:val="sr-Latn-ME" w:eastAsia="hr-HR"/>
        </w:rPr>
        <w:t xml:space="preserve"> (</w:t>
      </w:r>
      <w:r>
        <w:rPr>
          <w:rFonts w:eastAsia="Calibri" w:cs="Calibri"/>
          <w:szCs w:val="22"/>
          <w:lang w:val="sr-Latn-ME" w:eastAsia="en-US"/>
        </w:rPr>
        <w:t>Službeni list Crne Gore</w:t>
      </w:r>
      <w:r w:rsidRPr="00D716F4">
        <w:rPr>
          <w:rFonts w:eastAsia="Calibri" w:cs="Calibri"/>
          <w:szCs w:val="22"/>
          <w:lang w:val="sr-Latn-ME" w:eastAsia="hr-HR"/>
        </w:rPr>
        <w:t xml:space="preserve"> No 54/16);</w:t>
      </w:r>
    </w:p>
    <w:p w14:paraId="7AFA4738" w14:textId="77777777" w:rsidR="00971473" w:rsidRPr="00D716F4" w:rsidRDefault="00971473" w:rsidP="00C52E6F">
      <w:pPr>
        <w:pStyle w:val="ListParagraph"/>
        <w:numPr>
          <w:ilvl w:val="0"/>
          <w:numId w:val="50"/>
        </w:numPr>
        <w:spacing w:before="0" w:after="0"/>
        <w:jc w:val="left"/>
        <w:rPr>
          <w:rFonts w:eastAsia="Calibri" w:cs="Calibri"/>
          <w:szCs w:val="22"/>
          <w:lang w:val="sr-Latn-ME" w:eastAsia="hr-HR"/>
        </w:rPr>
      </w:pPr>
      <w:r>
        <w:rPr>
          <w:rFonts w:eastAsia="Calibri" w:cs="Calibri"/>
          <w:szCs w:val="22"/>
          <w:lang w:val="sr-Latn-ME" w:eastAsia="hr-HR"/>
        </w:rPr>
        <w:t>Zakon o životnoj sredini</w:t>
      </w:r>
      <w:r w:rsidRPr="00D716F4">
        <w:rPr>
          <w:rFonts w:eastAsia="Calibri" w:cs="Calibri"/>
          <w:szCs w:val="22"/>
          <w:lang w:val="sr-Latn-ME" w:eastAsia="hr-HR"/>
        </w:rPr>
        <w:t xml:space="preserve"> (</w:t>
      </w:r>
      <w:r>
        <w:rPr>
          <w:rFonts w:eastAsia="Calibri" w:cs="Calibri"/>
          <w:szCs w:val="22"/>
          <w:lang w:val="sr-Latn-ME" w:eastAsia="en-US"/>
        </w:rPr>
        <w:t>Službeni list Crne Gore</w:t>
      </w:r>
      <w:r w:rsidRPr="00D716F4">
        <w:rPr>
          <w:rFonts w:eastAsia="Calibri" w:cs="Calibri"/>
          <w:szCs w:val="22"/>
          <w:lang w:val="sr-Latn-ME" w:eastAsia="hr-HR"/>
        </w:rPr>
        <w:t xml:space="preserve"> no 52/16);</w:t>
      </w:r>
    </w:p>
    <w:p w14:paraId="6E8B1D7C" w14:textId="77777777" w:rsidR="00971473" w:rsidRPr="00D716F4" w:rsidRDefault="00971473" w:rsidP="00C52E6F">
      <w:pPr>
        <w:pStyle w:val="ListParagraph"/>
        <w:numPr>
          <w:ilvl w:val="0"/>
          <w:numId w:val="50"/>
        </w:numPr>
        <w:spacing w:before="0" w:after="0"/>
        <w:jc w:val="left"/>
        <w:rPr>
          <w:rFonts w:eastAsia="Calibri" w:cs="Calibri"/>
          <w:szCs w:val="22"/>
          <w:lang w:val="sr-Latn-ME" w:eastAsia="hr-HR"/>
        </w:rPr>
      </w:pPr>
      <w:r>
        <w:rPr>
          <w:rFonts w:eastAsia="Calibri" w:cs="Calibri"/>
          <w:szCs w:val="22"/>
          <w:lang w:val="sr-Latn-ME" w:eastAsia="hr-HR"/>
        </w:rPr>
        <w:t xml:space="preserve">Zakon o zaštiti morske sredine </w:t>
      </w:r>
      <w:r w:rsidRPr="00D716F4">
        <w:rPr>
          <w:rFonts w:eastAsia="Calibri" w:cs="Calibri"/>
          <w:szCs w:val="22"/>
          <w:lang w:val="sr-Latn-ME" w:eastAsia="hr-HR"/>
        </w:rPr>
        <w:t>(</w:t>
      </w:r>
      <w:r>
        <w:rPr>
          <w:rFonts w:eastAsia="Calibri" w:cs="Calibri"/>
          <w:szCs w:val="22"/>
          <w:lang w:val="sr-Latn-ME" w:eastAsia="en-US"/>
        </w:rPr>
        <w:t>Službeni list Crne Gore</w:t>
      </w:r>
      <w:r w:rsidRPr="00D716F4">
        <w:rPr>
          <w:rFonts w:eastAsia="Calibri" w:cs="Calibri"/>
          <w:szCs w:val="22"/>
          <w:lang w:val="sr-Latn-ME" w:eastAsia="hr-HR"/>
        </w:rPr>
        <w:t xml:space="preserve"> no 73/19);</w:t>
      </w:r>
    </w:p>
    <w:p w14:paraId="69F71ED9" w14:textId="77777777" w:rsidR="00971473" w:rsidRPr="00D716F4" w:rsidRDefault="00971473" w:rsidP="00C52E6F">
      <w:pPr>
        <w:pStyle w:val="ListParagraph"/>
        <w:numPr>
          <w:ilvl w:val="0"/>
          <w:numId w:val="50"/>
        </w:numPr>
        <w:spacing w:before="0" w:after="0"/>
        <w:jc w:val="left"/>
        <w:rPr>
          <w:rFonts w:eastAsia="Calibri" w:cs="Calibri"/>
          <w:szCs w:val="22"/>
          <w:lang w:val="sr-Latn-ME" w:eastAsia="hr-HR"/>
        </w:rPr>
      </w:pPr>
      <w:r>
        <w:rPr>
          <w:rFonts w:eastAsia="Calibri" w:cs="Calibri"/>
          <w:szCs w:val="22"/>
          <w:lang w:val="sr-Latn-ME" w:eastAsia="hr-HR"/>
        </w:rPr>
        <w:t xml:space="preserve">Zakon o strateškoj procjeni životne sredine </w:t>
      </w:r>
      <w:r w:rsidRPr="00D716F4">
        <w:rPr>
          <w:rFonts w:eastAsia="Calibri" w:cs="Calibri"/>
          <w:szCs w:val="22"/>
          <w:lang w:val="sr-Latn-ME" w:eastAsia="hr-HR"/>
        </w:rPr>
        <w:t>(</w:t>
      </w:r>
      <w:r>
        <w:rPr>
          <w:rFonts w:eastAsia="Calibri" w:cs="Calibri"/>
          <w:szCs w:val="22"/>
          <w:lang w:val="sr-Latn-ME" w:eastAsia="en-US"/>
        </w:rPr>
        <w:t>Službeni list Crne Gore</w:t>
      </w:r>
      <w:r w:rsidRPr="00D716F4">
        <w:rPr>
          <w:rFonts w:eastAsia="Calibri" w:cs="Calibri"/>
          <w:szCs w:val="22"/>
          <w:lang w:val="sr-Latn-ME" w:eastAsia="hr-HR"/>
        </w:rPr>
        <w:t xml:space="preserve"> No. 80/05, 59/11, 52/16);</w:t>
      </w:r>
    </w:p>
    <w:p w14:paraId="48674DF6" w14:textId="77777777" w:rsidR="00971473" w:rsidRPr="00D716F4" w:rsidRDefault="00971473" w:rsidP="00C52E6F">
      <w:pPr>
        <w:pStyle w:val="ListParagraph"/>
        <w:numPr>
          <w:ilvl w:val="0"/>
          <w:numId w:val="50"/>
        </w:numPr>
        <w:spacing w:before="0" w:after="0"/>
        <w:jc w:val="left"/>
        <w:rPr>
          <w:rFonts w:eastAsia="Calibri" w:cs="Calibri"/>
          <w:szCs w:val="22"/>
          <w:lang w:val="sr-Latn-ME" w:eastAsia="hr-HR"/>
        </w:rPr>
      </w:pPr>
      <w:r>
        <w:rPr>
          <w:rFonts w:eastAsia="Calibri" w:cs="Calibri"/>
          <w:szCs w:val="22"/>
          <w:lang w:val="sr-Latn-ME" w:eastAsia="hr-HR"/>
        </w:rPr>
        <w:t xml:space="preserve">Zakon o intergisanom očuvanju i kontroli zaštite životne sredine </w:t>
      </w:r>
      <w:r w:rsidRPr="00D716F4">
        <w:rPr>
          <w:rFonts w:eastAsia="Calibri" w:cs="Calibri"/>
          <w:szCs w:val="22"/>
          <w:lang w:val="sr-Latn-ME" w:eastAsia="hr-HR"/>
        </w:rPr>
        <w:t>(</w:t>
      </w:r>
      <w:r>
        <w:rPr>
          <w:rFonts w:eastAsia="Calibri" w:cs="Calibri"/>
          <w:szCs w:val="22"/>
          <w:lang w:val="sr-Latn-ME" w:eastAsia="en-US"/>
        </w:rPr>
        <w:t>Službeni list Crne Gore</w:t>
      </w:r>
      <w:r w:rsidRPr="00D716F4">
        <w:rPr>
          <w:rFonts w:eastAsia="Calibri" w:cs="Calibri"/>
          <w:szCs w:val="22"/>
          <w:lang w:val="sr-Latn-ME" w:eastAsia="hr-HR"/>
        </w:rPr>
        <w:t xml:space="preserve"> No. 80/05, 54/09, 40/11, 42/15, 54/16);</w:t>
      </w:r>
    </w:p>
    <w:p w14:paraId="3E26BC1F" w14:textId="77777777" w:rsidR="00971473" w:rsidRPr="00D716F4" w:rsidRDefault="00971473" w:rsidP="00C52E6F">
      <w:pPr>
        <w:pStyle w:val="ListParagraph"/>
        <w:numPr>
          <w:ilvl w:val="0"/>
          <w:numId w:val="50"/>
        </w:numPr>
        <w:spacing w:before="0" w:after="0"/>
        <w:jc w:val="left"/>
        <w:rPr>
          <w:rFonts w:eastAsia="Calibri" w:cs="Calibri"/>
          <w:szCs w:val="22"/>
          <w:lang w:val="sr-Latn-ME" w:eastAsia="hr-HR"/>
        </w:rPr>
      </w:pPr>
      <w:r>
        <w:rPr>
          <w:rFonts w:eastAsia="Calibri" w:cs="Calibri"/>
          <w:szCs w:val="22"/>
          <w:lang w:val="sr-Latn-ME" w:eastAsia="hr-HR"/>
        </w:rPr>
        <w:t>Zakon o moru</w:t>
      </w:r>
      <w:r w:rsidRPr="00D716F4">
        <w:rPr>
          <w:rFonts w:eastAsia="Calibri" w:cs="Calibri"/>
          <w:szCs w:val="22"/>
          <w:lang w:val="sr-Latn-ME" w:eastAsia="hr-HR"/>
        </w:rPr>
        <w:t xml:space="preserve"> (</w:t>
      </w:r>
      <w:r>
        <w:rPr>
          <w:rFonts w:eastAsia="Calibri" w:cs="Calibri"/>
          <w:szCs w:val="22"/>
          <w:lang w:val="sr-Latn-ME" w:eastAsia="en-US"/>
        </w:rPr>
        <w:t>Službeni list Crne Gore</w:t>
      </w:r>
      <w:r w:rsidRPr="00D716F4">
        <w:rPr>
          <w:rFonts w:eastAsia="Calibri" w:cs="Calibri"/>
          <w:szCs w:val="22"/>
          <w:lang w:val="sr-Latn-ME" w:eastAsia="hr-HR"/>
        </w:rPr>
        <w:t xml:space="preserve"> No. 17/07,06/08, 40/11);</w:t>
      </w:r>
    </w:p>
    <w:p w14:paraId="6F0BBE5C" w14:textId="77777777" w:rsidR="00971473" w:rsidRPr="00D716F4" w:rsidRDefault="00971473" w:rsidP="00C52E6F">
      <w:pPr>
        <w:pStyle w:val="ListParagraph"/>
        <w:numPr>
          <w:ilvl w:val="0"/>
          <w:numId w:val="50"/>
        </w:numPr>
        <w:spacing w:before="0" w:after="0"/>
        <w:jc w:val="left"/>
        <w:rPr>
          <w:rFonts w:eastAsia="Calibri" w:cs="Calibri"/>
          <w:szCs w:val="22"/>
          <w:lang w:val="sr-Latn-ME" w:eastAsia="hr-HR"/>
        </w:rPr>
      </w:pPr>
      <w:r>
        <w:rPr>
          <w:rFonts w:eastAsia="Calibri" w:cs="Calibri"/>
          <w:szCs w:val="22"/>
          <w:lang w:val="sr-Latn-ME" w:eastAsia="hr-HR"/>
        </w:rPr>
        <w:t>Zakon o stranim i invazivnim vrstama biljaka, životinja i gljiva. Ovaj zakon je usvojen u 2019.</w:t>
      </w:r>
      <w:r w:rsidRPr="00D716F4">
        <w:rPr>
          <w:rFonts w:eastAsia="Calibri" w:cs="Calibri"/>
          <w:szCs w:val="22"/>
          <w:lang w:val="sr-Latn-ME" w:eastAsia="hr-HR"/>
        </w:rPr>
        <w:t xml:space="preserve"> (</w:t>
      </w:r>
      <w:r>
        <w:rPr>
          <w:rFonts w:eastAsia="Calibri" w:cs="Calibri"/>
          <w:szCs w:val="22"/>
          <w:lang w:val="sr-Latn-ME" w:eastAsia="en-US"/>
        </w:rPr>
        <w:t>Službeni list Crne Gore</w:t>
      </w:r>
      <w:r w:rsidRPr="00D716F4">
        <w:rPr>
          <w:rFonts w:eastAsia="Calibri" w:cs="Calibri"/>
          <w:szCs w:val="22"/>
          <w:lang w:val="sr-Latn-ME" w:eastAsia="hr-HR"/>
        </w:rPr>
        <w:t xml:space="preserve"> 18/2019).</w:t>
      </w:r>
    </w:p>
    <w:p w14:paraId="3092CC1B" w14:textId="77777777" w:rsidR="00971473" w:rsidRPr="00D716F4" w:rsidRDefault="00971473" w:rsidP="00971473">
      <w:pPr>
        <w:keepNext/>
        <w:keepLines/>
        <w:spacing w:before="40" w:after="0"/>
        <w:jc w:val="left"/>
        <w:outlineLvl w:val="1"/>
        <w:rPr>
          <w:b/>
          <w:szCs w:val="22"/>
          <w:lang w:val="sr-Latn-ME" w:eastAsia="en-US"/>
        </w:rPr>
      </w:pPr>
    </w:p>
    <w:bookmarkEnd w:id="58"/>
    <w:bookmarkEnd w:id="59"/>
    <w:bookmarkEnd w:id="60"/>
    <w:p w14:paraId="0AACE4E1" w14:textId="383BDA39" w:rsidR="00971473" w:rsidRDefault="00971473" w:rsidP="00971473">
      <w:pPr>
        <w:spacing w:before="0" w:after="160"/>
        <w:rPr>
          <w:b/>
          <w:lang w:val="sr-Latn-ME" w:eastAsia="en-US"/>
        </w:rPr>
      </w:pPr>
      <w:r>
        <w:rPr>
          <w:b/>
          <w:lang w:val="sr-Latn-ME" w:eastAsia="en-US"/>
        </w:rPr>
        <w:t>Međunarodni nivo</w:t>
      </w:r>
    </w:p>
    <w:p w14:paraId="25D540A4" w14:textId="77777777" w:rsidR="00971473" w:rsidRDefault="00971473" w:rsidP="00971473">
      <w:pPr>
        <w:spacing w:before="0" w:after="160"/>
        <w:rPr>
          <w:rFonts w:eastAsia="Calibri" w:cs="Calibri"/>
          <w:szCs w:val="22"/>
          <w:lang w:val="sr-Latn-ME" w:eastAsia="en-US"/>
        </w:rPr>
      </w:pPr>
      <w:r>
        <w:rPr>
          <w:rFonts w:eastAsia="Calibri" w:cs="Calibri"/>
          <w:szCs w:val="22"/>
          <w:lang w:val="sr-Latn-ME" w:eastAsia="en-US"/>
        </w:rPr>
        <w:t>Glavni zakonski akt kojim se štite riblji stokovi i smanjuje prekomjeran izlov, a kako bi se obezbjedila dugotrajna stabilnost, sigurnost i zdravlje hrane na nivou EU jeste Zajednička Ribarska Politika – ZRP (Common Fisheries Policy – CFP, 2013/1380/EC). ZRP je set pravila za upravljanje Evropskom ribarskom flotom i zaštitu ribljih stokova. Pored ZRP, Regulativa Savjeta (EC) No. 1967/2006 takođe uzima u obzir mjere upravljanja za održivu eksploataciju resursa u Mediteranu i daje set mjera i pravila za očuvanje ribarstvenih resursa u ovom moru. Postoje brojni zakonski akti na nivou Jadrana koje donosi GFCM o upravljanju ribarstvenim resursima</w:t>
      </w:r>
      <w:r w:rsidRPr="004F2AA4">
        <w:rPr>
          <w:rFonts w:eastAsia="Calibri" w:cs="Calibri"/>
          <w:szCs w:val="22"/>
          <w:lang w:val="sr-Latn-ME" w:eastAsia="en-US"/>
        </w:rPr>
        <w:t xml:space="preserve">: </w:t>
      </w:r>
      <w:r>
        <w:rPr>
          <w:rFonts w:eastAsia="Calibri" w:cs="Calibri"/>
          <w:szCs w:val="22"/>
          <w:lang w:val="sr-Latn-ME" w:eastAsia="en-US"/>
        </w:rPr>
        <w:t>Preporuka</w:t>
      </w:r>
      <w:r w:rsidRPr="004F2AA4">
        <w:rPr>
          <w:rFonts w:eastAsia="Calibri" w:cs="Calibri"/>
          <w:szCs w:val="22"/>
          <w:lang w:val="sr-Latn-ME" w:eastAsia="en-US"/>
        </w:rPr>
        <w:t xml:space="preserve"> GFCM / 42/2018/8 2019-2021</w:t>
      </w:r>
      <w:r>
        <w:rPr>
          <w:rFonts w:eastAsia="Calibri" w:cs="Calibri"/>
          <w:szCs w:val="22"/>
          <w:lang w:val="sr-Latn-ME" w:eastAsia="en-US"/>
        </w:rPr>
        <w:t xml:space="preserve"> za stokove male plave ribe u Jadranskom moru (GSA 17 i GSA 18), Preporuka</w:t>
      </w:r>
      <w:r w:rsidRPr="004F2AA4">
        <w:rPr>
          <w:rFonts w:eastAsia="Calibri" w:cs="Calibri"/>
          <w:szCs w:val="22"/>
          <w:lang w:val="sr-Latn-ME" w:eastAsia="en-US"/>
        </w:rPr>
        <w:t xml:space="preserve"> GFCM/43/2019/5</w:t>
      </w:r>
      <w:r>
        <w:rPr>
          <w:rFonts w:eastAsia="Calibri" w:cs="Calibri"/>
          <w:szCs w:val="22"/>
          <w:lang w:val="sr-Latn-ME" w:eastAsia="en-US"/>
        </w:rPr>
        <w:t xml:space="preserve">  višegodišnji plan upravljanja demerzalnim ribarstvom u Jadranskom moru, Preporuka</w:t>
      </w:r>
      <w:r w:rsidRPr="004F2AA4">
        <w:rPr>
          <w:rFonts w:eastAsia="Calibri" w:cs="Calibri"/>
          <w:szCs w:val="22"/>
          <w:lang w:val="sr-Latn-ME" w:eastAsia="en-US"/>
        </w:rPr>
        <w:t xml:space="preserve"> GFCM/41/2017/3</w:t>
      </w:r>
      <w:r>
        <w:rPr>
          <w:rFonts w:eastAsia="Calibri" w:cs="Calibri"/>
          <w:szCs w:val="22"/>
          <w:lang w:val="sr-Latn-ME" w:eastAsia="en-US"/>
        </w:rPr>
        <w:t xml:space="preserve"> o uspostavljanju područja zabranjenog za ribolov u Jabučkoj/Pomo kotlini u Jadranu. Bitno je pomenuti i konvencije o zaštiti biodiverziteta koje se primjenjuju na globalnom nivou: Konvencija o Biološkom Diverzitetu (CBD), Konvencija o zaštiti evropskih divljih životinja i nativnih staništa (Bernska Konvencija, 1979), Konvencija o zaštiti morske životne sredine i obalnog područja Mediterana – Barselonska konvencija, Konvencija o močvarama (Ramsarska konvencija, 1971), Konvencija o migratornim vrstama (Bonn Konvencija, 1979) i ICCAT.</w:t>
      </w:r>
    </w:p>
    <w:p w14:paraId="011D9033" w14:textId="77777777" w:rsidR="00971473" w:rsidRDefault="00971473" w:rsidP="00971473">
      <w:pPr>
        <w:spacing w:before="0" w:after="160"/>
        <w:rPr>
          <w:rFonts w:eastAsia="Calibri" w:cs="Calibri"/>
          <w:szCs w:val="22"/>
          <w:lang w:val="sr-Latn-ME" w:eastAsia="en-US"/>
        </w:rPr>
      </w:pPr>
      <w:r>
        <w:rPr>
          <w:rFonts w:eastAsia="Calibri" w:cs="Calibri"/>
          <w:szCs w:val="22"/>
          <w:lang w:val="sr-Latn-ME" w:eastAsia="en-US"/>
        </w:rPr>
        <w:t>Dodatno, neki od glavnih akata iz oblasti morskih ribarstvenih resursa u Evropi su: EU Direktiva o morskoj strategiji (MSFD)</w:t>
      </w:r>
      <w:r w:rsidRPr="0090570F">
        <w:rPr>
          <w:rFonts w:eastAsia="Calibri" w:cs="Calibri"/>
          <w:szCs w:val="22"/>
          <w:lang w:val="sr-Latn-ME" w:eastAsia="en-US"/>
        </w:rPr>
        <w:t xml:space="preserve"> </w:t>
      </w:r>
      <w:r w:rsidRPr="00D716F4">
        <w:rPr>
          <w:rFonts w:eastAsia="Calibri" w:cs="Calibri"/>
          <w:szCs w:val="22"/>
          <w:lang w:val="sr-Latn-ME" w:eastAsia="en-US"/>
        </w:rPr>
        <w:t>(</w:t>
      </w:r>
      <w:r w:rsidRPr="00D716F4">
        <w:rPr>
          <w:rFonts w:cs="Calibri"/>
          <w:bCs/>
          <w:szCs w:val="22"/>
          <w:lang w:val="sr-Latn-ME" w:eastAsia="hr-HR"/>
        </w:rPr>
        <w:t>2017/845/EC)</w:t>
      </w:r>
      <w:r>
        <w:rPr>
          <w:rFonts w:cs="Calibri"/>
          <w:bCs/>
          <w:szCs w:val="22"/>
          <w:lang w:val="sr-Latn-ME" w:eastAsia="hr-HR"/>
        </w:rPr>
        <w:t xml:space="preserve"> i Kriterijumi i metodološki standardi o dobrom stanju životne sredine morskih voda, specifikacijama i standardizovanim metodama za monitoring i procjenu (2017/848/EC). MSFD teži da postigne dobar status životne sredine (GES) u morskim vodama EU do 2020. Kako bi se postigao GES do 2020, svaka država članica mora da razvije strategiju za sopstvene morske vode (odnosno Morsku Strategiju)</w:t>
      </w:r>
    </w:p>
    <w:p w14:paraId="0C5B158E" w14:textId="77777777" w:rsidR="00D63CEB" w:rsidRPr="001C6CCA" w:rsidRDefault="00D63CEB" w:rsidP="00EE3F8A">
      <w:pPr>
        <w:spacing w:before="0" w:after="0"/>
        <w:contextualSpacing/>
        <w:jc w:val="left"/>
        <w:rPr>
          <w:rFonts w:cs="Calibri"/>
          <w:b/>
          <w:sz w:val="20"/>
          <w:szCs w:val="20"/>
          <w:highlight w:val="yellow"/>
          <w:lang w:val="en-GB" w:eastAsia="en-US"/>
        </w:rPr>
      </w:pPr>
    </w:p>
    <w:p w14:paraId="2B3B8EE2" w14:textId="78A243C0" w:rsidR="00971473" w:rsidRPr="00971473" w:rsidRDefault="00971473" w:rsidP="00971473">
      <w:pPr>
        <w:pStyle w:val="Heading3"/>
        <w:rPr>
          <w:lang w:val="en-GB" w:eastAsia="en-US"/>
        </w:rPr>
      </w:pPr>
      <w:bookmarkStart w:id="62" w:name="_Toc69678354"/>
      <w:bookmarkStart w:id="63" w:name="_Toc83630904"/>
      <w:bookmarkEnd w:id="61"/>
      <w:r w:rsidRPr="00971473">
        <w:rPr>
          <w:lang w:val="en-GB" w:eastAsia="en-US"/>
        </w:rPr>
        <w:t>Relevant</w:t>
      </w:r>
      <w:bookmarkEnd w:id="62"/>
      <w:r w:rsidRPr="00971473">
        <w:rPr>
          <w:lang w:val="en-GB" w:eastAsia="en-US"/>
        </w:rPr>
        <w:t>ni pritisci i uticaj</w:t>
      </w:r>
      <w:r w:rsidR="00FB049B">
        <w:rPr>
          <w:lang w:val="en-GB" w:eastAsia="en-US"/>
        </w:rPr>
        <w:t>i</w:t>
      </w:r>
      <w:bookmarkEnd w:id="63"/>
    </w:p>
    <w:p w14:paraId="5B560E05" w14:textId="77777777" w:rsidR="00971473" w:rsidRDefault="00971473" w:rsidP="00971473">
      <w:pPr>
        <w:spacing w:before="0" w:after="160"/>
        <w:rPr>
          <w:rFonts w:eastAsia="Calibri" w:cs="Calibri"/>
          <w:color w:val="000000"/>
          <w:szCs w:val="22"/>
          <w:lang w:val="sr-Latn-ME" w:eastAsia="en-US"/>
        </w:rPr>
      </w:pPr>
      <w:bookmarkStart w:id="64" w:name="_Toc68078483"/>
      <w:bookmarkStart w:id="65" w:name="_Toc68180748"/>
      <w:r>
        <w:rPr>
          <w:rFonts w:eastAsia="Calibri" w:cs="Calibri"/>
          <w:color w:val="000000"/>
          <w:szCs w:val="22"/>
          <w:lang w:val="sr-Latn-ME" w:eastAsia="en-US"/>
        </w:rPr>
        <w:t>Ribe su ekonomski veoma bitna grupa morskih organizama, predmet intezivnog ribolovnog pritiska širom svijeta. Potražnja za ribom na svjetskom tržištu, dovela je do pretjeranog izlova mnogih ekonomski važnih vrsta riba. Ipak, ribarstvo nije jedini izvor pritiska na riblje populacije, degradacija staništa, zagađenje mora, introdukcija i uspostavljanje populacija invazivnih vrsta i klimatske promjene takođe imaju negativne efekte na ribe. U većini slučajeva, ribe su pod uticajem simultanosnih i kombinovanih efekata različitih pritisaka.</w:t>
      </w:r>
    </w:p>
    <w:p w14:paraId="0F64BA73" w14:textId="77777777" w:rsidR="00971473" w:rsidRDefault="00971473" w:rsidP="00971473">
      <w:pPr>
        <w:spacing w:before="0" w:after="160"/>
        <w:rPr>
          <w:rFonts w:eastAsia="Calibri" w:cs="Calibri"/>
          <w:color w:val="000000"/>
          <w:szCs w:val="22"/>
          <w:lang w:val="sr-Latn-ME" w:eastAsia="en-US"/>
        </w:rPr>
      </w:pPr>
      <w:r>
        <w:rPr>
          <w:rFonts w:eastAsia="Calibri" w:cs="Calibri"/>
          <w:color w:val="000000"/>
          <w:szCs w:val="22"/>
          <w:lang w:val="sr-Latn-ME" w:eastAsia="en-US"/>
        </w:rPr>
        <w:t xml:space="preserve">Ribarstvo u Jadranskom moru je generalno dobro razvijeno i predstavlja bitan dio ekonomije zemalja koje na njega izlaze. Prema dostupnim zvaničnim podacima o ulovima, svi segmenti flote su prisutni u Jadranu, počev od malog obalnog ribarstva do velikih kočara i plivaričara. Bazirano na prikupljenim podacima o težini ulova i njihovoj vrijednosti, dva tipa segmenata flote se ističu: plivaričari koji love malu plavu ribu i kočari koji izlovljavaju demerzalne resurse (RAC/SPA, 2015). Uprkos dobrom razvoju ribarstva u Jadranu i veoma visokom ribolovnom pritisku, ono nije jednako razvijeno u svim zemljama. </w:t>
      </w:r>
    </w:p>
    <w:p w14:paraId="44157B3A" w14:textId="77777777" w:rsidR="00695DAE" w:rsidRDefault="00695DAE" w:rsidP="00971473">
      <w:pPr>
        <w:rPr>
          <w:b/>
          <w:lang w:val="sr-Latn-ME" w:eastAsia="en-US"/>
        </w:rPr>
      </w:pPr>
    </w:p>
    <w:p w14:paraId="26517F15" w14:textId="77777777" w:rsidR="00971473" w:rsidRPr="00D716F4" w:rsidRDefault="00971473" w:rsidP="00971473">
      <w:pPr>
        <w:rPr>
          <w:b/>
          <w:lang w:val="sr-Latn-ME" w:eastAsia="en-US"/>
        </w:rPr>
      </w:pPr>
      <w:r>
        <w:rPr>
          <w:b/>
          <w:lang w:val="sr-Latn-ME" w:eastAsia="en-US"/>
        </w:rPr>
        <w:t>Relevantni pritisci</w:t>
      </w:r>
    </w:p>
    <w:p w14:paraId="1F85100A" w14:textId="77777777" w:rsidR="00971473" w:rsidRDefault="00971473" w:rsidP="00971473">
      <w:pPr>
        <w:spacing w:before="0" w:after="160"/>
        <w:rPr>
          <w:rFonts w:eastAsia="Calibri" w:cs="Calibri"/>
          <w:color w:val="000000"/>
          <w:szCs w:val="22"/>
          <w:lang w:val="sr-Latn-ME" w:eastAsia="en-US"/>
        </w:rPr>
      </w:pPr>
      <w:r>
        <w:rPr>
          <w:rFonts w:eastAsia="Calibri" w:cs="Calibri"/>
          <w:color w:val="000000"/>
          <w:szCs w:val="22"/>
          <w:lang w:val="sr-Latn-ME" w:eastAsia="en-US"/>
        </w:rPr>
        <w:t>Ribarstvo ima najnegativniji efekat na morske ribe. Od više od 400 vrsta riba u Jadranu, njih 120 ima visoku komercijalnu vrijednost i ekonomski značaj i ciljane su vrste u ribarstvu. Pored njih, brojne vrste riba i drugih morskih organizama se nenamjerno love tokom procesa ribolova i predstavljaju prilov ili diskard. Obim prilova i diskarda, u smislu količine i broja vrsta, zavisi od selektivnosti ribolovnih alata koji se koriste. Neki od njih (parangali) imaju visoku selektivnost, ciljaju velike jedinke, dozvoljavajući im da se izmrijeste prije nego budu uhvaćene, i dozvoljavajući nedoraslima da ostanu u moru i obnove stok. Sa druge strane, neki alati imaju nisku selektivnost (kočarske mreže) koje kupe sve organizme na svom putu, što dovodi do visokih količina prilova i diskarda. Visoki ribolovni pritisak smanjio je brojnost mnogih vrsta u Jadranskom moru, što zahtijeva specijalne mjere upravljanja kako bi se stokovi zaštitili. Ribolovna smrtnost nije jedini negativni efekat ribarstva, jer ono takođe vodi do poremećaja u lancima ishrane u moru i odražava se na širok spektar morskih organizama i njihovih populacija. Hrskavičave ribe se nalaze pod najvećim negativnim uticajem ribarstva zbog svoje biologije, kasnog polnog sazrijevanja i malog broja potomaka.</w:t>
      </w:r>
    </w:p>
    <w:p w14:paraId="4EC50714" w14:textId="77777777" w:rsidR="00971473" w:rsidRDefault="00971473" w:rsidP="00971473">
      <w:pPr>
        <w:spacing w:before="0" w:after="160"/>
        <w:rPr>
          <w:rFonts w:eastAsia="Calibri" w:cs="Calibri"/>
          <w:szCs w:val="22"/>
          <w:lang w:val="sr-Latn-ME" w:eastAsia="en-US"/>
        </w:rPr>
      </w:pPr>
      <w:r>
        <w:rPr>
          <w:rFonts w:eastAsia="Calibri" w:cs="Calibri"/>
          <w:szCs w:val="22"/>
          <w:lang w:val="sr-Latn-ME" w:eastAsia="en-US"/>
        </w:rPr>
        <w:t xml:space="preserve">Degradacija staništa je dodatni pritisak na sve morske organizme, ne samo ribe. Zbog ubrzanog razvoja turizma, ljudskih aktivnosti, izgradnje infrastrukture, objekata, marina, luka i plaža u proteklim decenijama, došlo je do povećane degradacije staništa i promjena u ekološkim faktorima u ekosistemu. Neki ribolovni alati takođe imaju negativne efekte na morska staništa, na primjer pridnene koče. </w:t>
      </w:r>
    </w:p>
    <w:p w14:paraId="77AD73FD" w14:textId="77777777" w:rsidR="00971473" w:rsidRDefault="00971473" w:rsidP="00971473">
      <w:pPr>
        <w:spacing w:before="0" w:after="160"/>
        <w:rPr>
          <w:rFonts w:eastAsia="Calibri" w:cs="Calibri"/>
          <w:szCs w:val="22"/>
          <w:lang w:val="sr-Latn-ME" w:eastAsia="en-US"/>
        </w:rPr>
      </w:pPr>
      <w:r>
        <w:rPr>
          <w:rFonts w:eastAsia="Calibri" w:cs="Calibri"/>
          <w:szCs w:val="22"/>
          <w:lang w:val="sr-Latn-ME" w:eastAsia="en-US"/>
        </w:rPr>
        <w:t>Zagađenje mora je posljedica mnogih ljudskih aktivnosti na obali i moru. Brojne promjene u morskom okruženju izazvane su zagađenjem iz različitih izvora. Ovo uključuje promjene u temperaturi vode, promjene u prozirnosti, opadanje nivoa kiseonika, hemijsko zagađenje, promjene u količini nutrijenata, promjene u zajednicama fitoplanktona što dovodi do cvjetanja algi i ponekad izazove trovanje morskih organizama.</w:t>
      </w:r>
    </w:p>
    <w:p w14:paraId="54479610" w14:textId="77777777" w:rsidR="00971473" w:rsidRDefault="00971473" w:rsidP="00971473">
      <w:pPr>
        <w:spacing w:before="0" w:after="160"/>
        <w:rPr>
          <w:rFonts w:eastAsia="Calibri" w:cs="Calibri"/>
          <w:szCs w:val="22"/>
          <w:lang w:val="sr-Latn-ME" w:eastAsia="en-US"/>
        </w:rPr>
      </w:pPr>
      <w:r>
        <w:rPr>
          <w:rFonts w:eastAsia="Calibri" w:cs="Calibri"/>
          <w:szCs w:val="22"/>
          <w:lang w:val="sr-Latn-ME" w:eastAsia="en-US"/>
        </w:rPr>
        <w:t>Alohtone i invazivne vrste predstavljaju dodatni pritisak na morske ribe. Tokom zadnje tri decenije, više od 40 novih ribljih vrsta je zabilježeno u Jadranu, izazivajući negativne efekte, bilo direktno ili indirektno, kroz kompeticiju za hranu i slobodne ekološke niše.</w:t>
      </w:r>
    </w:p>
    <w:p w14:paraId="5954C60B" w14:textId="77777777" w:rsidR="00971473" w:rsidRPr="00D716F4" w:rsidRDefault="00971473" w:rsidP="00971473">
      <w:pPr>
        <w:spacing w:before="0" w:after="160"/>
        <w:rPr>
          <w:rFonts w:eastAsia="Calibri" w:cs="Calibri"/>
          <w:szCs w:val="22"/>
          <w:lang w:val="sr-Latn-ME" w:eastAsia="en-US"/>
        </w:rPr>
      </w:pPr>
      <w:r>
        <w:rPr>
          <w:rFonts w:eastAsia="Calibri" w:cs="Calibri"/>
          <w:szCs w:val="22"/>
          <w:lang w:val="sr-Latn-ME" w:eastAsia="en-US"/>
        </w:rPr>
        <w:t xml:space="preserve">Još jedna prijetnja morskim vrstama riba širom svijeta jesu klimatske promjene. Od 1990, temperatura površine Jadranskog mora porasla je za </w:t>
      </w:r>
      <w:r w:rsidRPr="00D716F4">
        <w:rPr>
          <w:rFonts w:eastAsia="Calibri" w:cs="Calibri"/>
          <w:szCs w:val="22"/>
          <w:lang w:val="sr-Latn-ME" w:eastAsia="en-US"/>
        </w:rPr>
        <w:t xml:space="preserve">0.3°C </w:t>
      </w:r>
      <w:r>
        <w:rPr>
          <w:rFonts w:eastAsia="Calibri" w:cs="Calibri"/>
          <w:szCs w:val="22"/>
          <w:lang w:val="sr-Latn-ME" w:eastAsia="en-US"/>
        </w:rPr>
        <w:t xml:space="preserve">(Dulčić et al., 1999). U nekim unutrašnjim lukama i zalivima, temperatura površine vode može doseći skoro </w:t>
      </w:r>
      <w:r w:rsidRPr="00D716F4">
        <w:rPr>
          <w:rFonts w:eastAsia="Calibri" w:cs="Calibri"/>
          <w:szCs w:val="22"/>
          <w:lang w:val="sr-Latn-ME" w:eastAsia="en-US"/>
        </w:rPr>
        <w:t>30°C</w:t>
      </w:r>
      <w:r>
        <w:rPr>
          <w:rFonts w:eastAsia="Calibri" w:cs="Calibri"/>
          <w:szCs w:val="22"/>
          <w:lang w:val="sr-Latn-ME" w:eastAsia="en-US"/>
        </w:rPr>
        <w:t xml:space="preserve"> tokom ljetnjih mjeseci.</w:t>
      </w:r>
    </w:p>
    <w:p w14:paraId="243E72DB" w14:textId="77777777" w:rsidR="00971473" w:rsidRPr="006001E7" w:rsidRDefault="00971473" w:rsidP="00971473">
      <w:pPr>
        <w:spacing w:before="0" w:after="160"/>
        <w:rPr>
          <w:rFonts w:eastAsia="Calibri" w:cs="Calibri"/>
          <w:b/>
          <w:szCs w:val="22"/>
          <w:lang w:val="sr-Latn-ME" w:eastAsia="en-US"/>
        </w:rPr>
      </w:pPr>
      <w:r w:rsidRPr="006001E7">
        <w:rPr>
          <w:rFonts w:eastAsia="Calibri" w:cs="Calibri"/>
          <w:b/>
          <w:szCs w:val="22"/>
          <w:lang w:val="sr-Latn-ME" w:eastAsia="en-US"/>
        </w:rPr>
        <w:t>Uticaji (direktni i indirektni)</w:t>
      </w:r>
    </w:p>
    <w:p w14:paraId="0AC913C1" w14:textId="375161F7" w:rsidR="00971473" w:rsidRPr="00D716F4" w:rsidRDefault="00971473" w:rsidP="00971473">
      <w:pPr>
        <w:spacing w:before="0" w:after="160"/>
        <w:rPr>
          <w:rFonts w:eastAsia="Calibri" w:cs="Calibri"/>
          <w:szCs w:val="22"/>
          <w:lang w:val="sr-Latn-ME" w:eastAsia="en-US"/>
        </w:rPr>
      </w:pPr>
      <w:r>
        <w:rPr>
          <w:rFonts w:eastAsia="Calibri" w:cs="Calibri"/>
          <w:szCs w:val="22"/>
          <w:lang w:val="sr-Latn-ME" w:eastAsia="en-US"/>
        </w:rPr>
        <w:t xml:space="preserve">Iako komercijalno ribarstvo predstavlja glavni pritisak odgovoran za promjene u stokovima komercijalnih vrsta riba, loše upravljanje takođe može izazvati dugoročne posljedice </w:t>
      </w:r>
      <w:r w:rsidRPr="00D716F4">
        <w:rPr>
          <w:rFonts w:eastAsia="Calibri" w:cs="Calibri"/>
          <w:szCs w:val="22"/>
          <w:lang w:val="sr-Latn-ME" w:eastAsia="en-US"/>
        </w:rPr>
        <w:t>(Jennings et al., 2001).</w:t>
      </w:r>
      <w:r>
        <w:rPr>
          <w:rFonts w:eastAsia="Calibri" w:cs="Calibri"/>
          <w:szCs w:val="22"/>
          <w:lang w:val="sr-Latn-ME" w:eastAsia="en-US"/>
        </w:rPr>
        <w:t xml:space="preserve"> Komercijalno ribarstvo u crnogorskim vodama cilja više od 120 vrsta riba i nastavlja da vrši značajan pritisak na riblje populacije. Ovo se ogleda direktno kroz uklanjanje ciljnih vrsta riba, kao i indirektno kroz uklanjanje vrsta koje nisu ciljne (prilov, diskard i slučajni ulov), a koje su </w:t>
      </w:r>
      <w:r w:rsidR="00D71066">
        <w:rPr>
          <w:rFonts w:eastAsia="Calibri" w:cs="Calibri"/>
          <w:szCs w:val="22"/>
          <w:lang w:val="sr-Latn-ME" w:eastAsia="en-US"/>
        </w:rPr>
        <w:t>grabežljivci</w:t>
      </w:r>
      <w:r>
        <w:rPr>
          <w:rFonts w:eastAsia="Calibri" w:cs="Calibri"/>
          <w:szCs w:val="22"/>
          <w:lang w:val="sr-Latn-ME" w:eastAsia="en-US"/>
        </w:rPr>
        <w:t xml:space="preserve">, plijen ili kompetitorske vrste. Ogleda se i kroz fizička oštećenja staništa uslijed korišćenja robusnih ribarskih alata, kakve su mreže koče. Uticaj morskog ribarstva na morske ekosisteme je veoma dobro dokumentovan i široko rasprostranjen. Uticaji ribarstva mogu biti direktni: opadanje brojnosti, promjene u veličini i sastavu vrsta, modifikacija populacionih parametara, i indirektni: trofičke promjene, poremećaji lanaca ishrane, uništavanje dna, a obije grupe uticaja mogu djelovati na kratkoročnoj i dugoročnoj vremenskoj skali </w:t>
      </w:r>
      <w:r w:rsidRPr="00B000BB">
        <w:rPr>
          <w:rFonts w:eastAsia="Calibri" w:cs="Calibri"/>
          <w:szCs w:val="22"/>
          <w:lang w:val="sr-Latn-ME" w:eastAsia="en-US"/>
        </w:rPr>
        <w:t>(Pauly et al., 1998; Jennings et al., 1999).</w:t>
      </w:r>
    </w:p>
    <w:p w14:paraId="5F077E92" w14:textId="36E505E2" w:rsidR="00971473" w:rsidRDefault="00615E5F" w:rsidP="00615E5F">
      <w:pPr>
        <w:tabs>
          <w:tab w:val="left" w:pos="3556"/>
        </w:tabs>
        <w:spacing w:before="0" w:after="160"/>
        <w:rPr>
          <w:rFonts w:eastAsia="Calibri" w:cs="Calibri"/>
          <w:szCs w:val="22"/>
          <w:lang w:val="sr-Latn-ME" w:eastAsia="en-US"/>
        </w:rPr>
      </w:pPr>
      <w:r>
        <w:rPr>
          <w:rFonts w:eastAsia="Calibri" w:cs="Calibri"/>
          <w:szCs w:val="22"/>
          <w:lang w:val="sr-Latn-ME" w:eastAsia="en-US"/>
        </w:rPr>
        <w:tab/>
      </w:r>
    </w:p>
    <w:p w14:paraId="0B1F7BAF" w14:textId="77777777" w:rsidR="00615E5F" w:rsidRDefault="00615E5F" w:rsidP="00615E5F">
      <w:pPr>
        <w:tabs>
          <w:tab w:val="left" w:pos="3556"/>
        </w:tabs>
        <w:spacing w:before="0" w:after="160"/>
        <w:rPr>
          <w:rFonts w:eastAsia="Calibri" w:cs="Calibri"/>
          <w:szCs w:val="22"/>
          <w:lang w:val="sr-Latn-ME" w:eastAsia="en-US"/>
        </w:rPr>
      </w:pPr>
    </w:p>
    <w:p w14:paraId="7E972A36" w14:textId="77777777" w:rsidR="00615E5F" w:rsidRDefault="00615E5F" w:rsidP="00615E5F">
      <w:pPr>
        <w:tabs>
          <w:tab w:val="left" w:pos="3556"/>
        </w:tabs>
        <w:spacing w:before="0" w:after="160"/>
        <w:rPr>
          <w:rFonts w:eastAsia="Calibri" w:cs="Calibri"/>
          <w:szCs w:val="22"/>
          <w:lang w:val="sr-Latn-ME" w:eastAsia="en-US"/>
        </w:rPr>
      </w:pPr>
    </w:p>
    <w:p w14:paraId="083B558D" w14:textId="77777777" w:rsidR="00615E5F" w:rsidRDefault="00615E5F" w:rsidP="00615E5F">
      <w:pPr>
        <w:tabs>
          <w:tab w:val="left" w:pos="3556"/>
        </w:tabs>
        <w:spacing w:before="0" w:after="160"/>
        <w:rPr>
          <w:rFonts w:eastAsia="Calibri" w:cs="Calibri"/>
          <w:szCs w:val="22"/>
          <w:lang w:val="sr-Latn-ME" w:eastAsia="en-US"/>
        </w:rPr>
      </w:pPr>
    </w:p>
    <w:p w14:paraId="674DC67B" w14:textId="77777777" w:rsidR="00615E5F" w:rsidRPr="00D716F4" w:rsidRDefault="00615E5F" w:rsidP="00615E5F">
      <w:pPr>
        <w:tabs>
          <w:tab w:val="left" w:pos="3556"/>
        </w:tabs>
        <w:spacing w:before="0" w:after="160"/>
        <w:rPr>
          <w:rFonts w:eastAsia="Calibri" w:cs="Calibri"/>
          <w:szCs w:val="22"/>
          <w:lang w:val="sr-Latn-ME" w:eastAsia="en-US"/>
        </w:rPr>
      </w:pPr>
    </w:p>
    <w:p w14:paraId="34084EDB" w14:textId="77777777" w:rsidR="00971473" w:rsidRPr="00971473" w:rsidRDefault="00971473" w:rsidP="00971473">
      <w:pPr>
        <w:pStyle w:val="Heading3"/>
        <w:rPr>
          <w:lang w:val="en-GB" w:eastAsia="en-US"/>
        </w:rPr>
      </w:pPr>
      <w:bookmarkStart w:id="66" w:name="_Toc83630905"/>
      <w:bookmarkStart w:id="67" w:name="_Toc69678355"/>
      <w:bookmarkEnd w:id="64"/>
      <w:bookmarkEnd w:id="65"/>
      <w:r w:rsidRPr="00971473">
        <w:rPr>
          <w:lang w:val="en-GB" w:eastAsia="en-US"/>
        </w:rPr>
        <w:t>Odabir kriterijuma za procjenu GES-a</w:t>
      </w:r>
      <w:bookmarkEnd w:id="66"/>
      <w:r w:rsidRPr="00971473">
        <w:rPr>
          <w:lang w:val="en-GB" w:eastAsia="en-US"/>
        </w:rPr>
        <w:t xml:space="preserve"> </w:t>
      </w:r>
      <w:bookmarkEnd w:id="67"/>
    </w:p>
    <w:p w14:paraId="405D3657" w14:textId="5DE12AC3" w:rsidR="00695DAE" w:rsidRPr="00615E5F" w:rsidRDefault="00971473" w:rsidP="00615E5F">
      <w:pPr>
        <w:spacing w:before="0" w:after="160"/>
        <w:rPr>
          <w:szCs w:val="22"/>
          <w:lang w:val="sr-Latn-ME" w:eastAsia="en-US"/>
        </w:rPr>
      </w:pPr>
      <w:bookmarkStart w:id="68" w:name="_Toc68078484"/>
      <w:bookmarkStart w:id="69" w:name="_Toc68180749"/>
      <w:r>
        <w:rPr>
          <w:szCs w:val="22"/>
          <w:lang w:val="sr-Latn-ME" w:eastAsia="en-US"/>
        </w:rPr>
        <w:t xml:space="preserve">Tabela 2.5 prikazuje kriterijume prema kojima je procijenjen GES za D3 i prema kojima je pripremljen sažetak iz Inicijalne Procjene. </w:t>
      </w:r>
      <w:bookmarkStart w:id="70" w:name="_Toc69718370"/>
    </w:p>
    <w:p w14:paraId="5CF56B16" w14:textId="21758118" w:rsidR="00971473" w:rsidRPr="00480592" w:rsidRDefault="00971473" w:rsidP="00480592">
      <w:pPr>
        <w:spacing w:before="0" w:after="200"/>
        <w:rPr>
          <w:rFonts w:eastAsia="Calibri"/>
          <w:b/>
          <w:szCs w:val="22"/>
          <w:lang w:eastAsia="en-US"/>
        </w:rPr>
      </w:pPr>
      <w:bookmarkStart w:id="71" w:name="_Toc83643160"/>
      <w:r>
        <w:rPr>
          <w:rFonts w:eastAsia="Calibri" w:cs="Calibri"/>
          <w:b/>
          <w:szCs w:val="22"/>
          <w:lang w:val="sr-Latn-ME" w:eastAsia="en-US"/>
        </w:rPr>
        <w:t>Tabela</w:t>
      </w:r>
      <w:r w:rsidRPr="00D716F4">
        <w:rPr>
          <w:rFonts w:eastAsia="Calibri" w:cs="Calibri"/>
          <w:b/>
          <w:szCs w:val="22"/>
          <w:lang w:val="sr-Latn-ME" w:eastAsia="en-US"/>
        </w:rPr>
        <w:t xml:space="preserve"> </w:t>
      </w:r>
      <w:r w:rsidRPr="00D716F4">
        <w:rPr>
          <w:b/>
          <w:szCs w:val="22"/>
          <w:lang w:val="sr-Latn-ME"/>
        </w:rPr>
        <w:fldChar w:fldCharType="begin"/>
      </w:r>
      <w:r w:rsidRPr="00D716F4">
        <w:rPr>
          <w:b/>
          <w:szCs w:val="22"/>
          <w:lang w:val="sr-Latn-ME"/>
        </w:rPr>
        <w:instrText xml:space="preserve"> STYLEREF 1 \s </w:instrText>
      </w:r>
      <w:r w:rsidRPr="00D716F4">
        <w:rPr>
          <w:b/>
          <w:szCs w:val="22"/>
          <w:lang w:val="sr-Latn-ME"/>
        </w:rPr>
        <w:fldChar w:fldCharType="separate"/>
      </w:r>
      <w:r w:rsidR="000D1E20">
        <w:rPr>
          <w:b/>
          <w:noProof/>
          <w:szCs w:val="22"/>
          <w:lang w:val="sr-Latn-ME"/>
        </w:rPr>
        <w:t>2</w:t>
      </w:r>
      <w:r w:rsidRPr="00D716F4">
        <w:rPr>
          <w:b/>
          <w:szCs w:val="22"/>
          <w:lang w:val="sr-Latn-ME"/>
        </w:rPr>
        <w:fldChar w:fldCharType="end"/>
      </w:r>
      <w:r w:rsidRPr="00D716F4">
        <w:rPr>
          <w:b/>
          <w:szCs w:val="22"/>
          <w:lang w:val="sr-Latn-ME"/>
        </w:rPr>
        <w:t>.</w:t>
      </w:r>
      <w:r w:rsidRPr="00D716F4">
        <w:rPr>
          <w:b/>
          <w:szCs w:val="22"/>
          <w:lang w:val="sr-Latn-ME"/>
        </w:rPr>
        <w:fldChar w:fldCharType="begin"/>
      </w:r>
      <w:r w:rsidRPr="00D716F4">
        <w:rPr>
          <w:b/>
          <w:szCs w:val="22"/>
          <w:lang w:val="sr-Latn-ME"/>
        </w:rPr>
        <w:instrText xml:space="preserve"> SEQ Table \* ARABIC \s 1 </w:instrText>
      </w:r>
      <w:r w:rsidRPr="00D716F4">
        <w:rPr>
          <w:b/>
          <w:szCs w:val="22"/>
          <w:lang w:val="sr-Latn-ME"/>
        </w:rPr>
        <w:fldChar w:fldCharType="separate"/>
      </w:r>
      <w:r w:rsidR="000D1E20">
        <w:rPr>
          <w:b/>
          <w:noProof/>
          <w:szCs w:val="22"/>
          <w:lang w:val="sr-Latn-ME"/>
        </w:rPr>
        <w:t>2</w:t>
      </w:r>
      <w:r w:rsidRPr="00D716F4">
        <w:rPr>
          <w:b/>
          <w:szCs w:val="22"/>
          <w:lang w:val="sr-Latn-ME"/>
        </w:rPr>
        <w:fldChar w:fldCharType="end"/>
      </w:r>
      <w:r w:rsidRPr="00D716F4">
        <w:rPr>
          <w:rFonts w:eastAsia="Calibri" w:cs="Calibri"/>
          <w:b/>
          <w:szCs w:val="22"/>
          <w:lang w:val="sr-Latn-ME" w:eastAsia="en-US"/>
        </w:rPr>
        <w:t xml:space="preserve"> </w:t>
      </w:r>
      <w:r w:rsidR="00480592" w:rsidRPr="0046315C">
        <w:rPr>
          <w:rFonts w:eastAsia="Calibri"/>
          <w:b/>
          <w:szCs w:val="22"/>
          <w:lang w:eastAsia="en-US"/>
        </w:rPr>
        <w:t xml:space="preserve">. Pregled odabranih kriterijuma za procjenu </w:t>
      </w:r>
      <w:r w:rsidR="00480592">
        <w:rPr>
          <w:rFonts w:eastAsia="Calibri"/>
          <w:b/>
          <w:szCs w:val="22"/>
          <w:lang w:eastAsia="en-US"/>
        </w:rPr>
        <w:t>GES-a</w:t>
      </w:r>
      <w:r w:rsidR="00480592" w:rsidRPr="0046315C">
        <w:rPr>
          <w:rFonts w:eastAsia="Calibri"/>
          <w:b/>
          <w:szCs w:val="22"/>
          <w:lang w:eastAsia="en-US"/>
        </w:rPr>
        <w:t xml:space="preserve"> za Deskriptor </w:t>
      </w:r>
      <w:r w:rsidR="00480592">
        <w:rPr>
          <w:rFonts w:eastAsia="Calibri"/>
          <w:b/>
          <w:szCs w:val="22"/>
          <w:lang w:eastAsia="en-US"/>
        </w:rPr>
        <w:t>3</w:t>
      </w:r>
      <w:r w:rsidR="00480592" w:rsidRPr="0046315C">
        <w:rPr>
          <w:rFonts w:eastAsia="Calibri"/>
          <w:b/>
          <w:szCs w:val="22"/>
          <w:lang w:eastAsia="en-US"/>
        </w:rPr>
        <w:t xml:space="preserve"> prema Odluci Komisije 2017/848/EU</w:t>
      </w:r>
      <w:bookmarkEnd w:id="70"/>
      <w:bookmarkEnd w:id="71"/>
    </w:p>
    <w:tbl>
      <w:tblPr>
        <w:tblStyle w:val="ListTable4-Accent41"/>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07"/>
        <w:gridCol w:w="5075"/>
        <w:gridCol w:w="1339"/>
      </w:tblGrid>
      <w:tr w:rsidR="00971473" w:rsidRPr="00D716F4" w14:paraId="2FB29352" w14:textId="77777777" w:rsidTr="00480592">
        <w:trPr>
          <w:cnfStyle w:val="100000000000" w:firstRow="1" w:lastRow="0" w:firstColumn="0" w:lastColumn="0" w:oddVBand="0" w:evenVBand="0" w:oddHBand="0" w:evenHBand="0" w:firstRowFirstColumn="0" w:firstRowLastColumn="0" w:lastRowFirstColumn="0" w:lastRowLastColumn="0"/>
          <w:trHeight w:val="524"/>
          <w:tblHeader/>
        </w:trPr>
        <w:tc>
          <w:tcPr>
            <w:cnfStyle w:val="001000000000" w:firstRow="0" w:lastRow="0" w:firstColumn="1" w:lastColumn="0" w:oddVBand="0" w:evenVBand="0" w:oddHBand="0" w:evenHBand="0" w:firstRowFirstColumn="0" w:firstRowLastColumn="0" w:lastRowFirstColumn="0" w:lastRowLastColumn="0"/>
            <w:tcW w:w="1445" w:type="pct"/>
            <w:tcBorders>
              <w:top w:val="none" w:sz="0" w:space="0" w:color="auto"/>
              <w:left w:val="none" w:sz="0" w:space="0" w:color="auto"/>
              <w:bottom w:val="none" w:sz="0" w:space="0" w:color="auto"/>
            </w:tcBorders>
            <w:shd w:val="clear" w:color="auto" w:fill="365F91" w:themeFill="accent1" w:themeFillShade="BF"/>
          </w:tcPr>
          <w:p w14:paraId="4E1A195C" w14:textId="77777777" w:rsidR="00971473" w:rsidRPr="00480592" w:rsidRDefault="00971473" w:rsidP="00971473">
            <w:pPr>
              <w:spacing w:before="100" w:beforeAutospacing="1" w:after="0"/>
              <w:rPr>
                <w:rFonts w:cs="Calibri"/>
                <w:color w:val="FFFFFF" w:themeColor="background1"/>
                <w:sz w:val="20"/>
                <w:szCs w:val="20"/>
                <w:lang w:val="sr-Latn-ME" w:eastAsia="en-US"/>
              </w:rPr>
            </w:pPr>
            <w:r w:rsidRPr="00480592">
              <w:rPr>
                <w:rFonts w:cs="Calibri"/>
                <w:color w:val="FFFFFF" w:themeColor="background1"/>
                <w:sz w:val="20"/>
                <w:szCs w:val="20"/>
                <w:lang w:val="sr-Latn-ME" w:eastAsia="en-US"/>
              </w:rPr>
              <w:t>Elementi kriterijuma</w:t>
            </w:r>
          </w:p>
        </w:tc>
        <w:tc>
          <w:tcPr>
            <w:tcW w:w="2813" w:type="pct"/>
            <w:tcBorders>
              <w:top w:val="none" w:sz="0" w:space="0" w:color="auto"/>
              <w:bottom w:val="none" w:sz="0" w:space="0" w:color="auto"/>
            </w:tcBorders>
            <w:shd w:val="clear" w:color="auto" w:fill="365F91" w:themeFill="accent1" w:themeFillShade="BF"/>
          </w:tcPr>
          <w:p w14:paraId="5A4BCD9D" w14:textId="77777777" w:rsidR="00971473" w:rsidRPr="00480592" w:rsidRDefault="00971473" w:rsidP="00971473">
            <w:pPr>
              <w:spacing w:before="100" w:beforeAutospacing="1" w:after="0"/>
              <w:cnfStyle w:val="100000000000" w:firstRow="1" w:lastRow="0" w:firstColumn="0" w:lastColumn="0" w:oddVBand="0" w:evenVBand="0" w:oddHBand="0" w:evenHBand="0" w:firstRowFirstColumn="0" w:firstRowLastColumn="0" w:lastRowFirstColumn="0" w:lastRowLastColumn="0"/>
              <w:rPr>
                <w:rFonts w:cs="Calibri"/>
                <w:color w:val="FFFFFF" w:themeColor="background1"/>
                <w:sz w:val="20"/>
                <w:szCs w:val="20"/>
                <w:lang w:val="sr-Latn-ME" w:eastAsia="en-US"/>
              </w:rPr>
            </w:pPr>
            <w:r w:rsidRPr="00480592">
              <w:rPr>
                <w:rFonts w:cs="Calibri"/>
                <w:color w:val="FFFFFF" w:themeColor="background1"/>
                <w:sz w:val="20"/>
                <w:szCs w:val="20"/>
                <w:lang w:val="sr-Latn-ME" w:eastAsia="en-US"/>
              </w:rPr>
              <w:t>Kriterijum</w:t>
            </w:r>
          </w:p>
        </w:tc>
        <w:tc>
          <w:tcPr>
            <w:tcW w:w="742" w:type="pct"/>
            <w:tcBorders>
              <w:top w:val="none" w:sz="0" w:space="0" w:color="auto"/>
              <w:bottom w:val="none" w:sz="0" w:space="0" w:color="auto"/>
              <w:right w:val="none" w:sz="0" w:space="0" w:color="auto"/>
            </w:tcBorders>
            <w:shd w:val="clear" w:color="auto" w:fill="365F91" w:themeFill="accent1" w:themeFillShade="BF"/>
          </w:tcPr>
          <w:p w14:paraId="291BEF28" w14:textId="77777777" w:rsidR="00971473" w:rsidRPr="00480592" w:rsidRDefault="00971473" w:rsidP="00971473">
            <w:pPr>
              <w:spacing w:before="100" w:beforeAutospacing="1" w:after="0"/>
              <w:jc w:val="left"/>
              <w:cnfStyle w:val="100000000000" w:firstRow="1" w:lastRow="0" w:firstColumn="0" w:lastColumn="0" w:oddVBand="0" w:evenVBand="0" w:oddHBand="0" w:evenHBand="0" w:firstRowFirstColumn="0" w:firstRowLastColumn="0" w:lastRowFirstColumn="0" w:lastRowLastColumn="0"/>
              <w:rPr>
                <w:rFonts w:cs="Calibri"/>
                <w:color w:val="FFFFFF" w:themeColor="background1"/>
                <w:sz w:val="20"/>
                <w:szCs w:val="20"/>
                <w:lang w:val="sr-Latn-ME" w:eastAsia="en-US"/>
              </w:rPr>
            </w:pPr>
            <w:r w:rsidRPr="00480592">
              <w:rPr>
                <w:rFonts w:cs="Calibri"/>
                <w:color w:val="FFFFFF" w:themeColor="background1"/>
                <w:sz w:val="20"/>
                <w:szCs w:val="20"/>
                <w:lang w:val="sr-Latn-ME" w:eastAsia="en-US"/>
              </w:rPr>
              <w:t>CG GES pokrivenost</w:t>
            </w:r>
            <w:r w:rsidRPr="00480592">
              <w:rPr>
                <w:rStyle w:val="FootnoteReference"/>
                <w:color w:val="FFFFFF" w:themeColor="background1"/>
                <w:sz w:val="20"/>
                <w:szCs w:val="20"/>
                <w:lang w:val="sr-Latn-ME" w:eastAsia="en-US"/>
              </w:rPr>
              <w:footnoteReference w:id="18"/>
            </w:r>
          </w:p>
        </w:tc>
      </w:tr>
      <w:tr w:rsidR="00971473" w:rsidRPr="00D716F4" w14:paraId="4E391B13" w14:textId="77777777" w:rsidTr="003A0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 w:type="pct"/>
            <w:vMerge w:val="restart"/>
            <w:shd w:val="clear" w:color="auto" w:fill="FFFFFF"/>
          </w:tcPr>
          <w:p w14:paraId="70CA76B2" w14:textId="77777777" w:rsidR="00971473" w:rsidRDefault="00971473" w:rsidP="00971473">
            <w:pPr>
              <w:spacing w:before="100" w:beforeAutospacing="1" w:after="0" w:line="240" w:lineRule="auto"/>
              <w:rPr>
                <w:rFonts w:cs="Calibri"/>
                <w:b w:val="0"/>
                <w:color w:val="000000"/>
                <w:sz w:val="20"/>
                <w:szCs w:val="20"/>
                <w:lang w:val="sr-Latn-ME" w:eastAsia="en-US"/>
              </w:rPr>
            </w:pPr>
            <w:r>
              <w:rPr>
                <w:rFonts w:cs="Calibri"/>
                <w:b w:val="0"/>
                <w:color w:val="000000"/>
                <w:sz w:val="20"/>
                <w:szCs w:val="20"/>
                <w:lang w:val="sr-Latn-ME" w:eastAsia="en-US"/>
              </w:rPr>
              <w:t xml:space="preserve">Ribe, rakovi i mekušci koji se iskorišćavaju u komercijalne svrhe. </w:t>
            </w:r>
          </w:p>
          <w:p w14:paraId="22387690" w14:textId="77777777" w:rsidR="00971473" w:rsidRPr="00D716F4" w:rsidRDefault="00971473" w:rsidP="00971473">
            <w:pPr>
              <w:spacing w:before="100" w:beforeAutospacing="1" w:after="0" w:line="240" w:lineRule="auto"/>
              <w:jc w:val="left"/>
              <w:rPr>
                <w:rFonts w:cs="Calibri"/>
                <w:b w:val="0"/>
                <w:color w:val="000000"/>
                <w:sz w:val="20"/>
                <w:szCs w:val="20"/>
                <w:lang w:val="sr-Latn-ME" w:eastAsia="en-US"/>
              </w:rPr>
            </w:pPr>
            <w:r>
              <w:rPr>
                <w:rFonts w:cs="Calibri"/>
                <w:b w:val="0"/>
                <w:color w:val="000000"/>
                <w:sz w:val="20"/>
                <w:szCs w:val="20"/>
                <w:lang w:val="sr-Latn-ME" w:eastAsia="en-US"/>
              </w:rPr>
              <w:t>Države članice putem saradnje na nivou</w:t>
            </w:r>
            <w:r w:rsidRPr="005F34EE">
              <w:rPr>
                <w:rFonts w:cs="Calibri"/>
                <w:b w:val="0"/>
                <w:color w:val="000000"/>
                <w:sz w:val="20"/>
                <w:szCs w:val="20"/>
                <w:lang w:val="sr-Latn-ME" w:eastAsia="en-US"/>
              </w:rPr>
              <w:t xml:space="preserve"> regije ili podregije</w:t>
            </w:r>
            <w:r>
              <w:rPr>
                <w:rFonts w:cs="Calibri"/>
                <w:b w:val="0"/>
                <w:color w:val="000000"/>
                <w:sz w:val="20"/>
                <w:szCs w:val="20"/>
                <w:lang w:val="sr-Latn-ME" w:eastAsia="en-US"/>
              </w:rPr>
              <w:t xml:space="preserve"> </w:t>
            </w:r>
            <w:r w:rsidRPr="005F34EE">
              <w:rPr>
                <w:rFonts w:cs="Calibri"/>
                <w:b w:val="0"/>
                <w:color w:val="000000"/>
                <w:sz w:val="20"/>
                <w:szCs w:val="20"/>
                <w:lang w:val="sr-Latn-ME" w:eastAsia="en-US"/>
              </w:rPr>
              <w:t>utvrđuju popis riba, ra</w:t>
            </w:r>
            <w:r>
              <w:rPr>
                <w:rFonts w:cs="Calibri"/>
                <w:b w:val="0"/>
                <w:color w:val="000000"/>
                <w:sz w:val="20"/>
                <w:szCs w:val="20"/>
                <w:lang w:val="sr-Latn-ME" w:eastAsia="en-US"/>
              </w:rPr>
              <w:t>kova i mekušaca koji se iskorišć</w:t>
            </w:r>
            <w:r w:rsidRPr="005F34EE">
              <w:rPr>
                <w:rFonts w:cs="Calibri"/>
                <w:b w:val="0"/>
                <w:color w:val="000000"/>
                <w:sz w:val="20"/>
                <w:szCs w:val="20"/>
                <w:lang w:val="sr-Latn-ME" w:eastAsia="en-US"/>
              </w:rPr>
              <w:t>avaju u komercijalne svrhe, u skladu s</w:t>
            </w:r>
            <w:r>
              <w:rPr>
                <w:rFonts w:cs="Calibri"/>
                <w:b w:val="0"/>
                <w:color w:val="000000"/>
                <w:sz w:val="20"/>
                <w:szCs w:val="20"/>
                <w:lang w:val="sr-Latn-ME" w:eastAsia="en-US"/>
              </w:rPr>
              <w:t>a kriterijumim</w:t>
            </w:r>
            <w:r w:rsidRPr="005F34EE">
              <w:rPr>
                <w:rFonts w:cs="Calibri"/>
                <w:b w:val="0"/>
                <w:color w:val="000000"/>
                <w:sz w:val="20"/>
                <w:szCs w:val="20"/>
                <w:lang w:val="sr-Latn-ME" w:eastAsia="en-US"/>
              </w:rPr>
              <w:t>a iz „specifikacija”.</w:t>
            </w:r>
          </w:p>
        </w:tc>
        <w:tc>
          <w:tcPr>
            <w:tcW w:w="2813" w:type="pct"/>
            <w:shd w:val="clear" w:color="auto" w:fill="FFFFFF"/>
          </w:tcPr>
          <w:p w14:paraId="6B293B5E" w14:textId="77777777" w:rsidR="00971473" w:rsidRDefault="00971473" w:rsidP="0097147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sz w:val="20"/>
                <w:szCs w:val="20"/>
                <w:lang w:val="sr-Latn-ME" w:eastAsia="en-US"/>
              </w:rPr>
            </w:pPr>
            <w:r w:rsidRPr="00D716F4">
              <w:rPr>
                <w:rFonts w:cs="Calibri"/>
                <w:b/>
                <w:sz w:val="20"/>
                <w:szCs w:val="20"/>
                <w:lang w:val="sr-Latn-ME" w:eastAsia="en-US"/>
              </w:rPr>
              <w:t>D</w:t>
            </w:r>
            <w:r>
              <w:rPr>
                <w:rFonts w:cs="Calibri"/>
                <w:b/>
                <w:sz w:val="20"/>
                <w:szCs w:val="20"/>
                <w:lang w:val="sr-Latn-ME" w:eastAsia="en-US"/>
              </w:rPr>
              <w:t>3C1 — Primarni</w:t>
            </w:r>
            <w:r w:rsidRPr="00D716F4">
              <w:rPr>
                <w:rFonts w:cs="Calibri"/>
                <w:sz w:val="20"/>
                <w:szCs w:val="20"/>
                <w:lang w:val="sr-Latn-ME" w:eastAsia="en-US"/>
              </w:rPr>
              <w:t xml:space="preserve">: </w:t>
            </w:r>
          </w:p>
          <w:p w14:paraId="27D762D0" w14:textId="77777777" w:rsidR="00971473" w:rsidRPr="005F34EE" w:rsidRDefault="00971473" w:rsidP="00971473">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sz w:val="20"/>
                <w:szCs w:val="20"/>
                <w:lang w:val="sr-Latn-ME" w:eastAsia="en-US"/>
              </w:rPr>
            </w:pPr>
            <w:r w:rsidRPr="005F34EE">
              <w:rPr>
                <w:rFonts w:cs="Calibri"/>
                <w:sz w:val="20"/>
                <w:szCs w:val="20"/>
                <w:lang w:val="sr-Latn-ME" w:eastAsia="en-US"/>
              </w:rPr>
              <w:t>Stopa ribolovne smrtnosti kod populacija vrsta</w:t>
            </w:r>
          </w:p>
          <w:p w14:paraId="0CF67B24" w14:textId="77777777" w:rsidR="00971473" w:rsidRPr="005F34EE" w:rsidRDefault="00971473" w:rsidP="00971473">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sz w:val="20"/>
                <w:szCs w:val="20"/>
                <w:lang w:val="sr-Latn-ME" w:eastAsia="en-US"/>
              </w:rPr>
            </w:pPr>
            <w:r>
              <w:rPr>
                <w:rFonts w:cs="Calibri"/>
                <w:sz w:val="20"/>
                <w:szCs w:val="20"/>
                <w:lang w:val="sr-Latn-ME" w:eastAsia="en-US"/>
              </w:rPr>
              <w:t>koje se iskorišć</w:t>
            </w:r>
            <w:r w:rsidRPr="005F34EE">
              <w:rPr>
                <w:rFonts w:cs="Calibri"/>
                <w:sz w:val="20"/>
                <w:szCs w:val="20"/>
                <w:lang w:val="sr-Latn-ME" w:eastAsia="en-US"/>
              </w:rPr>
              <w:t>avaju u komercijalne svrhe na</w:t>
            </w:r>
          </w:p>
          <w:p w14:paraId="66DEC2AE" w14:textId="77777777" w:rsidR="00971473" w:rsidRPr="005F34EE" w:rsidRDefault="00971473" w:rsidP="00971473">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sz w:val="20"/>
                <w:szCs w:val="20"/>
                <w:lang w:val="sr-Latn-ME" w:eastAsia="en-US"/>
              </w:rPr>
            </w:pPr>
            <w:r>
              <w:rPr>
                <w:rFonts w:cs="Calibri"/>
                <w:sz w:val="20"/>
                <w:szCs w:val="20"/>
                <w:lang w:val="sr-Latn-ME" w:eastAsia="en-US"/>
              </w:rPr>
              <w:t>nivou je na kojem</w:t>
            </w:r>
            <w:r w:rsidRPr="005F34EE">
              <w:rPr>
                <w:rFonts w:cs="Calibri"/>
                <w:sz w:val="20"/>
                <w:szCs w:val="20"/>
                <w:lang w:val="sr-Latn-ME" w:eastAsia="en-US"/>
              </w:rPr>
              <w:t xml:space="preserve"> se može osigurati najviši održivi</w:t>
            </w:r>
          </w:p>
          <w:p w14:paraId="0ADF8CAB" w14:textId="77777777" w:rsidR="00971473" w:rsidRPr="005F34EE" w:rsidRDefault="00971473" w:rsidP="00971473">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sz w:val="20"/>
                <w:szCs w:val="20"/>
                <w:lang w:val="sr-Latn-ME" w:eastAsia="en-US"/>
              </w:rPr>
            </w:pPr>
            <w:r w:rsidRPr="005F34EE">
              <w:rPr>
                <w:rFonts w:cs="Calibri"/>
                <w:sz w:val="20"/>
                <w:szCs w:val="20"/>
                <w:lang w:val="sr-Latn-ME" w:eastAsia="en-US"/>
              </w:rPr>
              <w:t>prinos ili ispod nje</w:t>
            </w:r>
            <w:r>
              <w:rPr>
                <w:rFonts w:cs="Calibri"/>
                <w:sz w:val="20"/>
                <w:szCs w:val="20"/>
                <w:lang w:val="sr-Latn-ME" w:eastAsia="en-US"/>
              </w:rPr>
              <w:t>ga. Sp</w:t>
            </w:r>
            <w:r w:rsidRPr="005F34EE">
              <w:rPr>
                <w:rFonts w:cs="Calibri"/>
                <w:sz w:val="20"/>
                <w:szCs w:val="20"/>
                <w:lang w:val="sr-Latn-ME" w:eastAsia="en-US"/>
              </w:rPr>
              <w:t>rovodi se savjetovanje s</w:t>
            </w:r>
            <w:r>
              <w:rPr>
                <w:rFonts w:cs="Calibri"/>
                <w:sz w:val="20"/>
                <w:szCs w:val="20"/>
                <w:lang w:val="sr-Latn-ME" w:eastAsia="en-US"/>
              </w:rPr>
              <w:t>a</w:t>
            </w:r>
          </w:p>
          <w:p w14:paraId="3D242E79" w14:textId="77777777" w:rsidR="00971473" w:rsidRPr="005F34EE" w:rsidRDefault="00971473" w:rsidP="00971473">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sz w:val="20"/>
                <w:szCs w:val="20"/>
                <w:lang w:val="sr-Latn-ME" w:eastAsia="en-US"/>
              </w:rPr>
            </w:pPr>
            <w:r>
              <w:rPr>
                <w:rFonts w:cs="Calibri"/>
                <w:sz w:val="20"/>
                <w:szCs w:val="20"/>
                <w:lang w:val="sr-Latn-ME" w:eastAsia="en-US"/>
              </w:rPr>
              <w:t xml:space="preserve">odgovarajućim naučnim </w:t>
            </w:r>
            <w:r w:rsidRPr="005F34EE">
              <w:rPr>
                <w:rFonts w:cs="Calibri"/>
                <w:sz w:val="20"/>
                <w:szCs w:val="20"/>
                <w:lang w:val="sr-Latn-ME" w:eastAsia="en-US"/>
              </w:rPr>
              <w:t>tijelima u skladu s</w:t>
            </w:r>
            <w:r>
              <w:rPr>
                <w:rFonts w:cs="Calibri"/>
                <w:sz w:val="20"/>
                <w:szCs w:val="20"/>
                <w:lang w:val="sr-Latn-ME" w:eastAsia="en-US"/>
              </w:rPr>
              <w:t>a</w:t>
            </w:r>
          </w:p>
          <w:p w14:paraId="3017B432" w14:textId="77777777" w:rsidR="00971473" w:rsidRPr="00D716F4" w:rsidRDefault="00971473" w:rsidP="00971473">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sz w:val="20"/>
                <w:szCs w:val="20"/>
                <w:lang w:val="sr-Latn-ME" w:eastAsia="en-US"/>
              </w:rPr>
            </w:pPr>
            <w:r>
              <w:rPr>
                <w:rFonts w:cs="Calibri"/>
                <w:sz w:val="20"/>
                <w:szCs w:val="20"/>
                <w:lang w:val="sr-Latn-ME" w:eastAsia="en-US"/>
              </w:rPr>
              <w:t>članom 26. Regulative</w:t>
            </w:r>
            <w:r w:rsidRPr="005F34EE">
              <w:rPr>
                <w:rFonts w:cs="Calibri"/>
                <w:sz w:val="20"/>
                <w:szCs w:val="20"/>
                <w:lang w:val="sr-Latn-ME" w:eastAsia="en-US"/>
              </w:rPr>
              <w:t xml:space="preserve"> (EU) br. 1380/2013.</w:t>
            </w:r>
          </w:p>
          <w:p w14:paraId="1868ACA5" w14:textId="77777777" w:rsidR="00971473" w:rsidRPr="00D716F4" w:rsidRDefault="00971473" w:rsidP="00971473">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sz w:val="20"/>
                <w:szCs w:val="20"/>
                <w:lang w:val="sr-Latn-ME" w:eastAsia="en-US"/>
              </w:rPr>
            </w:pPr>
          </w:p>
        </w:tc>
        <w:tc>
          <w:tcPr>
            <w:tcW w:w="742" w:type="pct"/>
            <w:shd w:val="clear" w:color="auto" w:fill="FFFFFF"/>
          </w:tcPr>
          <w:p w14:paraId="02B3FE8D" w14:textId="77777777" w:rsidR="00971473" w:rsidRPr="00D716F4" w:rsidRDefault="00971473" w:rsidP="00971473">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sr-Latn-ME" w:eastAsia="en-US"/>
              </w:rPr>
            </w:pPr>
            <w:r>
              <w:rPr>
                <w:rFonts w:cs="Calibri"/>
                <w:color w:val="000000"/>
                <w:sz w:val="20"/>
                <w:szCs w:val="20"/>
                <w:lang w:val="sr-Latn-ME" w:eastAsia="en-US"/>
              </w:rPr>
              <w:t>Obuhvaćeno</w:t>
            </w:r>
          </w:p>
        </w:tc>
      </w:tr>
      <w:tr w:rsidR="00971473" w:rsidRPr="00D716F4" w14:paraId="03F6B4C0" w14:textId="77777777" w:rsidTr="003A0615">
        <w:tc>
          <w:tcPr>
            <w:cnfStyle w:val="001000000000" w:firstRow="0" w:lastRow="0" w:firstColumn="1" w:lastColumn="0" w:oddVBand="0" w:evenVBand="0" w:oddHBand="0" w:evenHBand="0" w:firstRowFirstColumn="0" w:firstRowLastColumn="0" w:lastRowFirstColumn="0" w:lastRowLastColumn="0"/>
            <w:tcW w:w="1445" w:type="pct"/>
            <w:vMerge/>
            <w:shd w:val="clear" w:color="auto" w:fill="FFFFFF"/>
          </w:tcPr>
          <w:p w14:paraId="7FD0760D" w14:textId="77777777" w:rsidR="00971473" w:rsidRPr="00D716F4" w:rsidRDefault="00971473" w:rsidP="00971473">
            <w:pPr>
              <w:spacing w:before="100" w:beforeAutospacing="1" w:after="0" w:line="240" w:lineRule="auto"/>
              <w:jc w:val="left"/>
              <w:rPr>
                <w:rFonts w:cs="Calibri"/>
                <w:b w:val="0"/>
                <w:sz w:val="20"/>
                <w:szCs w:val="20"/>
                <w:lang w:val="sr-Latn-ME" w:eastAsia="en-US"/>
              </w:rPr>
            </w:pPr>
          </w:p>
        </w:tc>
        <w:tc>
          <w:tcPr>
            <w:tcW w:w="2813" w:type="pct"/>
            <w:shd w:val="clear" w:color="auto" w:fill="FFFFFF"/>
          </w:tcPr>
          <w:p w14:paraId="7B4DD2DF" w14:textId="77777777" w:rsidR="00971473" w:rsidRPr="00D716F4" w:rsidRDefault="00971473" w:rsidP="0097147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val="sr-Latn-ME" w:eastAsia="en-US"/>
              </w:rPr>
            </w:pPr>
            <w:r>
              <w:rPr>
                <w:rFonts w:cs="Calibri"/>
                <w:b/>
                <w:sz w:val="20"/>
                <w:szCs w:val="20"/>
                <w:lang w:val="sr-Latn-ME" w:eastAsia="en-US"/>
              </w:rPr>
              <w:t>D3C2 — Primarni</w:t>
            </w:r>
            <w:r w:rsidRPr="00D716F4">
              <w:rPr>
                <w:rFonts w:cs="Calibri"/>
                <w:sz w:val="20"/>
                <w:szCs w:val="20"/>
                <w:lang w:val="sr-Latn-ME" w:eastAsia="en-US"/>
              </w:rPr>
              <w:t xml:space="preserve">: </w:t>
            </w:r>
          </w:p>
          <w:p w14:paraId="739FA27B" w14:textId="77777777" w:rsidR="00971473" w:rsidRPr="00E74B8F" w:rsidRDefault="00971473" w:rsidP="0097147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val="sr-Latn-ME"/>
              </w:rPr>
            </w:pPr>
            <w:r w:rsidRPr="00E74B8F">
              <w:rPr>
                <w:sz w:val="20"/>
                <w:szCs w:val="20"/>
                <w:lang w:val="sr-Latn-ME"/>
              </w:rPr>
              <w:t>Biomasa stoka za m</w:t>
            </w:r>
            <w:r>
              <w:rPr>
                <w:sz w:val="20"/>
                <w:szCs w:val="20"/>
                <w:lang w:val="sr-Latn-ME"/>
              </w:rPr>
              <w:t>rijest populacija vrsta koje se iskorišć</w:t>
            </w:r>
            <w:r w:rsidRPr="00E74B8F">
              <w:rPr>
                <w:sz w:val="20"/>
                <w:szCs w:val="20"/>
                <w:lang w:val="sr-Latn-ME"/>
              </w:rPr>
              <w:t>avaju u ko</w:t>
            </w:r>
            <w:r>
              <w:rPr>
                <w:sz w:val="20"/>
                <w:szCs w:val="20"/>
                <w:lang w:val="sr-Latn-ME"/>
              </w:rPr>
              <w:t>mercijalne svrhe iznad je nivoa</w:t>
            </w:r>
            <w:r w:rsidRPr="00E74B8F">
              <w:rPr>
                <w:sz w:val="20"/>
                <w:szCs w:val="20"/>
                <w:lang w:val="sr-Latn-ME"/>
              </w:rPr>
              <w:t xml:space="preserve"> biomase koje omo</w:t>
            </w:r>
            <w:r>
              <w:rPr>
                <w:sz w:val="20"/>
                <w:szCs w:val="20"/>
                <w:lang w:val="sr-Latn-ME"/>
              </w:rPr>
              <w:t>gućuju najviši održivi prinos. Sp</w:t>
            </w:r>
            <w:r w:rsidRPr="00E74B8F">
              <w:rPr>
                <w:sz w:val="20"/>
                <w:szCs w:val="20"/>
                <w:lang w:val="sr-Latn-ME"/>
              </w:rPr>
              <w:t xml:space="preserve">rovodi </w:t>
            </w:r>
            <w:r>
              <w:rPr>
                <w:sz w:val="20"/>
                <w:szCs w:val="20"/>
                <w:lang w:val="sr-Latn-ME"/>
              </w:rPr>
              <w:t>se savjetovanje sa odgovarajućim naučnim</w:t>
            </w:r>
            <w:r w:rsidRPr="00E74B8F">
              <w:rPr>
                <w:sz w:val="20"/>
                <w:szCs w:val="20"/>
                <w:lang w:val="sr-Latn-ME"/>
              </w:rPr>
              <w:t xml:space="preserve"> tijelima u skladu s</w:t>
            </w:r>
            <w:r>
              <w:rPr>
                <w:sz w:val="20"/>
                <w:szCs w:val="20"/>
                <w:lang w:val="sr-Latn-ME"/>
              </w:rPr>
              <w:t>a članom</w:t>
            </w:r>
            <w:r w:rsidRPr="00E74B8F">
              <w:rPr>
                <w:sz w:val="20"/>
                <w:szCs w:val="20"/>
                <w:lang w:val="sr-Latn-ME"/>
              </w:rPr>
              <w:t xml:space="preserve"> 26.</w:t>
            </w:r>
          </w:p>
          <w:p w14:paraId="4E29310F" w14:textId="77777777" w:rsidR="00971473" w:rsidRPr="00D716F4" w:rsidRDefault="00971473" w:rsidP="00971473">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val="sr-Latn-ME"/>
              </w:rPr>
            </w:pPr>
            <w:r>
              <w:rPr>
                <w:sz w:val="20"/>
                <w:szCs w:val="20"/>
                <w:lang w:val="sr-Latn-ME"/>
              </w:rPr>
              <w:t>Regulative</w:t>
            </w:r>
            <w:r w:rsidRPr="00E74B8F">
              <w:rPr>
                <w:sz w:val="20"/>
                <w:szCs w:val="20"/>
                <w:lang w:val="sr-Latn-ME"/>
              </w:rPr>
              <w:t xml:space="preserve"> (EU) br. 1380/2013.</w:t>
            </w:r>
          </w:p>
        </w:tc>
        <w:tc>
          <w:tcPr>
            <w:tcW w:w="742" w:type="pct"/>
            <w:shd w:val="clear" w:color="auto" w:fill="FFFFFF"/>
          </w:tcPr>
          <w:p w14:paraId="1D4BE757" w14:textId="77777777" w:rsidR="00971473" w:rsidRPr="00D716F4" w:rsidRDefault="00971473" w:rsidP="00971473">
            <w:pPr>
              <w:spacing w:before="0"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sr-Latn-ME" w:eastAsia="en-US"/>
              </w:rPr>
            </w:pPr>
            <w:r>
              <w:rPr>
                <w:rFonts w:cs="Calibri"/>
                <w:color w:val="000000"/>
                <w:sz w:val="20"/>
                <w:szCs w:val="20"/>
                <w:lang w:val="sr-Latn-ME" w:eastAsia="en-US"/>
              </w:rPr>
              <w:t>Obuhvaćeno</w:t>
            </w:r>
          </w:p>
        </w:tc>
      </w:tr>
      <w:tr w:rsidR="00971473" w:rsidRPr="00D716F4" w14:paraId="47165C79" w14:textId="77777777" w:rsidTr="003A0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 w:type="pct"/>
            <w:vMerge/>
            <w:shd w:val="clear" w:color="auto" w:fill="FFFFFF"/>
          </w:tcPr>
          <w:p w14:paraId="2A80C972" w14:textId="77777777" w:rsidR="00971473" w:rsidRPr="00D716F4" w:rsidRDefault="00971473" w:rsidP="00971473">
            <w:pPr>
              <w:spacing w:before="100" w:beforeAutospacing="1" w:after="0" w:line="240" w:lineRule="auto"/>
              <w:jc w:val="left"/>
              <w:rPr>
                <w:rFonts w:cs="Calibri"/>
                <w:b w:val="0"/>
                <w:sz w:val="20"/>
                <w:szCs w:val="20"/>
                <w:lang w:val="sr-Latn-ME" w:eastAsia="en-US"/>
              </w:rPr>
            </w:pPr>
          </w:p>
        </w:tc>
        <w:tc>
          <w:tcPr>
            <w:tcW w:w="2813" w:type="pct"/>
            <w:shd w:val="clear" w:color="auto" w:fill="FFFFFF"/>
          </w:tcPr>
          <w:p w14:paraId="29BCEDE3" w14:textId="77777777" w:rsidR="00971473" w:rsidRPr="00D716F4" w:rsidRDefault="00971473" w:rsidP="00971473">
            <w:pPr>
              <w:shd w:val="clear" w:color="auto" w:fill="FFFFFF"/>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sz w:val="20"/>
                <w:szCs w:val="20"/>
                <w:lang w:val="sr-Latn-ME" w:eastAsia="en-US"/>
              </w:rPr>
            </w:pPr>
            <w:r>
              <w:rPr>
                <w:rFonts w:cs="Calibri"/>
                <w:b/>
                <w:sz w:val="20"/>
                <w:szCs w:val="20"/>
                <w:lang w:val="sr-Latn-ME" w:eastAsia="en-US"/>
              </w:rPr>
              <w:t>D3C3 — Primarni</w:t>
            </w:r>
            <w:r w:rsidRPr="00D716F4">
              <w:rPr>
                <w:rFonts w:cs="Calibri"/>
                <w:sz w:val="20"/>
                <w:szCs w:val="20"/>
                <w:lang w:val="sr-Latn-ME" w:eastAsia="en-US"/>
              </w:rPr>
              <w:t xml:space="preserve">: </w:t>
            </w:r>
          </w:p>
          <w:p w14:paraId="4FFEDE47" w14:textId="77777777" w:rsidR="00971473" w:rsidRPr="00E74B8F" w:rsidRDefault="00971473" w:rsidP="00971473">
            <w:pPr>
              <w:shd w:val="clear" w:color="auto" w:fill="FFFFFF"/>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sz w:val="20"/>
                <w:szCs w:val="20"/>
                <w:lang w:val="sr-Latn-ME" w:eastAsia="en-US"/>
              </w:rPr>
            </w:pPr>
            <w:r>
              <w:rPr>
                <w:rFonts w:cs="Calibri"/>
                <w:sz w:val="20"/>
                <w:szCs w:val="20"/>
                <w:lang w:val="sr-Latn-ME" w:eastAsia="en-US"/>
              </w:rPr>
              <w:t xml:space="preserve">Raspodjela jedinki po starosti </w:t>
            </w:r>
            <w:r w:rsidRPr="00E74B8F">
              <w:rPr>
                <w:rFonts w:cs="Calibri"/>
                <w:sz w:val="20"/>
                <w:szCs w:val="20"/>
                <w:lang w:val="sr-Latn-ME" w:eastAsia="en-US"/>
              </w:rPr>
              <w:t xml:space="preserve">i veličini u populacijama vrsta koje </w:t>
            </w:r>
            <w:r>
              <w:rPr>
                <w:rFonts w:cs="Calibri"/>
                <w:sz w:val="20"/>
                <w:szCs w:val="20"/>
                <w:lang w:val="sr-Latn-ME" w:eastAsia="en-US"/>
              </w:rPr>
              <w:t xml:space="preserve">se iskorišćavaju u komercijalne </w:t>
            </w:r>
            <w:r w:rsidRPr="00E74B8F">
              <w:rPr>
                <w:rFonts w:cs="Calibri"/>
                <w:sz w:val="20"/>
                <w:szCs w:val="20"/>
                <w:lang w:val="sr-Latn-ME" w:eastAsia="en-US"/>
              </w:rPr>
              <w:t>svrhe ukazuje na zdravu populaciju. To uključuje visoki udio starih/velikih jedinki i o</w:t>
            </w:r>
            <w:r>
              <w:rPr>
                <w:rFonts w:cs="Calibri"/>
                <w:sz w:val="20"/>
                <w:szCs w:val="20"/>
                <w:lang w:val="sr-Latn-ME" w:eastAsia="en-US"/>
              </w:rPr>
              <w:t>graničene štetne efekte iskorišćavanja na genetsku</w:t>
            </w:r>
          </w:p>
          <w:p w14:paraId="7FA22833" w14:textId="77777777" w:rsidR="00971473" w:rsidRPr="00D716F4" w:rsidRDefault="00971473" w:rsidP="00971473">
            <w:pPr>
              <w:shd w:val="clear" w:color="auto" w:fill="FFFFFF"/>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sz w:val="20"/>
                <w:szCs w:val="20"/>
                <w:lang w:val="sr-Latn-ME" w:eastAsia="en-US"/>
              </w:rPr>
            </w:pPr>
            <w:r w:rsidRPr="00E74B8F">
              <w:rPr>
                <w:rFonts w:cs="Calibri"/>
                <w:sz w:val="20"/>
                <w:szCs w:val="20"/>
                <w:lang w:val="sr-Latn-ME" w:eastAsia="en-US"/>
              </w:rPr>
              <w:t>raznovrsnost.</w:t>
            </w:r>
          </w:p>
        </w:tc>
        <w:tc>
          <w:tcPr>
            <w:tcW w:w="742" w:type="pct"/>
            <w:shd w:val="clear" w:color="auto" w:fill="FFFFFF"/>
          </w:tcPr>
          <w:p w14:paraId="0AED27A3" w14:textId="77777777" w:rsidR="00971473" w:rsidRPr="00D716F4" w:rsidRDefault="00971473" w:rsidP="00971473">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sr-Latn-ME" w:eastAsia="en-US"/>
              </w:rPr>
            </w:pPr>
            <w:r>
              <w:rPr>
                <w:rFonts w:cs="Calibri"/>
                <w:color w:val="000000"/>
                <w:sz w:val="20"/>
                <w:szCs w:val="20"/>
                <w:lang w:val="sr-Latn-ME" w:eastAsia="en-US"/>
              </w:rPr>
              <w:t>Obuhvaćeno</w:t>
            </w:r>
          </w:p>
        </w:tc>
      </w:tr>
      <w:bookmarkEnd w:id="68"/>
      <w:bookmarkEnd w:id="69"/>
    </w:tbl>
    <w:p w14:paraId="4515F287" w14:textId="77777777" w:rsidR="003A0615" w:rsidRDefault="003A0615" w:rsidP="003B33D9">
      <w:pPr>
        <w:pStyle w:val="Heading3"/>
        <w:numPr>
          <w:ilvl w:val="0"/>
          <w:numId w:val="0"/>
        </w:numPr>
        <w:ind w:left="851"/>
        <w:rPr>
          <w:lang w:val="sr-Latn-ME"/>
        </w:rPr>
      </w:pPr>
    </w:p>
    <w:p w14:paraId="2F11971B" w14:textId="2752777D" w:rsidR="003A0615" w:rsidRPr="003A0615" w:rsidRDefault="003A0615" w:rsidP="003B33D9">
      <w:pPr>
        <w:pStyle w:val="Heading3"/>
        <w:ind w:left="1560" w:hanging="709"/>
        <w:rPr>
          <w:lang w:val="sr-Latn-ME"/>
        </w:rPr>
      </w:pPr>
      <w:bookmarkStart w:id="72" w:name="_Toc83630906"/>
      <w:r w:rsidRPr="003A0615">
        <w:rPr>
          <w:lang w:val="sr-Latn-ME"/>
        </w:rPr>
        <w:t xml:space="preserve">Rezime stanja </w:t>
      </w:r>
      <w:r w:rsidR="00B23467">
        <w:rPr>
          <w:lang w:val="sr-Latn-ME"/>
        </w:rPr>
        <w:t>D3 na osnovu P</w:t>
      </w:r>
      <w:r w:rsidRPr="003A0615">
        <w:rPr>
          <w:lang w:val="sr-Latn-ME"/>
        </w:rPr>
        <w:t>očetne procjene</w:t>
      </w:r>
      <w:bookmarkEnd w:id="72"/>
      <w:r w:rsidRPr="003A0615">
        <w:rPr>
          <w:lang w:val="sr-Latn-ME"/>
        </w:rPr>
        <w:t xml:space="preserve"> </w:t>
      </w:r>
    </w:p>
    <w:p w14:paraId="0B60B000" w14:textId="77777777" w:rsidR="00971473" w:rsidRDefault="00971473" w:rsidP="00971473">
      <w:pPr>
        <w:spacing w:before="0" w:after="160"/>
        <w:rPr>
          <w:rFonts w:cs="Calibri"/>
          <w:szCs w:val="22"/>
          <w:lang w:val="sr-Latn-ME" w:eastAsia="en-US"/>
        </w:rPr>
      </w:pPr>
      <w:bookmarkStart w:id="73" w:name="_Hlk67845779"/>
      <w:r>
        <w:rPr>
          <w:rFonts w:cs="Calibri"/>
          <w:szCs w:val="22"/>
          <w:lang w:val="sr-Latn-ME" w:eastAsia="en-US"/>
        </w:rPr>
        <w:t>Procjena ribarstvenih resursa i njihovo upravljanje u Jadranskom moru je komplikovano zbog više razloga. Jadransko ribarstvo se karakteriše sa više vrsta, što znači da više od 200 vrsta prisutno u njegovim ulovima, od kojih više od 80 ima komercijalnu vrijednost. Ribarstvo u Jadranu se takođe karakteriše kao ono koje koristi više vrsta ribolovnih alata, što znači da veći broj ribarskih alata, aktivnih i pasivnih, bivaju korišćeni u ovom području. Ribarstveni resursi u Jadranskom moru podijeljeni su između 6 država, ali postoje velike razlike u intezitetu ribolovnog pritiska i iskrcaja između država. Ulovi komercijalnih vrsta su sastavljeni od mlađih uzrasnih klasa, dok njihova biomasa pokazuje visoke fluktuacije između sezona i godina što zavisi uglavnom od količine podmlatka. Svi ovi razlozi čine upravljanje resursima komplikovanim i zahtijeva jaku regionalnu saradnju u čitavom procesu procjene stokova i njihovom upravljanju.</w:t>
      </w:r>
    </w:p>
    <w:p w14:paraId="174CB2C4" w14:textId="77777777" w:rsidR="00971473" w:rsidRDefault="00971473" w:rsidP="00971473">
      <w:pPr>
        <w:spacing w:before="0" w:after="160"/>
        <w:rPr>
          <w:rFonts w:cs="Calibri"/>
          <w:szCs w:val="22"/>
          <w:lang w:val="sr-Latn-ME" w:eastAsia="en-US"/>
        </w:rPr>
      </w:pPr>
      <w:r>
        <w:rPr>
          <w:rFonts w:cs="Calibri"/>
          <w:szCs w:val="22"/>
          <w:lang w:val="sr-Latn-ME" w:eastAsia="en-US"/>
        </w:rPr>
        <w:t>Kako se sve komercijalne vrste dijele između Jadranskih država, nije moguće uraditi procjene stokova za pelagične ili demerzalne vrste u okviru teritorijalnih voda jedne države. Populacije tih vrsta migriraju između dvije strane Jadrana, kao i između 2 GSA zone (GSA 17 i 18, sjeverni i južni Jadran), što rezultira u zajedničkim procjenama stokova komercijalnih vrsta na nivou GSA ili nivou čitavog Jadrana, a u okviru GFCM-ovih radnih grupa.</w:t>
      </w:r>
    </w:p>
    <w:bookmarkEnd w:id="73"/>
    <w:p w14:paraId="7472B69B" w14:textId="77777777" w:rsidR="00971473" w:rsidRPr="00D716F4" w:rsidRDefault="00971473" w:rsidP="00971473">
      <w:pPr>
        <w:spacing w:before="0" w:after="0"/>
        <w:rPr>
          <w:rFonts w:eastAsia="Calibri" w:cs="Calibri"/>
          <w:szCs w:val="22"/>
          <w:lang w:val="sr-Latn-ME" w:eastAsia="en-US"/>
        </w:rPr>
      </w:pPr>
      <w:r>
        <w:rPr>
          <w:rFonts w:cs="Calibri"/>
          <w:szCs w:val="22"/>
          <w:lang w:val="sr-Latn-ME" w:eastAsia="en-US"/>
        </w:rPr>
        <w:t xml:space="preserve">Procjena statusa demerzalnih resursa uključuje ribarstveno nezavisne podatke koji se sakupljaju kroz MEDITS projekat i ribarstveno zavisne podatke koji se prikupljaju kroz nacionalni monitoring komercijalnih ulova u crnogorskim vodama.  </w:t>
      </w:r>
      <w:r>
        <w:rPr>
          <w:rFonts w:eastAsia="Calibri" w:cs="Calibri"/>
          <w:szCs w:val="22"/>
          <w:lang w:val="sr-Latn-ME" w:eastAsia="en-US"/>
        </w:rPr>
        <w:t xml:space="preserve">Za procjenu stoka demerzalnih resursa, koriste se dvije metode: </w:t>
      </w:r>
      <w:r w:rsidRPr="00D716F4">
        <w:rPr>
          <w:rFonts w:eastAsia="Calibri" w:cs="Calibri"/>
          <w:szCs w:val="22"/>
          <w:lang w:val="sr-Latn-ME" w:eastAsia="en-US"/>
        </w:rPr>
        <w:t xml:space="preserve">Stock Assessment </w:t>
      </w:r>
      <w:r>
        <w:rPr>
          <w:rFonts w:eastAsia="Calibri" w:cs="Calibri"/>
          <w:szCs w:val="22"/>
          <w:lang w:val="sr-Latn-ME" w:eastAsia="en-US"/>
        </w:rPr>
        <w:t>for all (a4a) i</w:t>
      </w:r>
      <w:r w:rsidRPr="00D716F4">
        <w:rPr>
          <w:rFonts w:eastAsia="Calibri" w:cs="Calibri"/>
          <w:szCs w:val="22"/>
          <w:lang w:val="sr-Latn-ME" w:eastAsia="en-US"/>
        </w:rPr>
        <w:t xml:space="preserve"> Stock Synthesis (SS). </w:t>
      </w:r>
    </w:p>
    <w:p w14:paraId="6FD45B5B" w14:textId="77777777" w:rsidR="00971473" w:rsidRPr="00D716F4" w:rsidRDefault="00971473" w:rsidP="00971473">
      <w:pPr>
        <w:spacing w:before="0" w:after="0"/>
        <w:rPr>
          <w:rFonts w:eastAsia="Calibri" w:cs="Calibri"/>
          <w:szCs w:val="22"/>
          <w:lang w:val="sr-Latn-ME" w:eastAsia="en-US"/>
        </w:rPr>
      </w:pPr>
    </w:p>
    <w:p w14:paraId="40C1A66C" w14:textId="77777777" w:rsidR="00971473" w:rsidRDefault="00971473" w:rsidP="00C52E6F">
      <w:pPr>
        <w:pStyle w:val="ListParagraph"/>
        <w:numPr>
          <w:ilvl w:val="0"/>
          <w:numId w:val="51"/>
        </w:numPr>
        <w:spacing w:before="0" w:after="0"/>
        <w:rPr>
          <w:rFonts w:eastAsia="Calibri" w:cs="Calibri"/>
          <w:szCs w:val="22"/>
          <w:lang w:val="sr-Latn-ME" w:eastAsia="en-US"/>
        </w:rPr>
      </w:pPr>
      <w:r>
        <w:rPr>
          <w:rFonts w:eastAsia="Calibri" w:cs="Calibri"/>
          <w:szCs w:val="22"/>
          <w:lang w:val="sr-Latn-ME" w:eastAsia="en-US"/>
        </w:rPr>
        <w:t>S</w:t>
      </w:r>
      <w:r w:rsidRPr="00D716F4">
        <w:rPr>
          <w:rFonts w:eastAsia="Calibri" w:cs="Calibri"/>
          <w:szCs w:val="22"/>
          <w:lang w:val="sr-Latn-ME" w:eastAsia="en-US"/>
        </w:rPr>
        <w:t>tock assessment model</w:t>
      </w:r>
      <w:r>
        <w:rPr>
          <w:rFonts w:eastAsia="Calibri" w:cs="Calibri"/>
          <w:szCs w:val="22"/>
          <w:lang w:val="sr-Latn-ME" w:eastAsia="en-US"/>
        </w:rPr>
        <w:t xml:space="preserve"> je ne-linearni ulov-po-starosti model koji se koristi u R i FLR (Fishery Library u R – kolekcija alata za kvantitativnu nauku ribarstva, razvijenih u R jeziku, koji olakšava konstrukciju bio-ekonomskih simulacionih modela za ribarstvo) koristeći </w:t>
      </w:r>
      <w:r w:rsidRPr="00D716F4">
        <w:rPr>
          <w:rFonts w:eastAsia="Calibri" w:cs="Calibri"/>
          <w:szCs w:val="22"/>
          <w:lang w:val="sr-Latn-ME" w:eastAsia="en-US"/>
        </w:rPr>
        <w:t>Automatic Differentiation Model Builder (ADMB</w:t>
      </w:r>
      <w:r>
        <w:rPr>
          <w:rFonts w:eastAsia="Calibri" w:cs="Calibri"/>
          <w:szCs w:val="22"/>
          <w:lang w:val="sr-Latn-ME" w:eastAsia="en-US"/>
        </w:rPr>
        <w:t xml:space="preserve"> – statističku aplikaciju koja implementira automatsku diferencijaciju koristeći klase C++ maternjeg jezika šablona)</w:t>
      </w:r>
    </w:p>
    <w:p w14:paraId="601A5A85" w14:textId="77777777" w:rsidR="00971473" w:rsidRDefault="00971473" w:rsidP="00C52E6F">
      <w:pPr>
        <w:pStyle w:val="ListParagraph"/>
        <w:numPr>
          <w:ilvl w:val="0"/>
          <w:numId w:val="51"/>
        </w:numPr>
        <w:spacing w:before="0" w:after="0"/>
        <w:rPr>
          <w:rFonts w:eastAsia="Calibri" w:cs="Calibri"/>
          <w:szCs w:val="22"/>
          <w:lang w:val="sr-Latn-ME" w:eastAsia="en-US"/>
        </w:rPr>
      </w:pPr>
      <w:r>
        <w:rPr>
          <w:rFonts w:eastAsia="Calibri" w:cs="Calibri"/>
          <w:szCs w:val="22"/>
          <w:lang w:val="sr-Latn-ME" w:eastAsia="en-US"/>
        </w:rPr>
        <w:t xml:space="preserve">Stock Synthesis je starosno-struktuirani model dinamike populacija koji se koristi za procjenu uticaja ribarstva na stokove riba i školjki, dok se uzima u obzir uticaj faktora životne sredine.  </w:t>
      </w:r>
    </w:p>
    <w:p w14:paraId="6E0F7F9F" w14:textId="77777777" w:rsidR="00971473" w:rsidRDefault="00971473" w:rsidP="00971473">
      <w:pPr>
        <w:spacing w:before="0" w:after="0"/>
        <w:rPr>
          <w:rFonts w:eastAsia="Calibri" w:cs="Calibri"/>
          <w:szCs w:val="22"/>
          <w:lang w:val="sr-Latn-ME" w:eastAsia="en-US"/>
        </w:rPr>
      </w:pPr>
    </w:p>
    <w:p w14:paraId="639FF8C3" w14:textId="77777777" w:rsidR="00971473" w:rsidRPr="00D716F4" w:rsidRDefault="00971473" w:rsidP="00971473">
      <w:pPr>
        <w:spacing w:before="0" w:after="0"/>
        <w:rPr>
          <w:rFonts w:eastAsia="Calibri" w:cs="Calibri"/>
          <w:szCs w:val="22"/>
          <w:lang w:val="sr-Latn-ME" w:eastAsia="en-US"/>
        </w:rPr>
      </w:pPr>
      <w:r>
        <w:rPr>
          <w:rFonts w:eastAsia="Calibri" w:cs="Calibri"/>
          <w:szCs w:val="22"/>
          <w:lang w:val="sr-Latn-ME" w:eastAsia="en-US"/>
        </w:rPr>
        <w:t xml:space="preserve">Modeli kojima se procjenjujuebiomasa male plave ribe u Jadranu uključuju direktan metod koristeći eho-sonar, statističke podatke o ulovima i kolekciju bioloških parametara populacije, zajedno sa uključivanjem ovih podataka u indirektnu metodu procjene SAM – Satet-space Assessment Model (SAM) u FLR-u u formi paketa „FLSAM“. U procjeni je korišćen i jedan indeks podešavanja (akustično istraživanje koje pokriva čitavo GSA 17). SAM metoda je korišćena za rekonstrukciju biomase ulovljenog stoka kroz podatke o ulovu i biološke parametre (dužinske frekvence, starosna struktura, podaci o prvoj polnoj zrelosti, prirodni mortalitet) koji dolaze iz različitih monitoringa. Podaci o ribarstvu prikupljeni su nacionalnim monitoringom komercijalnog ulova u crnogorskom moru. Naučni podaci, ribarstveno nezavisni podaci, prikupljaju se putem MEDIAS programa (Mediterranean International Acoustic Survey) i FAO AdriaMed (Naučna saradnja za podršku odgovornom ribarstvu u Jadranskom moru) koji se sprovode na nivou čitavog Jadrana. MEDIAS koristi akustične metode poznate kao ehosondiranje. </w:t>
      </w:r>
    </w:p>
    <w:p w14:paraId="0B173061" w14:textId="77777777" w:rsidR="00971473" w:rsidRDefault="00971473" w:rsidP="00971473">
      <w:pPr>
        <w:spacing w:before="0" w:after="0"/>
        <w:rPr>
          <w:rFonts w:eastAsia="Calibri" w:cs="Calibri"/>
          <w:szCs w:val="22"/>
          <w:lang w:val="sr-Latn-ME" w:eastAsia="en-US"/>
        </w:rPr>
      </w:pPr>
    </w:p>
    <w:p w14:paraId="13A79D0F" w14:textId="77777777" w:rsidR="00971473" w:rsidRDefault="00971473" w:rsidP="00971473">
      <w:pPr>
        <w:spacing w:before="0" w:after="160"/>
        <w:rPr>
          <w:b/>
          <w:lang w:val="sr-Latn-ME" w:eastAsia="en-US"/>
        </w:rPr>
      </w:pPr>
      <w:bookmarkStart w:id="74" w:name="_Toc68078485"/>
      <w:bookmarkStart w:id="75" w:name="_Toc68180750"/>
      <w:bookmarkStart w:id="76" w:name="_Toc68247523"/>
      <w:r w:rsidRPr="00D716F4">
        <w:rPr>
          <w:b/>
          <w:lang w:val="sr-Latn-ME" w:eastAsia="en-US"/>
        </w:rPr>
        <w:t>Demer</w:t>
      </w:r>
      <w:bookmarkEnd w:id="74"/>
      <w:bookmarkEnd w:id="75"/>
      <w:bookmarkEnd w:id="76"/>
      <w:r>
        <w:rPr>
          <w:b/>
          <w:lang w:val="sr-Latn-ME" w:eastAsia="en-US"/>
        </w:rPr>
        <w:t>zalne zajednice</w:t>
      </w:r>
    </w:p>
    <w:p w14:paraId="2040F52F" w14:textId="77777777" w:rsidR="00971473" w:rsidRDefault="00971473" w:rsidP="00971473">
      <w:pPr>
        <w:spacing w:before="0" w:after="160"/>
        <w:rPr>
          <w:rFonts w:eastAsia="Calibri" w:cs="Calibri"/>
          <w:szCs w:val="22"/>
          <w:lang w:val="sr-Latn-ME" w:eastAsia="en-US"/>
        </w:rPr>
      </w:pPr>
      <w:r>
        <w:rPr>
          <w:lang w:val="sr-Latn-ME" w:eastAsia="en-US"/>
        </w:rPr>
        <w:t xml:space="preserve">Tri vrste riba su dominantne u ulovima crnogorskog demerzalnog ribarstva i to: </w:t>
      </w:r>
      <w:r>
        <w:rPr>
          <w:rFonts w:eastAsia="Calibri" w:cs="Calibri"/>
          <w:szCs w:val="22"/>
          <w:lang w:val="sr-Latn-ME" w:eastAsia="en-US"/>
        </w:rPr>
        <w:t>oslić</w:t>
      </w:r>
      <w:r w:rsidRPr="00D716F4">
        <w:rPr>
          <w:rFonts w:eastAsia="Calibri" w:cs="Calibri"/>
          <w:szCs w:val="22"/>
          <w:lang w:val="sr-Latn-ME" w:eastAsia="en-US"/>
        </w:rPr>
        <w:t xml:space="preserve"> (</w:t>
      </w:r>
      <w:r w:rsidRPr="00D716F4">
        <w:rPr>
          <w:rFonts w:eastAsia="Calibri" w:cs="Calibri"/>
          <w:i/>
          <w:iCs/>
          <w:szCs w:val="22"/>
          <w:lang w:val="sr-Latn-ME" w:eastAsia="en-US"/>
        </w:rPr>
        <w:t>Merluccius merluccius</w:t>
      </w:r>
      <w:r>
        <w:rPr>
          <w:rFonts w:eastAsia="Calibri" w:cs="Calibri"/>
          <w:szCs w:val="22"/>
          <w:lang w:val="sr-Latn-ME" w:eastAsia="en-US"/>
        </w:rPr>
        <w:t>), barbun</w:t>
      </w:r>
      <w:r w:rsidRPr="00D716F4">
        <w:rPr>
          <w:rFonts w:eastAsia="Calibri" w:cs="Calibri"/>
          <w:szCs w:val="22"/>
          <w:lang w:val="sr-Latn-ME" w:eastAsia="en-US"/>
        </w:rPr>
        <w:t xml:space="preserve"> (</w:t>
      </w:r>
      <w:r w:rsidRPr="00D716F4">
        <w:rPr>
          <w:rFonts w:eastAsia="Calibri" w:cs="Calibri"/>
          <w:i/>
          <w:iCs/>
          <w:szCs w:val="22"/>
          <w:lang w:val="sr-Latn-ME" w:eastAsia="en-US"/>
        </w:rPr>
        <w:t>Mullus barbatus</w:t>
      </w:r>
      <w:r>
        <w:rPr>
          <w:rFonts w:eastAsia="Calibri" w:cs="Calibri"/>
          <w:szCs w:val="22"/>
          <w:lang w:val="sr-Latn-ME" w:eastAsia="en-US"/>
        </w:rPr>
        <w:t xml:space="preserve">) i kozica </w:t>
      </w:r>
      <w:r w:rsidRPr="00D716F4">
        <w:rPr>
          <w:rFonts w:eastAsia="Calibri" w:cs="Calibri"/>
          <w:szCs w:val="22"/>
          <w:lang w:val="sr-Latn-ME" w:eastAsia="en-US"/>
        </w:rPr>
        <w:t>(</w:t>
      </w:r>
      <w:r w:rsidRPr="00D716F4">
        <w:rPr>
          <w:rFonts w:eastAsia="Calibri" w:cs="Calibri"/>
          <w:i/>
          <w:iCs/>
          <w:szCs w:val="22"/>
          <w:lang w:val="sr-Latn-ME" w:eastAsia="en-US"/>
        </w:rPr>
        <w:t>Parapenaeus longirostris</w:t>
      </w:r>
      <w:r w:rsidRPr="00D716F4">
        <w:rPr>
          <w:rFonts w:eastAsia="Calibri" w:cs="Calibri"/>
          <w:szCs w:val="22"/>
          <w:lang w:val="sr-Latn-ME" w:eastAsia="en-US"/>
        </w:rPr>
        <w:t>).</w:t>
      </w:r>
    </w:p>
    <w:p w14:paraId="770AD068" w14:textId="77777777" w:rsidR="00971473" w:rsidRDefault="00971473" w:rsidP="00971473">
      <w:pPr>
        <w:spacing w:before="0" w:after="160"/>
        <w:rPr>
          <w:lang w:val="sr-Latn-ME" w:eastAsia="en-US"/>
        </w:rPr>
      </w:pPr>
      <w:r w:rsidRPr="00EF5449">
        <w:rPr>
          <w:lang w:val="sr-Latn-ME" w:eastAsia="en-US"/>
        </w:rPr>
        <w:t>Referentne tačke biomase nisu obič</w:t>
      </w:r>
      <w:r>
        <w:rPr>
          <w:lang w:val="sr-Latn-ME" w:eastAsia="en-US"/>
        </w:rPr>
        <w:t>no dostupne za procenjene (demerzalne) stokove; stoga se procenat ulova stoka</w:t>
      </w:r>
      <w:r w:rsidRPr="00EF5449">
        <w:rPr>
          <w:lang w:val="sr-Latn-ME" w:eastAsia="en-US"/>
        </w:rPr>
        <w:t xml:space="preserve"> van biološki održivih granica uglavnom procenjuje na osnovu nivoa ribolovne smrtnosti u odnosu na referentnu tačku </w:t>
      </w:r>
      <w:r>
        <w:rPr>
          <w:lang w:val="sr-Latn-ME" w:eastAsia="en-US"/>
        </w:rPr>
        <w:t>ribolovne smrtnosti</w:t>
      </w:r>
      <w:r w:rsidRPr="00EF5449">
        <w:rPr>
          <w:lang w:val="sr-Latn-ME" w:eastAsia="en-US"/>
        </w:rPr>
        <w:t xml:space="preserve"> (FAO</w:t>
      </w:r>
      <w:r>
        <w:rPr>
          <w:lang w:val="sr-Latn-ME" w:eastAsia="en-US"/>
        </w:rPr>
        <w:t>, 2020).</w:t>
      </w:r>
    </w:p>
    <w:p w14:paraId="74EA18CB" w14:textId="77777777" w:rsidR="00971473" w:rsidRPr="00BD29C6" w:rsidRDefault="00971473" w:rsidP="00971473">
      <w:pPr>
        <w:spacing w:before="0" w:after="160"/>
        <w:rPr>
          <w:u w:val="single"/>
          <w:lang w:val="sr-Latn-ME" w:eastAsia="en-US"/>
        </w:rPr>
      </w:pPr>
      <w:r w:rsidRPr="00BD29C6">
        <w:rPr>
          <w:u w:val="single"/>
          <w:lang w:val="sr-Latn-ME" w:eastAsia="en-US"/>
        </w:rPr>
        <w:t>Nivo ribolovnog pritiska u Jadranskom moru.</w:t>
      </w:r>
    </w:p>
    <w:p w14:paraId="53C61D0E" w14:textId="77777777" w:rsidR="00971473" w:rsidRPr="00BD29C6" w:rsidRDefault="00971473" w:rsidP="00971473">
      <w:pPr>
        <w:spacing w:before="0" w:after="160"/>
        <w:rPr>
          <w:lang w:val="sr-Latn-ME" w:eastAsia="en-US"/>
        </w:rPr>
      </w:pPr>
      <w:r>
        <w:rPr>
          <w:lang w:val="sr-Latn-ME" w:eastAsia="en-US"/>
        </w:rPr>
        <w:t>Ukupna procijenjena biomasa barbuna u 2017 bila je 25.860 t. Trenutni nivo ribolovne smrtnost</w:t>
      </w:r>
      <w:r w:rsidRPr="00D716F4">
        <w:rPr>
          <w:rFonts w:cs="Calibri"/>
          <w:bCs/>
          <w:szCs w:val="22"/>
          <w:lang w:val="sr-Latn-ME" w:eastAsia="en-US"/>
        </w:rPr>
        <w:t xml:space="preserve"> F</w:t>
      </w:r>
      <w:r w:rsidRPr="00D716F4">
        <w:rPr>
          <w:rFonts w:cs="Calibri"/>
          <w:bCs/>
          <w:szCs w:val="22"/>
          <w:vertAlign w:val="subscript"/>
          <w:lang w:val="sr-Latn-ME" w:eastAsia="en-US"/>
        </w:rPr>
        <w:t>curr</w:t>
      </w:r>
      <w:r w:rsidRPr="00D716F4">
        <w:rPr>
          <w:rFonts w:cs="Calibri"/>
          <w:bCs/>
          <w:szCs w:val="22"/>
          <w:lang w:val="sr-Latn-ME" w:eastAsia="en-US"/>
        </w:rPr>
        <w:t xml:space="preserve">, </w:t>
      </w:r>
      <w:r>
        <w:rPr>
          <w:rFonts w:cs="Calibri"/>
          <w:bCs/>
          <w:szCs w:val="22"/>
          <w:lang w:val="sr-Latn-ME" w:eastAsia="en-US"/>
        </w:rPr>
        <w:t>je procijenjen na 0.48, dok</w:t>
      </w:r>
      <w:r w:rsidRPr="00D716F4">
        <w:rPr>
          <w:rFonts w:cs="Calibri"/>
          <w:bCs/>
          <w:szCs w:val="22"/>
          <w:lang w:val="sr-Latn-ME" w:eastAsia="en-US"/>
        </w:rPr>
        <w:t xml:space="preserve"> F</w:t>
      </w:r>
      <w:r w:rsidRPr="00D716F4">
        <w:rPr>
          <w:rFonts w:cs="Calibri"/>
          <w:bCs/>
          <w:szCs w:val="22"/>
          <w:vertAlign w:val="subscript"/>
          <w:lang w:val="sr-Latn-ME" w:eastAsia="en-US"/>
        </w:rPr>
        <w:t>0.1</w:t>
      </w:r>
      <w:r>
        <w:rPr>
          <w:rFonts w:cs="Calibri"/>
          <w:bCs/>
          <w:szCs w:val="22"/>
          <w:lang w:val="sr-Latn-ME" w:eastAsia="en-US"/>
        </w:rPr>
        <w:t xml:space="preserve"> referentna tačka (kao zamjena za</w:t>
      </w:r>
      <w:r w:rsidRPr="00D716F4">
        <w:rPr>
          <w:rFonts w:cs="Calibri"/>
          <w:bCs/>
          <w:szCs w:val="22"/>
          <w:lang w:val="sr-Latn-ME" w:eastAsia="en-US"/>
        </w:rPr>
        <w:t xml:space="preserve"> F</w:t>
      </w:r>
      <w:r w:rsidRPr="00D716F4">
        <w:rPr>
          <w:rFonts w:cs="Calibri"/>
          <w:bCs/>
          <w:szCs w:val="22"/>
          <w:vertAlign w:val="subscript"/>
          <w:lang w:val="sr-Latn-ME" w:eastAsia="en-US"/>
        </w:rPr>
        <w:t>MSY</w:t>
      </w:r>
      <w:r>
        <w:rPr>
          <w:rFonts w:cs="Calibri"/>
          <w:bCs/>
          <w:szCs w:val="22"/>
          <w:lang w:val="sr-Latn-ME" w:eastAsia="en-US"/>
        </w:rPr>
        <w:t>) bila je 0.41, dajući odnos</w:t>
      </w:r>
      <w:r w:rsidRPr="00D716F4">
        <w:rPr>
          <w:rFonts w:cs="Calibri"/>
          <w:bCs/>
          <w:szCs w:val="22"/>
          <w:lang w:val="sr-Latn-ME" w:eastAsia="en-US"/>
        </w:rPr>
        <w:t xml:space="preserve"> F</w:t>
      </w:r>
      <w:r w:rsidRPr="00D716F4">
        <w:rPr>
          <w:rFonts w:cs="Calibri"/>
          <w:bCs/>
          <w:szCs w:val="22"/>
          <w:vertAlign w:val="subscript"/>
          <w:lang w:val="sr-Latn-ME" w:eastAsia="en-US"/>
        </w:rPr>
        <w:t>curr</w:t>
      </w:r>
      <w:r w:rsidRPr="00D716F4">
        <w:rPr>
          <w:rFonts w:cs="Calibri"/>
          <w:bCs/>
          <w:szCs w:val="22"/>
          <w:lang w:val="sr-Latn-ME" w:eastAsia="en-US"/>
        </w:rPr>
        <w:t>/F</w:t>
      </w:r>
      <w:r w:rsidRPr="00D716F4">
        <w:rPr>
          <w:rFonts w:cs="Calibri"/>
          <w:bCs/>
          <w:szCs w:val="22"/>
          <w:vertAlign w:val="subscript"/>
          <w:lang w:val="sr-Latn-ME" w:eastAsia="en-US"/>
        </w:rPr>
        <w:t>0.1</w:t>
      </w:r>
      <w:r>
        <w:rPr>
          <w:rFonts w:cs="Calibri"/>
          <w:bCs/>
          <w:szCs w:val="22"/>
          <w:lang w:val="sr-Latn-ME" w:eastAsia="en-US"/>
        </w:rPr>
        <w:t xml:space="preserve"> od</w:t>
      </w:r>
      <w:r w:rsidRPr="00D716F4">
        <w:rPr>
          <w:rFonts w:cs="Calibri"/>
          <w:bCs/>
          <w:szCs w:val="22"/>
          <w:lang w:val="sr-Latn-ME" w:eastAsia="en-US"/>
        </w:rPr>
        <w:t xml:space="preserve"> 1.17,</w:t>
      </w:r>
      <w:r>
        <w:rPr>
          <w:rFonts w:cs="Calibri"/>
          <w:bCs/>
          <w:szCs w:val="22"/>
          <w:lang w:val="sr-Latn-ME" w:eastAsia="en-US"/>
        </w:rPr>
        <w:t xml:space="preserve"> što pokazuje da je stok barbuna u Jadranu na nivou </w:t>
      </w:r>
      <w:r w:rsidRPr="00BD29C6">
        <w:rPr>
          <w:rFonts w:cs="Calibri"/>
          <w:b/>
          <w:bCs/>
          <w:szCs w:val="22"/>
          <w:lang w:val="sr-Latn-ME" w:eastAsia="en-US"/>
        </w:rPr>
        <w:t>srednjeg prekomjernog izlova</w:t>
      </w:r>
      <w:r w:rsidRPr="00D716F4">
        <w:rPr>
          <w:rFonts w:cs="Calibri"/>
          <w:bCs/>
          <w:szCs w:val="22"/>
          <w:lang w:val="sr-Latn-ME" w:eastAsia="en-US"/>
        </w:rPr>
        <w:t xml:space="preserve"> (STECF, 2018</w:t>
      </w:r>
      <w:r w:rsidRPr="00D716F4">
        <w:rPr>
          <w:rFonts w:cs="Calibri"/>
          <w:bCs/>
          <w:i/>
          <w:iCs/>
          <w:szCs w:val="22"/>
          <w:lang w:val="sr-Latn-ME" w:eastAsia="en-US"/>
        </w:rPr>
        <w:t>a</w:t>
      </w:r>
      <w:r w:rsidRPr="00D716F4">
        <w:rPr>
          <w:rFonts w:cs="Calibri"/>
          <w:bCs/>
          <w:szCs w:val="22"/>
          <w:lang w:val="sr-Latn-ME" w:eastAsia="en-US"/>
        </w:rPr>
        <w:t>).</w:t>
      </w:r>
    </w:p>
    <w:p w14:paraId="72557EEB" w14:textId="77777777" w:rsidR="00971473" w:rsidRPr="00D716F4" w:rsidRDefault="00971473" w:rsidP="00971473">
      <w:pPr>
        <w:spacing w:before="0" w:after="0"/>
        <w:rPr>
          <w:rFonts w:cs="Calibri"/>
          <w:b/>
          <w:szCs w:val="22"/>
          <w:lang w:val="sr-Latn-ME" w:eastAsia="en-US"/>
        </w:rPr>
      </w:pPr>
      <w:r>
        <w:rPr>
          <w:rFonts w:cs="Calibri"/>
          <w:bCs/>
          <w:szCs w:val="22"/>
          <w:lang w:val="sr-Latn-ME" w:eastAsia="en-US"/>
        </w:rPr>
        <w:t xml:space="preserve">Trenutni nivo ribolovne smrtnosti za oslića u 2017 procijenjen je na 0.562, dok je </w:t>
      </w:r>
      <w:r w:rsidRPr="00D716F4">
        <w:rPr>
          <w:rFonts w:cs="Calibri"/>
          <w:bCs/>
          <w:szCs w:val="22"/>
          <w:lang w:val="sr-Latn-ME" w:eastAsia="en-US"/>
        </w:rPr>
        <w:t>F</w:t>
      </w:r>
      <w:r w:rsidRPr="00D716F4">
        <w:rPr>
          <w:rFonts w:cs="Calibri"/>
          <w:bCs/>
          <w:szCs w:val="22"/>
          <w:vertAlign w:val="subscript"/>
          <w:lang w:val="sr-Latn-ME" w:eastAsia="en-US"/>
        </w:rPr>
        <w:t>0.1</w:t>
      </w:r>
      <w:r w:rsidRPr="00D716F4">
        <w:rPr>
          <w:rFonts w:cs="Calibri"/>
          <w:bCs/>
          <w:szCs w:val="22"/>
          <w:lang w:val="sr-Latn-ME" w:eastAsia="en-US"/>
        </w:rPr>
        <w:t xml:space="preserve"> </w:t>
      </w:r>
      <w:r>
        <w:rPr>
          <w:rFonts w:cs="Calibri"/>
          <w:bCs/>
          <w:szCs w:val="22"/>
          <w:lang w:val="sr-Latn-ME" w:eastAsia="en-US"/>
        </w:rPr>
        <w:t xml:space="preserve">procijenjen na 0.167, dajući odnos </w:t>
      </w:r>
      <w:r w:rsidRPr="00D716F4">
        <w:rPr>
          <w:rFonts w:cs="Calibri"/>
          <w:bCs/>
          <w:szCs w:val="22"/>
          <w:lang w:val="sr-Latn-ME" w:eastAsia="en-US"/>
        </w:rPr>
        <w:t>F</w:t>
      </w:r>
      <w:r w:rsidRPr="00D716F4">
        <w:rPr>
          <w:rFonts w:cs="Calibri"/>
          <w:bCs/>
          <w:szCs w:val="22"/>
          <w:vertAlign w:val="subscript"/>
          <w:lang w:val="sr-Latn-ME" w:eastAsia="en-US"/>
        </w:rPr>
        <w:t>curr</w:t>
      </w:r>
      <w:r w:rsidRPr="00D716F4">
        <w:rPr>
          <w:rFonts w:cs="Calibri"/>
          <w:bCs/>
          <w:szCs w:val="22"/>
          <w:lang w:val="sr-Latn-ME" w:eastAsia="en-US"/>
        </w:rPr>
        <w:t>/F</w:t>
      </w:r>
      <w:r w:rsidRPr="00D716F4">
        <w:rPr>
          <w:rFonts w:cs="Calibri"/>
          <w:bCs/>
          <w:szCs w:val="22"/>
          <w:vertAlign w:val="subscript"/>
          <w:lang w:val="sr-Latn-ME" w:eastAsia="en-US"/>
        </w:rPr>
        <w:t>0.1</w:t>
      </w:r>
      <w:r w:rsidRPr="00D716F4">
        <w:rPr>
          <w:rFonts w:cs="Calibri"/>
          <w:bCs/>
          <w:szCs w:val="22"/>
          <w:lang w:val="sr-Latn-ME" w:eastAsia="en-US"/>
        </w:rPr>
        <w:t xml:space="preserve"> = 3.66. </w:t>
      </w:r>
      <w:r>
        <w:rPr>
          <w:rFonts w:cs="Calibri"/>
          <w:bCs/>
          <w:szCs w:val="22"/>
          <w:lang w:val="sr-Latn-ME" w:eastAsia="en-US"/>
        </w:rPr>
        <w:t xml:space="preserve">Biomasa stoka koji se mrijesti procijenjena je na 1.708 t, a stok je opisan u nivou </w:t>
      </w:r>
      <w:r w:rsidRPr="00BD29C6">
        <w:rPr>
          <w:rFonts w:cs="Calibri"/>
          <w:b/>
          <w:bCs/>
          <w:szCs w:val="22"/>
          <w:lang w:val="sr-Latn-ME" w:eastAsia="en-US"/>
        </w:rPr>
        <w:t>prekomjernog izlova i prelovljen</w:t>
      </w:r>
      <w:r>
        <w:rPr>
          <w:rFonts w:cs="Calibri"/>
          <w:bCs/>
          <w:szCs w:val="22"/>
          <w:lang w:val="sr-Latn-ME" w:eastAsia="en-US"/>
        </w:rPr>
        <w:t xml:space="preserve"> </w:t>
      </w:r>
      <w:r w:rsidRPr="00D716F4">
        <w:rPr>
          <w:rFonts w:cs="Calibri"/>
          <w:bCs/>
          <w:szCs w:val="22"/>
          <w:lang w:val="sr-Latn-ME" w:eastAsia="en-US"/>
        </w:rPr>
        <w:t xml:space="preserve">(Angelini </w:t>
      </w:r>
      <w:r w:rsidRPr="00D716F4">
        <w:rPr>
          <w:rFonts w:cs="Calibri"/>
          <w:bCs/>
          <w:i/>
          <w:iCs/>
          <w:szCs w:val="22"/>
          <w:lang w:val="sr-Latn-ME" w:eastAsia="en-US"/>
        </w:rPr>
        <w:t>et al</w:t>
      </w:r>
      <w:r w:rsidRPr="00D716F4">
        <w:rPr>
          <w:rFonts w:cs="Calibri"/>
          <w:bCs/>
          <w:szCs w:val="22"/>
          <w:lang w:val="sr-Latn-ME" w:eastAsia="en-US"/>
        </w:rPr>
        <w:t>., 2018)</w:t>
      </w:r>
      <w:r w:rsidRPr="00D716F4">
        <w:rPr>
          <w:rFonts w:cs="Calibri"/>
          <w:b/>
          <w:szCs w:val="22"/>
          <w:lang w:val="sr-Latn-ME" w:eastAsia="en-US"/>
        </w:rPr>
        <w:t>.</w:t>
      </w:r>
    </w:p>
    <w:p w14:paraId="54F2FF98" w14:textId="77777777" w:rsidR="00971473" w:rsidRDefault="00971473" w:rsidP="00971473">
      <w:pPr>
        <w:spacing w:before="0" w:after="0"/>
        <w:rPr>
          <w:rFonts w:cs="Calibri"/>
          <w:b/>
          <w:szCs w:val="22"/>
          <w:lang w:val="sr-Latn-ME" w:eastAsia="en-US"/>
        </w:rPr>
      </w:pPr>
    </w:p>
    <w:p w14:paraId="09445EBC" w14:textId="77777777" w:rsidR="00971473" w:rsidRDefault="00971473" w:rsidP="00971473">
      <w:pPr>
        <w:spacing w:before="0" w:after="0"/>
        <w:rPr>
          <w:rFonts w:cs="Calibri"/>
          <w:b/>
          <w:szCs w:val="22"/>
          <w:lang w:val="sr-Latn-ME" w:eastAsia="en-US"/>
        </w:rPr>
      </w:pPr>
      <w:r>
        <w:rPr>
          <w:rFonts w:cs="Calibri"/>
          <w:szCs w:val="22"/>
          <w:lang w:val="sr-Latn-ME" w:eastAsia="en-US"/>
        </w:rPr>
        <w:t xml:space="preserve">Ribolovna smrtnost kozice procijenjena je na 1.85 u 2017, sa </w:t>
      </w:r>
      <w:r w:rsidRPr="00D716F4">
        <w:rPr>
          <w:rFonts w:cs="Calibri"/>
          <w:bCs/>
          <w:szCs w:val="22"/>
          <w:lang w:val="sr-Latn-ME" w:eastAsia="en-US"/>
        </w:rPr>
        <w:t>F</w:t>
      </w:r>
      <w:r w:rsidRPr="00D716F4">
        <w:rPr>
          <w:rFonts w:cs="Calibri"/>
          <w:bCs/>
          <w:szCs w:val="22"/>
          <w:vertAlign w:val="subscript"/>
          <w:lang w:val="sr-Latn-ME" w:eastAsia="en-US"/>
        </w:rPr>
        <w:t>0.1</w:t>
      </w:r>
      <w:r>
        <w:rPr>
          <w:rFonts w:cs="Calibri"/>
          <w:bCs/>
          <w:szCs w:val="22"/>
          <w:lang w:val="sr-Latn-ME" w:eastAsia="en-US"/>
        </w:rPr>
        <w:t xml:space="preserve"> od</w:t>
      </w:r>
      <w:r w:rsidRPr="00D716F4">
        <w:rPr>
          <w:rFonts w:cs="Calibri"/>
          <w:bCs/>
          <w:szCs w:val="22"/>
          <w:lang w:val="sr-Latn-ME" w:eastAsia="en-US"/>
        </w:rPr>
        <w:t xml:space="preserve"> 0.65, </w:t>
      </w:r>
      <w:r>
        <w:rPr>
          <w:rFonts w:cs="Calibri"/>
          <w:bCs/>
          <w:szCs w:val="22"/>
          <w:lang w:val="sr-Latn-ME" w:eastAsia="en-US"/>
        </w:rPr>
        <w:t xml:space="preserve">i odnosom </w:t>
      </w:r>
      <w:r w:rsidRPr="00D716F4">
        <w:rPr>
          <w:rFonts w:cs="Calibri"/>
          <w:bCs/>
          <w:szCs w:val="22"/>
          <w:lang w:val="sr-Latn-ME" w:eastAsia="en-US"/>
        </w:rPr>
        <w:t>F</w:t>
      </w:r>
      <w:r w:rsidRPr="00D716F4">
        <w:rPr>
          <w:rFonts w:cs="Calibri"/>
          <w:bCs/>
          <w:szCs w:val="22"/>
          <w:vertAlign w:val="subscript"/>
          <w:lang w:val="sr-Latn-ME" w:eastAsia="en-US"/>
        </w:rPr>
        <w:t>curr</w:t>
      </w:r>
      <w:r w:rsidRPr="00D716F4">
        <w:rPr>
          <w:rFonts w:cs="Calibri"/>
          <w:bCs/>
          <w:szCs w:val="22"/>
          <w:lang w:val="sr-Latn-ME" w:eastAsia="en-US"/>
        </w:rPr>
        <w:t>/F</w:t>
      </w:r>
      <w:r w:rsidRPr="00D716F4">
        <w:rPr>
          <w:rFonts w:cs="Calibri"/>
          <w:bCs/>
          <w:szCs w:val="22"/>
          <w:vertAlign w:val="subscript"/>
          <w:lang w:val="sr-Latn-ME" w:eastAsia="en-US"/>
        </w:rPr>
        <w:t>0.1</w:t>
      </w:r>
      <w:r w:rsidRPr="00D716F4">
        <w:rPr>
          <w:rFonts w:cs="Calibri"/>
          <w:bCs/>
          <w:szCs w:val="22"/>
          <w:lang w:val="sr-Latn-ME" w:eastAsia="en-US"/>
        </w:rPr>
        <w:t xml:space="preserve"> = 2.85. </w:t>
      </w:r>
      <w:r>
        <w:rPr>
          <w:rFonts w:cs="Calibri"/>
          <w:bCs/>
          <w:szCs w:val="22"/>
          <w:lang w:val="sr-Latn-ME" w:eastAsia="en-US"/>
        </w:rPr>
        <w:t xml:space="preserve">Status stoka opisan je u stanju </w:t>
      </w:r>
      <w:r w:rsidRPr="00BD29C6">
        <w:rPr>
          <w:rFonts w:cs="Calibri"/>
          <w:b/>
          <w:bCs/>
          <w:szCs w:val="22"/>
          <w:lang w:val="sr-Latn-ME" w:eastAsia="en-US"/>
        </w:rPr>
        <w:t>visokog prelova</w:t>
      </w:r>
      <w:r>
        <w:rPr>
          <w:rFonts w:cs="Calibri"/>
          <w:bCs/>
          <w:szCs w:val="22"/>
          <w:lang w:val="sr-Latn-ME" w:eastAsia="en-US"/>
        </w:rPr>
        <w:t xml:space="preserve"> </w:t>
      </w:r>
      <w:r w:rsidRPr="00D716F4">
        <w:rPr>
          <w:rFonts w:cs="Calibri"/>
          <w:bCs/>
          <w:szCs w:val="22"/>
          <w:lang w:val="sr-Latn-ME" w:eastAsia="en-US"/>
        </w:rPr>
        <w:t>(STECF, 2018</w:t>
      </w:r>
      <w:r w:rsidRPr="00D716F4">
        <w:rPr>
          <w:rFonts w:cs="Calibri"/>
          <w:bCs/>
          <w:i/>
          <w:iCs/>
          <w:szCs w:val="22"/>
          <w:lang w:val="sr-Latn-ME" w:eastAsia="en-US"/>
        </w:rPr>
        <w:t>b</w:t>
      </w:r>
      <w:r w:rsidRPr="00D716F4">
        <w:rPr>
          <w:rFonts w:cs="Calibri"/>
          <w:bCs/>
          <w:szCs w:val="22"/>
          <w:lang w:val="sr-Latn-ME" w:eastAsia="en-US"/>
        </w:rPr>
        <w:t>)</w:t>
      </w:r>
      <w:r w:rsidRPr="00D716F4">
        <w:rPr>
          <w:rFonts w:cs="Calibri"/>
          <w:b/>
          <w:szCs w:val="22"/>
          <w:lang w:val="sr-Latn-ME" w:eastAsia="en-US"/>
        </w:rPr>
        <w:t>.</w:t>
      </w:r>
    </w:p>
    <w:p w14:paraId="1ECDB0D4" w14:textId="77777777" w:rsidR="00A12863" w:rsidRPr="00D716F4" w:rsidRDefault="00A12863" w:rsidP="00971473">
      <w:pPr>
        <w:spacing w:before="0" w:after="0"/>
        <w:rPr>
          <w:rFonts w:cs="Calibri"/>
          <w:b/>
          <w:szCs w:val="22"/>
          <w:lang w:val="sr-Latn-ME" w:eastAsia="en-US"/>
        </w:rPr>
      </w:pPr>
    </w:p>
    <w:p w14:paraId="6EC950BA" w14:textId="7EDC5844" w:rsidR="00971473" w:rsidRDefault="00971473" w:rsidP="00971473">
      <w:pPr>
        <w:spacing w:before="0" w:after="0"/>
        <w:rPr>
          <w:rFonts w:cs="Calibri"/>
          <w:bCs/>
          <w:szCs w:val="22"/>
          <w:lang w:val="sr-Latn-ME" w:eastAsia="en-US"/>
        </w:rPr>
      </w:pPr>
      <w:r w:rsidRPr="00D716F4">
        <w:rPr>
          <w:rFonts w:cs="Calibri"/>
          <w:b/>
          <w:szCs w:val="22"/>
          <w:lang w:val="sr-Latn-ME" w:eastAsia="en-US"/>
        </w:rPr>
        <w:t xml:space="preserve"> </w:t>
      </w:r>
      <w:r>
        <w:rPr>
          <w:rFonts w:cs="Calibri"/>
          <w:bCs/>
          <w:szCs w:val="22"/>
          <w:lang w:val="sr-Latn-ME" w:eastAsia="en-US"/>
        </w:rPr>
        <w:t>Kako su neke od procjena stokova demerzalnih</w:t>
      </w:r>
      <w:r w:rsidRPr="009E01F8">
        <w:rPr>
          <w:rFonts w:cs="Calibri"/>
          <w:bCs/>
          <w:szCs w:val="22"/>
          <w:lang w:val="sr-Latn-ME" w:eastAsia="en-US"/>
        </w:rPr>
        <w:t xml:space="preserve"> riba rađene isključivo odvojeno po polovima, ovaj</w:t>
      </w:r>
      <w:r>
        <w:rPr>
          <w:rFonts w:cs="Calibri"/>
          <w:bCs/>
          <w:szCs w:val="22"/>
          <w:lang w:val="sr-Latn-ME" w:eastAsia="en-US"/>
        </w:rPr>
        <w:t xml:space="preserve"> dokument koristi 95% percentil</w:t>
      </w:r>
      <w:r w:rsidRPr="009E01F8">
        <w:rPr>
          <w:rFonts w:cs="Calibri"/>
          <w:bCs/>
          <w:szCs w:val="22"/>
          <w:lang w:val="sr-Latn-ME" w:eastAsia="en-US"/>
        </w:rPr>
        <w:t xml:space="preserve"> distribucije. Opšti kon</w:t>
      </w:r>
      <w:r>
        <w:rPr>
          <w:rFonts w:cs="Calibri"/>
          <w:bCs/>
          <w:szCs w:val="22"/>
          <w:lang w:val="sr-Latn-ME" w:eastAsia="en-US"/>
        </w:rPr>
        <w:t>senzus je da se zdravlje stoka</w:t>
      </w:r>
      <w:r w:rsidRPr="009E01F8">
        <w:rPr>
          <w:rFonts w:cs="Calibri"/>
          <w:bCs/>
          <w:szCs w:val="22"/>
          <w:lang w:val="sr-Latn-ME" w:eastAsia="en-US"/>
        </w:rPr>
        <w:t xml:space="preserve"> povećava kako se starost i veličina sastoje od više starijih riba. Pokazatelj koji v</w:t>
      </w:r>
      <w:r>
        <w:rPr>
          <w:rFonts w:cs="Calibri"/>
          <w:bCs/>
          <w:szCs w:val="22"/>
          <w:lang w:val="sr-Latn-ME" w:eastAsia="en-US"/>
        </w:rPr>
        <w:t>jerovatno ovo najbolje bilježi</w:t>
      </w:r>
      <w:r w:rsidRPr="009E01F8">
        <w:rPr>
          <w:rFonts w:cs="Calibri"/>
          <w:bCs/>
          <w:szCs w:val="22"/>
          <w:lang w:val="sr-Latn-ME" w:eastAsia="en-US"/>
        </w:rPr>
        <w:t xml:space="preserve"> je 95% percentil </w:t>
      </w:r>
      <w:r>
        <w:rPr>
          <w:rFonts w:cs="Calibri"/>
          <w:bCs/>
          <w:szCs w:val="22"/>
          <w:lang w:val="sr-Latn-ME" w:eastAsia="en-US"/>
        </w:rPr>
        <w:t xml:space="preserve">raspodjele dužinskih frekvenci </w:t>
      </w:r>
      <w:r w:rsidRPr="009E01F8">
        <w:rPr>
          <w:rFonts w:cs="Calibri"/>
          <w:bCs/>
          <w:szCs w:val="22"/>
          <w:lang w:val="sr-Latn-ME" w:eastAsia="en-US"/>
        </w:rPr>
        <w:t>populacije, koji prema literaturi daje dobar sažetak raspod</w:t>
      </w:r>
      <w:r>
        <w:rPr>
          <w:rFonts w:cs="Calibri"/>
          <w:bCs/>
          <w:szCs w:val="22"/>
          <w:lang w:val="sr-Latn-ME" w:eastAsia="en-US"/>
        </w:rPr>
        <w:t>j</w:t>
      </w:r>
      <w:r w:rsidRPr="009E01F8">
        <w:rPr>
          <w:rFonts w:cs="Calibri"/>
          <w:bCs/>
          <w:szCs w:val="22"/>
          <w:lang w:val="sr-Latn-ME" w:eastAsia="en-US"/>
        </w:rPr>
        <w:t>ele veličine ribe sa naglaskom na veli</w:t>
      </w:r>
      <w:r>
        <w:rPr>
          <w:rFonts w:cs="Calibri"/>
          <w:bCs/>
          <w:szCs w:val="22"/>
          <w:lang w:val="sr-Latn-ME" w:eastAsia="en-US"/>
        </w:rPr>
        <w:t>ke ribe i očekuje se da bude osje</w:t>
      </w:r>
      <w:r w:rsidRPr="009E01F8">
        <w:rPr>
          <w:rFonts w:cs="Calibri"/>
          <w:bCs/>
          <w:szCs w:val="22"/>
          <w:lang w:val="sr-Latn-ME" w:eastAsia="en-US"/>
        </w:rPr>
        <w:t>tljiv na</w:t>
      </w:r>
      <w:r>
        <w:rPr>
          <w:rFonts w:cs="Calibri"/>
          <w:bCs/>
          <w:szCs w:val="22"/>
          <w:lang w:val="sr-Latn-ME" w:eastAsia="en-US"/>
        </w:rPr>
        <w:t xml:space="preserve"> ribolov i druge ljudske uticaje</w:t>
      </w:r>
      <w:r w:rsidRPr="009E01F8">
        <w:rPr>
          <w:rFonts w:cs="Calibri"/>
          <w:bCs/>
          <w:szCs w:val="22"/>
          <w:lang w:val="sr-Latn-ME" w:eastAsia="en-US"/>
        </w:rPr>
        <w:t>.</w:t>
      </w:r>
    </w:p>
    <w:p w14:paraId="517D674E" w14:textId="7DA7DB12" w:rsidR="00971473" w:rsidRDefault="00971473" w:rsidP="00971473">
      <w:pPr>
        <w:spacing w:before="0" w:after="0"/>
        <w:rPr>
          <w:rFonts w:cs="Calibri"/>
          <w:bCs/>
          <w:szCs w:val="22"/>
          <w:lang w:val="sr-Latn-ME" w:eastAsia="en-US"/>
        </w:rPr>
      </w:pPr>
      <w:r>
        <w:rPr>
          <w:rFonts w:cs="Calibri"/>
          <w:bCs/>
          <w:szCs w:val="22"/>
          <w:lang w:val="sr-Latn-ME" w:eastAsia="en-US"/>
        </w:rPr>
        <w:t>Srednja dužina barbuna je uglavnom bila slična, i tokom perioda uzorkovanja i između istraživanja i ulova (</w:t>
      </w:r>
      <w:r w:rsidR="00166CB3">
        <w:rPr>
          <w:rFonts w:cs="Calibri"/>
          <w:bCs/>
          <w:szCs w:val="22"/>
          <w:lang w:val="sr-Latn-ME" w:eastAsia="en-US"/>
        </w:rPr>
        <w:t>Slika</w:t>
      </w:r>
      <w:r>
        <w:rPr>
          <w:rFonts w:cs="Calibri"/>
          <w:bCs/>
          <w:szCs w:val="22"/>
          <w:lang w:val="sr-Latn-ME" w:eastAsia="en-US"/>
        </w:rPr>
        <w:t xml:space="preserve"> 2.1). Proporcija jedinki ispod 95% percentila distribucije dužina bila je slična kroz čitav period uzorkovanja (godine) i između metoda uzorkovanja (komercijalni ulovi i MEDITS) (</w:t>
      </w:r>
      <w:r w:rsidR="00166CB3">
        <w:rPr>
          <w:rFonts w:cs="Calibri"/>
          <w:bCs/>
          <w:szCs w:val="22"/>
          <w:lang w:val="sr-Latn-ME" w:eastAsia="en-US"/>
        </w:rPr>
        <w:t>Slika</w:t>
      </w:r>
      <w:r>
        <w:rPr>
          <w:rFonts w:cs="Calibri"/>
          <w:bCs/>
          <w:szCs w:val="22"/>
          <w:lang w:val="sr-Latn-ME" w:eastAsia="en-US"/>
        </w:rPr>
        <w:t xml:space="preserve"> 2.2). Raspon totalnih dužina (TL) jedinki preko 95% je pokazao veću raznolikost.</w:t>
      </w:r>
    </w:p>
    <w:p w14:paraId="7DD6DC42" w14:textId="77777777" w:rsidR="00971473" w:rsidRPr="00D716F4" w:rsidRDefault="00971473" w:rsidP="00971473">
      <w:pPr>
        <w:spacing w:before="0" w:after="0"/>
        <w:rPr>
          <w:rFonts w:cs="Calibri"/>
          <w:bCs/>
          <w:szCs w:val="22"/>
          <w:lang w:val="sr-Latn-ME" w:eastAsia="en-US"/>
        </w:rPr>
      </w:pPr>
    </w:p>
    <w:p w14:paraId="36CCC9E3" w14:textId="77777777" w:rsidR="00971473" w:rsidRPr="00D716F4" w:rsidRDefault="00971473" w:rsidP="00971473">
      <w:pPr>
        <w:spacing w:before="0" w:after="0"/>
        <w:jc w:val="left"/>
        <w:rPr>
          <w:rFonts w:eastAsia="Calibri" w:cs="Calibri"/>
          <w:sz w:val="20"/>
          <w:szCs w:val="20"/>
          <w:lang w:val="sr-Latn-ME" w:eastAsia="en-US"/>
        </w:rPr>
      </w:pPr>
      <w:r w:rsidRPr="00D716F4">
        <w:rPr>
          <w:rFonts w:eastAsia="Calibri" w:cs="Calibri"/>
          <w:noProof/>
          <w:sz w:val="20"/>
          <w:szCs w:val="20"/>
          <w:lang w:eastAsia="en-US"/>
        </w:rPr>
        <w:drawing>
          <wp:inline distT="0" distB="0" distL="0" distR="0" wp14:anchorId="782B9398" wp14:editId="3ACA2295">
            <wp:extent cx="2520000" cy="2743200"/>
            <wp:effectExtent l="0" t="0" r="0" b="0"/>
            <wp:docPr id="125" name="Chart 125">
              <a:extLst xmlns:a="http://schemas.openxmlformats.org/drawingml/2006/main">
                <a:ext uri="{FF2B5EF4-FFF2-40B4-BE49-F238E27FC236}">
                  <a16:creationId xmlns:a16="http://schemas.microsoft.com/office/drawing/2014/main" id="{AAA92E1E-2A17-4077-BA67-404F8BB417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D716F4">
        <w:rPr>
          <w:rFonts w:eastAsia="Calibri" w:cs="Calibri"/>
          <w:sz w:val="20"/>
          <w:szCs w:val="20"/>
          <w:lang w:val="sr-Latn-ME" w:eastAsia="en-US"/>
        </w:rPr>
        <w:t xml:space="preserve"> </w:t>
      </w:r>
      <w:r w:rsidRPr="00D716F4">
        <w:rPr>
          <w:rFonts w:eastAsia="Calibri" w:cs="Calibri"/>
          <w:noProof/>
          <w:sz w:val="20"/>
          <w:szCs w:val="20"/>
          <w:lang w:eastAsia="en-US"/>
        </w:rPr>
        <w:drawing>
          <wp:inline distT="0" distB="0" distL="0" distR="0" wp14:anchorId="779D8B69" wp14:editId="71FA40D0">
            <wp:extent cx="2520000" cy="2743200"/>
            <wp:effectExtent l="0" t="0" r="0" b="0"/>
            <wp:docPr id="126" name="Chart 126">
              <a:extLst xmlns:a="http://schemas.openxmlformats.org/drawingml/2006/main">
                <a:ext uri="{FF2B5EF4-FFF2-40B4-BE49-F238E27FC236}">
                  <a16:creationId xmlns:a16="http://schemas.microsoft.com/office/drawing/2014/main" id="{F0B4A9E9-286B-4946-B290-4334974296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359A204" w14:textId="0D39D63B" w:rsidR="002E12CB" w:rsidRPr="009E01F8" w:rsidRDefault="00166CB3" w:rsidP="00A12863">
      <w:pPr>
        <w:spacing w:before="0" w:after="0"/>
        <w:jc w:val="center"/>
        <w:rPr>
          <w:rFonts w:cs="Calibri"/>
          <w:b/>
          <w:szCs w:val="22"/>
          <w:lang w:val="sr-Latn-ME" w:eastAsia="en-US"/>
        </w:rPr>
      </w:pPr>
      <w:bookmarkStart w:id="77" w:name="_Toc83636896"/>
      <w:r>
        <w:rPr>
          <w:rFonts w:eastAsia="Calibri" w:cs="Calibri"/>
          <w:b/>
          <w:iCs/>
          <w:szCs w:val="22"/>
          <w:lang w:val="sr-Latn-ME" w:eastAsia="en-US"/>
        </w:rPr>
        <w:t>Slika</w:t>
      </w:r>
      <w:r w:rsidR="002E12CB" w:rsidRPr="009E01F8">
        <w:rPr>
          <w:rFonts w:eastAsia="Calibri" w:cs="Calibri"/>
          <w:b/>
          <w:iCs/>
          <w:szCs w:val="22"/>
          <w:lang w:val="sr-Latn-ME" w:eastAsia="en-US"/>
        </w:rPr>
        <w:t xml:space="preserve"> </w:t>
      </w:r>
      <w:r w:rsidR="002E12CB" w:rsidRPr="009E01F8">
        <w:rPr>
          <w:rFonts w:eastAsia="Calibri" w:cs="Calibri"/>
          <w:b/>
          <w:iCs/>
          <w:szCs w:val="22"/>
          <w:lang w:val="sr-Latn-ME" w:eastAsia="en-US"/>
        </w:rPr>
        <w:fldChar w:fldCharType="begin"/>
      </w:r>
      <w:r w:rsidR="002E12CB" w:rsidRPr="009E01F8">
        <w:rPr>
          <w:rFonts w:eastAsia="Calibri" w:cs="Calibri"/>
          <w:b/>
          <w:iCs/>
          <w:szCs w:val="22"/>
          <w:lang w:val="sr-Latn-ME" w:eastAsia="en-US"/>
        </w:rPr>
        <w:instrText xml:space="preserve"> STYLEREF 1 \s </w:instrText>
      </w:r>
      <w:r w:rsidR="002E12CB" w:rsidRPr="009E01F8">
        <w:rPr>
          <w:rFonts w:eastAsia="Calibri" w:cs="Calibri"/>
          <w:b/>
          <w:iCs/>
          <w:szCs w:val="22"/>
          <w:lang w:val="sr-Latn-ME" w:eastAsia="en-US"/>
        </w:rPr>
        <w:fldChar w:fldCharType="separate"/>
      </w:r>
      <w:r w:rsidR="000D1E20">
        <w:rPr>
          <w:rFonts w:eastAsia="Calibri" w:cs="Calibri"/>
          <w:b/>
          <w:iCs/>
          <w:noProof/>
          <w:szCs w:val="22"/>
          <w:lang w:val="sr-Latn-ME" w:eastAsia="en-US"/>
        </w:rPr>
        <w:t>2</w:t>
      </w:r>
      <w:r w:rsidR="002E12CB" w:rsidRPr="009E01F8">
        <w:rPr>
          <w:rFonts w:eastAsia="Calibri" w:cs="Calibri"/>
          <w:b/>
          <w:iCs/>
          <w:szCs w:val="22"/>
          <w:lang w:val="sr-Latn-ME" w:eastAsia="en-US"/>
        </w:rPr>
        <w:fldChar w:fldCharType="end"/>
      </w:r>
      <w:r w:rsidR="002E12CB" w:rsidRPr="009E01F8">
        <w:rPr>
          <w:rFonts w:eastAsia="Calibri" w:cs="Calibri"/>
          <w:b/>
          <w:iCs/>
          <w:szCs w:val="22"/>
          <w:lang w:val="sr-Latn-ME" w:eastAsia="en-US"/>
        </w:rPr>
        <w:t>.</w:t>
      </w:r>
      <w:r w:rsidR="002E12CB" w:rsidRPr="009E01F8">
        <w:rPr>
          <w:rFonts w:eastAsia="Calibri" w:cs="Calibri"/>
          <w:b/>
          <w:iCs/>
          <w:szCs w:val="22"/>
          <w:lang w:val="sr-Latn-ME" w:eastAsia="en-US"/>
        </w:rPr>
        <w:fldChar w:fldCharType="begin"/>
      </w:r>
      <w:r w:rsidR="002E12CB" w:rsidRPr="009E01F8">
        <w:rPr>
          <w:rFonts w:eastAsia="Calibri" w:cs="Calibri"/>
          <w:b/>
          <w:iCs/>
          <w:szCs w:val="22"/>
          <w:lang w:val="sr-Latn-ME" w:eastAsia="en-US"/>
        </w:rPr>
        <w:instrText xml:space="preserve"> SEQ Figure \* ARABIC \s 1 </w:instrText>
      </w:r>
      <w:r w:rsidR="002E12CB" w:rsidRPr="009E01F8">
        <w:rPr>
          <w:rFonts w:eastAsia="Calibri" w:cs="Calibri"/>
          <w:b/>
          <w:iCs/>
          <w:szCs w:val="22"/>
          <w:lang w:val="sr-Latn-ME" w:eastAsia="en-US"/>
        </w:rPr>
        <w:fldChar w:fldCharType="separate"/>
      </w:r>
      <w:r w:rsidR="000D1E20">
        <w:rPr>
          <w:rFonts w:eastAsia="Calibri" w:cs="Calibri"/>
          <w:b/>
          <w:iCs/>
          <w:noProof/>
          <w:szCs w:val="22"/>
          <w:lang w:val="sr-Latn-ME" w:eastAsia="en-US"/>
        </w:rPr>
        <w:t>1</w:t>
      </w:r>
      <w:r w:rsidR="002E12CB" w:rsidRPr="009E01F8">
        <w:rPr>
          <w:rFonts w:eastAsia="Calibri" w:cs="Calibri"/>
          <w:b/>
          <w:iCs/>
          <w:szCs w:val="22"/>
          <w:lang w:val="sr-Latn-ME" w:eastAsia="en-US"/>
        </w:rPr>
        <w:fldChar w:fldCharType="end"/>
      </w:r>
      <w:r w:rsidR="002E12CB" w:rsidRPr="009E01F8">
        <w:rPr>
          <w:b/>
          <w:szCs w:val="22"/>
          <w:lang w:val="sr-Latn-ME"/>
        </w:rPr>
        <w:t>. Srednja dužina barbuna, u ulovima i MEDITS-u.</w:t>
      </w:r>
      <w:bookmarkEnd w:id="77"/>
    </w:p>
    <w:p w14:paraId="6969D152" w14:textId="77777777" w:rsidR="00971473" w:rsidRPr="00D716F4" w:rsidRDefault="00971473" w:rsidP="00971473">
      <w:pPr>
        <w:spacing w:before="0" w:after="0"/>
        <w:jc w:val="left"/>
        <w:rPr>
          <w:rFonts w:eastAsia="Calibri" w:cs="Calibri"/>
          <w:sz w:val="20"/>
          <w:szCs w:val="20"/>
          <w:lang w:val="sr-Latn-ME" w:eastAsia="en-US"/>
        </w:rPr>
      </w:pPr>
    </w:p>
    <w:p w14:paraId="01F7555C" w14:textId="66EE8F5A" w:rsidR="00971473" w:rsidRPr="00D716F4" w:rsidRDefault="00971473" w:rsidP="00971473">
      <w:pPr>
        <w:spacing w:before="0" w:after="0"/>
        <w:jc w:val="left"/>
        <w:rPr>
          <w:rFonts w:cs="Calibri"/>
          <w:bCs/>
          <w:sz w:val="20"/>
          <w:szCs w:val="20"/>
          <w:lang w:val="sr-Latn-ME" w:eastAsia="en-US"/>
        </w:rPr>
      </w:pPr>
      <w:r w:rsidRPr="00D716F4">
        <w:rPr>
          <w:rFonts w:eastAsia="Calibri" w:cs="Calibri"/>
          <w:noProof/>
          <w:sz w:val="20"/>
          <w:szCs w:val="20"/>
          <w:lang w:eastAsia="en-US"/>
        </w:rPr>
        <w:drawing>
          <wp:inline distT="0" distB="0" distL="0" distR="0" wp14:anchorId="28956D91" wp14:editId="07990CDA">
            <wp:extent cx="2520000" cy="2743200"/>
            <wp:effectExtent l="0" t="0" r="0" b="0"/>
            <wp:docPr id="127" name="Chart 127">
              <a:extLst xmlns:a="http://schemas.openxmlformats.org/drawingml/2006/main">
                <a:ext uri="{FF2B5EF4-FFF2-40B4-BE49-F238E27FC236}">
                  <a16:creationId xmlns:a16="http://schemas.microsoft.com/office/drawing/2014/main" id="{AD0EFE34-785B-4D7B-8403-B8016ABA6E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D716F4">
        <w:rPr>
          <w:rFonts w:eastAsia="Calibri" w:cs="Calibri"/>
          <w:sz w:val="20"/>
          <w:szCs w:val="20"/>
          <w:lang w:val="sr-Latn-ME" w:eastAsia="en-US"/>
        </w:rPr>
        <w:t xml:space="preserve"> </w:t>
      </w:r>
      <w:r w:rsidRPr="00D716F4">
        <w:rPr>
          <w:rFonts w:eastAsia="Calibri" w:cs="Calibri"/>
          <w:noProof/>
          <w:sz w:val="20"/>
          <w:szCs w:val="20"/>
          <w:lang w:eastAsia="en-US"/>
        </w:rPr>
        <w:drawing>
          <wp:inline distT="0" distB="0" distL="0" distR="0" wp14:anchorId="158EAB04" wp14:editId="1D436530">
            <wp:extent cx="2520000" cy="2743200"/>
            <wp:effectExtent l="0" t="0" r="0" b="0"/>
            <wp:docPr id="413" name="Chart 413">
              <a:extLst xmlns:a="http://schemas.openxmlformats.org/drawingml/2006/main">
                <a:ext uri="{FF2B5EF4-FFF2-40B4-BE49-F238E27FC236}">
                  <a16:creationId xmlns:a16="http://schemas.microsoft.com/office/drawing/2014/main" id="{8EA51296-2C35-4571-8502-AB03BD0961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CAA8986" w14:textId="05AD30B8" w:rsidR="002E12CB" w:rsidRPr="00D716F4" w:rsidRDefault="00166CB3" w:rsidP="002E12CB">
      <w:pPr>
        <w:spacing w:before="0" w:after="0" w:line="240" w:lineRule="auto"/>
        <w:jc w:val="left"/>
        <w:rPr>
          <w:rFonts w:eastAsia="Calibri" w:cs="Calibri"/>
          <w:sz w:val="20"/>
          <w:szCs w:val="20"/>
          <w:lang w:val="sr-Latn-ME" w:eastAsia="en-US"/>
        </w:rPr>
      </w:pPr>
      <w:bookmarkStart w:id="78" w:name="_Toc83636897"/>
      <w:bookmarkStart w:id="79" w:name="_Toc69678451"/>
      <w:r>
        <w:rPr>
          <w:rFonts w:eastAsia="Calibri" w:cs="Calibri"/>
          <w:b/>
          <w:iCs/>
          <w:szCs w:val="22"/>
          <w:lang w:val="sr-Latn-ME" w:eastAsia="en-US"/>
        </w:rPr>
        <w:t>Slika</w:t>
      </w:r>
      <w:r w:rsidR="002E12CB" w:rsidRPr="00D716F4">
        <w:rPr>
          <w:rFonts w:eastAsia="Calibri" w:cs="Calibri"/>
          <w:b/>
          <w:iCs/>
          <w:szCs w:val="22"/>
          <w:lang w:val="sr-Latn-ME" w:eastAsia="en-US"/>
        </w:rPr>
        <w:t xml:space="preserve"> </w:t>
      </w:r>
      <w:r w:rsidR="002E12CB" w:rsidRPr="009E01F8">
        <w:rPr>
          <w:rFonts w:eastAsia="Calibri" w:cs="Calibri"/>
          <w:b/>
          <w:iCs/>
          <w:szCs w:val="22"/>
          <w:lang w:val="sr-Latn-ME" w:eastAsia="en-US"/>
        </w:rPr>
        <w:fldChar w:fldCharType="begin"/>
      </w:r>
      <w:r w:rsidR="002E12CB" w:rsidRPr="009E01F8">
        <w:rPr>
          <w:rFonts w:eastAsia="Calibri" w:cs="Calibri"/>
          <w:b/>
          <w:iCs/>
          <w:szCs w:val="22"/>
          <w:lang w:val="sr-Latn-ME" w:eastAsia="en-US"/>
        </w:rPr>
        <w:instrText xml:space="preserve"> STYLEREF 1 \s </w:instrText>
      </w:r>
      <w:r w:rsidR="002E12CB" w:rsidRPr="009E01F8">
        <w:rPr>
          <w:rFonts w:eastAsia="Calibri" w:cs="Calibri"/>
          <w:b/>
          <w:iCs/>
          <w:szCs w:val="22"/>
          <w:lang w:val="sr-Latn-ME" w:eastAsia="en-US"/>
        </w:rPr>
        <w:fldChar w:fldCharType="separate"/>
      </w:r>
      <w:r w:rsidR="000D1E20">
        <w:rPr>
          <w:rFonts w:eastAsia="Calibri" w:cs="Calibri"/>
          <w:b/>
          <w:iCs/>
          <w:noProof/>
          <w:szCs w:val="22"/>
          <w:lang w:val="sr-Latn-ME" w:eastAsia="en-US"/>
        </w:rPr>
        <w:t>2</w:t>
      </w:r>
      <w:r w:rsidR="002E12CB" w:rsidRPr="009E01F8">
        <w:rPr>
          <w:rFonts w:eastAsia="Calibri" w:cs="Calibri"/>
          <w:b/>
          <w:iCs/>
          <w:szCs w:val="22"/>
          <w:lang w:val="sr-Latn-ME" w:eastAsia="en-US"/>
        </w:rPr>
        <w:fldChar w:fldCharType="end"/>
      </w:r>
      <w:r w:rsidR="002E12CB" w:rsidRPr="009E01F8">
        <w:rPr>
          <w:rFonts w:eastAsia="Calibri" w:cs="Calibri"/>
          <w:b/>
          <w:iCs/>
          <w:szCs w:val="22"/>
          <w:lang w:val="sr-Latn-ME" w:eastAsia="en-US"/>
        </w:rPr>
        <w:t>.</w:t>
      </w:r>
      <w:r w:rsidR="002E12CB" w:rsidRPr="009E01F8">
        <w:rPr>
          <w:rFonts w:eastAsia="Calibri" w:cs="Calibri"/>
          <w:b/>
          <w:iCs/>
          <w:szCs w:val="22"/>
          <w:lang w:val="sr-Latn-ME" w:eastAsia="en-US"/>
        </w:rPr>
        <w:fldChar w:fldCharType="begin"/>
      </w:r>
      <w:r w:rsidR="002E12CB" w:rsidRPr="009E01F8">
        <w:rPr>
          <w:rFonts w:eastAsia="Calibri" w:cs="Calibri"/>
          <w:b/>
          <w:iCs/>
          <w:szCs w:val="22"/>
          <w:lang w:val="sr-Latn-ME" w:eastAsia="en-US"/>
        </w:rPr>
        <w:instrText xml:space="preserve"> SEQ Figure \* ARABIC \s 1 </w:instrText>
      </w:r>
      <w:r w:rsidR="002E12CB" w:rsidRPr="009E01F8">
        <w:rPr>
          <w:rFonts w:eastAsia="Calibri" w:cs="Calibri"/>
          <w:b/>
          <w:iCs/>
          <w:szCs w:val="22"/>
          <w:lang w:val="sr-Latn-ME" w:eastAsia="en-US"/>
        </w:rPr>
        <w:fldChar w:fldCharType="separate"/>
      </w:r>
      <w:r w:rsidR="000D1E20">
        <w:rPr>
          <w:rFonts w:eastAsia="Calibri" w:cs="Calibri"/>
          <w:b/>
          <w:iCs/>
          <w:noProof/>
          <w:szCs w:val="22"/>
          <w:lang w:val="sr-Latn-ME" w:eastAsia="en-US"/>
        </w:rPr>
        <w:t>2</w:t>
      </w:r>
      <w:r w:rsidR="002E12CB" w:rsidRPr="009E01F8">
        <w:rPr>
          <w:rFonts w:eastAsia="Calibri" w:cs="Calibri"/>
          <w:b/>
          <w:iCs/>
          <w:szCs w:val="22"/>
          <w:lang w:val="sr-Latn-ME" w:eastAsia="en-US"/>
        </w:rPr>
        <w:fldChar w:fldCharType="end"/>
      </w:r>
      <w:r w:rsidR="002E12CB" w:rsidRPr="009E01F8">
        <w:rPr>
          <w:b/>
          <w:szCs w:val="22"/>
          <w:lang w:val="sr-Latn-ME"/>
        </w:rPr>
        <w:t>.</w:t>
      </w:r>
      <w:r w:rsidR="002E12CB" w:rsidRPr="009E01F8">
        <w:rPr>
          <w:rFonts w:eastAsia="Calibri" w:cs="Calibri"/>
          <w:b/>
          <w:szCs w:val="22"/>
          <w:lang w:val="sr-Latn-ME" w:eastAsia="en-US"/>
        </w:rPr>
        <w:t xml:space="preserve"> Proporcija jedinki barbuna preko 95% percentila distribucije dužina, u ulovima i MEDITS-u.</w:t>
      </w:r>
      <w:bookmarkEnd w:id="78"/>
      <w:r w:rsidR="002E12CB">
        <w:rPr>
          <w:rFonts w:eastAsia="Calibri" w:cs="Calibri"/>
          <w:szCs w:val="22"/>
          <w:lang w:val="sr-Latn-ME" w:eastAsia="en-US"/>
        </w:rPr>
        <w:t xml:space="preserve"> </w:t>
      </w:r>
      <w:bookmarkEnd w:id="79"/>
    </w:p>
    <w:p w14:paraId="08926B77" w14:textId="77777777" w:rsidR="00971473" w:rsidRDefault="00971473" w:rsidP="00971473">
      <w:pPr>
        <w:spacing w:before="0" w:after="0"/>
        <w:rPr>
          <w:rFonts w:cs="Calibri"/>
          <w:bCs/>
          <w:szCs w:val="22"/>
          <w:lang w:val="sr-Latn-ME" w:eastAsia="en-US"/>
        </w:rPr>
      </w:pPr>
    </w:p>
    <w:p w14:paraId="74315AD1" w14:textId="30F9B074" w:rsidR="00971473" w:rsidRDefault="00971473" w:rsidP="00971473">
      <w:pPr>
        <w:spacing w:before="0" w:after="0"/>
        <w:rPr>
          <w:rFonts w:cs="Calibri"/>
          <w:bCs/>
          <w:szCs w:val="22"/>
          <w:lang w:val="sr-Latn-ME" w:eastAsia="en-US"/>
        </w:rPr>
      </w:pPr>
      <w:r>
        <w:rPr>
          <w:rFonts w:cs="Calibri"/>
          <w:bCs/>
          <w:szCs w:val="22"/>
          <w:lang w:val="sr-Latn-ME" w:eastAsia="en-US"/>
        </w:rPr>
        <w:t>Srednja dužina oslića bila je slična tokom svake godine, i u ulovima i uzorcima MEDITSA. Bilo je razlike u srednjim dužinama između MEDITSA i ulova, sa tim da je srednja dužina u ulovima bila nešto duža (</w:t>
      </w:r>
      <w:r w:rsidR="00166CB3">
        <w:rPr>
          <w:rFonts w:cs="Calibri"/>
          <w:bCs/>
          <w:szCs w:val="22"/>
          <w:lang w:val="sr-Latn-ME" w:eastAsia="en-US"/>
        </w:rPr>
        <w:t>Slika</w:t>
      </w:r>
      <w:r>
        <w:rPr>
          <w:rFonts w:cs="Calibri"/>
          <w:bCs/>
          <w:szCs w:val="22"/>
          <w:lang w:val="sr-Latn-ME" w:eastAsia="en-US"/>
        </w:rPr>
        <w:t xml:space="preserve"> 2.3). Ovo je veoma moguće uslijed korišćenja različite veličine oka na saku mreže, koja je kod istraživanja samo 10 mm, dok se u komercijalnom ribarstvu koristi 40 mm. Sa druge strane, proporcija jedinki preko 95% percentila je slična, i između godina i između metoda uzorkovanja, a iznosila je između 30 i 35 cm TL (</w:t>
      </w:r>
      <w:r w:rsidR="00166CB3">
        <w:rPr>
          <w:rFonts w:cs="Calibri"/>
          <w:bCs/>
          <w:szCs w:val="22"/>
          <w:lang w:val="sr-Latn-ME" w:eastAsia="en-US"/>
        </w:rPr>
        <w:t>Slika</w:t>
      </w:r>
      <w:r>
        <w:rPr>
          <w:rFonts w:cs="Calibri"/>
          <w:bCs/>
          <w:szCs w:val="22"/>
          <w:lang w:val="sr-Latn-ME" w:eastAsia="en-US"/>
        </w:rPr>
        <w:t xml:space="preserve"> 2.4). Raspon TL kod jedinki preko 95% percentila pokazao je veliku raznolikost, na primjer u 2018, i u ulovima i naučnim uzorcima, 95% uzorka je bilo ispod oko 35 cm TL, dok je preostalih 5% variralo od 35 do 70.</w:t>
      </w:r>
    </w:p>
    <w:p w14:paraId="247609AA" w14:textId="77777777" w:rsidR="00971473" w:rsidRPr="00D716F4" w:rsidRDefault="00971473" w:rsidP="00971473">
      <w:pPr>
        <w:spacing w:before="0" w:after="0" w:line="240" w:lineRule="auto"/>
        <w:jc w:val="left"/>
        <w:rPr>
          <w:rFonts w:cs="Calibri"/>
          <w:b/>
          <w:bCs/>
          <w:szCs w:val="22"/>
          <w:lang w:val="sr-Latn-ME" w:eastAsia="en-US"/>
        </w:rPr>
      </w:pPr>
    </w:p>
    <w:p w14:paraId="23BCC261" w14:textId="77777777" w:rsidR="00971473" w:rsidRPr="00D716F4" w:rsidRDefault="00971473" w:rsidP="00971473">
      <w:pPr>
        <w:spacing w:before="0" w:after="0"/>
        <w:jc w:val="left"/>
        <w:rPr>
          <w:rFonts w:eastAsia="Calibri" w:cs="Calibri"/>
          <w:sz w:val="20"/>
          <w:szCs w:val="20"/>
          <w:lang w:val="sr-Latn-ME" w:eastAsia="en-US"/>
        </w:rPr>
      </w:pPr>
      <w:r w:rsidRPr="00D716F4">
        <w:rPr>
          <w:rFonts w:eastAsia="Calibri" w:cs="Calibri"/>
          <w:noProof/>
          <w:sz w:val="20"/>
          <w:szCs w:val="20"/>
          <w:lang w:eastAsia="en-US"/>
        </w:rPr>
        <w:drawing>
          <wp:inline distT="0" distB="0" distL="0" distR="0" wp14:anchorId="3D8DA6C6" wp14:editId="7E43C694">
            <wp:extent cx="2520000" cy="2743200"/>
            <wp:effectExtent l="0" t="0" r="0" b="0"/>
            <wp:docPr id="414" name="Chart 414">
              <a:extLst xmlns:a="http://schemas.openxmlformats.org/drawingml/2006/main">
                <a:ext uri="{FF2B5EF4-FFF2-40B4-BE49-F238E27FC236}">
                  <a16:creationId xmlns:a16="http://schemas.microsoft.com/office/drawing/2014/main" id="{F9E3DB80-EE50-450E-AFCA-20136ED949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D716F4">
        <w:rPr>
          <w:rFonts w:eastAsia="Calibri" w:cs="Calibri"/>
          <w:noProof/>
          <w:sz w:val="20"/>
          <w:szCs w:val="20"/>
          <w:lang w:eastAsia="en-US"/>
        </w:rPr>
        <w:drawing>
          <wp:inline distT="0" distB="0" distL="0" distR="0" wp14:anchorId="09261501" wp14:editId="150076F2">
            <wp:extent cx="2520000" cy="2743200"/>
            <wp:effectExtent l="0" t="0" r="0" b="0"/>
            <wp:docPr id="415" name="Chart 415">
              <a:extLst xmlns:a="http://schemas.openxmlformats.org/drawingml/2006/main">
                <a:ext uri="{FF2B5EF4-FFF2-40B4-BE49-F238E27FC236}">
                  <a16:creationId xmlns:a16="http://schemas.microsoft.com/office/drawing/2014/main" id="{25EE3792-9070-4AED-A8FE-ADEE9352B7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D716F4">
        <w:rPr>
          <w:rFonts w:eastAsia="Calibri" w:cs="Calibri"/>
          <w:sz w:val="20"/>
          <w:szCs w:val="20"/>
          <w:lang w:val="sr-Latn-ME" w:eastAsia="en-US"/>
        </w:rPr>
        <w:t xml:space="preserve"> </w:t>
      </w:r>
    </w:p>
    <w:p w14:paraId="3352F550" w14:textId="50A15E57" w:rsidR="002E12CB" w:rsidRPr="00D716F4" w:rsidRDefault="00166CB3" w:rsidP="000E0263">
      <w:pPr>
        <w:spacing w:before="0" w:after="0" w:line="240" w:lineRule="auto"/>
        <w:jc w:val="center"/>
        <w:rPr>
          <w:rFonts w:eastAsia="Calibri" w:cs="Calibri"/>
          <w:szCs w:val="22"/>
          <w:lang w:val="sr-Latn-ME" w:eastAsia="en-US"/>
        </w:rPr>
      </w:pPr>
      <w:bookmarkStart w:id="80" w:name="_Toc83636898"/>
      <w:r>
        <w:rPr>
          <w:rFonts w:cs="Calibri"/>
          <w:b/>
          <w:bCs/>
          <w:szCs w:val="22"/>
          <w:lang w:val="sr-Latn-ME" w:eastAsia="en-US"/>
        </w:rPr>
        <w:t>Slika</w:t>
      </w:r>
      <w:r w:rsidR="002E12CB" w:rsidRPr="00D716F4">
        <w:rPr>
          <w:rFonts w:cs="Calibri"/>
          <w:b/>
          <w:bCs/>
          <w:szCs w:val="22"/>
          <w:lang w:val="sr-Latn-ME" w:eastAsia="en-US"/>
        </w:rPr>
        <w:t xml:space="preserve"> </w:t>
      </w:r>
      <w:r w:rsidR="002E12CB" w:rsidRPr="00D716F4">
        <w:rPr>
          <w:rFonts w:eastAsia="Calibri" w:cs="Calibri"/>
          <w:b/>
          <w:iCs/>
          <w:szCs w:val="22"/>
          <w:lang w:val="sr-Latn-ME" w:eastAsia="en-US"/>
        </w:rPr>
        <w:fldChar w:fldCharType="begin"/>
      </w:r>
      <w:r w:rsidR="002E12CB" w:rsidRPr="00D716F4">
        <w:rPr>
          <w:rFonts w:eastAsia="Calibri" w:cs="Calibri"/>
          <w:b/>
          <w:iCs/>
          <w:szCs w:val="22"/>
          <w:lang w:val="sr-Latn-ME" w:eastAsia="en-US"/>
        </w:rPr>
        <w:instrText xml:space="preserve"> STYLEREF 1 \s </w:instrText>
      </w:r>
      <w:r w:rsidR="002E12CB"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2</w:t>
      </w:r>
      <w:r w:rsidR="002E12CB" w:rsidRPr="00D716F4">
        <w:rPr>
          <w:rFonts w:eastAsia="Calibri" w:cs="Calibri"/>
          <w:b/>
          <w:iCs/>
          <w:szCs w:val="22"/>
          <w:lang w:val="sr-Latn-ME" w:eastAsia="en-US"/>
        </w:rPr>
        <w:fldChar w:fldCharType="end"/>
      </w:r>
      <w:r w:rsidR="002E12CB" w:rsidRPr="00D716F4">
        <w:rPr>
          <w:rFonts w:eastAsia="Calibri" w:cs="Calibri"/>
          <w:b/>
          <w:iCs/>
          <w:szCs w:val="22"/>
          <w:lang w:val="sr-Latn-ME" w:eastAsia="en-US"/>
        </w:rPr>
        <w:t>.</w:t>
      </w:r>
      <w:r w:rsidR="002E12CB" w:rsidRPr="00D716F4">
        <w:rPr>
          <w:rFonts w:eastAsia="Calibri" w:cs="Calibri"/>
          <w:b/>
          <w:iCs/>
          <w:szCs w:val="22"/>
          <w:lang w:val="sr-Latn-ME" w:eastAsia="en-US"/>
        </w:rPr>
        <w:fldChar w:fldCharType="begin"/>
      </w:r>
      <w:r w:rsidR="002E12CB" w:rsidRPr="00D716F4">
        <w:rPr>
          <w:rFonts w:eastAsia="Calibri" w:cs="Calibri"/>
          <w:b/>
          <w:iCs/>
          <w:szCs w:val="22"/>
          <w:lang w:val="sr-Latn-ME" w:eastAsia="en-US"/>
        </w:rPr>
        <w:instrText xml:space="preserve"> SEQ Figure \* ARABIC \s 1 </w:instrText>
      </w:r>
      <w:r w:rsidR="002E12CB"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3</w:t>
      </w:r>
      <w:r w:rsidR="002E12CB" w:rsidRPr="00D716F4">
        <w:rPr>
          <w:rFonts w:eastAsia="Calibri" w:cs="Calibri"/>
          <w:b/>
          <w:iCs/>
          <w:szCs w:val="22"/>
          <w:lang w:val="sr-Latn-ME" w:eastAsia="en-US"/>
        </w:rPr>
        <w:fldChar w:fldCharType="end"/>
      </w:r>
      <w:r w:rsidR="002E12CB" w:rsidRPr="00D716F4">
        <w:rPr>
          <w:szCs w:val="22"/>
          <w:lang w:val="sr-Latn-ME"/>
        </w:rPr>
        <w:t>.</w:t>
      </w:r>
      <w:r w:rsidR="002E12CB" w:rsidRPr="00D716F4">
        <w:rPr>
          <w:rFonts w:eastAsia="Calibri" w:cs="Calibri"/>
          <w:szCs w:val="22"/>
          <w:lang w:val="sr-Latn-ME" w:eastAsia="en-US"/>
        </w:rPr>
        <w:t xml:space="preserve"> </w:t>
      </w:r>
      <w:r w:rsidR="002E12CB" w:rsidRPr="007B1BB7">
        <w:rPr>
          <w:rFonts w:eastAsia="Calibri" w:cs="Calibri"/>
          <w:b/>
          <w:szCs w:val="22"/>
          <w:lang w:val="sr-Latn-ME" w:eastAsia="en-US"/>
        </w:rPr>
        <w:t>Srednje dužine oslića, u ulovima i MEDITS-u.</w:t>
      </w:r>
      <w:bookmarkEnd w:id="80"/>
    </w:p>
    <w:p w14:paraId="1B79BF69" w14:textId="77777777" w:rsidR="00971473" w:rsidRPr="00D716F4" w:rsidRDefault="00971473" w:rsidP="00971473">
      <w:pPr>
        <w:spacing w:before="0" w:after="0"/>
        <w:jc w:val="left"/>
        <w:rPr>
          <w:rFonts w:eastAsia="Calibri" w:cs="Calibri"/>
          <w:sz w:val="20"/>
          <w:szCs w:val="20"/>
          <w:lang w:val="sr-Latn-ME" w:eastAsia="en-US"/>
        </w:rPr>
      </w:pPr>
    </w:p>
    <w:p w14:paraId="36E5F5BA" w14:textId="77777777" w:rsidR="002E12CB" w:rsidRDefault="002E12CB" w:rsidP="00971473">
      <w:pPr>
        <w:spacing w:before="0" w:after="0" w:line="240" w:lineRule="auto"/>
        <w:jc w:val="left"/>
        <w:rPr>
          <w:rFonts w:eastAsia="Calibri" w:cs="Calibri"/>
          <w:b/>
          <w:bCs/>
          <w:szCs w:val="22"/>
          <w:lang w:val="sr-Latn-ME" w:eastAsia="en-US"/>
        </w:rPr>
      </w:pPr>
      <w:bookmarkStart w:id="81" w:name="_Toc69678453"/>
    </w:p>
    <w:p w14:paraId="2F142818" w14:textId="77777777" w:rsidR="002E12CB" w:rsidRDefault="002E12CB" w:rsidP="00971473">
      <w:pPr>
        <w:spacing w:before="0" w:after="0" w:line="240" w:lineRule="auto"/>
        <w:jc w:val="left"/>
        <w:rPr>
          <w:rFonts w:eastAsia="Calibri" w:cs="Calibri"/>
          <w:b/>
          <w:bCs/>
          <w:szCs w:val="22"/>
          <w:lang w:val="sr-Latn-ME" w:eastAsia="en-US"/>
        </w:rPr>
      </w:pPr>
    </w:p>
    <w:bookmarkEnd w:id="81"/>
    <w:p w14:paraId="21BB18E0" w14:textId="77777777" w:rsidR="00971473" w:rsidRPr="00D716F4" w:rsidRDefault="00971473" w:rsidP="00971473">
      <w:pPr>
        <w:spacing w:before="0" w:after="0"/>
        <w:jc w:val="left"/>
        <w:rPr>
          <w:rFonts w:eastAsia="Calibri" w:cs="Calibri"/>
          <w:sz w:val="20"/>
          <w:szCs w:val="20"/>
          <w:lang w:val="sr-Latn-ME" w:eastAsia="en-US"/>
        </w:rPr>
      </w:pPr>
    </w:p>
    <w:p w14:paraId="6277B1E7" w14:textId="7958B103" w:rsidR="00971473" w:rsidRPr="00577609" w:rsidRDefault="00971473" w:rsidP="00971473">
      <w:pPr>
        <w:spacing w:before="0" w:after="0"/>
        <w:jc w:val="left"/>
        <w:rPr>
          <w:rFonts w:cs="Calibri"/>
          <w:sz w:val="20"/>
          <w:szCs w:val="20"/>
          <w:lang w:val="sr-Latn-ME" w:eastAsia="en-US"/>
        </w:rPr>
      </w:pPr>
      <w:r w:rsidRPr="00D716F4">
        <w:rPr>
          <w:rFonts w:eastAsia="Calibri" w:cs="Calibri"/>
          <w:noProof/>
          <w:sz w:val="20"/>
          <w:szCs w:val="20"/>
          <w:lang w:eastAsia="en-US"/>
        </w:rPr>
        <w:drawing>
          <wp:inline distT="0" distB="0" distL="0" distR="0" wp14:anchorId="4DDFE280" wp14:editId="2101385F">
            <wp:extent cx="2520000" cy="2743200"/>
            <wp:effectExtent l="0" t="0" r="0" b="0"/>
            <wp:docPr id="416" name="Chart 416">
              <a:extLst xmlns:a="http://schemas.openxmlformats.org/drawingml/2006/main">
                <a:ext uri="{FF2B5EF4-FFF2-40B4-BE49-F238E27FC236}">
                  <a16:creationId xmlns:a16="http://schemas.microsoft.com/office/drawing/2014/main" id="{B4066CAA-78FE-42FF-8890-945B3A4A4D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D716F4">
        <w:rPr>
          <w:rFonts w:eastAsia="Calibri" w:cs="Calibri"/>
          <w:noProof/>
          <w:sz w:val="20"/>
          <w:szCs w:val="20"/>
          <w:lang w:eastAsia="en-US"/>
        </w:rPr>
        <w:drawing>
          <wp:inline distT="0" distB="0" distL="0" distR="0" wp14:anchorId="46DC4F41" wp14:editId="0CD95A0A">
            <wp:extent cx="2520000" cy="2743200"/>
            <wp:effectExtent l="0" t="0" r="0" b="0"/>
            <wp:docPr id="417" name="Chart 417">
              <a:extLst xmlns:a="http://schemas.openxmlformats.org/drawingml/2006/main">
                <a:ext uri="{FF2B5EF4-FFF2-40B4-BE49-F238E27FC236}">
                  <a16:creationId xmlns:a16="http://schemas.microsoft.com/office/drawing/2014/main" id="{628C0547-ABD2-48A9-B2A8-05923FDCD9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D716F4">
        <w:rPr>
          <w:rFonts w:eastAsia="Calibri" w:cs="Calibri"/>
          <w:sz w:val="20"/>
          <w:szCs w:val="20"/>
          <w:lang w:val="sr-Latn-ME" w:eastAsia="en-US"/>
        </w:rPr>
        <w:t xml:space="preserve"> </w:t>
      </w:r>
    </w:p>
    <w:p w14:paraId="1E3A5110" w14:textId="59AD00AD" w:rsidR="002E12CB" w:rsidRPr="00D716F4" w:rsidRDefault="00166CB3" w:rsidP="000E0263">
      <w:pPr>
        <w:spacing w:before="0" w:after="0" w:line="240" w:lineRule="auto"/>
        <w:jc w:val="center"/>
        <w:rPr>
          <w:rFonts w:eastAsia="Calibri" w:cs="Calibri"/>
          <w:b/>
          <w:szCs w:val="22"/>
          <w:lang w:val="sr-Latn-ME" w:eastAsia="en-US"/>
        </w:rPr>
      </w:pPr>
      <w:bookmarkStart w:id="82" w:name="_Toc83636899"/>
      <w:r>
        <w:rPr>
          <w:rFonts w:eastAsia="Calibri" w:cs="Calibri"/>
          <w:b/>
          <w:bCs/>
          <w:szCs w:val="22"/>
          <w:lang w:val="sr-Latn-ME" w:eastAsia="en-US"/>
        </w:rPr>
        <w:t>Slika</w:t>
      </w:r>
      <w:r w:rsidR="002E12CB" w:rsidRPr="00D716F4">
        <w:rPr>
          <w:rFonts w:eastAsia="Calibri" w:cs="Calibri"/>
          <w:b/>
          <w:bCs/>
          <w:szCs w:val="22"/>
          <w:lang w:val="sr-Latn-ME" w:eastAsia="en-US"/>
        </w:rPr>
        <w:t xml:space="preserve"> </w:t>
      </w:r>
      <w:r w:rsidR="002E12CB" w:rsidRPr="00D716F4">
        <w:rPr>
          <w:rFonts w:eastAsia="Calibri" w:cs="Calibri"/>
          <w:b/>
          <w:iCs/>
          <w:szCs w:val="22"/>
          <w:lang w:val="sr-Latn-ME" w:eastAsia="en-US"/>
        </w:rPr>
        <w:fldChar w:fldCharType="begin"/>
      </w:r>
      <w:r w:rsidR="002E12CB" w:rsidRPr="00D716F4">
        <w:rPr>
          <w:rFonts w:eastAsia="Calibri" w:cs="Calibri"/>
          <w:b/>
          <w:iCs/>
          <w:szCs w:val="22"/>
          <w:lang w:val="sr-Latn-ME" w:eastAsia="en-US"/>
        </w:rPr>
        <w:instrText xml:space="preserve"> STYLEREF 1 \s </w:instrText>
      </w:r>
      <w:r w:rsidR="002E12CB"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2</w:t>
      </w:r>
      <w:r w:rsidR="002E12CB" w:rsidRPr="00D716F4">
        <w:rPr>
          <w:rFonts w:eastAsia="Calibri" w:cs="Calibri"/>
          <w:b/>
          <w:iCs/>
          <w:szCs w:val="22"/>
          <w:lang w:val="sr-Latn-ME" w:eastAsia="en-US"/>
        </w:rPr>
        <w:fldChar w:fldCharType="end"/>
      </w:r>
      <w:r w:rsidR="002E12CB" w:rsidRPr="00D716F4">
        <w:rPr>
          <w:rFonts w:eastAsia="Calibri" w:cs="Calibri"/>
          <w:b/>
          <w:iCs/>
          <w:szCs w:val="22"/>
          <w:lang w:val="sr-Latn-ME" w:eastAsia="en-US"/>
        </w:rPr>
        <w:t>.</w:t>
      </w:r>
      <w:r w:rsidR="002E12CB" w:rsidRPr="00D716F4">
        <w:rPr>
          <w:rFonts w:eastAsia="Calibri" w:cs="Calibri"/>
          <w:b/>
          <w:iCs/>
          <w:szCs w:val="22"/>
          <w:lang w:val="sr-Latn-ME" w:eastAsia="en-US"/>
        </w:rPr>
        <w:fldChar w:fldCharType="begin"/>
      </w:r>
      <w:r w:rsidR="002E12CB" w:rsidRPr="00D716F4">
        <w:rPr>
          <w:rFonts w:eastAsia="Calibri" w:cs="Calibri"/>
          <w:b/>
          <w:iCs/>
          <w:szCs w:val="22"/>
          <w:lang w:val="sr-Latn-ME" w:eastAsia="en-US"/>
        </w:rPr>
        <w:instrText xml:space="preserve"> SEQ Figure \* ARABIC \s 1 </w:instrText>
      </w:r>
      <w:r w:rsidR="002E12CB"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4</w:t>
      </w:r>
      <w:r w:rsidR="002E12CB" w:rsidRPr="00D716F4">
        <w:rPr>
          <w:rFonts w:eastAsia="Calibri" w:cs="Calibri"/>
          <w:b/>
          <w:iCs/>
          <w:szCs w:val="22"/>
          <w:lang w:val="sr-Latn-ME" w:eastAsia="en-US"/>
        </w:rPr>
        <w:fldChar w:fldCharType="end"/>
      </w:r>
      <w:r w:rsidR="002E12CB" w:rsidRPr="00D716F4">
        <w:rPr>
          <w:szCs w:val="22"/>
          <w:lang w:val="sr-Latn-ME"/>
        </w:rPr>
        <w:t>.</w:t>
      </w:r>
      <w:r w:rsidR="002E12CB" w:rsidRPr="00D716F4">
        <w:rPr>
          <w:rFonts w:eastAsia="Calibri" w:cs="Calibri"/>
          <w:szCs w:val="22"/>
          <w:lang w:val="sr-Latn-ME" w:eastAsia="en-US"/>
        </w:rPr>
        <w:t xml:space="preserve"> </w:t>
      </w:r>
      <w:r w:rsidR="002E12CB" w:rsidRPr="007B1BB7">
        <w:rPr>
          <w:rFonts w:eastAsia="Calibri" w:cs="Calibri"/>
          <w:b/>
          <w:szCs w:val="22"/>
          <w:lang w:val="sr-Latn-ME" w:eastAsia="en-US"/>
        </w:rPr>
        <w:t>Proporcija jedinki preko 95% percentila, u ulovima i MEDITS-u.</w:t>
      </w:r>
      <w:bookmarkEnd w:id="82"/>
    </w:p>
    <w:p w14:paraId="57E8FE7F" w14:textId="77777777" w:rsidR="00971473" w:rsidRDefault="00971473" w:rsidP="00971473">
      <w:pPr>
        <w:spacing w:before="0" w:after="0"/>
        <w:rPr>
          <w:rFonts w:eastAsia="Calibri" w:cs="Calibri"/>
          <w:szCs w:val="22"/>
          <w:lang w:val="sr-Latn-ME" w:eastAsia="en-US"/>
        </w:rPr>
      </w:pPr>
    </w:p>
    <w:p w14:paraId="20783611" w14:textId="3F4BD40E" w:rsidR="00971473" w:rsidRDefault="00971473" w:rsidP="00971473">
      <w:pPr>
        <w:spacing w:before="0" w:after="0"/>
        <w:rPr>
          <w:rFonts w:eastAsia="Calibri" w:cs="Calibri"/>
          <w:szCs w:val="22"/>
          <w:lang w:val="sr-Latn-ME" w:eastAsia="en-US"/>
        </w:rPr>
      </w:pPr>
      <w:r>
        <w:rPr>
          <w:rFonts w:eastAsia="Calibri" w:cs="Calibri"/>
          <w:szCs w:val="22"/>
          <w:lang w:val="sr-Latn-ME" w:eastAsia="en-US"/>
        </w:rPr>
        <w:t>Kozice su imale nešto veću dužinu karapaksa (CL) u komercijalnim ulovima nego u naučnim uzorcima (</w:t>
      </w:r>
      <w:r w:rsidR="00166CB3">
        <w:rPr>
          <w:rFonts w:eastAsia="Calibri" w:cs="Calibri"/>
          <w:szCs w:val="22"/>
          <w:lang w:val="sr-Latn-ME" w:eastAsia="en-US"/>
        </w:rPr>
        <w:t>Slika</w:t>
      </w:r>
      <w:r>
        <w:rPr>
          <w:rFonts w:eastAsia="Calibri" w:cs="Calibri"/>
          <w:szCs w:val="22"/>
          <w:lang w:val="sr-Latn-ME" w:eastAsia="en-US"/>
        </w:rPr>
        <w:t xml:space="preserve"> 2.5). Proporcija jedinki ispod 95% percentila bila je slična u svim slučajevima, ali maksimalna dužina jedinki u komercijalnim ulovima bila je veća nego u naučnim uzorcima (</w:t>
      </w:r>
      <w:r w:rsidR="00166CB3">
        <w:rPr>
          <w:rFonts w:eastAsia="Calibri" w:cs="Calibri"/>
          <w:szCs w:val="22"/>
          <w:lang w:val="sr-Latn-ME" w:eastAsia="en-US"/>
        </w:rPr>
        <w:t>Slika</w:t>
      </w:r>
      <w:r>
        <w:rPr>
          <w:rFonts w:eastAsia="Calibri" w:cs="Calibri"/>
          <w:szCs w:val="22"/>
          <w:lang w:val="sr-Latn-ME" w:eastAsia="en-US"/>
        </w:rPr>
        <w:t xml:space="preserve"> 2.6). Opet, kao i barbun i oslić, udio uzorkovanih jedinki preko 95% percentila pokazao je mnogo veće raspone CL, pogotovo u komercijalnim ulovima. </w:t>
      </w:r>
    </w:p>
    <w:p w14:paraId="3EBEDB2E" w14:textId="77777777" w:rsidR="00971473" w:rsidRPr="00D716F4" w:rsidRDefault="00971473" w:rsidP="00971473">
      <w:pPr>
        <w:spacing w:before="0" w:after="0"/>
        <w:jc w:val="left"/>
        <w:rPr>
          <w:rFonts w:cs="Calibri"/>
          <w:b/>
          <w:bCs/>
          <w:szCs w:val="22"/>
          <w:lang w:val="sr-Latn-ME" w:eastAsia="en-US"/>
        </w:rPr>
      </w:pPr>
    </w:p>
    <w:p w14:paraId="6EDA399A" w14:textId="77777777" w:rsidR="00971473" w:rsidRPr="00D716F4" w:rsidRDefault="00971473" w:rsidP="00971473">
      <w:pPr>
        <w:spacing w:before="0" w:after="0"/>
        <w:rPr>
          <w:rFonts w:eastAsia="Calibri" w:cs="Calibri"/>
          <w:szCs w:val="22"/>
          <w:lang w:val="sr-Latn-ME" w:eastAsia="en-US"/>
        </w:rPr>
      </w:pPr>
    </w:p>
    <w:p w14:paraId="44E0B12C" w14:textId="77777777" w:rsidR="00971473" w:rsidRPr="00D716F4" w:rsidRDefault="00971473" w:rsidP="00971473">
      <w:pPr>
        <w:spacing w:before="0" w:after="0"/>
        <w:jc w:val="left"/>
        <w:rPr>
          <w:rFonts w:eastAsia="Calibri" w:cs="Calibri"/>
          <w:sz w:val="20"/>
          <w:szCs w:val="20"/>
          <w:lang w:val="sr-Latn-ME" w:eastAsia="en-US"/>
        </w:rPr>
      </w:pPr>
      <w:r w:rsidRPr="00D716F4">
        <w:rPr>
          <w:rFonts w:eastAsia="Calibri" w:cs="Calibri"/>
          <w:noProof/>
          <w:sz w:val="20"/>
          <w:szCs w:val="20"/>
          <w:lang w:eastAsia="en-US"/>
        </w:rPr>
        <w:drawing>
          <wp:inline distT="0" distB="0" distL="0" distR="0" wp14:anchorId="095FFAEB" wp14:editId="4229AF36">
            <wp:extent cx="2520000" cy="2743200"/>
            <wp:effectExtent l="0" t="0" r="0" b="0"/>
            <wp:docPr id="418" name="Chart 418">
              <a:extLst xmlns:a="http://schemas.openxmlformats.org/drawingml/2006/main">
                <a:ext uri="{FF2B5EF4-FFF2-40B4-BE49-F238E27FC236}">
                  <a16:creationId xmlns:a16="http://schemas.microsoft.com/office/drawing/2014/main" id="{DC69AB38-9ED6-45FD-A585-6A5AF7AA24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D716F4">
        <w:rPr>
          <w:rFonts w:eastAsia="Calibri" w:cs="Calibri"/>
          <w:noProof/>
          <w:sz w:val="20"/>
          <w:szCs w:val="20"/>
          <w:lang w:eastAsia="en-US"/>
        </w:rPr>
        <w:drawing>
          <wp:inline distT="0" distB="0" distL="0" distR="0" wp14:anchorId="54337A0A" wp14:editId="55DDC027">
            <wp:extent cx="2520000" cy="2743200"/>
            <wp:effectExtent l="0" t="0" r="0" b="0"/>
            <wp:docPr id="419" name="Chart 419">
              <a:extLst xmlns:a="http://schemas.openxmlformats.org/drawingml/2006/main">
                <a:ext uri="{FF2B5EF4-FFF2-40B4-BE49-F238E27FC236}">
                  <a16:creationId xmlns:a16="http://schemas.microsoft.com/office/drawing/2014/main" id="{50E38062-2F0C-4AD8-9D7D-35D8A9430C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D716F4">
        <w:rPr>
          <w:rFonts w:eastAsia="Calibri" w:cs="Calibri"/>
          <w:sz w:val="20"/>
          <w:szCs w:val="20"/>
          <w:lang w:val="sr-Latn-ME" w:eastAsia="en-US"/>
        </w:rPr>
        <w:t xml:space="preserve"> </w:t>
      </w:r>
    </w:p>
    <w:p w14:paraId="6FCCA583" w14:textId="57BF703A" w:rsidR="000413B6" w:rsidRPr="00D716F4" w:rsidRDefault="00166CB3" w:rsidP="00E921C9">
      <w:pPr>
        <w:spacing w:before="0" w:after="0"/>
        <w:jc w:val="center"/>
        <w:rPr>
          <w:rFonts w:cs="Calibri"/>
          <w:szCs w:val="22"/>
          <w:lang w:val="sr-Latn-ME" w:eastAsia="en-US"/>
        </w:rPr>
      </w:pPr>
      <w:bookmarkStart w:id="83" w:name="_Toc83636900"/>
      <w:r>
        <w:rPr>
          <w:rFonts w:cs="Calibri"/>
          <w:b/>
          <w:bCs/>
          <w:szCs w:val="22"/>
          <w:lang w:val="sr-Latn-ME" w:eastAsia="en-US"/>
        </w:rPr>
        <w:t>Slika</w:t>
      </w:r>
      <w:r w:rsidR="000413B6" w:rsidRPr="00D716F4">
        <w:rPr>
          <w:rFonts w:cs="Calibri"/>
          <w:b/>
          <w:bCs/>
          <w:szCs w:val="22"/>
          <w:lang w:val="sr-Latn-ME" w:eastAsia="en-US"/>
        </w:rPr>
        <w:t xml:space="preserve"> </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STYLEREF 1 \s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2</w:t>
      </w:r>
      <w:r w:rsidR="000413B6" w:rsidRPr="00D716F4">
        <w:rPr>
          <w:rFonts w:eastAsia="Calibri" w:cs="Calibri"/>
          <w:b/>
          <w:iCs/>
          <w:szCs w:val="22"/>
          <w:lang w:val="sr-Latn-ME" w:eastAsia="en-US"/>
        </w:rPr>
        <w:fldChar w:fldCharType="end"/>
      </w:r>
      <w:r w:rsidR="000413B6" w:rsidRPr="00D716F4">
        <w:rPr>
          <w:rFonts w:eastAsia="Calibri" w:cs="Calibri"/>
          <w:b/>
          <w:iCs/>
          <w:szCs w:val="22"/>
          <w:lang w:val="sr-Latn-ME" w:eastAsia="en-US"/>
        </w:rPr>
        <w:t>.</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SEQ Figure \* ARABIC \s 1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5</w:t>
      </w:r>
      <w:r w:rsidR="000413B6" w:rsidRPr="00D716F4">
        <w:rPr>
          <w:rFonts w:eastAsia="Calibri" w:cs="Calibri"/>
          <w:b/>
          <w:iCs/>
          <w:szCs w:val="22"/>
          <w:lang w:val="sr-Latn-ME" w:eastAsia="en-US"/>
        </w:rPr>
        <w:fldChar w:fldCharType="end"/>
      </w:r>
      <w:r w:rsidR="000413B6" w:rsidRPr="00D716F4">
        <w:rPr>
          <w:szCs w:val="22"/>
          <w:lang w:val="sr-Latn-ME"/>
        </w:rPr>
        <w:t>.</w:t>
      </w:r>
      <w:r w:rsidR="000413B6" w:rsidRPr="00D716F4">
        <w:rPr>
          <w:rFonts w:eastAsia="Calibri" w:cs="Calibri"/>
          <w:szCs w:val="22"/>
          <w:lang w:val="sr-Latn-ME" w:eastAsia="en-US"/>
        </w:rPr>
        <w:t xml:space="preserve"> </w:t>
      </w:r>
      <w:r w:rsidR="000413B6" w:rsidRPr="00577609">
        <w:rPr>
          <w:rFonts w:eastAsia="Calibri" w:cs="Calibri"/>
          <w:b/>
          <w:szCs w:val="22"/>
          <w:lang w:val="sr-Latn-ME" w:eastAsia="en-US"/>
        </w:rPr>
        <w:t>Srednje dužine kozice, u ulovima i MEDITS-u.</w:t>
      </w:r>
      <w:bookmarkEnd w:id="83"/>
    </w:p>
    <w:p w14:paraId="7AF9B1EF" w14:textId="77777777" w:rsidR="00971473" w:rsidRPr="00D716F4" w:rsidRDefault="00971473" w:rsidP="00971473">
      <w:pPr>
        <w:spacing w:before="0" w:after="0"/>
        <w:jc w:val="left"/>
        <w:rPr>
          <w:rFonts w:eastAsia="Calibri" w:cs="Calibri"/>
          <w:sz w:val="20"/>
          <w:szCs w:val="20"/>
          <w:lang w:val="sr-Latn-ME" w:eastAsia="en-US"/>
        </w:rPr>
      </w:pPr>
    </w:p>
    <w:p w14:paraId="0D50CCC7" w14:textId="77777777" w:rsidR="000413B6" w:rsidRDefault="000413B6" w:rsidP="00971473">
      <w:pPr>
        <w:spacing w:before="0" w:after="0"/>
        <w:jc w:val="left"/>
        <w:rPr>
          <w:rFonts w:eastAsia="Calibri" w:cs="Calibri"/>
          <w:b/>
          <w:bCs/>
          <w:szCs w:val="22"/>
          <w:lang w:val="sr-Latn-ME" w:eastAsia="en-US"/>
        </w:rPr>
      </w:pPr>
      <w:bookmarkStart w:id="84" w:name="_Toc69678455"/>
    </w:p>
    <w:bookmarkEnd w:id="84"/>
    <w:p w14:paraId="2CEB0280" w14:textId="77777777" w:rsidR="00971473" w:rsidRPr="00D716F4" w:rsidRDefault="00971473" w:rsidP="00971473">
      <w:pPr>
        <w:spacing w:before="0" w:after="0"/>
        <w:jc w:val="left"/>
        <w:rPr>
          <w:rFonts w:cs="Calibri"/>
          <w:b/>
          <w:sz w:val="20"/>
          <w:szCs w:val="20"/>
          <w:lang w:val="sr-Latn-ME" w:eastAsia="en-US"/>
        </w:rPr>
      </w:pPr>
      <w:r w:rsidRPr="00D716F4">
        <w:rPr>
          <w:rFonts w:eastAsia="Calibri" w:cs="Calibri"/>
          <w:noProof/>
          <w:sz w:val="20"/>
          <w:szCs w:val="20"/>
          <w:lang w:eastAsia="en-US"/>
        </w:rPr>
        <w:drawing>
          <wp:inline distT="0" distB="0" distL="0" distR="0" wp14:anchorId="37216EF0" wp14:editId="18A9ADB4">
            <wp:extent cx="2520000" cy="2743200"/>
            <wp:effectExtent l="0" t="0" r="0" b="0"/>
            <wp:docPr id="420" name="Chart 420">
              <a:extLst xmlns:a="http://schemas.openxmlformats.org/drawingml/2006/main">
                <a:ext uri="{FF2B5EF4-FFF2-40B4-BE49-F238E27FC236}">
                  <a16:creationId xmlns:a16="http://schemas.microsoft.com/office/drawing/2014/main" id="{B3810D5A-2084-42AC-AA34-C4AA5164F4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D716F4">
        <w:rPr>
          <w:rFonts w:eastAsia="Calibri" w:cs="Calibri"/>
          <w:noProof/>
          <w:sz w:val="20"/>
          <w:szCs w:val="20"/>
          <w:lang w:eastAsia="en-US"/>
        </w:rPr>
        <w:drawing>
          <wp:inline distT="0" distB="0" distL="0" distR="0" wp14:anchorId="407994ED" wp14:editId="13532D54">
            <wp:extent cx="2520000" cy="2743200"/>
            <wp:effectExtent l="0" t="0" r="0" b="0"/>
            <wp:docPr id="421" name="Chart 421">
              <a:extLst xmlns:a="http://schemas.openxmlformats.org/drawingml/2006/main">
                <a:ext uri="{FF2B5EF4-FFF2-40B4-BE49-F238E27FC236}">
                  <a16:creationId xmlns:a16="http://schemas.microsoft.com/office/drawing/2014/main" id="{4C026CEA-1A82-4272-BC55-ED14A2E3C8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A04B3FB" w14:textId="05B6FF65" w:rsidR="000413B6" w:rsidRPr="00577609" w:rsidRDefault="00166CB3" w:rsidP="009C429B">
      <w:pPr>
        <w:spacing w:before="0" w:after="0"/>
        <w:jc w:val="center"/>
        <w:rPr>
          <w:rFonts w:cs="Calibri"/>
          <w:b/>
          <w:sz w:val="20"/>
          <w:szCs w:val="20"/>
          <w:lang w:val="sr-Latn-ME" w:eastAsia="en-US"/>
        </w:rPr>
      </w:pPr>
      <w:bookmarkStart w:id="85" w:name="_Toc83636901"/>
      <w:bookmarkStart w:id="86" w:name="_Toc68078486"/>
      <w:bookmarkStart w:id="87" w:name="_Toc68180751"/>
      <w:bookmarkStart w:id="88" w:name="_Toc68247524"/>
      <w:r>
        <w:rPr>
          <w:rFonts w:eastAsia="Calibri" w:cs="Calibri"/>
          <w:b/>
          <w:bCs/>
          <w:szCs w:val="22"/>
          <w:lang w:val="sr-Latn-ME" w:eastAsia="en-US"/>
        </w:rPr>
        <w:t>Slika</w:t>
      </w:r>
      <w:r w:rsidR="000413B6" w:rsidRPr="00D716F4">
        <w:rPr>
          <w:rFonts w:eastAsia="Calibri" w:cs="Calibri"/>
          <w:b/>
          <w:bCs/>
          <w:szCs w:val="22"/>
          <w:lang w:val="sr-Latn-ME" w:eastAsia="en-US"/>
        </w:rPr>
        <w:t xml:space="preserve"> </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STYLEREF 1 \s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2</w:t>
      </w:r>
      <w:r w:rsidR="000413B6" w:rsidRPr="00D716F4">
        <w:rPr>
          <w:rFonts w:eastAsia="Calibri" w:cs="Calibri"/>
          <w:b/>
          <w:iCs/>
          <w:szCs w:val="22"/>
          <w:lang w:val="sr-Latn-ME" w:eastAsia="en-US"/>
        </w:rPr>
        <w:fldChar w:fldCharType="end"/>
      </w:r>
      <w:r w:rsidR="000413B6" w:rsidRPr="00D716F4">
        <w:rPr>
          <w:rFonts w:eastAsia="Calibri" w:cs="Calibri"/>
          <w:b/>
          <w:iCs/>
          <w:szCs w:val="22"/>
          <w:lang w:val="sr-Latn-ME" w:eastAsia="en-US"/>
        </w:rPr>
        <w:t>.</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SEQ Figure \* ARABIC \s 1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6</w:t>
      </w:r>
      <w:r w:rsidR="000413B6" w:rsidRPr="00D716F4">
        <w:rPr>
          <w:rFonts w:eastAsia="Calibri" w:cs="Calibri"/>
          <w:b/>
          <w:iCs/>
          <w:szCs w:val="22"/>
          <w:lang w:val="sr-Latn-ME" w:eastAsia="en-US"/>
        </w:rPr>
        <w:fldChar w:fldCharType="end"/>
      </w:r>
      <w:r w:rsidR="000413B6" w:rsidRPr="00D716F4">
        <w:rPr>
          <w:szCs w:val="22"/>
          <w:lang w:val="sr-Latn-ME"/>
        </w:rPr>
        <w:t>.</w:t>
      </w:r>
      <w:r w:rsidR="000413B6" w:rsidRPr="00D716F4">
        <w:rPr>
          <w:rFonts w:eastAsia="Calibri" w:cs="Calibri"/>
          <w:szCs w:val="22"/>
          <w:lang w:val="sr-Latn-ME" w:eastAsia="en-US"/>
        </w:rPr>
        <w:t xml:space="preserve"> </w:t>
      </w:r>
      <w:r w:rsidR="000413B6" w:rsidRPr="00577609">
        <w:rPr>
          <w:rFonts w:eastAsia="Calibri" w:cs="Calibri"/>
          <w:b/>
          <w:szCs w:val="22"/>
          <w:lang w:val="sr-Latn-ME" w:eastAsia="en-US"/>
        </w:rPr>
        <w:t>Proporcija jedinki kozice preko 95% percentila, u ulovima i MEDITS-u.</w:t>
      </w:r>
      <w:bookmarkEnd w:id="85"/>
    </w:p>
    <w:p w14:paraId="19D4F697" w14:textId="77777777" w:rsidR="000413B6" w:rsidRDefault="000413B6" w:rsidP="00971473">
      <w:pPr>
        <w:rPr>
          <w:b/>
          <w:lang w:val="sr-Latn-ME" w:eastAsia="en-US"/>
        </w:rPr>
      </w:pPr>
    </w:p>
    <w:p w14:paraId="716C3812" w14:textId="77777777" w:rsidR="00E921C9" w:rsidRDefault="00E921C9" w:rsidP="00E800A8">
      <w:pPr>
        <w:spacing w:after="240"/>
        <w:rPr>
          <w:b/>
          <w:lang w:val="sr-Latn-ME" w:eastAsia="en-US"/>
        </w:rPr>
      </w:pPr>
    </w:p>
    <w:p w14:paraId="032F9647" w14:textId="53A4D604" w:rsidR="00E800A8" w:rsidRDefault="00971473" w:rsidP="00E800A8">
      <w:pPr>
        <w:spacing w:after="240"/>
        <w:rPr>
          <w:b/>
          <w:lang w:val="en-GB" w:eastAsia="en-US"/>
        </w:rPr>
      </w:pPr>
      <w:r w:rsidRPr="00D716F4">
        <w:rPr>
          <w:b/>
          <w:lang w:val="sr-Latn-ME" w:eastAsia="en-US"/>
        </w:rPr>
        <w:t>Pelag</w:t>
      </w:r>
      <w:bookmarkEnd w:id="86"/>
      <w:bookmarkEnd w:id="87"/>
      <w:bookmarkEnd w:id="88"/>
      <w:r>
        <w:rPr>
          <w:b/>
          <w:lang w:val="sr-Latn-ME" w:eastAsia="en-US"/>
        </w:rPr>
        <w:t>i</w:t>
      </w:r>
      <w:r>
        <w:rPr>
          <w:b/>
          <w:lang w:val="en-GB" w:eastAsia="en-US"/>
        </w:rPr>
        <w:t>čna zajednica</w:t>
      </w:r>
    </w:p>
    <w:p w14:paraId="47023ED8" w14:textId="77777777" w:rsidR="00971473" w:rsidRDefault="00971473" w:rsidP="00E800A8">
      <w:pPr>
        <w:spacing w:after="240"/>
        <w:rPr>
          <w:rFonts w:asciiTheme="minorHAnsi" w:eastAsia="Calibri" w:hAnsiTheme="minorHAnsi" w:cs="Calibri"/>
          <w:iCs/>
          <w:szCs w:val="22"/>
          <w:lang w:val="sr-Latn-ME" w:eastAsia="en-US"/>
        </w:rPr>
      </w:pPr>
      <w:r>
        <w:rPr>
          <w:lang w:val="en-GB" w:eastAsia="en-US"/>
        </w:rPr>
        <w:t xml:space="preserve">Srdela </w:t>
      </w:r>
      <w:r w:rsidRPr="00D716F4">
        <w:rPr>
          <w:rFonts w:eastAsia="Calibri" w:cs="Calibri"/>
          <w:bCs/>
          <w:i/>
          <w:color w:val="000000"/>
          <w:szCs w:val="22"/>
          <w:lang w:val="sr-Latn-ME" w:eastAsia="en-US"/>
        </w:rPr>
        <w:t>Sardina pilchardus</w:t>
      </w:r>
      <w:r w:rsidRPr="00D716F4">
        <w:rPr>
          <w:rFonts w:eastAsia="Calibri" w:cs="Calibri"/>
          <w:bCs/>
          <w:color w:val="000000"/>
          <w:szCs w:val="22"/>
          <w:lang w:val="sr-Latn-ME" w:eastAsia="en-US"/>
        </w:rPr>
        <w:t xml:space="preserve"> (Walbaum, 1792)</w:t>
      </w:r>
      <w:r>
        <w:rPr>
          <w:rFonts w:eastAsia="Calibri" w:cs="Calibri"/>
          <w:bCs/>
          <w:color w:val="000000"/>
          <w:szCs w:val="22"/>
          <w:lang w:val="sr-Latn-ME" w:eastAsia="en-US"/>
        </w:rPr>
        <w:t xml:space="preserve"> i inćun </w:t>
      </w:r>
      <w:r w:rsidRPr="00D716F4">
        <w:rPr>
          <w:rFonts w:eastAsia="Calibri" w:cs="Calibri"/>
          <w:bCs/>
          <w:i/>
          <w:color w:val="000000"/>
          <w:szCs w:val="22"/>
          <w:lang w:val="sr-Latn-ME" w:eastAsia="en-US"/>
        </w:rPr>
        <w:t>Engraulis encrasicolus</w:t>
      </w:r>
      <w:r>
        <w:rPr>
          <w:rFonts w:eastAsia="Calibri" w:cs="Calibri"/>
          <w:bCs/>
          <w:color w:val="000000"/>
          <w:szCs w:val="22"/>
          <w:lang w:val="sr-Latn-ME" w:eastAsia="en-US"/>
        </w:rPr>
        <w:t xml:space="preserve"> (Linnaeus, 1758</w:t>
      </w:r>
      <w:r w:rsidRPr="00D716F4">
        <w:rPr>
          <w:rFonts w:eastAsia="Calibri" w:cs="Calibri"/>
          <w:bCs/>
          <w:color w:val="000000"/>
          <w:szCs w:val="22"/>
          <w:lang w:val="sr-Latn-ME" w:eastAsia="en-US"/>
        </w:rPr>
        <w:t>)</w:t>
      </w:r>
      <w:r>
        <w:rPr>
          <w:rFonts w:eastAsia="Calibri" w:cs="Calibri"/>
          <w:bCs/>
          <w:color w:val="000000"/>
          <w:szCs w:val="22"/>
          <w:lang w:val="sr-Latn-ME" w:eastAsia="en-US"/>
        </w:rPr>
        <w:t xml:space="preserve"> su široko rasprostranjene epipelagične ribe u Jadranu i predstavljaju većinu iskrcaja na Jadranskom moru. Srdela je nešto više rasprostranjena na istočnoj obali Jadrana, a inćun dominira na zapadnoj. Čak iako ima razlika u morfometrijskim, merističkim i ekološkim karakteristikama u stokovima sardele i inćuna u Jadranu, dokazano je da nema dovoljno genetičke heterogenosti između ovih stokova</w:t>
      </w:r>
      <w:r w:rsidRPr="00D716F4">
        <w:rPr>
          <w:rFonts w:eastAsia="Calibri" w:cs="Calibri"/>
          <w:iCs/>
          <w:szCs w:val="22"/>
          <w:lang w:val="sr-Latn-ME" w:eastAsia="en-US"/>
        </w:rPr>
        <w:t xml:space="preserve"> </w:t>
      </w:r>
      <w:r w:rsidRPr="00D716F4">
        <w:rPr>
          <w:rFonts w:asciiTheme="minorHAnsi" w:eastAsia="Calibri" w:hAnsiTheme="minorHAnsi" w:cs="Calibri"/>
          <w:iCs/>
          <w:szCs w:val="22"/>
          <w:lang w:val="sr-Latn-ME" w:eastAsia="en-US"/>
        </w:rPr>
        <w:t>(</w:t>
      </w:r>
      <w:r w:rsidRPr="00D716F4">
        <w:rPr>
          <w:rFonts w:asciiTheme="minorHAnsi" w:eastAsia="Calibri" w:hAnsiTheme="minorHAnsi" w:cs="Calibri"/>
          <w:color w:val="000000"/>
          <w:szCs w:val="22"/>
          <w:lang w:val="sr-Latn-ME" w:eastAsia="en-US"/>
        </w:rPr>
        <w:t xml:space="preserve">Magoulas </w:t>
      </w:r>
      <w:r w:rsidRPr="00D716F4">
        <w:rPr>
          <w:rFonts w:asciiTheme="minorHAnsi" w:eastAsia="Calibri" w:hAnsiTheme="minorHAnsi"/>
          <w:i/>
          <w:iCs/>
          <w:color w:val="000000"/>
          <w:szCs w:val="22"/>
          <w:lang w:val="sr-Latn-ME" w:eastAsia="en-US"/>
        </w:rPr>
        <w:t>et al.</w:t>
      </w:r>
      <w:r w:rsidRPr="00D716F4">
        <w:rPr>
          <w:rFonts w:asciiTheme="minorHAnsi" w:eastAsia="Calibri" w:hAnsiTheme="minorHAnsi"/>
          <w:color w:val="000000"/>
          <w:szCs w:val="22"/>
          <w:lang w:val="sr-Latn-ME" w:eastAsia="en-US"/>
        </w:rPr>
        <w:t xml:space="preserve">, </w:t>
      </w:r>
      <w:r w:rsidRPr="00D716F4">
        <w:rPr>
          <w:rFonts w:asciiTheme="minorHAnsi" w:eastAsia="Calibri" w:hAnsiTheme="minorHAnsi" w:cs="Calibri"/>
          <w:color w:val="000000"/>
          <w:szCs w:val="22"/>
          <w:lang w:val="sr-Latn-ME" w:eastAsia="en-US"/>
        </w:rPr>
        <w:t xml:space="preserve">2006; Carvalho </w:t>
      </w:r>
      <w:r w:rsidRPr="00D716F4">
        <w:rPr>
          <w:rFonts w:asciiTheme="minorHAnsi" w:eastAsia="Calibri" w:hAnsiTheme="minorHAnsi" w:cs="Calibri"/>
          <w:i/>
          <w:iCs/>
          <w:color w:val="000000"/>
          <w:szCs w:val="22"/>
          <w:lang w:val="sr-Latn-ME" w:eastAsia="en-US"/>
        </w:rPr>
        <w:t>et al.</w:t>
      </w:r>
      <w:r w:rsidRPr="00D716F4">
        <w:rPr>
          <w:rFonts w:asciiTheme="minorHAnsi" w:eastAsia="Calibri" w:hAnsiTheme="minorHAnsi" w:cs="Calibri"/>
          <w:color w:val="000000"/>
          <w:szCs w:val="22"/>
          <w:lang w:val="sr-Latn-ME" w:eastAsia="en-US"/>
        </w:rPr>
        <w:t xml:space="preserve">, 1994; Tinti </w:t>
      </w:r>
      <w:r w:rsidRPr="00D716F4">
        <w:rPr>
          <w:rFonts w:asciiTheme="minorHAnsi" w:eastAsia="Calibri" w:hAnsiTheme="minorHAnsi" w:cs="Calibri"/>
          <w:i/>
          <w:iCs/>
          <w:color w:val="000000"/>
          <w:szCs w:val="22"/>
          <w:lang w:val="sr-Latn-ME" w:eastAsia="en-US"/>
        </w:rPr>
        <w:t>et al</w:t>
      </w:r>
      <w:r w:rsidRPr="00D716F4">
        <w:rPr>
          <w:rFonts w:asciiTheme="minorHAnsi" w:eastAsia="Calibri" w:hAnsiTheme="minorHAnsi" w:cs="Calibri"/>
          <w:color w:val="000000"/>
          <w:szCs w:val="22"/>
          <w:lang w:val="sr-Latn-ME" w:eastAsia="en-US"/>
        </w:rPr>
        <w:t>., 2002)</w:t>
      </w:r>
      <w:r w:rsidRPr="00D716F4">
        <w:rPr>
          <w:rFonts w:asciiTheme="minorHAnsi" w:eastAsia="Calibri" w:hAnsiTheme="minorHAnsi" w:cs="Calibri"/>
          <w:iCs/>
          <w:szCs w:val="22"/>
          <w:lang w:val="sr-Latn-ME" w:eastAsia="en-US"/>
        </w:rPr>
        <w:t xml:space="preserve">. </w:t>
      </w:r>
    </w:p>
    <w:p w14:paraId="3C31AF06" w14:textId="1F83F6CA" w:rsidR="00971473" w:rsidRPr="00A925E4" w:rsidRDefault="00971473" w:rsidP="00971473">
      <w:pPr>
        <w:rPr>
          <w:lang w:val="en-GB" w:eastAsia="en-US"/>
        </w:rPr>
      </w:pPr>
      <w:r>
        <w:rPr>
          <w:rFonts w:asciiTheme="minorHAnsi" w:eastAsia="Calibri" w:hAnsiTheme="minorHAnsi" w:cs="Calibri"/>
          <w:iCs/>
          <w:szCs w:val="22"/>
          <w:lang w:val="sr-Latn-ME" w:eastAsia="en-US"/>
        </w:rPr>
        <w:t>Za stok srdele u Jadranu, trenutna biomasa je na nivou 157,251 t i iznad je B</w:t>
      </w:r>
      <w:r w:rsidRPr="005C34E2">
        <w:rPr>
          <w:rFonts w:asciiTheme="minorHAnsi" w:eastAsia="Calibri" w:hAnsiTheme="minorHAnsi" w:cs="Calibri"/>
          <w:iCs/>
          <w:szCs w:val="22"/>
          <w:vertAlign w:val="subscript"/>
          <w:lang w:val="sr-Latn-ME" w:eastAsia="en-US"/>
        </w:rPr>
        <w:t>lim</w:t>
      </w:r>
      <w:r>
        <w:rPr>
          <w:rFonts w:asciiTheme="minorHAnsi" w:eastAsia="Calibri" w:hAnsiTheme="minorHAnsi" w:cs="Calibri"/>
          <w:iCs/>
          <w:szCs w:val="22"/>
          <w:vertAlign w:val="superscript"/>
          <w:lang w:val="sr-Latn-ME" w:eastAsia="en-US"/>
        </w:rPr>
        <w:t>2</w:t>
      </w:r>
      <w:r>
        <w:rPr>
          <w:rFonts w:asciiTheme="minorHAnsi" w:eastAsia="Calibri" w:hAnsiTheme="minorHAnsi" w:cs="Calibri"/>
          <w:iCs/>
          <w:szCs w:val="22"/>
          <w:lang w:val="sr-Latn-ME" w:eastAsia="en-US"/>
        </w:rPr>
        <w:t>(125,318 t), ali ispod B</w:t>
      </w:r>
      <w:r w:rsidRPr="005C34E2">
        <w:rPr>
          <w:rFonts w:asciiTheme="minorHAnsi" w:eastAsia="Calibri" w:hAnsiTheme="minorHAnsi" w:cs="Calibri"/>
          <w:iCs/>
          <w:szCs w:val="22"/>
          <w:vertAlign w:val="subscript"/>
          <w:lang w:val="sr-Latn-ME" w:eastAsia="en-US"/>
        </w:rPr>
        <w:t>pa</w:t>
      </w:r>
      <w:r>
        <w:rPr>
          <w:rFonts w:asciiTheme="minorHAnsi" w:eastAsia="Calibri" w:hAnsiTheme="minorHAnsi" w:cs="Calibri"/>
          <w:iCs/>
          <w:szCs w:val="22"/>
          <w:vertAlign w:val="superscript"/>
          <w:lang w:val="sr-Latn-ME" w:eastAsia="en-US"/>
        </w:rPr>
        <w:t>3</w:t>
      </w:r>
      <w:r>
        <w:rPr>
          <w:rFonts w:asciiTheme="minorHAnsi" w:eastAsia="Calibri" w:hAnsiTheme="minorHAnsi" w:cs="Calibri"/>
          <w:iCs/>
          <w:szCs w:val="22"/>
          <w:lang w:val="sr-Latn-ME" w:eastAsia="en-US"/>
        </w:rPr>
        <w:t xml:space="preserve"> (250,636 t) referentnih tački. Nivo eksploatacije od 0.68 je iznat Patterson-ovog praga od 0.4. Podmladak (jednike sa 0 starosti) prati trend SSB, pokazujući i dodatni oporavak u zadnjoj deceniji. Ribolovna smrtnost u 2018 bila je na 1.529 (</w:t>
      </w:r>
      <w:r w:rsidR="00166CB3">
        <w:rPr>
          <w:rFonts w:asciiTheme="minorHAnsi" w:eastAsia="Calibri" w:hAnsiTheme="minorHAnsi" w:cs="Calibri"/>
          <w:iCs/>
          <w:szCs w:val="22"/>
          <w:lang w:val="sr-Latn-ME" w:eastAsia="en-US"/>
        </w:rPr>
        <w:t>Slika</w:t>
      </w:r>
      <w:r>
        <w:rPr>
          <w:rFonts w:asciiTheme="minorHAnsi" w:eastAsia="Calibri" w:hAnsiTheme="minorHAnsi" w:cs="Calibri"/>
          <w:iCs/>
          <w:szCs w:val="22"/>
          <w:lang w:val="sr-Latn-ME" w:eastAsia="en-US"/>
        </w:rPr>
        <w:t xml:space="preserve"> 2.7). Uzimajući u obzir da su biomasa i količina podmlatka stabilne, ali i da je eksploatacija iznad dozvoljenog nivoa, stok srdele je opisan u stanju </w:t>
      </w:r>
      <w:r w:rsidRPr="00A925E4">
        <w:rPr>
          <w:rFonts w:asciiTheme="minorHAnsi" w:eastAsia="Calibri" w:hAnsiTheme="minorHAnsi" w:cs="Calibri"/>
          <w:b/>
          <w:iCs/>
          <w:szCs w:val="22"/>
          <w:lang w:val="sr-Latn-ME" w:eastAsia="en-US"/>
        </w:rPr>
        <w:t>prekomjerne eksploatacije sa relativno srednjom biomasom</w:t>
      </w:r>
      <w:r w:rsidRPr="00D716F4">
        <w:rPr>
          <w:rFonts w:eastAsia="Calibri" w:cs="Calibri"/>
          <w:b/>
          <w:szCs w:val="22"/>
          <w:lang w:val="sr-Latn-ME" w:eastAsia="en-US"/>
        </w:rPr>
        <w:t xml:space="preserve"> </w:t>
      </w:r>
      <w:r w:rsidRPr="00D716F4">
        <w:rPr>
          <w:rFonts w:eastAsia="Calibri" w:cs="Calibri"/>
          <w:bCs/>
          <w:szCs w:val="22"/>
          <w:lang w:val="sr-Latn-ME" w:eastAsia="en-US"/>
        </w:rPr>
        <w:t xml:space="preserve">(Angelini </w:t>
      </w:r>
      <w:r w:rsidRPr="00D716F4">
        <w:rPr>
          <w:rFonts w:eastAsia="Calibri" w:cs="Calibri"/>
          <w:bCs/>
          <w:i/>
          <w:iCs/>
          <w:szCs w:val="22"/>
          <w:lang w:val="sr-Latn-ME" w:eastAsia="en-US"/>
        </w:rPr>
        <w:t>et al.</w:t>
      </w:r>
      <w:r w:rsidRPr="00D716F4">
        <w:rPr>
          <w:rFonts w:eastAsia="Calibri" w:cs="Calibri"/>
          <w:bCs/>
          <w:szCs w:val="22"/>
          <w:lang w:val="sr-Latn-ME" w:eastAsia="en-US"/>
        </w:rPr>
        <w:t>, 2018)</w:t>
      </w:r>
      <w:r w:rsidRPr="00D716F4">
        <w:rPr>
          <w:rFonts w:eastAsia="Calibri" w:cs="Calibri"/>
          <w:b/>
          <w:szCs w:val="22"/>
          <w:lang w:val="sr-Latn-ME" w:eastAsia="en-US"/>
        </w:rPr>
        <w:t>.</w:t>
      </w:r>
    </w:p>
    <w:p w14:paraId="591448C1" w14:textId="77777777" w:rsidR="00971473" w:rsidRDefault="00971473" w:rsidP="00971473">
      <w:pPr>
        <w:spacing w:before="0" w:after="0"/>
        <w:rPr>
          <w:rFonts w:eastAsia="Calibri" w:cs="Calibri"/>
          <w:iCs/>
          <w:szCs w:val="22"/>
          <w:lang w:val="sr-Latn-ME" w:eastAsia="en-US"/>
        </w:rPr>
      </w:pPr>
    </w:p>
    <w:p w14:paraId="7A37EA34" w14:textId="144094A4" w:rsidR="00971473" w:rsidRPr="00E76FD7" w:rsidRDefault="00971473" w:rsidP="00971473">
      <w:pPr>
        <w:spacing w:before="0" w:after="0"/>
        <w:rPr>
          <w:rFonts w:eastAsia="Calibri" w:cs="Calibri"/>
          <w:iCs/>
          <w:szCs w:val="22"/>
          <w:lang w:val="sr-Latn-ME" w:eastAsia="en-US"/>
        </w:rPr>
      </w:pPr>
      <w:r>
        <w:rPr>
          <w:rFonts w:eastAsia="Calibri" w:cs="Calibri"/>
          <w:iCs/>
          <w:szCs w:val="22"/>
          <w:lang w:val="sr-Latn-ME" w:eastAsia="en-US"/>
        </w:rPr>
        <w:t>Za stok inćuna u Jadranu, trenutna biomasa je na nivou od 113,353 t i iznad je B</w:t>
      </w:r>
      <w:r w:rsidRPr="005C34E2">
        <w:rPr>
          <w:rFonts w:eastAsia="Calibri" w:cs="Calibri"/>
          <w:iCs/>
          <w:szCs w:val="22"/>
          <w:vertAlign w:val="subscript"/>
          <w:lang w:val="sr-Latn-ME" w:eastAsia="en-US"/>
        </w:rPr>
        <w:t>lim</w:t>
      </w:r>
      <w:r>
        <w:rPr>
          <w:rFonts w:eastAsia="Calibri" w:cs="Calibri"/>
          <w:iCs/>
          <w:szCs w:val="22"/>
          <w:lang w:val="sr-Latn-ME" w:eastAsia="en-US"/>
        </w:rPr>
        <w:t xml:space="preserve"> (45,936 t) i B</w:t>
      </w:r>
      <w:r w:rsidRPr="005C34E2">
        <w:rPr>
          <w:rFonts w:eastAsia="Calibri" w:cs="Calibri"/>
          <w:iCs/>
          <w:szCs w:val="22"/>
          <w:vertAlign w:val="subscript"/>
          <w:lang w:val="sr-Latn-ME" w:eastAsia="en-US"/>
        </w:rPr>
        <w:t>pa</w:t>
      </w:r>
      <w:r>
        <w:rPr>
          <w:rFonts w:eastAsia="Calibri" w:cs="Calibri"/>
          <w:iCs/>
          <w:szCs w:val="22"/>
          <w:lang w:val="sr-Latn-ME" w:eastAsia="en-US"/>
        </w:rPr>
        <w:t xml:space="preserve"> (91,872) referentnih tačaka, dok je nivo eksploatacije na 0.53, što je malo iznad Patterson-ovog praga od 0.4. Trend biomase i količine podmlatka pokazuje rast tokom posljednjih godina. Ribolovna smrtnost za prošlu godinu iznosila je 1.075 (</w:t>
      </w:r>
      <w:r w:rsidR="00166CB3">
        <w:rPr>
          <w:rFonts w:eastAsia="Calibri" w:cs="Calibri"/>
          <w:iCs/>
          <w:szCs w:val="22"/>
          <w:lang w:val="sr-Latn-ME" w:eastAsia="en-US"/>
        </w:rPr>
        <w:t>Slika</w:t>
      </w:r>
      <w:r>
        <w:rPr>
          <w:rFonts w:eastAsia="Calibri" w:cs="Calibri"/>
          <w:iCs/>
          <w:szCs w:val="22"/>
          <w:lang w:val="sr-Latn-ME" w:eastAsia="en-US"/>
        </w:rPr>
        <w:t xml:space="preserve"> 2.8). Uzimajući u obzir da je biomasa preko referentnih tačaka, ali i da je eksploatacija nešto preko praga, stok inćuna opisan je u stanju </w:t>
      </w:r>
      <w:r w:rsidRPr="00E76FD7">
        <w:rPr>
          <w:rFonts w:eastAsia="Calibri" w:cs="Calibri"/>
          <w:b/>
          <w:iCs/>
          <w:szCs w:val="22"/>
          <w:lang w:val="sr-Latn-ME" w:eastAsia="en-US"/>
        </w:rPr>
        <w:t>prelova sa relativno visokom biomasom</w:t>
      </w:r>
      <w:r w:rsidRPr="00D716F4">
        <w:rPr>
          <w:rFonts w:eastAsia="Calibri" w:cs="Calibri"/>
          <w:b/>
          <w:szCs w:val="22"/>
          <w:lang w:val="sr-Latn-ME" w:eastAsia="en-US"/>
        </w:rPr>
        <w:t xml:space="preserve"> </w:t>
      </w:r>
      <w:r w:rsidRPr="00D716F4">
        <w:rPr>
          <w:rFonts w:eastAsia="Calibri" w:cs="Calibri"/>
          <w:bCs/>
          <w:szCs w:val="22"/>
          <w:lang w:val="sr-Latn-ME" w:eastAsia="en-US"/>
        </w:rPr>
        <w:t xml:space="preserve">(Angelini </w:t>
      </w:r>
      <w:r w:rsidRPr="00D716F4">
        <w:rPr>
          <w:rFonts w:eastAsia="Calibri" w:cs="Calibri"/>
          <w:bCs/>
          <w:i/>
          <w:iCs/>
          <w:szCs w:val="22"/>
          <w:lang w:val="sr-Latn-ME" w:eastAsia="en-US"/>
        </w:rPr>
        <w:t>et al.</w:t>
      </w:r>
      <w:r w:rsidRPr="00D716F4">
        <w:rPr>
          <w:rFonts w:eastAsia="Calibri" w:cs="Calibri"/>
          <w:bCs/>
          <w:szCs w:val="22"/>
          <w:lang w:val="sr-Latn-ME" w:eastAsia="en-US"/>
        </w:rPr>
        <w:t>, 2018)</w:t>
      </w:r>
      <w:r w:rsidRPr="00D716F4">
        <w:rPr>
          <w:rFonts w:eastAsia="Calibri" w:cs="Calibri"/>
          <w:b/>
          <w:szCs w:val="22"/>
          <w:lang w:val="sr-Latn-ME" w:eastAsia="en-US"/>
        </w:rPr>
        <w:t>.</w:t>
      </w:r>
    </w:p>
    <w:p w14:paraId="4E20C1C7" w14:textId="77777777" w:rsidR="00971473" w:rsidRPr="00D716F4" w:rsidRDefault="00971473" w:rsidP="00971473">
      <w:pPr>
        <w:autoSpaceDE w:val="0"/>
        <w:autoSpaceDN w:val="0"/>
        <w:adjustRightInd w:val="0"/>
        <w:spacing w:before="0" w:after="0"/>
        <w:rPr>
          <w:rFonts w:cs="Calibri"/>
          <w:b/>
          <w:sz w:val="20"/>
          <w:szCs w:val="20"/>
          <w:lang w:val="sr-Latn-ME" w:eastAsia="en-US"/>
        </w:rPr>
      </w:pPr>
    </w:p>
    <w:p w14:paraId="35D0AE74" w14:textId="77777777" w:rsidR="00971473" w:rsidRPr="00D716F4" w:rsidRDefault="00971473" w:rsidP="00971473">
      <w:pPr>
        <w:autoSpaceDE w:val="0"/>
        <w:autoSpaceDN w:val="0"/>
        <w:adjustRightInd w:val="0"/>
        <w:spacing w:before="0" w:after="0"/>
        <w:rPr>
          <w:rFonts w:cs="Calibri"/>
          <w:b/>
          <w:sz w:val="20"/>
          <w:szCs w:val="20"/>
          <w:lang w:val="sr-Latn-ME" w:eastAsia="en-US"/>
        </w:rPr>
      </w:pPr>
    </w:p>
    <w:p w14:paraId="21C15E93" w14:textId="77777777" w:rsidR="00971473" w:rsidRPr="00D716F4" w:rsidRDefault="00971473" w:rsidP="00971473">
      <w:pPr>
        <w:autoSpaceDE w:val="0"/>
        <w:autoSpaceDN w:val="0"/>
        <w:adjustRightInd w:val="0"/>
        <w:spacing w:before="0" w:after="0"/>
        <w:jc w:val="center"/>
        <w:rPr>
          <w:rFonts w:cs="Calibri"/>
          <w:b/>
          <w:sz w:val="20"/>
          <w:szCs w:val="20"/>
          <w:lang w:val="sr-Latn-ME" w:eastAsia="en-US"/>
        </w:rPr>
      </w:pPr>
      <w:r w:rsidRPr="00D716F4">
        <w:rPr>
          <w:rFonts w:eastAsia="Calibri" w:cs="Calibri"/>
          <w:b/>
          <w:noProof/>
          <w:sz w:val="20"/>
          <w:szCs w:val="20"/>
          <w:lang w:eastAsia="en-US"/>
        </w:rPr>
        <w:drawing>
          <wp:inline distT="0" distB="0" distL="0" distR="0" wp14:anchorId="78FEB233" wp14:editId="5E0741B1">
            <wp:extent cx="3177540" cy="3191974"/>
            <wp:effectExtent l="0" t="0" r="3810" b="889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02182" cy="3216728"/>
                    </a:xfrm>
                    <a:prstGeom prst="rect">
                      <a:avLst/>
                    </a:prstGeom>
                    <a:noFill/>
                    <a:ln>
                      <a:noFill/>
                    </a:ln>
                  </pic:spPr>
                </pic:pic>
              </a:graphicData>
            </a:graphic>
          </wp:inline>
        </w:drawing>
      </w:r>
    </w:p>
    <w:p w14:paraId="1255FD5B" w14:textId="77777777" w:rsidR="00971473" w:rsidRPr="00D716F4" w:rsidRDefault="00971473" w:rsidP="00971473">
      <w:pPr>
        <w:autoSpaceDE w:val="0"/>
        <w:autoSpaceDN w:val="0"/>
        <w:adjustRightInd w:val="0"/>
        <w:spacing w:before="0" w:after="0"/>
        <w:jc w:val="center"/>
        <w:rPr>
          <w:rFonts w:cs="Calibri"/>
          <w:b/>
          <w:szCs w:val="22"/>
          <w:lang w:val="sr-Latn-ME" w:eastAsia="en-US"/>
        </w:rPr>
      </w:pPr>
    </w:p>
    <w:p w14:paraId="6BA56C34" w14:textId="03ED3DCA" w:rsidR="000413B6" w:rsidRPr="00D716F4" w:rsidRDefault="00166CB3" w:rsidP="000413B6">
      <w:pPr>
        <w:autoSpaceDE w:val="0"/>
        <w:autoSpaceDN w:val="0"/>
        <w:adjustRightInd w:val="0"/>
        <w:spacing w:before="0" w:after="0"/>
        <w:jc w:val="center"/>
        <w:rPr>
          <w:rFonts w:eastAsia="Calibri" w:cs="Calibri"/>
          <w:b/>
          <w:iCs/>
          <w:color w:val="000000"/>
          <w:szCs w:val="22"/>
          <w:bdr w:val="none" w:sz="0" w:space="0" w:color="auto" w:frame="1"/>
          <w:lang w:val="sr-Latn-ME" w:eastAsia="en-US"/>
        </w:rPr>
      </w:pPr>
      <w:bookmarkStart w:id="89" w:name="_Toc83636902"/>
      <w:r>
        <w:rPr>
          <w:rFonts w:cs="Calibri"/>
          <w:b/>
          <w:szCs w:val="22"/>
          <w:lang w:val="sr-Latn-ME" w:eastAsia="en-US"/>
        </w:rPr>
        <w:t>Slika</w:t>
      </w:r>
      <w:r w:rsidR="000413B6" w:rsidRPr="00D716F4">
        <w:rPr>
          <w:rFonts w:eastAsia="Calibri" w:cs="Calibri"/>
          <w:b/>
          <w:bCs/>
          <w:szCs w:val="22"/>
          <w:lang w:val="sr-Latn-ME" w:eastAsia="en-US"/>
        </w:rPr>
        <w:t xml:space="preserve"> </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STYLEREF 1 \s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2</w:t>
      </w:r>
      <w:r w:rsidR="000413B6" w:rsidRPr="00D716F4">
        <w:rPr>
          <w:rFonts w:eastAsia="Calibri" w:cs="Calibri"/>
          <w:b/>
          <w:iCs/>
          <w:szCs w:val="22"/>
          <w:lang w:val="sr-Latn-ME" w:eastAsia="en-US"/>
        </w:rPr>
        <w:fldChar w:fldCharType="end"/>
      </w:r>
      <w:r w:rsidR="000413B6" w:rsidRPr="00D716F4">
        <w:rPr>
          <w:rFonts w:eastAsia="Calibri" w:cs="Calibri"/>
          <w:b/>
          <w:iCs/>
          <w:szCs w:val="22"/>
          <w:lang w:val="sr-Latn-ME" w:eastAsia="en-US"/>
        </w:rPr>
        <w:t>.</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SEQ Figure \* ARABIC \s 1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7</w:t>
      </w:r>
      <w:r w:rsidR="000413B6" w:rsidRPr="00D716F4">
        <w:rPr>
          <w:rFonts w:eastAsia="Calibri" w:cs="Calibri"/>
          <w:b/>
          <w:iCs/>
          <w:szCs w:val="22"/>
          <w:lang w:val="sr-Latn-ME" w:eastAsia="en-US"/>
        </w:rPr>
        <w:fldChar w:fldCharType="end"/>
      </w:r>
      <w:r w:rsidR="000413B6" w:rsidRPr="00D716F4">
        <w:rPr>
          <w:szCs w:val="22"/>
          <w:lang w:val="sr-Latn-ME"/>
        </w:rPr>
        <w:t>.</w:t>
      </w:r>
      <w:r w:rsidR="000413B6" w:rsidRPr="00D716F4">
        <w:rPr>
          <w:rFonts w:eastAsia="Calibri" w:cs="Calibri"/>
          <w:szCs w:val="22"/>
          <w:lang w:val="sr-Latn-ME" w:eastAsia="en-US"/>
        </w:rPr>
        <w:t xml:space="preserve"> </w:t>
      </w:r>
      <w:r w:rsidR="000413B6" w:rsidRPr="00E76FD7">
        <w:rPr>
          <w:rFonts w:eastAsia="Calibri" w:cs="Calibri"/>
          <w:b/>
          <w:szCs w:val="22"/>
          <w:lang w:val="sr-Latn-ME" w:eastAsia="en-US"/>
        </w:rPr>
        <w:t xml:space="preserve">Rezultati SAM modela za srdelu: SSB, F i procjena </w:t>
      </w:r>
      <w:r w:rsidR="000413B6">
        <w:rPr>
          <w:rFonts w:eastAsia="Calibri" w:cs="Calibri"/>
          <w:b/>
          <w:szCs w:val="22"/>
          <w:lang w:val="sr-Latn-ME" w:eastAsia="en-US"/>
        </w:rPr>
        <w:t>podmlatka</w:t>
      </w:r>
      <w:r w:rsidR="000413B6" w:rsidRPr="00E76FD7">
        <w:rPr>
          <w:rFonts w:eastAsia="Calibri" w:cs="Calibri"/>
          <w:b/>
          <w:szCs w:val="22"/>
          <w:lang w:val="sr-Latn-ME" w:eastAsia="en-US"/>
        </w:rPr>
        <w:t>.</w:t>
      </w:r>
      <w:bookmarkEnd w:id="89"/>
    </w:p>
    <w:p w14:paraId="7FAC68FB" w14:textId="77777777" w:rsidR="00971473" w:rsidRPr="00D716F4" w:rsidRDefault="00971473" w:rsidP="00971473">
      <w:pPr>
        <w:autoSpaceDE w:val="0"/>
        <w:autoSpaceDN w:val="0"/>
        <w:adjustRightInd w:val="0"/>
        <w:spacing w:before="0" w:after="0"/>
        <w:jc w:val="center"/>
        <w:rPr>
          <w:rFonts w:cs="Calibri"/>
          <w:b/>
          <w:szCs w:val="22"/>
          <w:lang w:val="sr-Latn-ME" w:eastAsia="en-US"/>
        </w:rPr>
      </w:pPr>
    </w:p>
    <w:p w14:paraId="73358CAB" w14:textId="77777777" w:rsidR="00480592" w:rsidRDefault="00480592" w:rsidP="00971473">
      <w:pPr>
        <w:autoSpaceDE w:val="0"/>
        <w:autoSpaceDN w:val="0"/>
        <w:adjustRightInd w:val="0"/>
        <w:spacing w:before="0" w:after="0"/>
        <w:jc w:val="center"/>
        <w:rPr>
          <w:rFonts w:cs="Calibri"/>
          <w:b/>
          <w:szCs w:val="22"/>
          <w:lang w:val="sr-Latn-ME" w:eastAsia="en-US"/>
        </w:rPr>
      </w:pPr>
      <w:bookmarkStart w:id="90" w:name="_Toc69678457"/>
    </w:p>
    <w:p w14:paraId="233D2570" w14:textId="77777777" w:rsidR="00480592" w:rsidRDefault="00480592" w:rsidP="00971473">
      <w:pPr>
        <w:autoSpaceDE w:val="0"/>
        <w:autoSpaceDN w:val="0"/>
        <w:adjustRightInd w:val="0"/>
        <w:spacing w:before="0" w:after="0"/>
        <w:jc w:val="center"/>
        <w:rPr>
          <w:rFonts w:cs="Calibri"/>
          <w:b/>
          <w:szCs w:val="22"/>
          <w:lang w:val="sr-Latn-ME" w:eastAsia="en-US"/>
        </w:rPr>
      </w:pPr>
    </w:p>
    <w:bookmarkEnd w:id="90"/>
    <w:p w14:paraId="59BBB1C0" w14:textId="77777777" w:rsidR="00971473" w:rsidRPr="00D716F4" w:rsidRDefault="00971473" w:rsidP="00971473">
      <w:pPr>
        <w:autoSpaceDE w:val="0"/>
        <w:autoSpaceDN w:val="0"/>
        <w:adjustRightInd w:val="0"/>
        <w:spacing w:before="0" w:after="0"/>
        <w:jc w:val="center"/>
        <w:rPr>
          <w:rFonts w:cs="Calibri"/>
          <w:b/>
          <w:sz w:val="20"/>
          <w:szCs w:val="20"/>
          <w:lang w:val="sr-Latn-ME" w:eastAsia="en-US"/>
        </w:rPr>
      </w:pPr>
      <w:r w:rsidRPr="00D716F4">
        <w:rPr>
          <w:rFonts w:eastAsia="Calibri" w:cs="Calibri"/>
          <w:b/>
          <w:noProof/>
          <w:sz w:val="20"/>
          <w:szCs w:val="20"/>
          <w:highlight w:val="yellow"/>
          <w:lang w:eastAsia="en-US"/>
        </w:rPr>
        <w:drawing>
          <wp:inline distT="0" distB="0" distL="0" distR="0" wp14:anchorId="5770042F" wp14:editId="7F5D5397">
            <wp:extent cx="3672840" cy="3634017"/>
            <wp:effectExtent l="0" t="0" r="3810" b="508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26192" cy="3686805"/>
                    </a:xfrm>
                    <a:prstGeom prst="rect">
                      <a:avLst/>
                    </a:prstGeom>
                    <a:noFill/>
                    <a:ln>
                      <a:noFill/>
                    </a:ln>
                  </pic:spPr>
                </pic:pic>
              </a:graphicData>
            </a:graphic>
          </wp:inline>
        </w:drawing>
      </w:r>
    </w:p>
    <w:p w14:paraId="109F08EA" w14:textId="77777777" w:rsidR="00971473" w:rsidRPr="00D716F4" w:rsidRDefault="00971473" w:rsidP="00971473">
      <w:pPr>
        <w:autoSpaceDE w:val="0"/>
        <w:autoSpaceDN w:val="0"/>
        <w:adjustRightInd w:val="0"/>
        <w:spacing w:before="0" w:after="0"/>
        <w:rPr>
          <w:rFonts w:eastAsia="Calibri" w:cs="Calibri"/>
          <w:bCs/>
          <w:color w:val="000000"/>
          <w:szCs w:val="22"/>
          <w:lang w:val="sr-Latn-ME" w:eastAsia="en-US"/>
        </w:rPr>
      </w:pPr>
    </w:p>
    <w:p w14:paraId="3141122C" w14:textId="1B93E7D1" w:rsidR="000413B6" w:rsidRPr="00D716F4" w:rsidRDefault="00166CB3" w:rsidP="00E921C9">
      <w:pPr>
        <w:autoSpaceDE w:val="0"/>
        <w:autoSpaceDN w:val="0"/>
        <w:adjustRightInd w:val="0"/>
        <w:spacing w:before="0" w:after="0"/>
        <w:jc w:val="center"/>
        <w:rPr>
          <w:rFonts w:eastAsia="Calibri" w:cs="Calibri"/>
          <w:b/>
          <w:iCs/>
          <w:color w:val="000000"/>
          <w:szCs w:val="22"/>
          <w:bdr w:val="none" w:sz="0" w:space="0" w:color="auto" w:frame="1"/>
          <w:lang w:val="sr-Latn-ME" w:eastAsia="en-US"/>
        </w:rPr>
      </w:pPr>
      <w:bookmarkStart w:id="91" w:name="_Toc83636903"/>
      <w:r>
        <w:rPr>
          <w:rFonts w:cs="Calibri"/>
          <w:b/>
          <w:szCs w:val="22"/>
          <w:lang w:val="sr-Latn-ME" w:eastAsia="en-US"/>
        </w:rPr>
        <w:t>Slika</w:t>
      </w:r>
      <w:r w:rsidR="000413B6" w:rsidRPr="00D716F4">
        <w:rPr>
          <w:rFonts w:eastAsia="Calibri" w:cs="Calibri"/>
          <w:b/>
          <w:bCs/>
          <w:szCs w:val="22"/>
          <w:lang w:val="sr-Latn-ME" w:eastAsia="en-US"/>
        </w:rPr>
        <w:t xml:space="preserve"> </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STYLEREF 1 \s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2</w:t>
      </w:r>
      <w:r w:rsidR="000413B6" w:rsidRPr="00D716F4">
        <w:rPr>
          <w:rFonts w:eastAsia="Calibri" w:cs="Calibri"/>
          <w:b/>
          <w:iCs/>
          <w:szCs w:val="22"/>
          <w:lang w:val="sr-Latn-ME" w:eastAsia="en-US"/>
        </w:rPr>
        <w:fldChar w:fldCharType="end"/>
      </w:r>
      <w:r w:rsidR="000413B6" w:rsidRPr="00D716F4">
        <w:rPr>
          <w:rFonts w:eastAsia="Calibri" w:cs="Calibri"/>
          <w:b/>
          <w:iCs/>
          <w:szCs w:val="22"/>
          <w:lang w:val="sr-Latn-ME" w:eastAsia="en-US"/>
        </w:rPr>
        <w:t>.</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SEQ Figure \* ARABIC \s 1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8</w:t>
      </w:r>
      <w:r w:rsidR="000413B6" w:rsidRPr="00D716F4">
        <w:rPr>
          <w:rFonts w:eastAsia="Calibri" w:cs="Calibri"/>
          <w:b/>
          <w:iCs/>
          <w:szCs w:val="22"/>
          <w:lang w:val="sr-Latn-ME" w:eastAsia="en-US"/>
        </w:rPr>
        <w:fldChar w:fldCharType="end"/>
      </w:r>
      <w:r w:rsidR="000413B6" w:rsidRPr="00D716F4">
        <w:rPr>
          <w:szCs w:val="22"/>
          <w:lang w:val="sr-Latn-ME"/>
        </w:rPr>
        <w:t>.</w:t>
      </w:r>
      <w:r w:rsidR="000413B6" w:rsidRPr="00D716F4">
        <w:rPr>
          <w:rFonts w:eastAsia="Calibri" w:cs="Calibri"/>
          <w:szCs w:val="22"/>
          <w:lang w:val="sr-Latn-ME" w:eastAsia="en-US"/>
        </w:rPr>
        <w:t xml:space="preserve"> </w:t>
      </w:r>
      <w:r w:rsidR="000413B6" w:rsidRPr="00E76FD7">
        <w:rPr>
          <w:rFonts w:eastAsia="Calibri" w:cs="Calibri"/>
          <w:b/>
          <w:szCs w:val="22"/>
          <w:lang w:val="sr-Latn-ME" w:eastAsia="en-US"/>
        </w:rPr>
        <w:t xml:space="preserve">Rezultati SAM </w:t>
      </w:r>
      <w:r w:rsidR="000413B6">
        <w:rPr>
          <w:rFonts w:eastAsia="Calibri" w:cs="Calibri"/>
          <w:b/>
          <w:szCs w:val="22"/>
          <w:lang w:val="sr-Latn-ME" w:eastAsia="en-US"/>
        </w:rPr>
        <w:t>modela za inćuna: SSB, F i procjena podmlatka</w:t>
      </w:r>
      <w:r w:rsidR="000413B6" w:rsidRPr="00E76FD7">
        <w:rPr>
          <w:rFonts w:eastAsia="Calibri" w:cs="Calibri"/>
          <w:b/>
          <w:szCs w:val="22"/>
          <w:lang w:val="sr-Latn-ME" w:eastAsia="en-US"/>
        </w:rPr>
        <w:t>.</w:t>
      </w:r>
      <w:bookmarkEnd w:id="91"/>
    </w:p>
    <w:p w14:paraId="30CC8618" w14:textId="77777777" w:rsidR="000413B6" w:rsidRDefault="000413B6" w:rsidP="00971473">
      <w:pPr>
        <w:autoSpaceDE w:val="0"/>
        <w:autoSpaceDN w:val="0"/>
        <w:adjustRightInd w:val="0"/>
        <w:spacing w:before="0" w:after="160"/>
        <w:rPr>
          <w:rFonts w:eastAsia="Calibri" w:cs="Calibri"/>
          <w:bCs/>
          <w:color w:val="000000"/>
          <w:szCs w:val="22"/>
          <w:lang w:val="sr-Latn-ME" w:eastAsia="en-US"/>
        </w:rPr>
      </w:pPr>
    </w:p>
    <w:p w14:paraId="4025BDA4" w14:textId="36F05528" w:rsidR="00971473" w:rsidRPr="00E76FD7" w:rsidRDefault="00971473" w:rsidP="00971473">
      <w:pPr>
        <w:autoSpaceDE w:val="0"/>
        <w:autoSpaceDN w:val="0"/>
        <w:adjustRightInd w:val="0"/>
        <w:spacing w:before="0" w:after="160"/>
        <w:rPr>
          <w:rFonts w:eastAsia="Calibri" w:cs="Calibri"/>
          <w:bCs/>
          <w:color w:val="000000"/>
          <w:szCs w:val="22"/>
          <w:lang w:val="sr-Latn-ME" w:eastAsia="en-US"/>
        </w:rPr>
      </w:pPr>
      <w:r>
        <w:rPr>
          <w:rFonts w:eastAsia="Calibri" w:cs="Calibri"/>
          <w:bCs/>
          <w:color w:val="000000"/>
          <w:szCs w:val="22"/>
          <w:lang w:val="sr-Latn-ME" w:eastAsia="en-US"/>
        </w:rPr>
        <w:t>Srednje dužine srdela</w:t>
      </w:r>
      <w:r w:rsidRPr="00E76FD7">
        <w:rPr>
          <w:rFonts w:eastAsia="Calibri" w:cs="Calibri"/>
          <w:bCs/>
          <w:color w:val="000000"/>
          <w:szCs w:val="22"/>
          <w:lang w:val="sr-Latn-ME" w:eastAsia="en-US"/>
        </w:rPr>
        <w:t xml:space="preserve"> u ulovu bile su manje-više stabilne tokom 3 godine ispitivanja, a srednja dužina jedinki ulova manja je od srednje dužine jedin</w:t>
      </w:r>
      <w:r>
        <w:rPr>
          <w:rFonts w:eastAsia="Calibri" w:cs="Calibri"/>
          <w:bCs/>
          <w:color w:val="000000"/>
          <w:szCs w:val="22"/>
          <w:lang w:val="sr-Latn-ME" w:eastAsia="en-US"/>
        </w:rPr>
        <w:t>ki iz MEDIAS istraživanja (</w:t>
      </w:r>
      <w:r w:rsidR="00166CB3">
        <w:rPr>
          <w:rFonts w:eastAsia="Calibri" w:cs="Calibri"/>
          <w:bCs/>
          <w:color w:val="000000"/>
          <w:szCs w:val="22"/>
          <w:lang w:val="sr-Latn-ME" w:eastAsia="en-US"/>
        </w:rPr>
        <w:t>Slika</w:t>
      </w:r>
      <w:r w:rsidRPr="00E76FD7">
        <w:rPr>
          <w:rFonts w:eastAsia="Calibri" w:cs="Calibri"/>
          <w:bCs/>
          <w:color w:val="000000"/>
          <w:szCs w:val="22"/>
          <w:lang w:val="sr-Latn-ME" w:eastAsia="en-US"/>
        </w:rPr>
        <w:t xml:space="preserve"> 2.9.). Ovo je posl</w:t>
      </w:r>
      <w:r>
        <w:rPr>
          <w:rFonts w:eastAsia="Calibri" w:cs="Calibri"/>
          <w:bCs/>
          <w:color w:val="000000"/>
          <w:szCs w:val="22"/>
          <w:lang w:val="sr-Latn-ME" w:eastAsia="en-US"/>
        </w:rPr>
        <w:t>j</w:t>
      </w:r>
      <w:r w:rsidRPr="00E76FD7">
        <w:rPr>
          <w:rFonts w:eastAsia="Calibri" w:cs="Calibri"/>
          <w:bCs/>
          <w:color w:val="000000"/>
          <w:szCs w:val="22"/>
          <w:lang w:val="sr-Latn-ME" w:eastAsia="en-US"/>
        </w:rPr>
        <w:t>edica uzoraka koji pripadaju području Bokokotorskog zal</w:t>
      </w:r>
      <w:r>
        <w:rPr>
          <w:rFonts w:eastAsia="Calibri" w:cs="Calibri"/>
          <w:bCs/>
          <w:color w:val="000000"/>
          <w:szCs w:val="22"/>
          <w:lang w:val="sr-Latn-ME" w:eastAsia="en-US"/>
        </w:rPr>
        <w:t>iva. Ove jedinke</w:t>
      </w:r>
      <w:r w:rsidRPr="00E76FD7">
        <w:rPr>
          <w:rFonts w:eastAsia="Calibri" w:cs="Calibri"/>
          <w:bCs/>
          <w:color w:val="000000"/>
          <w:szCs w:val="22"/>
          <w:lang w:val="sr-Latn-ME" w:eastAsia="en-US"/>
        </w:rPr>
        <w:t xml:space="preserve"> su uhvaćene pomoću </w:t>
      </w:r>
      <w:r>
        <w:rPr>
          <w:rFonts w:eastAsia="Calibri" w:cs="Calibri"/>
          <w:bCs/>
          <w:color w:val="000000"/>
          <w:szCs w:val="22"/>
          <w:lang w:val="sr-Latn-ME" w:eastAsia="en-US"/>
        </w:rPr>
        <w:t xml:space="preserve">obalnih mreža potegača, </w:t>
      </w:r>
      <w:r w:rsidRPr="00E76FD7">
        <w:rPr>
          <w:rFonts w:eastAsia="Calibri" w:cs="Calibri"/>
          <w:bCs/>
          <w:color w:val="000000"/>
          <w:szCs w:val="22"/>
          <w:lang w:val="sr-Latn-ME" w:eastAsia="en-US"/>
        </w:rPr>
        <w:t xml:space="preserve">koje tradicionalno ciljaju određeni deo </w:t>
      </w:r>
      <w:r>
        <w:rPr>
          <w:rFonts w:eastAsia="Calibri" w:cs="Calibri"/>
          <w:bCs/>
          <w:color w:val="000000"/>
          <w:szCs w:val="22"/>
          <w:lang w:val="sr-Latn-ME" w:eastAsia="en-US"/>
        </w:rPr>
        <w:t>juvenilne populacije srdele</w:t>
      </w:r>
      <w:r w:rsidRPr="00E76FD7">
        <w:rPr>
          <w:rFonts w:eastAsia="Calibri" w:cs="Calibri"/>
          <w:bCs/>
          <w:color w:val="000000"/>
          <w:szCs w:val="22"/>
          <w:lang w:val="sr-Latn-ME" w:eastAsia="en-US"/>
        </w:rPr>
        <w:t>.</w:t>
      </w:r>
    </w:p>
    <w:p w14:paraId="02E9251B" w14:textId="383B1169" w:rsidR="00971473" w:rsidRDefault="00971473" w:rsidP="00971473">
      <w:pPr>
        <w:autoSpaceDE w:val="0"/>
        <w:autoSpaceDN w:val="0"/>
        <w:adjustRightInd w:val="0"/>
        <w:spacing w:before="0" w:after="160"/>
        <w:rPr>
          <w:rFonts w:eastAsia="Calibri" w:cs="Calibri"/>
          <w:bCs/>
          <w:color w:val="000000"/>
          <w:szCs w:val="22"/>
          <w:lang w:val="sr-Latn-ME" w:eastAsia="en-US"/>
        </w:rPr>
      </w:pPr>
      <w:r>
        <w:rPr>
          <w:rFonts w:eastAsia="Calibri" w:cs="Calibri"/>
          <w:bCs/>
          <w:color w:val="000000"/>
          <w:szCs w:val="22"/>
          <w:lang w:val="sr-Latn-ME" w:eastAsia="en-US"/>
        </w:rPr>
        <w:t>Kao i za srdelu</w:t>
      </w:r>
      <w:r w:rsidRPr="00E76FD7">
        <w:rPr>
          <w:rFonts w:eastAsia="Calibri" w:cs="Calibri"/>
          <w:bCs/>
          <w:color w:val="000000"/>
          <w:szCs w:val="22"/>
          <w:lang w:val="sr-Latn-ME" w:eastAsia="en-US"/>
        </w:rPr>
        <w:t>, srednje dužine inćuna u ulovu bile su manje-više</w:t>
      </w:r>
      <w:r>
        <w:rPr>
          <w:rFonts w:eastAsia="Calibri" w:cs="Calibri"/>
          <w:bCs/>
          <w:color w:val="000000"/>
          <w:szCs w:val="22"/>
          <w:lang w:val="sr-Latn-ME" w:eastAsia="en-US"/>
        </w:rPr>
        <w:t xml:space="preserve"> stabilne tokom 3 godine istraživanja</w:t>
      </w:r>
      <w:r w:rsidRPr="00E76FD7">
        <w:rPr>
          <w:rFonts w:eastAsia="Calibri" w:cs="Calibri"/>
          <w:bCs/>
          <w:color w:val="000000"/>
          <w:szCs w:val="22"/>
          <w:lang w:val="sr-Latn-ME" w:eastAsia="en-US"/>
        </w:rPr>
        <w:t>, a srednja dužina jedinki u ulovu manja je od srednje dužine jedin</w:t>
      </w:r>
      <w:r>
        <w:rPr>
          <w:rFonts w:eastAsia="Calibri" w:cs="Calibri"/>
          <w:bCs/>
          <w:color w:val="000000"/>
          <w:szCs w:val="22"/>
          <w:lang w:val="sr-Latn-ME" w:eastAsia="en-US"/>
        </w:rPr>
        <w:t>ki iz istraživanja MEDIAS (</w:t>
      </w:r>
      <w:r w:rsidR="00166CB3">
        <w:rPr>
          <w:rFonts w:eastAsia="Calibri" w:cs="Calibri"/>
          <w:bCs/>
          <w:color w:val="000000"/>
          <w:szCs w:val="22"/>
          <w:lang w:val="sr-Latn-ME" w:eastAsia="en-US"/>
        </w:rPr>
        <w:t>Slika</w:t>
      </w:r>
      <w:r>
        <w:rPr>
          <w:rFonts w:eastAsia="Calibri" w:cs="Calibri"/>
          <w:bCs/>
          <w:color w:val="000000"/>
          <w:szCs w:val="22"/>
          <w:lang w:val="sr-Latn-ME" w:eastAsia="en-US"/>
        </w:rPr>
        <w:t xml:space="preserve"> 2.10.), k</w:t>
      </w:r>
      <w:r w:rsidRPr="00E76FD7">
        <w:rPr>
          <w:rFonts w:eastAsia="Calibri" w:cs="Calibri"/>
          <w:bCs/>
          <w:color w:val="000000"/>
          <w:szCs w:val="22"/>
          <w:lang w:val="sr-Latn-ME" w:eastAsia="en-US"/>
        </w:rPr>
        <w:t>ao posl</w:t>
      </w:r>
      <w:r>
        <w:rPr>
          <w:rFonts w:eastAsia="Calibri" w:cs="Calibri"/>
          <w:bCs/>
          <w:color w:val="000000"/>
          <w:szCs w:val="22"/>
          <w:lang w:val="sr-Latn-ME" w:eastAsia="en-US"/>
        </w:rPr>
        <w:t>j</w:t>
      </w:r>
      <w:r w:rsidRPr="00E76FD7">
        <w:rPr>
          <w:rFonts w:eastAsia="Calibri" w:cs="Calibri"/>
          <w:bCs/>
          <w:color w:val="000000"/>
          <w:szCs w:val="22"/>
          <w:lang w:val="sr-Latn-ME" w:eastAsia="en-US"/>
        </w:rPr>
        <w:t xml:space="preserve">edica ribolova </w:t>
      </w:r>
      <w:r>
        <w:rPr>
          <w:rFonts w:eastAsia="Calibri" w:cs="Calibri"/>
          <w:bCs/>
          <w:color w:val="000000"/>
          <w:szCs w:val="22"/>
          <w:lang w:val="sr-Latn-ME" w:eastAsia="en-US"/>
        </w:rPr>
        <w:t xml:space="preserve">mrežama potegačama </w:t>
      </w:r>
      <w:r w:rsidRPr="00E76FD7">
        <w:rPr>
          <w:rFonts w:eastAsia="Calibri" w:cs="Calibri"/>
          <w:bCs/>
          <w:color w:val="000000"/>
          <w:szCs w:val="22"/>
          <w:lang w:val="sr-Latn-ME" w:eastAsia="en-US"/>
        </w:rPr>
        <w:t>u zalivu Boka Kotorska. Tokom 2017. i</w:t>
      </w:r>
      <w:r>
        <w:rPr>
          <w:rFonts w:eastAsia="Calibri" w:cs="Calibri"/>
          <w:bCs/>
          <w:color w:val="000000"/>
          <w:szCs w:val="22"/>
          <w:lang w:val="sr-Latn-ME" w:eastAsia="en-US"/>
        </w:rPr>
        <w:t xml:space="preserve"> 2018. godine većina jedinki</w:t>
      </w:r>
      <w:r w:rsidRPr="00E76FD7">
        <w:rPr>
          <w:rFonts w:eastAsia="Calibri" w:cs="Calibri"/>
          <w:bCs/>
          <w:color w:val="000000"/>
          <w:szCs w:val="22"/>
          <w:lang w:val="sr-Latn-ME" w:eastAsia="en-US"/>
        </w:rPr>
        <w:t xml:space="preserve"> bila je oko minimalno dozvoljene ve</w:t>
      </w:r>
      <w:r>
        <w:rPr>
          <w:rFonts w:eastAsia="Calibri" w:cs="Calibri"/>
          <w:bCs/>
          <w:color w:val="000000"/>
          <w:szCs w:val="22"/>
          <w:lang w:val="sr-Latn-ME" w:eastAsia="en-US"/>
        </w:rPr>
        <w:t>ličine ulova ili veće od te vrije</w:t>
      </w:r>
      <w:r w:rsidRPr="00E76FD7">
        <w:rPr>
          <w:rFonts w:eastAsia="Calibri" w:cs="Calibri"/>
          <w:bCs/>
          <w:color w:val="000000"/>
          <w:szCs w:val="22"/>
          <w:lang w:val="sr-Latn-ME" w:eastAsia="en-US"/>
        </w:rPr>
        <w:t>dnosti (9 cm). Suprotno to</w:t>
      </w:r>
      <w:r>
        <w:rPr>
          <w:rFonts w:eastAsia="Calibri" w:cs="Calibri"/>
          <w:bCs/>
          <w:color w:val="000000"/>
          <w:szCs w:val="22"/>
          <w:lang w:val="sr-Latn-ME" w:eastAsia="en-US"/>
        </w:rPr>
        <w:t>me, u 2019. godini porast abundance</w:t>
      </w:r>
      <w:r w:rsidRPr="00E76FD7">
        <w:rPr>
          <w:rFonts w:eastAsia="Calibri" w:cs="Calibri"/>
          <w:bCs/>
          <w:color w:val="000000"/>
          <w:szCs w:val="22"/>
          <w:lang w:val="sr-Latn-ME" w:eastAsia="en-US"/>
        </w:rPr>
        <w:t xml:space="preserve"> primećuje se na dužinskim frekvencijama koje su ispod minimalno dozvoljene veličine ulova.</w:t>
      </w:r>
    </w:p>
    <w:p w14:paraId="45413F32" w14:textId="77777777" w:rsidR="00971473" w:rsidRDefault="00971473" w:rsidP="00971473">
      <w:pPr>
        <w:autoSpaceDE w:val="0"/>
        <w:autoSpaceDN w:val="0"/>
        <w:adjustRightInd w:val="0"/>
        <w:spacing w:before="0" w:after="160"/>
        <w:rPr>
          <w:rFonts w:eastAsia="Calibri" w:cs="Calibri"/>
          <w:bCs/>
          <w:color w:val="000000"/>
          <w:szCs w:val="22"/>
          <w:lang w:val="sr-Latn-ME" w:eastAsia="en-US"/>
        </w:rPr>
      </w:pPr>
      <w:r>
        <w:rPr>
          <w:rFonts w:eastAsia="Calibri" w:cs="Calibri"/>
          <w:bCs/>
          <w:color w:val="000000"/>
          <w:szCs w:val="22"/>
          <w:lang w:val="sr-Latn-ME" w:eastAsia="en-US"/>
        </w:rPr>
        <w:t xml:space="preserve">Starosni sastav ulova nije pokazao nikakve promjene u posljednjoj deceniji. </w:t>
      </w:r>
    </w:p>
    <w:p w14:paraId="73223874" w14:textId="23DD963F" w:rsidR="00971473" w:rsidRPr="00E76FD7" w:rsidRDefault="00971473" w:rsidP="00971473">
      <w:pPr>
        <w:autoSpaceDE w:val="0"/>
        <w:autoSpaceDN w:val="0"/>
        <w:adjustRightInd w:val="0"/>
        <w:spacing w:before="0" w:after="160"/>
        <w:rPr>
          <w:rFonts w:eastAsia="Calibri" w:cs="Calibri"/>
          <w:bCs/>
          <w:color w:val="000000"/>
          <w:szCs w:val="22"/>
          <w:lang w:val="sr-Latn-ME" w:eastAsia="en-US"/>
        </w:rPr>
      </w:pPr>
      <w:r w:rsidRPr="00E76FD7">
        <w:rPr>
          <w:rFonts w:eastAsia="Calibri" w:cs="Calibri"/>
          <w:bCs/>
          <w:color w:val="000000"/>
          <w:szCs w:val="22"/>
          <w:lang w:val="sr-Latn-ME" w:eastAsia="en-US"/>
        </w:rPr>
        <w:t xml:space="preserve">Utvrđeno je </w:t>
      </w:r>
      <w:r>
        <w:rPr>
          <w:rFonts w:eastAsia="Calibri" w:cs="Calibri"/>
          <w:bCs/>
          <w:color w:val="000000"/>
          <w:szCs w:val="22"/>
          <w:lang w:val="sr-Latn-ME" w:eastAsia="en-US"/>
        </w:rPr>
        <w:t>da je prva polna zrelost srdele</w:t>
      </w:r>
      <w:r w:rsidRPr="00E76FD7">
        <w:rPr>
          <w:rFonts w:eastAsia="Calibri" w:cs="Calibri"/>
          <w:bCs/>
          <w:color w:val="000000"/>
          <w:szCs w:val="22"/>
          <w:lang w:val="sr-Latn-ME" w:eastAsia="en-US"/>
        </w:rPr>
        <w:t xml:space="preserve"> bila 7,9 cm (Sinovčić i sar., 2008), a 50% inćuna je polno sazrelo na 8,2 cm</w:t>
      </w:r>
      <w:r>
        <w:rPr>
          <w:rFonts w:eastAsia="Calibri" w:cs="Calibri"/>
          <w:bCs/>
          <w:color w:val="000000"/>
          <w:szCs w:val="22"/>
          <w:lang w:val="sr-Latn-ME" w:eastAsia="en-US"/>
        </w:rPr>
        <w:t xml:space="preserve"> (Sinovčić i Zorica, 2006). Udio jedinki srdele</w:t>
      </w:r>
      <w:r w:rsidRPr="00E76FD7">
        <w:rPr>
          <w:rFonts w:eastAsia="Calibri" w:cs="Calibri"/>
          <w:bCs/>
          <w:color w:val="000000"/>
          <w:szCs w:val="22"/>
          <w:lang w:val="sr-Latn-ME" w:eastAsia="en-US"/>
        </w:rPr>
        <w:t xml:space="preserve"> veći od srednje veličine prvog polnog sazr</w:t>
      </w:r>
      <w:r>
        <w:rPr>
          <w:rFonts w:eastAsia="Calibri" w:cs="Calibri"/>
          <w:bCs/>
          <w:color w:val="000000"/>
          <w:szCs w:val="22"/>
          <w:lang w:val="sr-Latn-ME" w:eastAsia="en-US"/>
        </w:rPr>
        <w:t>ij</w:t>
      </w:r>
      <w:r w:rsidRPr="00E76FD7">
        <w:rPr>
          <w:rFonts w:eastAsia="Calibri" w:cs="Calibri"/>
          <w:bCs/>
          <w:color w:val="000000"/>
          <w:szCs w:val="22"/>
          <w:lang w:val="sr-Latn-ME" w:eastAsia="en-US"/>
        </w:rPr>
        <w:t>evanja u ulovu bio je manje-više stabilan i kretao se između 72</w:t>
      </w:r>
      <w:r>
        <w:rPr>
          <w:rFonts w:eastAsia="Calibri" w:cs="Calibri"/>
          <w:bCs/>
          <w:color w:val="000000"/>
          <w:szCs w:val="22"/>
          <w:lang w:val="sr-Latn-ME" w:eastAsia="en-US"/>
        </w:rPr>
        <w:t xml:space="preserve"> i 85%, dok su u uzorcima istraživanja</w:t>
      </w:r>
      <w:r w:rsidRPr="00E76FD7">
        <w:rPr>
          <w:rFonts w:eastAsia="Calibri" w:cs="Calibri"/>
          <w:bCs/>
          <w:color w:val="000000"/>
          <w:szCs w:val="22"/>
          <w:lang w:val="sr-Latn-ME" w:eastAsia="en-US"/>
        </w:rPr>
        <w:t xml:space="preserve"> sve jedinke bile veće od srednje veličine prvog polnog sazrevanja (osim 2016. godine gd</w:t>
      </w:r>
      <w:r>
        <w:rPr>
          <w:rFonts w:eastAsia="Calibri" w:cs="Calibri"/>
          <w:bCs/>
          <w:color w:val="000000"/>
          <w:szCs w:val="22"/>
          <w:lang w:val="sr-Latn-ME" w:eastAsia="en-US"/>
        </w:rPr>
        <w:t>j</w:t>
      </w:r>
      <w:r w:rsidRPr="00E76FD7">
        <w:rPr>
          <w:rFonts w:eastAsia="Calibri" w:cs="Calibri"/>
          <w:bCs/>
          <w:color w:val="000000"/>
          <w:szCs w:val="22"/>
          <w:lang w:val="sr-Latn-ME" w:eastAsia="en-US"/>
        </w:rPr>
        <w:t>e su 0,</w:t>
      </w:r>
      <w:r>
        <w:rPr>
          <w:rFonts w:eastAsia="Calibri" w:cs="Calibri"/>
          <w:bCs/>
          <w:color w:val="000000"/>
          <w:szCs w:val="22"/>
          <w:lang w:val="sr-Latn-ME" w:eastAsia="en-US"/>
        </w:rPr>
        <w:t>01% bile nezrele jedinke) (</w:t>
      </w:r>
      <w:r w:rsidR="00166CB3">
        <w:rPr>
          <w:rFonts w:eastAsia="Calibri" w:cs="Calibri"/>
          <w:bCs/>
          <w:color w:val="000000"/>
          <w:szCs w:val="22"/>
          <w:lang w:val="sr-Latn-ME" w:eastAsia="en-US"/>
        </w:rPr>
        <w:t>Slika</w:t>
      </w:r>
      <w:r w:rsidRPr="00E76FD7">
        <w:rPr>
          <w:rFonts w:eastAsia="Calibri" w:cs="Calibri"/>
          <w:bCs/>
          <w:color w:val="000000"/>
          <w:szCs w:val="22"/>
          <w:lang w:val="sr-Latn-ME" w:eastAsia="en-US"/>
        </w:rPr>
        <w:t xml:space="preserve"> 2.</w:t>
      </w:r>
      <w:r>
        <w:rPr>
          <w:rFonts w:eastAsia="Calibri" w:cs="Calibri"/>
          <w:bCs/>
          <w:color w:val="000000"/>
          <w:szCs w:val="22"/>
          <w:lang w:val="sr-Latn-ME" w:eastAsia="en-US"/>
        </w:rPr>
        <w:t>11.). Udio jedinki inćuna većih</w:t>
      </w:r>
      <w:r w:rsidRPr="00E76FD7">
        <w:rPr>
          <w:rFonts w:eastAsia="Calibri" w:cs="Calibri"/>
          <w:bCs/>
          <w:color w:val="000000"/>
          <w:szCs w:val="22"/>
          <w:lang w:val="sr-Latn-ME" w:eastAsia="en-US"/>
        </w:rPr>
        <w:t xml:space="preserve"> od srednje veličine prvog polnog sazrevanja u ulovu varira između godina uzorkovanja, sa 95% u 2017. godini na 48% u 2019. </w:t>
      </w:r>
      <w:r>
        <w:rPr>
          <w:rFonts w:eastAsia="Calibri" w:cs="Calibri"/>
          <w:bCs/>
          <w:color w:val="000000"/>
          <w:szCs w:val="22"/>
          <w:lang w:val="sr-Latn-ME" w:eastAsia="en-US"/>
        </w:rPr>
        <w:t>godini, dok su u uzorcima istraživanja</w:t>
      </w:r>
      <w:r w:rsidRPr="00E76FD7">
        <w:rPr>
          <w:rFonts w:eastAsia="Calibri" w:cs="Calibri"/>
          <w:bCs/>
          <w:color w:val="000000"/>
          <w:szCs w:val="22"/>
          <w:lang w:val="sr-Latn-ME" w:eastAsia="en-US"/>
        </w:rPr>
        <w:t xml:space="preserve"> sve jedinke bile veće od srednje veličine prvog polnog sazr</w:t>
      </w:r>
      <w:r>
        <w:rPr>
          <w:rFonts w:eastAsia="Calibri" w:cs="Calibri"/>
          <w:bCs/>
          <w:color w:val="000000"/>
          <w:szCs w:val="22"/>
          <w:lang w:val="sr-Latn-ME" w:eastAsia="en-US"/>
        </w:rPr>
        <w:t>ijevanja (</w:t>
      </w:r>
      <w:r w:rsidRPr="00E76FD7">
        <w:rPr>
          <w:rFonts w:eastAsia="Calibri" w:cs="Calibri"/>
          <w:bCs/>
          <w:color w:val="000000"/>
          <w:szCs w:val="22"/>
          <w:lang w:val="sr-Latn-ME" w:eastAsia="en-US"/>
        </w:rPr>
        <w:t>osim u 2014. gd</w:t>
      </w:r>
      <w:r>
        <w:rPr>
          <w:rFonts w:eastAsia="Calibri" w:cs="Calibri"/>
          <w:bCs/>
          <w:color w:val="000000"/>
          <w:szCs w:val="22"/>
          <w:lang w:val="sr-Latn-ME" w:eastAsia="en-US"/>
        </w:rPr>
        <w:t>j</w:t>
      </w:r>
      <w:r w:rsidRPr="00E76FD7">
        <w:rPr>
          <w:rFonts w:eastAsia="Calibri" w:cs="Calibri"/>
          <w:bCs/>
          <w:color w:val="000000"/>
          <w:szCs w:val="22"/>
          <w:lang w:val="sr-Latn-ME" w:eastAsia="en-US"/>
        </w:rPr>
        <w:t>e su 0,06% bile nezrele jedin</w:t>
      </w:r>
      <w:r>
        <w:rPr>
          <w:rFonts w:eastAsia="Calibri" w:cs="Calibri"/>
          <w:bCs/>
          <w:color w:val="000000"/>
          <w:szCs w:val="22"/>
          <w:lang w:val="sr-Latn-ME" w:eastAsia="en-US"/>
        </w:rPr>
        <w:t>ke) (</w:t>
      </w:r>
      <w:r w:rsidR="00166CB3">
        <w:rPr>
          <w:rFonts w:eastAsia="Calibri" w:cs="Calibri"/>
          <w:bCs/>
          <w:color w:val="000000"/>
          <w:szCs w:val="22"/>
          <w:lang w:val="sr-Latn-ME" w:eastAsia="en-US"/>
        </w:rPr>
        <w:t>Slika</w:t>
      </w:r>
      <w:r w:rsidRPr="00E76FD7">
        <w:rPr>
          <w:rFonts w:eastAsia="Calibri" w:cs="Calibri"/>
          <w:bCs/>
          <w:color w:val="000000"/>
          <w:szCs w:val="22"/>
          <w:lang w:val="sr-Latn-ME" w:eastAsia="en-US"/>
        </w:rPr>
        <w:t xml:space="preserve"> 2.12.).</w:t>
      </w:r>
    </w:p>
    <w:p w14:paraId="02DCC270" w14:textId="77777777" w:rsidR="00971473" w:rsidRDefault="00971473" w:rsidP="00971473">
      <w:pPr>
        <w:autoSpaceDE w:val="0"/>
        <w:autoSpaceDN w:val="0"/>
        <w:adjustRightInd w:val="0"/>
        <w:spacing w:before="0" w:after="160"/>
        <w:rPr>
          <w:rFonts w:eastAsia="Calibri" w:cs="Calibri"/>
          <w:bCs/>
          <w:color w:val="000000"/>
          <w:szCs w:val="22"/>
          <w:lang w:val="sr-Latn-ME" w:eastAsia="en-US"/>
        </w:rPr>
      </w:pPr>
      <w:r>
        <w:rPr>
          <w:rFonts w:eastAsia="Calibri" w:cs="Calibri"/>
          <w:bCs/>
          <w:color w:val="000000"/>
          <w:szCs w:val="22"/>
          <w:lang w:val="sr-Latn-ME" w:eastAsia="en-US"/>
        </w:rPr>
        <w:t>Srdela</w:t>
      </w:r>
      <w:r w:rsidRPr="00E76FD7">
        <w:rPr>
          <w:rFonts w:eastAsia="Calibri" w:cs="Calibri"/>
          <w:bCs/>
          <w:color w:val="000000"/>
          <w:szCs w:val="22"/>
          <w:lang w:val="sr-Latn-ME" w:eastAsia="en-US"/>
        </w:rPr>
        <w:t xml:space="preserve"> i inćun su </w:t>
      </w:r>
      <w:r>
        <w:rPr>
          <w:rFonts w:eastAsia="Calibri" w:cs="Calibri"/>
          <w:bCs/>
          <w:color w:val="000000"/>
          <w:szCs w:val="22"/>
          <w:lang w:val="sr-Latn-ME" w:eastAsia="en-US"/>
        </w:rPr>
        <w:t xml:space="preserve">vrste koje se mogu mrijestiti više puta tokom godine, odnosno </w:t>
      </w:r>
      <w:r w:rsidRPr="00E76FD7">
        <w:rPr>
          <w:rFonts w:eastAsia="Calibri" w:cs="Calibri"/>
          <w:bCs/>
          <w:color w:val="000000"/>
          <w:szCs w:val="22"/>
          <w:lang w:val="sr-Latn-ME" w:eastAsia="en-US"/>
        </w:rPr>
        <w:t>sa produženim ciklusom mrijesta. Ipak, u poslednjih 10 godina utvrđena je dosl</w:t>
      </w:r>
      <w:r>
        <w:rPr>
          <w:rFonts w:eastAsia="Calibri" w:cs="Calibri"/>
          <w:bCs/>
          <w:color w:val="000000"/>
          <w:szCs w:val="22"/>
          <w:lang w:val="sr-Latn-ME" w:eastAsia="en-US"/>
        </w:rPr>
        <w:t>jednost; srdela se mrijesti tokom hladnog dijela godine, a inćun</w:t>
      </w:r>
      <w:r w:rsidRPr="00E76FD7">
        <w:rPr>
          <w:rFonts w:eastAsia="Calibri" w:cs="Calibri"/>
          <w:bCs/>
          <w:color w:val="000000"/>
          <w:szCs w:val="22"/>
          <w:lang w:val="sr-Latn-ME" w:eastAsia="en-US"/>
        </w:rPr>
        <w:t xml:space="preserve"> u toplom periodu godine, u zavisnosti od uslova okoline kao što su temperatura, </w:t>
      </w:r>
      <w:r>
        <w:rPr>
          <w:rFonts w:eastAsia="Calibri" w:cs="Calibri"/>
          <w:bCs/>
          <w:color w:val="000000"/>
          <w:szCs w:val="22"/>
          <w:lang w:val="sr-Latn-ME" w:eastAsia="en-US"/>
        </w:rPr>
        <w:t>salinitet</w:t>
      </w:r>
      <w:r w:rsidRPr="00E76FD7">
        <w:rPr>
          <w:rFonts w:eastAsia="Calibri" w:cs="Calibri"/>
          <w:bCs/>
          <w:color w:val="000000"/>
          <w:szCs w:val="22"/>
          <w:lang w:val="sr-Latn-ME" w:eastAsia="en-US"/>
        </w:rPr>
        <w:t xml:space="preserve"> itd.</w:t>
      </w:r>
    </w:p>
    <w:p w14:paraId="6A1C05BF" w14:textId="77777777" w:rsidR="00971473" w:rsidRPr="00D716F4" w:rsidRDefault="00971473" w:rsidP="00971473">
      <w:pPr>
        <w:autoSpaceDE w:val="0"/>
        <w:autoSpaceDN w:val="0"/>
        <w:adjustRightInd w:val="0"/>
        <w:spacing w:before="0" w:after="0"/>
        <w:rPr>
          <w:rFonts w:eastAsia="Calibri" w:cs="Calibri"/>
          <w:bCs/>
          <w:color w:val="000000"/>
          <w:szCs w:val="22"/>
          <w:lang w:val="sr-Latn-ME" w:eastAsia="en-US"/>
        </w:rPr>
      </w:pPr>
    </w:p>
    <w:p w14:paraId="5F11F61C" w14:textId="77777777" w:rsidR="00971473" w:rsidRPr="00D716F4" w:rsidRDefault="00971473" w:rsidP="00971473">
      <w:pPr>
        <w:autoSpaceDE w:val="0"/>
        <w:autoSpaceDN w:val="0"/>
        <w:adjustRightInd w:val="0"/>
        <w:spacing w:before="0" w:after="0"/>
        <w:rPr>
          <w:rFonts w:eastAsia="Calibri" w:cs="Calibri"/>
          <w:bCs/>
          <w:color w:val="000000"/>
          <w:sz w:val="20"/>
          <w:szCs w:val="20"/>
          <w:lang w:val="sr-Latn-ME" w:eastAsia="en-US"/>
        </w:rPr>
      </w:pPr>
    </w:p>
    <w:p w14:paraId="4F1B7CE4" w14:textId="77777777" w:rsidR="00971473" w:rsidRPr="00D716F4" w:rsidRDefault="00971473" w:rsidP="00971473">
      <w:pPr>
        <w:autoSpaceDE w:val="0"/>
        <w:autoSpaceDN w:val="0"/>
        <w:adjustRightInd w:val="0"/>
        <w:spacing w:before="0" w:after="0"/>
        <w:rPr>
          <w:rFonts w:eastAsia="Calibri" w:cs="Calibri"/>
          <w:sz w:val="20"/>
          <w:szCs w:val="20"/>
          <w:lang w:val="sr-Latn-ME" w:eastAsia="en-US"/>
        </w:rPr>
      </w:pPr>
      <w:r w:rsidRPr="00D716F4">
        <w:rPr>
          <w:rFonts w:eastAsia="Calibri" w:cs="Calibri"/>
          <w:bCs/>
          <w:noProof/>
          <w:color w:val="000000"/>
          <w:sz w:val="20"/>
          <w:szCs w:val="20"/>
          <w:u w:val="single"/>
          <w:lang w:eastAsia="en-US"/>
        </w:rPr>
        <w:drawing>
          <wp:inline distT="0" distB="0" distL="0" distR="0" wp14:anchorId="3A5CC3DD" wp14:editId="13D2C071">
            <wp:extent cx="2793600" cy="1677600"/>
            <wp:effectExtent l="0" t="0" r="698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93600" cy="1677600"/>
                    </a:xfrm>
                    <a:prstGeom prst="rect">
                      <a:avLst/>
                    </a:prstGeom>
                    <a:noFill/>
                  </pic:spPr>
                </pic:pic>
              </a:graphicData>
            </a:graphic>
          </wp:inline>
        </w:drawing>
      </w:r>
      <w:r w:rsidRPr="00D716F4">
        <w:rPr>
          <w:rFonts w:eastAsia="Calibri" w:cs="Calibri"/>
          <w:sz w:val="20"/>
          <w:szCs w:val="20"/>
          <w:lang w:val="sr-Latn-ME" w:eastAsia="en-US"/>
        </w:rPr>
        <w:t xml:space="preserve"> </w:t>
      </w:r>
      <w:r w:rsidRPr="00D716F4">
        <w:rPr>
          <w:rFonts w:eastAsia="Calibri" w:cs="Calibri"/>
          <w:noProof/>
          <w:sz w:val="20"/>
          <w:szCs w:val="20"/>
          <w:lang w:eastAsia="en-US"/>
        </w:rPr>
        <w:drawing>
          <wp:inline distT="0" distB="0" distL="0" distR="0" wp14:anchorId="172D69A6" wp14:editId="443ABA6E">
            <wp:extent cx="2790000" cy="16776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90000" cy="1677600"/>
                    </a:xfrm>
                    <a:prstGeom prst="rect">
                      <a:avLst/>
                    </a:prstGeom>
                    <a:noFill/>
                  </pic:spPr>
                </pic:pic>
              </a:graphicData>
            </a:graphic>
          </wp:inline>
        </w:drawing>
      </w:r>
    </w:p>
    <w:p w14:paraId="6C93262B" w14:textId="77777777" w:rsidR="00971473" w:rsidRPr="00D716F4" w:rsidRDefault="00971473" w:rsidP="00971473">
      <w:pPr>
        <w:autoSpaceDE w:val="0"/>
        <w:autoSpaceDN w:val="0"/>
        <w:adjustRightInd w:val="0"/>
        <w:spacing w:before="0" w:after="0"/>
        <w:rPr>
          <w:rFonts w:eastAsia="Calibri" w:cs="Calibri"/>
          <w:sz w:val="20"/>
          <w:szCs w:val="20"/>
          <w:lang w:val="sr-Latn-ME" w:eastAsia="en-US"/>
        </w:rPr>
      </w:pPr>
    </w:p>
    <w:p w14:paraId="77E24524" w14:textId="6AE265A8" w:rsidR="000413B6" w:rsidRPr="00D716F4" w:rsidRDefault="00166CB3" w:rsidP="000413B6">
      <w:pPr>
        <w:autoSpaceDE w:val="0"/>
        <w:autoSpaceDN w:val="0"/>
        <w:adjustRightInd w:val="0"/>
        <w:spacing w:before="0" w:after="0"/>
        <w:jc w:val="center"/>
        <w:rPr>
          <w:rFonts w:eastAsia="Calibri" w:cs="Calibri"/>
          <w:b/>
          <w:iCs/>
          <w:color w:val="000000"/>
          <w:szCs w:val="22"/>
          <w:bdr w:val="none" w:sz="0" w:space="0" w:color="auto" w:frame="1"/>
          <w:lang w:val="sr-Latn-ME" w:eastAsia="en-US"/>
        </w:rPr>
      </w:pPr>
      <w:bookmarkStart w:id="92" w:name="_Toc83636904"/>
      <w:bookmarkStart w:id="93" w:name="_Toc69678458"/>
      <w:r>
        <w:rPr>
          <w:rFonts w:cs="Calibri"/>
          <w:b/>
          <w:szCs w:val="22"/>
          <w:lang w:val="sr-Latn-ME" w:eastAsia="en-US"/>
        </w:rPr>
        <w:t>Slika</w:t>
      </w:r>
      <w:r w:rsidR="000413B6" w:rsidRPr="00D716F4">
        <w:rPr>
          <w:rFonts w:eastAsia="Calibri" w:cs="Calibri"/>
          <w:b/>
          <w:bCs/>
          <w:szCs w:val="22"/>
          <w:lang w:val="sr-Latn-ME" w:eastAsia="en-US"/>
        </w:rPr>
        <w:t xml:space="preserve"> </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STYLEREF 1 \s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2</w:t>
      </w:r>
      <w:r w:rsidR="000413B6" w:rsidRPr="00D716F4">
        <w:rPr>
          <w:rFonts w:eastAsia="Calibri" w:cs="Calibri"/>
          <w:b/>
          <w:iCs/>
          <w:szCs w:val="22"/>
          <w:lang w:val="sr-Latn-ME" w:eastAsia="en-US"/>
        </w:rPr>
        <w:fldChar w:fldCharType="end"/>
      </w:r>
      <w:r w:rsidR="000413B6" w:rsidRPr="00D716F4">
        <w:rPr>
          <w:rFonts w:eastAsia="Calibri" w:cs="Calibri"/>
          <w:b/>
          <w:iCs/>
          <w:szCs w:val="22"/>
          <w:lang w:val="sr-Latn-ME" w:eastAsia="en-US"/>
        </w:rPr>
        <w:t>.</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SEQ Figure \* ARABIC \s 1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9</w:t>
      </w:r>
      <w:r w:rsidR="000413B6" w:rsidRPr="00D716F4">
        <w:rPr>
          <w:rFonts w:eastAsia="Calibri" w:cs="Calibri"/>
          <w:b/>
          <w:iCs/>
          <w:szCs w:val="22"/>
          <w:lang w:val="sr-Latn-ME" w:eastAsia="en-US"/>
        </w:rPr>
        <w:fldChar w:fldCharType="end"/>
      </w:r>
      <w:r w:rsidR="000413B6" w:rsidRPr="00D716F4">
        <w:rPr>
          <w:szCs w:val="22"/>
          <w:lang w:val="sr-Latn-ME"/>
        </w:rPr>
        <w:t>.</w:t>
      </w:r>
      <w:r w:rsidR="000413B6" w:rsidRPr="00D716F4">
        <w:rPr>
          <w:rFonts w:eastAsia="Calibri" w:cs="Calibri"/>
          <w:szCs w:val="22"/>
          <w:lang w:val="sr-Latn-ME" w:eastAsia="en-US"/>
        </w:rPr>
        <w:t xml:space="preserve"> </w:t>
      </w:r>
      <w:r w:rsidR="000413B6" w:rsidRPr="00E76FD7">
        <w:rPr>
          <w:rFonts w:eastAsia="Calibri" w:cs="Calibri"/>
          <w:b/>
          <w:szCs w:val="22"/>
          <w:lang w:val="sr-Latn-ME" w:eastAsia="en-US"/>
        </w:rPr>
        <w:t>Srednja dužina srdele u ulovima i MEDIAS-u.</w:t>
      </w:r>
      <w:bookmarkEnd w:id="92"/>
      <w:r w:rsidR="000413B6">
        <w:rPr>
          <w:rFonts w:eastAsia="Calibri" w:cs="Calibri"/>
          <w:szCs w:val="22"/>
          <w:lang w:val="sr-Latn-ME" w:eastAsia="en-US"/>
        </w:rPr>
        <w:t xml:space="preserve"> </w:t>
      </w:r>
      <w:bookmarkEnd w:id="93"/>
    </w:p>
    <w:p w14:paraId="642C3CAD" w14:textId="77777777" w:rsidR="00971473" w:rsidRPr="00D716F4" w:rsidRDefault="00971473" w:rsidP="00971473">
      <w:pPr>
        <w:autoSpaceDE w:val="0"/>
        <w:autoSpaceDN w:val="0"/>
        <w:adjustRightInd w:val="0"/>
        <w:spacing w:before="0" w:after="0"/>
        <w:rPr>
          <w:rFonts w:eastAsia="Calibri" w:cs="Calibri"/>
          <w:sz w:val="20"/>
          <w:szCs w:val="20"/>
          <w:lang w:val="sr-Latn-ME" w:eastAsia="en-US"/>
        </w:rPr>
      </w:pPr>
    </w:p>
    <w:p w14:paraId="102098D6" w14:textId="77777777" w:rsidR="00971473" w:rsidRPr="00D716F4" w:rsidRDefault="00971473" w:rsidP="00971473">
      <w:pPr>
        <w:autoSpaceDE w:val="0"/>
        <w:autoSpaceDN w:val="0"/>
        <w:adjustRightInd w:val="0"/>
        <w:spacing w:before="0" w:after="0"/>
        <w:jc w:val="center"/>
        <w:rPr>
          <w:rFonts w:cs="Calibri"/>
          <w:b/>
          <w:sz w:val="20"/>
          <w:szCs w:val="20"/>
          <w:lang w:val="sr-Latn-ME" w:eastAsia="en-US"/>
        </w:rPr>
      </w:pPr>
    </w:p>
    <w:p w14:paraId="3F919419" w14:textId="77777777" w:rsidR="00971473" w:rsidRPr="00D716F4" w:rsidRDefault="00971473" w:rsidP="00971473">
      <w:pPr>
        <w:autoSpaceDE w:val="0"/>
        <w:autoSpaceDN w:val="0"/>
        <w:adjustRightInd w:val="0"/>
        <w:spacing w:before="0" w:after="0"/>
        <w:jc w:val="center"/>
        <w:rPr>
          <w:rFonts w:eastAsia="Calibri" w:cs="Calibri"/>
          <w:sz w:val="20"/>
          <w:szCs w:val="20"/>
          <w:lang w:val="sr-Latn-ME" w:eastAsia="en-US"/>
        </w:rPr>
      </w:pPr>
    </w:p>
    <w:p w14:paraId="4EEB49AA" w14:textId="77777777" w:rsidR="00971473" w:rsidRPr="00D716F4" w:rsidRDefault="00971473" w:rsidP="00971473">
      <w:pPr>
        <w:autoSpaceDE w:val="0"/>
        <w:autoSpaceDN w:val="0"/>
        <w:adjustRightInd w:val="0"/>
        <w:spacing w:before="0" w:after="0"/>
        <w:jc w:val="left"/>
        <w:rPr>
          <w:rFonts w:eastAsia="Calibri" w:cs="Calibri"/>
          <w:bCs/>
          <w:color w:val="000000"/>
          <w:sz w:val="20"/>
          <w:szCs w:val="20"/>
          <w:u w:val="single"/>
          <w:lang w:val="sr-Latn-ME" w:eastAsia="en-US"/>
        </w:rPr>
      </w:pPr>
      <w:r w:rsidRPr="00D716F4">
        <w:rPr>
          <w:rFonts w:eastAsia="Calibri" w:cs="Calibri"/>
          <w:bCs/>
          <w:noProof/>
          <w:color w:val="000000"/>
          <w:sz w:val="20"/>
          <w:szCs w:val="20"/>
          <w:u w:val="single"/>
          <w:lang w:eastAsia="en-US"/>
        </w:rPr>
        <w:drawing>
          <wp:inline distT="0" distB="0" distL="0" distR="0" wp14:anchorId="1C0EDF7C" wp14:editId="01A06381">
            <wp:extent cx="2790000" cy="16776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90000" cy="1677600"/>
                    </a:xfrm>
                    <a:prstGeom prst="rect">
                      <a:avLst/>
                    </a:prstGeom>
                    <a:noFill/>
                  </pic:spPr>
                </pic:pic>
              </a:graphicData>
            </a:graphic>
          </wp:inline>
        </w:drawing>
      </w:r>
      <w:r w:rsidRPr="00D716F4">
        <w:rPr>
          <w:rFonts w:eastAsia="Calibri" w:cs="Calibri"/>
          <w:bCs/>
          <w:noProof/>
          <w:color w:val="000000"/>
          <w:sz w:val="20"/>
          <w:szCs w:val="20"/>
          <w:u w:val="single"/>
          <w:lang w:eastAsia="en-US"/>
        </w:rPr>
        <w:drawing>
          <wp:inline distT="0" distB="0" distL="0" distR="0" wp14:anchorId="0115FBF9" wp14:editId="43702419">
            <wp:extent cx="2790000" cy="1677600"/>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90000" cy="1677600"/>
                    </a:xfrm>
                    <a:prstGeom prst="rect">
                      <a:avLst/>
                    </a:prstGeom>
                    <a:noFill/>
                  </pic:spPr>
                </pic:pic>
              </a:graphicData>
            </a:graphic>
          </wp:inline>
        </w:drawing>
      </w:r>
    </w:p>
    <w:p w14:paraId="3375DCA5" w14:textId="77777777" w:rsidR="00971473" w:rsidRPr="00D716F4" w:rsidRDefault="00971473" w:rsidP="00971473">
      <w:pPr>
        <w:autoSpaceDE w:val="0"/>
        <w:autoSpaceDN w:val="0"/>
        <w:adjustRightInd w:val="0"/>
        <w:spacing w:before="0" w:after="0"/>
        <w:jc w:val="left"/>
        <w:rPr>
          <w:rFonts w:eastAsia="Calibri" w:cs="Calibri"/>
          <w:bCs/>
          <w:color w:val="000000"/>
          <w:sz w:val="20"/>
          <w:szCs w:val="20"/>
          <w:u w:val="single"/>
          <w:lang w:val="sr-Latn-ME" w:eastAsia="en-US"/>
        </w:rPr>
      </w:pPr>
    </w:p>
    <w:p w14:paraId="5357E599" w14:textId="09EF63D9" w:rsidR="000413B6" w:rsidRPr="00D716F4" w:rsidRDefault="00166CB3" w:rsidP="000413B6">
      <w:pPr>
        <w:autoSpaceDE w:val="0"/>
        <w:autoSpaceDN w:val="0"/>
        <w:adjustRightInd w:val="0"/>
        <w:spacing w:before="0" w:after="0"/>
        <w:jc w:val="center"/>
        <w:rPr>
          <w:rFonts w:eastAsia="Calibri" w:cs="Calibri"/>
          <w:b/>
          <w:iCs/>
          <w:color w:val="000000"/>
          <w:szCs w:val="22"/>
          <w:bdr w:val="none" w:sz="0" w:space="0" w:color="auto" w:frame="1"/>
          <w:lang w:val="sr-Latn-ME" w:eastAsia="en-US"/>
        </w:rPr>
      </w:pPr>
      <w:bookmarkStart w:id="94" w:name="_Toc83636905"/>
      <w:bookmarkStart w:id="95" w:name="_Toc69678459"/>
      <w:r>
        <w:rPr>
          <w:rFonts w:cs="Calibri"/>
          <w:b/>
          <w:szCs w:val="22"/>
          <w:lang w:val="sr-Latn-ME" w:eastAsia="en-US"/>
        </w:rPr>
        <w:t>Slika</w:t>
      </w:r>
      <w:r w:rsidR="000413B6" w:rsidRPr="00D716F4">
        <w:rPr>
          <w:rFonts w:eastAsia="Calibri" w:cs="Calibri"/>
          <w:b/>
          <w:bCs/>
          <w:szCs w:val="22"/>
          <w:lang w:val="sr-Latn-ME" w:eastAsia="en-US"/>
        </w:rPr>
        <w:t xml:space="preserve"> </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STYLEREF 1 \s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2</w:t>
      </w:r>
      <w:r w:rsidR="000413B6" w:rsidRPr="00D716F4">
        <w:rPr>
          <w:rFonts w:eastAsia="Calibri" w:cs="Calibri"/>
          <w:b/>
          <w:iCs/>
          <w:szCs w:val="22"/>
          <w:lang w:val="sr-Latn-ME" w:eastAsia="en-US"/>
        </w:rPr>
        <w:fldChar w:fldCharType="end"/>
      </w:r>
      <w:r w:rsidR="000413B6" w:rsidRPr="00D716F4">
        <w:rPr>
          <w:rFonts w:eastAsia="Calibri" w:cs="Calibri"/>
          <w:b/>
          <w:iCs/>
          <w:szCs w:val="22"/>
          <w:lang w:val="sr-Latn-ME" w:eastAsia="en-US"/>
        </w:rPr>
        <w:t>.</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SEQ Figure \* ARABIC \s 1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10</w:t>
      </w:r>
      <w:r w:rsidR="000413B6" w:rsidRPr="00D716F4">
        <w:rPr>
          <w:rFonts w:eastAsia="Calibri" w:cs="Calibri"/>
          <w:b/>
          <w:iCs/>
          <w:szCs w:val="22"/>
          <w:lang w:val="sr-Latn-ME" w:eastAsia="en-US"/>
        </w:rPr>
        <w:fldChar w:fldCharType="end"/>
      </w:r>
      <w:r w:rsidR="000413B6" w:rsidRPr="00D716F4">
        <w:rPr>
          <w:szCs w:val="22"/>
          <w:lang w:val="sr-Latn-ME"/>
        </w:rPr>
        <w:t>.</w:t>
      </w:r>
      <w:r w:rsidR="000413B6" w:rsidRPr="00D716F4">
        <w:rPr>
          <w:rFonts w:eastAsia="Calibri" w:cs="Calibri"/>
          <w:szCs w:val="22"/>
          <w:lang w:val="sr-Latn-ME" w:eastAsia="en-US"/>
        </w:rPr>
        <w:t xml:space="preserve"> </w:t>
      </w:r>
      <w:r w:rsidR="000413B6" w:rsidRPr="005F4D7E">
        <w:rPr>
          <w:rFonts w:eastAsia="Calibri" w:cs="Calibri"/>
          <w:b/>
          <w:szCs w:val="22"/>
          <w:lang w:val="sr-Latn-ME" w:eastAsia="en-US"/>
        </w:rPr>
        <w:t>Udio</w:t>
      </w:r>
      <w:r w:rsidR="000413B6">
        <w:rPr>
          <w:rFonts w:eastAsia="Calibri" w:cs="Calibri"/>
          <w:b/>
          <w:szCs w:val="22"/>
          <w:lang w:val="sr-Latn-ME" w:eastAsia="en-US"/>
        </w:rPr>
        <w:t xml:space="preserve"> jedinki</w:t>
      </w:r>
      <w:r w:rsidR="000413B6" w:rsidRPr="005F4D7E">
        <w:rPr>
          <w:rFonts w:eastAsia="Calibri" w:cs="Calibri"/>
          <w:b/>
          <w:szCs w:val="22"/>
          <w:lang w:val="sr-Latn-ME" w:eastAsia="en-US"/>
        </w:rPr>
        <w:t xml:space="preserve"> srdela sa dužinom preko L50.</w:t>
      </w:r>
      <w:bookmarkEnd w:id="94"/>
      <w:r w:rsidR="000413B6">
        <w:rPr>
          <w:rFonts w:eastAsia="Calibri" w:cs="Calibri"/>
          <w:szCs w:val="22"/>
          <w:lang w:val="sr-Latn-ME" w:eastAsia="en-US"/>
        </w:rPr>
        <w:t xml:space="preserve"> </w:t>
      </w:r>
      <w:bookmarkEnd w:id="95"/>
    </w:p>
    <w:p w14:paraId="4B9E7045" w14:textId="77777777" w:rsidR="00971473" w:rsidRPr="00D716F4" w:rsidRDefault="00971473" w:rsidP="00971473">
      <w:pPr>
        <w:autoSpaceDE w:val="0"/>
        <w:autoSpaceDN w:val="0"/>
        <w:adjustRightInd w:val="0"/>
        <w:spacing w:before="0" w:after="0"/>
        <w:jc w:val="left"/>
        <w:rPr>
          <w:rFonts w:eastAsia="Calibri" w:cs="Calibri"/>
          <w:bCs/>
          <w:color w:val="000000"/>
          <w:sz w:val="20"/>
          <w:szCs w:val="20"/>
          <w:u w:val="single"/>
          <w:lang w:val="sr-Latn-ME" w:eastAsia="en-US"/>
        </w:rPr>
      </w:pPr>
    </w:p>
    <w:p w14:paraId="1845E81A" w14:textId="77777777" w:rsidR="00971473" w:rsidRPr="00D716F4" w:rsidRDefault="00971473" w:rsidP="00971473">
      <w:pPr>
        <w:autoSpaceDE w:val="0"/>
        <w:autoSpaceDN w:val="0"/>
        <w:adjustRightInd w:val="0"/>
        <w:spacing w:before="0" w:after="0"/>
        <w:jc w:val="left"/>
        <w:rPr>
          <w:rFonts w:eastAsia="Calibri" w:cs="Calibri"/>
          <w:bCs/>
          <w:color w:val="000000"/>
          <w:sz w:val="20"/>
          <w:szCs w:val="20"/>
          <w:u w:val="single"/>
          <w:lang w:val="sr-Latn-ME" w:eastAsia="en-US"/>
        </w:rPr>
      </w:pPr>
    </w:p>
    <w:p w14:paraId="2B3D2089" w14:textId="77777777" w:rsidR="00971473" w:rsidRPr="00D716F4" w:rsidRDefault="00971473" w:rsidP="00971473">
      <w:pPr>
        <w:autoSpaceDE w:val="0"/>
        <w:autoSpaceDN w:val="0"/>
        <w:adjustRightInd w:val="0"/>
        <w:spacing w:before="0" w:after="0"/>
        <w:jc w:val="left"/>
        <w:rPr>
          <w:rFonts w:eastAsia="Calibri" w:cs="Calibri"/>
          <w:bCs/>
          <w:color w:val="000000"/>
          <w:sz w:val="20"/>
          <w:szCs w:val="20"/>
          <w:u w:val="single"/>
          <w:lang w:val="sr-Latn-ME" w:eastAsia="en-US"/>
        </w:rPr>
      </w:pPr>
    </w:p>
    <w:p w14:paraId="6315F398" w14:textId="77777777" w:rsidR="00971473" w:rsidRPr="00D716F4" w:rsidRDefault="00971473" w:rsidP="00971473">
      <w:pPr>
        <w:autoSpaceDE w:val="0"/>
        <w:autoSpaceDN w:val="0"/>
        <w:adjustRightInd w:val="0"/>
        <w:spacing w:before="0" w:after="0"/>
        <w:rPr>
          <w:rFonts w:cs="Calibri"/>
          <w:b/>
          <w:sz w:val="20"/>
          <w:szCs w:val="20"/>
          <w:lang w:val="sr-Latn-ME" w:eastAsia="en-US"/>
        </w:rPr>
      </w:pPr>
      <w:r w:rsidRPr="00D716F4">
        <w:rPr>
          <w:rFonts w:cs="Calibri"/>
          <w:b/>
          <w:noProof/>
          <w:sz w:val="20"/>
          <w:szCs w:val="20"/>
          <w:lang w:eastAsia="en-US"/>
        </w:rPr>
        <w:drawing>
          <wp:inline distT="0" distB="0" distL="0" distR="0" wp14:anchorId="4025B19A" wp14:editId="011B3C5D">
            <wp:extent cx="2793600" cy="1677600"/>
            <wp:effectExtent l="0" t="0" r="6985"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93600" cy="1677600"/>
                    </a:xfrm>
                    <a:prstGeom prst="rect">
                      <a:avLst/>
                    </a:prstGeom>
                    <a:noFill/>
                  </pic:spPr>
                </pic:pic>
              </a:graphicData>
            </a:graphic>
          </wp:inline>
        </w:drawing>
      </w:r>
      <w:r w:rsidRPr="00D716F4">
        <w:rPr>
          <w:rFonts w:eastAsia="Calibri" w:cs="Calibri"/>
          <w:noProof/>
          <w:sz w:val="20"/>
          <w:szCs w:val="20"/>
          <w:lang w:eastAsia="en-US"/>
        </w:rPr>
        <w:drawing>
          <wp:inline distT="0" distB="0" distL="0" distR="0" wp14:anchorId="0CE75FFB" wp14:editId="2359C966">
            <wp:extent cx="2790000" cy="16776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90000" cy="1677600"/>
                    </a:xfrm>
                    <a:prstGeom prst="rect">
                      <a:avLst/>
                    </a:prstGeom>
                    <a:noFill/>
                  </pic:spPr>
                </pic:pic>
              </a:graphicData>
            </a:graphic>
          </wp:inline>
        </w:drawing>
      </w:r>
    </w:p>
    <w:p w14:paraId="5C2F0787" w14:textId="4E2C575B" w:rsidR="00971473" w:rsidRDefault="00971473" w:rsidP="00971473">
      <w:pPr>
        <w:autoSpaceDE w:val="0"/>
        <w:autoSpaceDN w:val="0"/>
        <w:adjustRightInd w:val="0"/>
        <w:spacing w:before="0" w:after="0"/>
        <w:rPr>
          <w:rFonts w:cs="Calibri"/>
          <w:b/>
          <w:sz w:val="20"/>
          <w:szCs w:val="20"/>
          <w:lang w:val="sr-Latn-ME" w:eastAsia="en-US"/>
        </w:rPr>
      </w:pPr>
    </w:p>
    <w:p w14:paraId="745E488D" w14:textId="14BCB413" w:rsidR="000413B6" w:rsidRPr="00D716F4" w:rsidRDefault="00166CB3" w:rsidP="000413B6">
      <w:pPr>
        <w:autoSpaceDE w:val="0"/>
        <w:autoSpaceDN w:val="0"/>
        <w:adjustRightInd w:val="0"/>
        <w:spacing w:before="0" w:after="0"/>
        <w:jc w:val="center"/>
        <w:rPr>
          <w:rFonts w:eastAsia="Calibri" w:cs="Calibri"/>
          <w:i/>
          <w:iCs/>
          <w:color w:val="000000"/>
          <w:szCs w:val="22"/>
          <w:bdr w:val="none" w:sz="0" w:space="0" w:color="auto" w:frame="1"/>
          <w:lang w:val="sr-Latn-ME" w:eastAsia="en-US"/>
        </w:rPr>
      </w:pPr>
      <w:bookmarkStart w:id="96" w:name="_Toc83636906"/>
      <w:bookmarkStart w:id="97" w:name="_Toc69678460"/>
      <w:r>
        <w:rPr>
          <w:rFonts w:cs="Calibri"/>
          <w:b/>
          <w:szCs w:val="22"/>
          <w:lang w:val="sr-Latn-ME" w:eastAsia="en-US"/>
        </w:rPr>
        <w:t>Slika</w:t>
      </w:r>
      <w:r w:rsidR="000413B6" w:rsidRPr="00D716F4">
        <w:rPr>
          <w:rFonts w:cs="Calibri"/>
          <w:b/>
          <w:szCs w:val="22"/>
          <w:lang w:val="sr-Latn-ME" w:eastAsia="en-US"/>
        </w:rPr>
        <w:t xml:space="preserve"> </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STYLEREF 1 \s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2</w:t>
      </w:r>
      <w:r w:rsidR="000413B6" w:rsidRPr="00D716F4">
        <w:rPr>
          <w:rFonts w:eastAsia="Calibri" w:cs="Calibri"/>
          <w:b/>
          <w:iCs/>
          <w:szCs w:val="22"/>
          <w:lang w:val="sr-Latn-ME" w:eastAsia="en-US"/>
        </w:rPr>
        <w:fldChar w:fldCharType="end"/>
      </w:r>
      <w:r w:rsidR="000413B6" w:rsidRPr="00D716F4">
        <w:rPr>
          <w:rFonts w:eastAsia="Calibri" w:cs="Calibri"/>
          <w:b/>
          <w:iCs/>
          <w:szCs w:val="22"/>
          <w:lang w:val="sr-Latn-ME" w:eastAsia="en-US"/>
        </w:rPr>
        <w:t>.</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SEQ Figure \* ARABIC \s 1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11</w:t>
      </w:r>
      <w:r w:rsidR="000413B6" w:rsidRPr="00D716F4">
        <w:rPr>
          <w:rFonts w:eastAsia="Calibri" w:cs="Calibri"/>
          <w:b/>
          <w:iCs/>
          <w:szCs w:val="22"/>
          <w:lang w:val="sr-Latn-ME" w:eastAsia="en-US"/>
        </w:rPr>
        <w:fldChar w:fldCharType="end"/>
      </w:r>
      <w:r w:rsidR="000413B6" w:rsidRPr="00D716F4">
        <w:rPr>
          <w:szCs w:val="22"/>
          <w:lang w:val="sr-Latn-ME"/>
        </w:rPr>
        <w:t>.</w:t>
      </w:r>
      <w:r w:rsidR="000413B6" w:rsidRPr="00D716F4">
        <w:rPr>
          <w:rFonts w:eastAsia="Calibri" w:cs="Calibri"/>
          <w:szCs w:val="22"/>
          <w:lang w:val="sr-Latn-ME" w:eastAsia="en-US"/>
        </w:rPr>
        <w:t xml:space="preserve"> </w:t>
      </w:r>
      <w:r w:rsidR="000413B6" w:rsidRPr="005F4D7E">
        <w:rPr>
          <w:rFonts w:eastAsia="Calibri" w:cs="Calibri"/>
          <w:b/>
          <w:szCs w:val="22"/>
          <w:lang w:val="sr-Latn-ME" w:eastAsia="en-US"/>
        </w:rPr>
        <w:t>Srednja dužina inćuna u ulovima i MEDIAS-u.</w:t>
      </w:r>
      <w:bookmarkEnd w:id="96"/>
      <w:r w:rsidR="000413B6">
        <w:rPr>
          <w:rFonts w:eastAsia="Calibri" w:cs="Calibri"/>
          <w:szCs w:val="22"/>
          <w:lang w:val="sr-Latn-ME" w:eastAsia="en-US"/>
        </w:rPr>
        <w:t xml:space="preserve"> </w:t>
      </w:r>
      <w:r w:rsidR="000413B6" w:rsidRPr="00D716F4">
        <w:rPr>
          <w:rFonts w:eastAsia="Calibri" w:cs="Calibri"/>
          <w:szCs w:val="22"/>
          <w:lang w:val="sr-Latn-ME" w:eastAsia="en-US"/>
        </w:rPr>
        <w:t xml:space="preserve"> </w:t>
      </w:r>
      <w:bookmarkEnd w:id="97"/>
    </w:p>
    <w:p w14:paraId="16200FF5" w14:textId="74722D99" w:rsidR="00480592" w:rsidRDefault="00480592" w:rsidP="00971473">
      <w:pPr>
        <w:autoSpaceDE w:val="0"/>
        <w:autoSpaceDN w:val="0"/>
        <w:adjustRightInd w:val="0"/>
        <w:spacing w:before="0" w:after="0"/>
        <w:rPr>
          <w:rFonts w:cs="Calibri"/>
          <w:b/>
          <w:sz w:val="20"/>
          <w:szCs w:val="20"/>
          <w:lang w:val="sr-Latn-ME" w:eastAsia="en-US"/>
        </w:rPr>
      </w:pPr>
    </w:p>
    <w:p w14:paraId="1340A2CF" w14:textId="77777777" w:rsidR="00971473" w:rsidRPr="00D716F4" w:rsidRDefault="00971473" w:rsidP="00971473">
      <w:pPr>
        <w:autoSpaceDE w:val="0"/>
        <w:autoSpaceDN w:val="0"/>
        <w:adjustRightInd w:val="0"/>
        <w:spacing w:before="0" w:after="0"/>
        <w:rPr>
          <w:rFonts w:cs="Calibri"/>
          <w:b/>
          <w:sz w:val="20"/>
          <w:szCs w:val="20"/>
          <w:lang w:val="sr-Latn-ME" w:eastAsia="en-US"/>
        </w:rPr>
      </w:pPr>
    </w:p>
    <w:p w14:paraId="29F4110F" w14:textId="77777777" w:rsidR="00971473" w:rsidRPr="00D716F4" w:rsidRDefault="00971473" w:rsidP="00971473">
      <w:pPr>
        <w:autoSpaceDE w:val="0"/>
        <w:autoSpaceDN w:val="0"/>
        <w:adjustRightInd w:val="0"/>
        <w:spacing w:before="0" w:after="0"/>
        <w:rPr>
          <w:rFonts w:cs="Calibri"/>
          <w:b/>
          <w:sz w:val="20"/>
          <w:szCs w:val="20"/>
          <w:lang w:val="sr-Latn-ME" w:eastAsia="en-US"/>
        </w:rPr>
      </w:pPr>
    </w:p>
    <w:p w14:paraId="133F22ED" w14:textId="77777777" w:rsidR="00971473" w:rsidRPr="00D716F4" w:rsidRDefault="00971473" w:rsidP="00971473">
      <w:pPr>
        <w:autoSpaceDE w:val="0"/>
        <w:autoSpaceDN w:val="0"/>
        <w:adjustRightInd w:val="0"/>
        <w:spacing w:before="0" w:after="0"/>
        <w:jc w:val="left"/>
        <w:rPr>
          <w:rFonts w:cs="Calibri"/>
          <w:b/>
          <w:sz w:val="20"/>
          <w:szCs w:val="20"/>
          <w:lang w:val="sr-Latn-ME" w:eastAsia="en-US"/>
        </w:rPr>
      </w:pPr>
      <w:r w:rsidRPr="00D716F4">
        <w:rPr>
          <w:rFonts w:cs="Calibri"/>
          <w:b/>
          <w:noProof/>
          <w:sz w:val="20"/>
          <w:szCs w:val="20"/>
          <w:lang w:eastAsia="en-US"/>
        </w:rPr>
        <w:drawing>
          <wp:inline distT="0" distB="0" distL="0" distR="0" wp14:anchorId="46900949" wp14:editId="1EC112B2">
            <wp:extent cx="2790000" cy="16776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90000" cy="1677600"/>
                    </a:xfrm>
                    <a:prstGeom prst="rect">
                      <a:avLst/>
                    </a:prstGeom>
                    <a:noFill/>
                  </pic:spPr>
                </pic:pic>
              </a:graphicData>
            </a:graphic>
          </wp:inline>
        </w:drawing>
      </w:r>
      <w:r w:rsidRPr="00D716F4">
        <w:rPr>
          <w:rFonts w:cs="Calibri"/>
          <w:b/>
          <w:noProof/>
          <w:sz w:val="20"/>
          <w:szCs w:val="20"/>
          <w:lang w:eastAsia="en-US"/>
        </w:rPr>
        <w:drawing>
          <wp:inline distT="0" distB="0" distL="0" distR="0" wp14:anchorId="6FF6F84C" wp14:editId="70A0804E">
            <wp:extent cx="2790000" cy="1677600"/>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90000" cy="1677600"/>
                    </a:xfrm>
                    <a:prstGeom prst="rect">
                      <a:avLst/>
                    </a:prstGeom>
                    <a:noFill/>
                  </pic:spPr>
                </pic:pic>
              </a:graphicData>
            </a:graphic>
          </wp:inline>
        </w:drawing>
      </w:r>
    </w:p>
    <w:p w14:paraId="38866D1F" w14:textId="267F096B" w:rsidR="000413B6" w:rsidRPr="00D716F4" w:rsidRDefault="00166CB3" w:rsidP="000413B6">
      <w:pPr>
        <w:autoSpaceDE w:val="0"/>
        <w:autoSpaceDN w:val="0"/>
        <w:adjustRightInd w:val="0"/>
        <w:spacing w:before="0" w:after="0"/>
        <w:jc w:val="center"/>
        <w:rPr>
          <w:rFonts w:eastAsia="Calibri" w:cs="Calibri"/>
          <w:b/>
          <w:bCs/>
          <w:color w:val="000000"/>
          <w:szCs w:val="22"/>
          <w:u w:val="single"/>
          <w:lang w:val="sr-Latn-ME" w:eastAsia="en-US"/>
        </w:rPr>
      </w:pPr>
      <w:bookmarkStart w:id="98" w:name="_Toc69678461"/>
      <w:bookmarkStart w:id="99" w:name="_Toc83636907"/>
      <w:r>
        <w:rPr>
          <w:rFonts w:cs="Calibri"/>
          <w:b/>
          <w:szCs w:val="22"/>
          <w:lang w:val="sr-Latn-ME" w:eastAsia="en-US"/>
        </w:rPr>
        <w:t>Slika</w:t>
      </w:r>
      <w:r w:rsidR="000413B6" w:rsidRPr="00D716F4">
        <w:rPr>
          <w:rFonts w:eastAsia="Calibri" w:cs="Calibri"/>
          <w:b/>
          <w:bCs/>
          <w:szCs w:val="22"/>
          <w:lang w:val="sr-Latn-ME" w:eastAsia="en-US"/>
        </w:rPr>
        <w:t xml:space="preserve"> </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STYLEREF 1 \s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2</w:t>
      </w:r>
      <w:r w:rsidR="000413B6" w:rsidRPr="00D716F4">
        <w:rPr>
          <w:rFonts w:eastAsia="Calibri" w:cs="Calibri"/>
          <w:b/>
          <w:iCs/>
          <w:szCs w:val="22"/>
          <w:lang w:val="sr-Latn-ME" w:eastAsia="en-US"/>
        </w:rPr>
        <w:fldChar w:fldCharType="end"/>
      </w:r>
      <w:r w:rsidR="000413B6" w:rsidRPr="00D716F4">
        <w:rPr>
          <w:rFonts w:eastAsia="Calibri" w:cs="Calibri"/>
          <w:b/>
          <w:iCs/>
          <w:szCs w:val="22"/>
          <w:lang w:val="sr-Latn-ME" w:eastAsia="en-US"/>
        </w:rPr>
        <w:t>.</w:t>
      </w:r>
      <w:r w:rsidR="000413B6" w:rsidRPr="00D716F4">
        <w:rPr>
          <w:rFonts w:eastAsia="Calibri" w:cs="Calibri"/>
          <w:b/>
          <w:iCs/>
          <w:szCs w:val="22"/>
          <w:lang w:val="sr-Latn-ME" w:eastAsia="en-US"/>
        </w:rPr>
        <w:fldChar w:fldCharType="begin"/>
      </w:r>
      <w:r w:rsidR="000413B6" w:rsidRPr="00D716F4">
        <w:rPr>
          <w:rFonts w:eastAsia="Calibri" w:cs="Calibri"/>
          <w:b/>
          <w:iCs/>
          <w:szCs w:val="22"/>
          <w:lang w:val="sr-Latn-ME" w:eastAsia="en-US"/>
        </w:rPr>
        <w:instrText xml:space="preserve"> SEQ Figure \* ARABIC \s 1 </w:instrText>
      </w:r>
      <w:r w:rsidR="000413B6" w:rsidRPr="00D716F4">
        <w:rPr>
          <w:rFonts w:eastAsia="Calibri" w:cs="Calibri"/>
          <w:b/>
          <w:iCs/>
          <w:szCs w:val="22"/>
          <w:lang w:val="sr-Latn-ME" w:eastAsia="en-US"/>
        </w:rPr>
        <w:fldChar w:fldCharType="separate"/>
      </w:r>
      <w:r w:rsidR="000D1E20">
        <w:rPr>
          <w:rFonts w:eastAsia="Calibri" w:cs="Calibri"/>
          <w:b/>
          <w:iCs/>
          <w:noProof/>
          <w:szCs w:val="22"/>
          <w:lang w:val="sr-Latn-ME" w:eastAsia="en-US"/>
        </w:rPr>
        <w:t>12</w:t>
      </w:r>
      <w:r w:rsidR="000413B6" w:rsidRPr="00D716F4">
        <w:rPr>
          <w:rFonts w:eastAsia="Calibri" w:cs="Calibri"/>
          <w:b/>
          <w:iCs/>
          <w:szCs w:val="22"/>
          <w:lang w:val="sr-Latn-ME" w:eastAsia="en-US"/>
        </w:rPr>
        <w:fldChar w:fldCharType="end"/>
      </w:r>
      <w:r w:rsidR="000413B6" w:rsidRPr="00D716F4">
        <w:rPr>
          <w:szCs w:val="22"/>
          <w:lang w:val="sr-Latn-ME"/>
        </w:rPr>
        <w:t>.</w:t>
      </w:r>
      <w:r w:rsidR="000413B6" w:rsidRPr="00D716F4">
        <w:rPr>
          <w:rFonts w:eastAsia="Calibri" w:cs="Calibri"/>
          <w:szCs w:val="22"/>
          <w:lang w:val="sr-Latn-ME" w:eastAsia="en-US"/>
        </w:rPr>
        <w:t xml:space="preserve"> </w:t>
      </w:r>
      <w:bookmarkEnd w:id="98"/>
      <w:r w:rsidR="000413B6" w:rsidRPr="005F4D7E">
        <w:rPr>
          <w:rFonts w:eastAsia="Calibri" w:cs="Calibri"/>
          <w:b/>
          <w:szCs w:val="22"/>
          <w:lang w:val="sr-Latn-ME" w:eastAsia="en-US"/>
        </w:rPr>
        <w:t>Udio</w:t>
      </w:r>
      <w:r w:rsidR="000413B6">
        <w:rPr>
          <w:rFonts w:eastAsia="Calibri" w:cs="Calibri"/>
          <w:b/>
          <w:szCs w:val="22"/>
          <w:lang w:val="sr-Latn-ME" w:eastAsia="en-US"/>
        </w:rPr>
        <w:t xml:space="preserve"> jedinki inćuna </w:t>
      </w:r>
      <w:r w:rsidR="000413B6" w:rsidRPr="005F4D7E">
        <w:rPr>
          <w:rFonts w:eastAsia="Calibri" w:cs="Calibri"/>
          <w:b/>
          <w:szCs w:val="22"/>
          <w:lang w:val="sr-Latn-ME" w:eastAsia="en-US"/>
        </w:rPr>
        <w:t>sa dužinom preko L50.</w:t>
      </w:r>
      <w:bookmarkEnd w:id="99"/>
    </w:p>
    <w:p w14:paraId="050AA5F9" w14:textId="048E0798" w:rsidR="00387A3C" w:rsidRPr="001C6CCA" w:rsidRDefault="00387A3C" w:rsidP="00F65CFF">
      <w:pPr>
        <w:autoSpaceDE w:val="0"/>
        <w:autoSpaceDN w:val="0"/>
        <w:adjustRightInd w:val="0"/>
        <w:spacing w:before="0" w:after="0"/>
        <w:jc w:val="center"/>
        <w:rPr>
          <w:rFonts w:eastAsia="Calibri" w:cs="Calibri"/>
          <w:b/>
          <w:bCs/>
          <w:color w:val="000000"/>
          <w:sz w:val="20"/>
          <w:szCs w:val="20"/>
          <w:u w:val="single"/>
          <w:lang w:val="en-GB" w:eastAsia="en-US"/>
        </w:rPr>
      </w:pPr>
    </w:p>
    <w:p w14:paraId="1E84BEC2" w14:textId="77777777" w:rsidR="00387A3C" w:rsidRPr="001C6CCA" w:rsidRDefault="00387A3C" w:rsidP="00F65CFF">
      <w:pPr>
        <w:autoSpaceDE w:val="0"/>
        <w:autoSpaceDN w:val="0"/>
        <w:adjustRightInd w:val="0"/>
        <w:spacing w:before="0" w:after="0"/>
        <w:jc w:val="center"/>
        <w:rPr>
          <w:rFonts w:eastAsia="Calibri" w:cs="Calibri"/>
          <w:b/>
          <w:bCs/>
          <w:color w:val="000000"/>
          <w:sz w:val="20"/>
          <w:szCs w:val="20"/>
          <w:u w:val="single"/>
          <w:lang w:val="en-GB" w:eastAsia="en-US"/>
        </w:rPr>
      </w:pPr>
    </w:p>
    <w:p w14:paraId="28DE4223" w14:textId="77777777" w:rsidR="00971473" w:rsidRPr="00971473" w:rsidRDefault="00971473" w:rsidP="00971473">
      <w:pPr>
        <w:pStyle w:val="Heading3"/>
        <w:rPr>
          <w:lang w:val="en-GB" w:eastAsia="en-US"/>
        </w:rPr>
      </w:pPr>
      <w:bookmarkStart w:id="100" w:name="_Toc83630907"/>
      <w:bookmarkStart w:id="101" w:name="_Hlk27983173"/>
      <w:r w:rsidRPr="00971473">
        <w:rPr>
          <w:lang w:val="en-GB" w:eastAsia="en-US"/>
        </w:rPr>
        <w:t>Pristup procjeni GES-a</w:t>
      </w:r>
      <w:bookmarkEnd w:id="100"/>
    </w:p>
    <w:p w14:paraId="2652B8D4" w14:textId="77777777" w:rsidR="00971473" w:rsidRPr="005F4D7E" w:rsidRDefault="00971473" w:rsidP="00971473">
      <w:pPr>
        <w:spacing w:before="0" w:after="160"/>
        <w:rPr>
          <w:rFonts w:eastAsia="Calibri"/>
          <w:szCs w:val="22"/>
          <w:lang w:val="sr-Latn-ME" w:eastAsia="en-US"/>
        </w:rPr>
      </w:pPr>
      <w:r w:rsidRPr="005F4D7E">
        <w:rPr>
          <w:rFonts w:eastAsia="Calibri"/>
          <w:szCs w:val="22"/>
          <w:lang w:val="sr-Latn-ME" w:eastAsia="en-US"/>
        </w:rPr>
        <w:t xml:space="preserve">Budući da su resursi komercijalno važnih vrsta </w:t>
      </w:r>
      <w:r>
        <w:rPr>
          <w:rFonts w:eastAsia="Calibri"/>
          <w:szCs w:val="22"/>
          <w:lang w:val="sr-Latn-ME" w:eastAsia="en-US"/>
        </w:rPr>
        <w:t xml:space="preserve">riba </w:t>
      </w:r>
      <w:r w:rsidRPr="005F4D7E">
        <w:rPr>
          <w:rFonts w:eastAsia="Calibri"/>
          <w:szCs w:val="22"/>
          <w:lang w:val="sr-Latn-ME" w:eastAsia="en-US"/>
        </w:rPr>
        <w:t>i rakova na Jadranu zajednički resursi, stanje njihovih populacija kao i određene m</w:t>
      </w:r>
      <w:r>
        <w:rPr>
          <w:rFonts w:eastAsia="Calibri"/>
          <w:szCs w:val="22"/>
          <w:lang w:val="sr-Latn-ME" w:eastAsia="en-US"/>
        </w:rPr>
        <w:t>j</w:t>
      </w:r>
      <w:r w:rsidRPr="005F4D7E">
        <w:rPr>
          <w:rFonts w:eastAsia="Calibri"/>
          <w:szCs w:val="22"/>
          <w:lang w:val="sr-Latn-ME" w:eastAsia="en-US"/>
        </w:rPr>
        <w:t>ere upravljanja usvajaju se na regionalnom nivou. Za početnu proc</w:t>
      </w:r>
      <w:r>
        <w:rPr>
          <w:rFonts w:eastAsia="Calibri"/>
          <w:szCs w:val="22"/>
          <w:lang w:val="sr-Latn-ME" w:eastAsia="en-US"/>
        </w:rPr>
        <w:t>j</w:t>
      </w:r>
      <w:r w:rsidRPr="005F4D7E">
        <w:rPr>
          <w:rFonts w:eastAsia="Calibri"/>
          <w:szCs w:val="22"/>
          <w:lang w:val="sr-Latn-ME" w:eastAsia="en-US"/>
        </w:rPr>
        <w:t>enu GES-a predlaže se da se ne vrši p</w:t>
      </w:r>
      <w:r>
        <w:rPr>
          <w:rFonts w:eastAsia="Calibri"/>
          <w:szCs w:val="22"/>
          <w:lang w:val="sr-Latn-ME" w:eastAsia="en-US"/>
        </w:rPr>
        <w:t>rocjena stokova</w:t>
      </w:r>
      <w:r w:rsidRPr="005F4D7E">
        <w:rPr>
          <w:rFonts w:eastAsia="Calibri"/>
          <w:szCs w:val="22"/>
          <w:lang w:val="sr-Latn-ME" w:eastAsia="en-US"/>
        </w:rPr>
        <w:t xml:space="preserve"> za koje GFCM ne daje proc</w:t>
      </w:r>
      <w:r>
        <w:rPr>
          <w:rFonts w:eastAsia="Calibri"/>
          <w:szCs w:val="22"/>
          <w:lang w:val="sr-Latn-ME" w:eastAsia="en-US"/>
        </w:rPr>
        <w:t>j</w:t>
      </w:r>
      <w:r w:rsidRPr="005F4D7E">
        <w:rPr>
          <w:rFonts w:eastAsia="Calibri"/>
          <w:szCs w:val="22"/>
          <w:lang w:val="sr-Latn-ME" w:eastAsia="en-US"/>
        </w:rPr>
        <w:t>ene primarnih pokazatelja F i SSB u odnosu na referentne vr</w:t>
      </w:r>
      <w:r>
        <w:rPr>
          <w:rFonts w:eastAsia="Calibri"/>
          <w:szCs w:val="22"/>
          <w:lang w:val="sr-Latn-ME" w:eastAsia="en-US"/>
        </w:rPr>
        <w:t>ij</w:t>
      </w:r>
      <w:r w:rsidRPr="005F4D7E">
        <w:rPr>
          <w:rFonts w:eastAsia="Calibri"/>
          <w:szCs w:val="22"/>
          <w:lang w:val="sr-Latn-ME" w:eastAsia="en-US"/>
        </w:rPr>
        <w:t>ednosti.</w:t>
      </w:r>
    </w:p>
    <w:p w14:paraId="4E896D57" w14:textId="77777777" w:rsidR="00971473" w:rsidRDefault="00971473" w:rsidP="00971473">
      <w:pPr>
        <w:spacing w:before="0" w:after="160"/>
        <w:rPr>
          <w:rFonts w:eastAsia="Calibri"/>
          <w:szCs w:val="22"/>
          <w:lang w:val="sr-Latn-ME" w:eastAsia="en-US"/>
        </w:rPr>
      </w:pPr>
      <w:r w:rsidRPr="005F4D7E">
        <w:rPr>
          <w:rFonts w:eastAsia="Calibri"/>
          <w:szCs w:val="22"/>
          <w:lang w:val="sr-Latn-ME" w:eastAsia="en-US"/>
        </w:rPr>
        <w:t>Proc</w:t>
      </w:r>
      <w:r>
        <w:rPr>
          <w:rFonts w:eastAsia="Calibri"/>
          <w:szCs w:val="22"/>
          <w:lang w:val="sr-Latn-ME" w:eastAsia="en-US"/>
        </w:rPr>
        <w:t>jena stanja stokov</w:t>
      </w:r>
      <w:r w:rsidRPr="005F4D7E">
        <w:rPr>
          <w:rFonts w:eastAsia="Calibri"/>
          <w:szCs w:val="22"/>
          <w:lang w:val="sr-Latn-ME" w:eastAsia="en-US"/>
        </w:rPr>
        <w:t>a za kom</w:t>
      </w:r>
      <w:r>
        <w:rPr>
          <w:rFonts w:eastAsia="Calibri"/>
          <w:szCs w:val="22"/>
          <w:lang w:val="sr-Latn-ME" w:eastAsia="en-US"/>
        </w:rPr>
        <w:t>ercijalno najvažnije vrste (barbun, oslić, kozica, srdela, inćun</w:t>
      </w:r>
      <w:r w:rsidRPr="005F4D7E">
        <w:rPr>
          <w:rFonts w:eastAsia="Calibri"/>
          <w:szCs w:val="22"/>
          <w:lang w:val="sr-Latn-ME" w:eastAsia="en-US"/>
        </w:rPr>
        <w:t>) vrš</w:t>
      </w:r>
      <w:r>
        <w:rPr>
          <w:rFonts w:eastAsia="Calibri"/>
          <w:szCs w:val="22"/>
          <w:lang w:val="sr-Latn-ME" w:eastAsia="en-US"/>
        </w:rPr>
        <w:t>i</w:t>
      </w:r>
      <w:r w:rsidRPr="005F4D7E">
        <w:rPr>
          <w:rFonts w:eastAsia="Calibri"/>
          <w:szCs w:val="22"/>
          <w:lang w:val="sr-Latn-ME" w:eastAsia="en-US"/>
        </w:rPr>
        <w:t xml:space="preserve"> se u okviru GFCM radnih grupa na nivou GSA ili na nivou čitavog Jadrana. Proc</w:t>
      </w:r>
      <w:r>
        <w:rPr>
          <w:rFonts w:eastAsia="Calibri"/>
          <w:szCs w:val="22"/>
          <w:lang w:val="sr-Latn-ME" w:eastAsia="en-US"/>
        </w:rPr>
        <w:t>j</w:t>
      </w:r>
      <w:r w:rsidRPr="005F4D7E">
        <w:rPr>
          <w:rFonts w:eastAsia="Calibri"/>
          <w:szCs w:val="22"/>
          <w:lang w:val="sr-Latn-ME" w:eastAsia="en-US"/>
        </w:rPr>
        <w:t xml:space="preserve">ene, kao i referentne tačke za kriterijume D3C1 Stopa </w:t>
      </w:r>
      <w:r>
        <w:rPr>
          <w:rFonts w:eastAsia="Calibri"/>
          <w:szCs w:val="22"/>
          <w:lang w:val="sr-Latn-ME" w:eastAsia="en-US"/>
        </w:rPr>
        <w:t xml:space="preserve">ribolovne smrtnosti </w:t>
      </w:r>
      <w:r w:rsidRPr="005F4D7E">
        <w:rPr>
          <w:rFonts w:eastAsia="Calibri"/>
          <w:szCs w:val="22"/>
          <w:lang w:val="sr-Latn-ME" w:eastAsia="en-US"/>
        </w:rPr>
        <w:t xml:space="preserve">i kriterijum D3C2 </w:t>
      </w:r>
      <w:r>
        <w:rPr>
          <w:rFonts w:eastAsia="Calibri"/>
          <w:szCs w:val="22"/>
          <w:lang w:val="sr-Latn-ME" w:eastAsia="en-US"/>
        </w:rPr>
        <w:t xml:space="preserve">Biomasa mrijestećeg stoka </w:t>
      </w:r>
      <w:r w:rsidRPr="005F4D7E">
        <w:rPr>
          <w:rFonts w:eastAsia="Calibri"/>
          <w:szCs w:val="22"/>
          <w:lang w:val="sr-Latn-ME" w:eastAsia="en-US"/>
        </w:rPr>
        <w:t>su u</w:t>
      </w:r>
      <w:r>
        <w:rPr>
          <w:rFonts w:eastAsia="Calibri"/>
          <w:szCs w:val="22"/>
          <w:lang w:val="sr-Latn-ME" w:eastAsia="en-US"/>
        </w:rPr>
        <w:t>svojene na regionalnom nivou u okviru</w:t>
      </w:r>
      <w:r w:rsidRPr="005F4D7E">
        <w:rPr>
          <w:rFonts w:eastAsia="Calibri"/>
          <w:szCs w:val="22"/>
          <w:lang w:val="sr-Latn-ME" w:eastAsia="en-US"/>
        </w:rPr>
        <w:t xml:space="preserve"> GFCM. Referentne tačke za ove kriterijume usvajaju se na period od 3 godine u okviru Benchmar</w:t>
      </w:r>
      <w:r>
        <w:rPr>
          <w:rFonts w:eastAsia="Calibri"/>
          <w:szCs w:val="22"/>
          <w:lang w:val="sr-Latn-ME" w:eastAsia="en-US"/>
        </w:rPr>
        <w:t>k procjena. Za kriterijum D3C3, S</w:t>
      </w:r>
      <w:r w:rsidRPr="005F4D7E">
        <w:rPr>
          <w:rFonts w:eastAsia="Calibri"/>
          <w:szCs w:val="22"/>
          <w:lang w:val="sr-Latn-ME" w:eastAsia="en-US"/>
        </w:rPr>
        <w:t>tarosnu i dužinsku raspod</w:t>
      </w:r>
      <w:r>
        <w:rPr>
          <w:rFonts w:eastAsia="Calibri"/>
          <w:szCs w:val="22"/>
          <w:lang w:val="sr-Latn-ME" w:eastAsia="en-US"/>
        </w:rPr>
        <w:t>jelu jedinki</w:t>
      </w:r>
      <w:r w:rsidRPr="005F4D7E">
        <w:rPr>
          <w:rFonts w:eastAsia="Calibri"/>
          <w:szCs w:val="22"/>
          <w:lang w:val="sr-Latn-ME" w:eastAsia="en-US"/>
        </w:rPr>
        <w:t xml:space="preserve"> u populaciji, određene referentne tačke nisu utvrđene na regionalnom nivou, dok su vr</w:t>
      </w:r>
      <w:r>
        <w:rPr>
          <w:rFonts w:eastAsia="Calibri"/>
          <w:szCs w:val="22"/>
          <w:lang w:val="sr-Latn-ME" w:eastAsia="en-US"/>
        </w:rPr>
        <w:t>ij</w:t>
      </w:r>
      <w:r w:rsidRPr="005F4D7E">
        <w:rPr>
          <w:rFonts w:eastAsia="Calibri"/>
          <w:szCs w:val="22"/>
          <w:lang w:val="sr-Latn-ME" w:eastAsia="en-US"/>
        </w:rPr>
        <w:t>ednosti za sekundarni indikator određene nacionalnim zakonodavstvom.</w:t>
      </w:r>
    </w:p>
    <w:p w14:paraId="093471A9" w14:textId="77777777" w:rsidR="00971473" w:rsidRPr="005F4D7E" w:rsidRDefault="00971473" w:rsidP="00971473">
      <w:pPr>
        <w:spacing w:before="0" w:after="160"/>
        <w:rPr>
          <w:rFonts w:eastAsia="Calibri"/>
          <w:szCs w:val="22"/>
          <w:lang w:val="sr-Latn-ME" w:eastAsia="en-US"/>
        </w:rPr>
      </w:pPr>
      <w:r w:rsidRPr="005F4D7E">
        <w:rPr>
          <w:rFonts w:eastAsia="Calibri"/>
          <w:szCs w:val="22"/>
          <w:lang w:val="sr-Latn-ME" w:eastAsia="en-US"/>
        </w:rPr>
        <w:t>Prikupljanje podataka za procjenu statusa ovih kriterijuma u ​​Crnoj Gori vrši se i direktno zavisi od sprovođenja međunarod</w:t>
      </w:r>
      <w:r>
        <w:rPr>
          <w:rFonts w:eastAsia="Calibri"/>
          <w:szCs w:val="22"/>
          <w:lang w:val="sr-Latn-ME" w:eastAsia="en-US"/>
        </w:rPr>
        <w:t>nih istraživačkih ekspedicija/</w:t>
      </w:r>
      <w:r w:rsidRPr="005F4D7E">
        <w:rPr>
          <w:rFonts w:eastAsia="Calibri"/>
          <w:szCs w:val="22"/>
          <w:lang w:val="sr-Latn-ME" w:eastAsia="en-US"/>
        </w:rPr>
        <w:t xml:space="preserve">istraživanja u okviru programa MEDITS i MEDIAS (podaci za procjenu indikatora D3C2 Biomasa </w:t>
      </w:r>
      <w:r>
        <w:rPr>
          <w:rFonts w:eastAsia="Calibri"/>
          <w:szCs w:val="22"/>
          <w:lang w:val="sr-Latn-ME" w:eastAsia="en-US"/>
        </w:rPr>
        <w:t xml:space="preserve">mrijestećeg stoka </w:t>
      </w:r>
      <w:r w:rsidRPr="005F4D7E">
        <w:rPr>
          <w:rFonts w:eastAsia="Calibri"/>
          <w:szCs w:val="22"/>
          <w:lang w:val="sr-Latn-ME" w:eastAsia="en-US"/>
        </w:rPr>
        <w:t xml:space="preserve">i D3C3 </w:t>
      </w:r>
      <w:r>
        <w:rPr>
          <w:rFonts w:eastAsia="Calibri"/>
          <w:szCs w:val="22"/>
          <w:lang w:val="sr-Latn-ME" w:eastAsia="en-US"/>
        </w:rPr>
        <w:t xml:space="preserve">Starosna i dužinska raspodjela </w:t>
      </w:r>
      <w:r w:rsidRPr="005F4D7E">
        <w:rPr>
          <w:rFonts w:eastAsia="Calibri"/>
          <w:szCs w:val="22"/>
          <w:lang w:val="sr-Latn-ME" w:eastAsia="en-US"/>
        </w:rPr>
        <w:t>jed</w:t>
      </w:r>
      <w:r>
        <w:rPr>
          <w:rFonts w:eastAsia="Calibri"/>
          <w:szCs w:val="22"/>
          <w:lang w:val="sr-Latn-ME" w:eastAsia="en-US"/>
        </w:rPr>
        <w:t xml:space="preserve">inki u populaciji) i nacionali monitoring ribarstvenih </w:t>
      </w:r>
      <w:r w:rsidRPr="005F4D7E">
        <w:rPr>
          <w:rFonts w:eastAsia="Calibri"/>
          <w:szCs w:val="22"/>
          <w:lang w:val="sr-Latn-ME" w:eastAsia="en-US"/>
        </w:rPr>
        <w:t>resursa (podaci za proc</w:t>
      </w:r>
      <w:r>
        <w:rPr>
          <w:rFonts w:eastAsia="Calibri"/>
          <w:szCs w:val="22"/>
          <w:lang w:val="sr-Latn-ME" w:eastAsia="en-US"/>
        </w:rPr>
        <w:t>j</w:t>
      </w:r>
      <w:r w:rsidRPr="005F4D7E">
        <w:rPr>
          <w:rFonts w:eastAsia="Calibri"/>
          <w:szCs w:val="22"/>
          <w:lang w:val="sr-Latn-ME" w:eastAsia="en-US"/>
        </w:rPr>
        <w:t xml:space="preserve">enu </w:t>
      </w:r>
      <w:r>
        <w:rPr>
          <w:rFonts w:eastAsia="Calibri"/>
          <w:szCs w:val="22"/>
          <w:lang w:val="sr-Latn-ME" w:eastAsia="en-US"/>
        </w:rPr>
        <w:t xml:space="preserve">D3C1 </w:t>
      </w:r>
      <w:r w:rsidRPr="005F4D7E">
        <w:rPr>
          <w:rFonts w:eastAsia="Calibri"/>
          <w:szCs w:val="22"/>
          <w:lang w:val="sr-Latn-ME" w:eastAsia="en-US"/>
        </w:rPr>
        <w:t xml:space="preserve">stope </w:t>
      </w:r>
      <w:r>
        <w:rPr>
          <w:rFonts w:eastAsia="Calibri"/>
          <w:szCs w:val="22"/>
          <w:lang w:val="sr-Latn-ME" w:eastAsia="en-US"/>
        </w:rPr>
        <w:t>ribolovne smrtnosti</w:t>
      </w:r>
      <w:r w:rsidRPr="005F4D7E">
        <w:rPr>
          <w:rFonts w:eastAsia="Calibri"/>
          <w:szCs w:val="22"/>
          <w:lang w:val="sr-Latn-ME" w:eastAsia="en-US"/>
        </w:rPr>
        <w:t>).</w:t>
      </w:r>
    </w:p>
    <w:p w14:paraId="3BF905B6" w14:textId="77777777" w:rsidR="00971473" w:rsidRDefault="00971473" w:rsidP="00971473">
      <w:pPr>
        <w:spacing w:before="0" w:after="160"/>
        <w:rPr>
          <w:rFonts w:eastAsia="Calibri"/>
          <w:szCs w:val="22"/>
          <w:lang w:val="sr-Latn-ME" w:eastAsia="en-US"/>
        </w:rPr>
      </w:pPr>
      <w:r w:rsidRPr="005F4D7E">
        <w:rPr>
          <w:rFonts w:eastAsia="Calibri"/>
          <w:szCs w:val="22"/>
          <w:lang w:val="sr-Latn-ME" w:eastAsia="en-US"/>
        </w:rPr>
        <w:t>Kriterij</w:t>
      </w:r>
      <w:r>
        <w:rPr>
          <w:rFonts w:eastAsia="Calibri"/>
          <w:szCs w:val="22"/>
          <w:lang w:val="sr-Latn-ME" w:eastAsia="en-US"/>
        </w:rPr>
        <w:t>umi i metodološki standardi za D</w:t>
      </w:r>
      <w:r w:rsidRPr="005F4D7E">
        <w:rPr>
          <w:rFonts w:eastAsia="Calibri"/>
          <w:szCs w:val="22"/>
          <w:lang w:val="sr-Latn-ME" w:eastAsia="en-US"/>
        </w:rPr>
        <w:t>eskriptor 3 predstavljeni su u Odluci Komisije 2017/848:</w:t>
      </w:r>
    </w:p>
    <w:p w14:paraId="5B5CDC20" w14:textId="77777777" w:rsidR="00971473" w:rsidRPr="005F4D7E" w:rsidRDefault="00971473" w:rsidP="00971473">
      <w:pPr>
        <w:spacing w:before="0" w:after="0"/>
        <w:jc w:val="left"/>
        <w:rPr>
          <w:rFonts w:eastAsia="Calibri" w:cs="Calibri"/>
          <w:b/>
          <w:szCs w:val="22"/>
          <w:lang w:val="sr-Latn-ME" w:eastAsia="en-US"/>
        </w:rPr>
      </w:pPr>
      <w:r w:rsidRPr="005F4D7E">
        <w:rPr>
          <w:rFonts w:eastAsia="Calibri" w:cs="Calibri"/>
          <w:b/>
          <w:szCs w:val="22"/>
          <w:lang w:val="sr-Latn-ME" w:eastAsia="en-US"/>
        </w:rPr>
        <w:t>Kriterijumi D3C1 Nivo pritiska ribolovne aktivnosti</w:t>
      </w:r>
    </w:p>
    <w:p w14:paraId="14759CA2" w14:textId="58708468" w:rsidR="00971473" w:rsidRPr="009C429B" w:rsidRDefault="00971473" w:rsidP="009C429B">
      <w:pPr>
        <w:pStyle w:val="ListParagraph"/>
        <w:numPr>
          <w:ilvl w:val="0"/>
          <w:numId w:val="75"/>
        </w:numPr>
        <w:spacing w:before="0" w:after="0"/>
        <w:jc w:val="left"/>
        <w:rPr>
          <w:rFonts w:eastAsia="Calibri" w:cs="Calibri"/>
          <w:szCs w:val="22"/>
          <w:lang w:val="sr-Latn-ME" w:eastAsia="en-US"/>
        </w:rPr>
      </w:pPr>
      <w:r w:rsidRPr="009C429B">
        <w:rPr>
          <w:rFonts w:eastAsia="Calibri" w:cs="Calibri"/>
          <w:szCs w:val="22"/>
          <w:lang w:val="sr-Latn-ME" w:eastAsia="en-US"/>
        </w:rPr>
        <w:t>Primarni pokazatelj: Ribolovna smrtnost (F)</w:t>
      </w:r>
    </w:p>
    <w:p w14:paraId="7F06A0A1" w14:textId="7D3DE2F3" w:rsidR="00971473" w:rsidRPr="009C429B" w:rsidRDefault="00971473" w:rsidP="009C429B">
      <w:pPr>
        <w:pStyle w:val="ListParagraph"/>
        <w:numPr>
          <w:ilvl w:val="0"/>
          <w:numId w:val="75"/>
        </w:numPr>
        <w:spacing w:before="0" w:after="0"/>
        <w:jc w:val="left"/>
        <w:rPr>
          <w:rFonts w:eastAsia="Calibri" w:cs="Calibri"/>
          <w:szCs w:val="22"/>
          <w:lang w:val="sr-Latn-ME" w:eastAsia="en-US"/>
        </w:rPr>
      </w:pPr>
      <w:r w:rsidRPr="009C429B">
        <w:rPr>
          <w:rFonts w:eastAsia="Calibri" w:cs="Calibri"/>
          <w:szCs w:val="22"/>
          <w:lang w:val="sr-Latn-ME" w:eastAsia="en-US"/>
        </w:rPr>
        <w:t>Sekundarni indikator (ako analitičke procjene koje daju vrednosti za F nisu dostupne): Odnos između ulova i indeksa biomase (u daljem tekstu „odnos ulova / biomase“)</w:t>
      </w:r>
    </w:p>
    <w:p w14:paraId="3C4D4004" w14:textId="77777777" w:rsidR="00971473" w:rsidRPr="005F4D7E" w:rsidRDefault="00971473" w:rsidP="00971473">
      <w:pPr>
        <w:spacing w:before="0" w:after="0"/>
        <w:jc w:val="left"/>
        <w:rPr>
          <w:rFonts w:eastAsia="Calibri" w:cs="Calibri"/>
          <w:szCs w:val="22"/>
          <w:lang w:val="sr-Latn-ME" w:eastAsia="en-US"/>
        </w:rPr>
      </w:pPr>
    </w:p>
    <w:p w14:paraId="7A9DB948" w14:textId="77777777" w:rsidR="00971473" w:rsidRPr="005F4D7E" w:rsidRDefault="00971473" w:rsidP="00971473">
      <w:pPr>
        <w:spacing w:before="0" w:after="0"/>
        <w:jc w:val="left"/>
        <w:rPr>
          <w:rFonts w:eastAsia="Calibri" w:cs="Calibri"/>
          <w:b/>
          <w:szCs w:val="22"/>
          <w:lang w:val="sr-Latn-ME" w:eastAsia="en-US"/>
        </w:rPr>
      </w:pPr>
      <w:r w:rsidRPr="005F4D7E">
        <w:rPr>
          <w:rFonts w:eastAsia="Calibri" w:cs="Calibri"/>
          <w:b/>
          <w:szCs w:val="22"/>
          <w:lang w:val="sr-Latn-ME" w:eastAsia="en-US"/>
        </w:rPr>
        <w:t>Kriterijumi D3C2 Biomasa mrijestećeg stoka</w:t>
      </w:r>
    </w:p>
    <w:p w14:paraId="0FDA0B93" w14:textId="4E3E9D91" w:rsidR="00971473" w:rsidRPr="009C429B" w:rsidRDefault="00971473" w:rsidP="009C429B">
      <w:pPr>
        <w:pStyle w:val="ListParagraph"/>
        <w:numPr>
          <w:ilvl w:val="0"/>
          <w:numId w:val="76"/>
        </w:numPr>
        <w:spacing w:before="0" w:after="0"/>
        <w:jc w:val="left"/>
        <w:rPr>
          <w:rFonts w:eastAsia="Calibri" w:cs="Calibri"/>
          <w:szCs w:val="22"/>
          <w:lang w:val="sr-Latn-ME" w:eastAsia="en-US"/>
        </w:rPr>
      </w:pPr>
      <w:r w:rsidRPr="009C429B">
        <w:rPr>
          <w:rFonts w:eastAsia="Calibri" w:cs="Calibri"/>
          <w:szCs w:val="22"/>
          <w:lang w:val="sr-Latn-ME" w:eastAsia="en-US"/>
        </w:rPr>
        <w:t>Primarni indikator: Biomasa mrijestećeg stoka (SSB)</w:t>
      </w:r>
    </w:p>
    <w:p w14:paraId="3AFAC92A" w14:textId="4717F69B" w:rsidR="00971473" w:rsidRPr="009C429B" w:rsidRDefault="00971473" w:rsidP="009C429B">
      <w:pPr>
        <w:pStyle w:val="ListParagraph"/>
        <w:numPr>
          <w:ilvl w:val="0"/>
          <w:numId w:val="76"/>
        </w:numPr>
        <w:spacing w:before="0" w:after="0"/>
        <w:jc w:val="left"/>
        <w:rPr>
          <w:rFonts w:eastAsia="Calibri" w:cs="Calibri"/>
          <w:szCs w:val="22"/>
          <w:lang w:val="sr-Latn-ME" w:eastAsia="en-US"/>
        </w:rPr>
      </w:pPr>
      <w:r w:rsidRPr="009C429B">
        <w:rPr>
          <w:rFonts w:eastAsia="Calibri" w:cs="Calibri"/>
          <w:szCs w:val="22"/>
          <w:lang w:val="sr-Latn-ME" w:eastAsia="en-US"/>
        </w:rPr>
        <w:t>Sekundarni indikator (ako nisu dostupne analitičke procjene koje daju vrednosti za SSB): indeksi povezani sa biomasom (indeksi ulova po jedinici napora ili indeks abundance)</w:t>
      </w:r>
    </w:p>
    <w:p w14:paraId="42042407" w14:textId="77777777" w:rsidR="00971473" w:rsidRPr="005F4D7E" w:rsidRDefault="00971473" w:rsidP="00971473">
      <w:pPr>
        <w:spacing w:before="0" w:after="0"/>
        <w:jc w:val="left"/>
        <w:rPr>
          <w:rFonts w:eastAsia="Calibri" w:cs="Calibri"/>
          <w:szCs w:val="22"/>
          <w:lang w:val="sr-Latn-ME" w:eastAsia="en-US"/>
        </w:rPr>
      </w:pPr>
    </w:p>
    <w:p w14:paraId="2059AF43" w14:textId="77777777" w:rsidR="00842661" w:rsidRDefault="00842661" w:rsidP="00971473">
      <w:pPr>
        <w:spacing w:before="0" w:after="0"/>
        <w:jc w:val="left"/>
        <w:rPr>
          <w:rFonts w:eastAsia="Calibri" w:cs="Calibri"/>
          <w:b/>
          <w:szCs w:val="22"/>
          <w:lang w:val="sr-Latn-ME" w:eastAsia="en-US"/>
        </w:rPr>
      </w:pPr>
    </w:p>
    <w:p w14:paraId="33E6FD3B" w14:textId="77777777" w:rsidR="00971473" w:rsidRPr="005F4D7E" w:rsidRDefault="00971473" w:rsidP="00971473">
      <w:pPr>
        <w:spacing w:before="0" w:after="0"/>
        <w:jc w:val="left"/>
        <w:rPr>
          <w:rFonts w:eastAsia="Calibri" w:cs="Calibri"/>
          <w:b/>
          <w:szCs w:val="22"/>
          <w:lang w:val="sr-Latn-ME" w:eastAsia="en-US"/>
        </w:rPr>
      </w:pPr>
      <w:r w:rsidRPr="005F4D7E">
        <w:rPr>
          <w:rFonts w:eastAsia="Calibri" w:cs="Calibri"/>
          <w:b/>
          <w:szCs w:val="22"/>
          <w:lang w:val="sr-Latn-ME" w:eastAsia="en-US"/>
        </w:rPr>
        <w:t>Kriterijum D3C3 Raspod</w:t>
      </w:r>
      <w:r>
        <w:rPr>
          <w:rFonts w:eastAsia="Calibri" w:cs="Calibri"/>
          <w:b/>
          <w:szCs w:val="22"/>
          <w:lang w:val="sr-Latn-ME" w:eastAsia="en-US"/>
        </w:rPr>
        <w:t>j</w:t>
      </w:r>
      <w:r w:rsidRPr="005F4D7E">
        <w:rPr>
          <w:rFonts w:eastAsia="Calibri" w:cs="Calibri"/>
          <w:b/>
          <w:szCs w:val="22"/>
          <w:lang w:val="sr-Latn-ME" w:eastAsia="en-US"/>
        </w:rPr>
        <w:t xml:space="preserve">ela starosti i veličine </w:t>
      </w:r>
      <w:r>
        <w:rPr>
          <w:rFonts w:eastAsia="Calibri" w:cs="Calibri"/>
          <w:b/>
          <w:szCs w:val="22"/>
          <w:lang w:val="sr-Latn-ME" w:eastAsia="en-US"/>
        </w:rPr>
        <w:t>populacije</w:t>
      </w:r>
    </w:p>
    <w:p w14:paraId="3F8D8E5C" w14:textId="2BA55876" w:rsidR="00971473" w:rsidRPr="00842661" w:rsidRDefault="00971473" w:rsidP="00842661">
      <w:pPr>
        <w:pStyle w:val="ListParagraph"/>
        <w:numPr>
          <w:ilvl w:val="0"/>
          <w:numId w:val="77"/>
        </w:numPr>
        <w:spacing w:before="0" w:after="0"/>
        <w:jc w:val="left"/>
        <w:rPr>
          <w:rFonts w:eastAsia="Calibri" w:cs="Calibri"/>
          <w:szCs w:val="22"/>
          <w:lang w:val="sr-Latn-ME" w:eastAsia="en-US"/>
        </w:rPr>
      </w:pPr>
      <w:r w:rsidRPr="00842661">
        <w:rPr>
          <w:rFonts w:eastAsia="Calibri" w:cs="Calibri"/>
          <w:szCs w:val="22"/>
          <w:lang w:val="sr-Latn-ME" w:eastAsia="en-US"/>
        </w:rPr>
        <w:t>Primarni indikator</w:t>
      </w:r>
    </w:p>
    <w:p w14:paraId="349B35AA" w14:textId="77777777" w:rsidR="00971473" w:rsidRPr="005F4D7E" w:rsidRDefault="00971473" w:rsidP="00842661">
      <w:pPr>
        <w:spacing w:before="0" w:after="0"/>
        <w:ind w:firstLine="720"/>
        <w:jc w:val="left"/>
        <w:rPr>
          <w:rFonts w:eastAsia="Calibri" w:cs="Calibri"/>
          <w:szCs w:val="22"/>
          <w:lang w:val="sr-Latn-ME" w:eastAsia="en-US"/>
        </w:rPr>
      </w:pPr>
      <w:r>
        <w:rPr>
          <w:rFonts w:eastAsia="Calibri" w:cs="Calibri"/>
          <w:szCs w:val="22"/>
          <w:lang w:val="sr-Latn-ME" w:eastAsia="en-US"/>
        </w:rPr>
        <w:t xml:space="preserve"> - Udi</w:t>
      </w:r>
      <w:r w:rsidRPr="005F4D7E">
        <w:rPr>
          <w:rFonts w:eastAsia="Calibri" w:cs="Calibri"/>
          <w:szCs w:val="22"/>
          <w:lang w:val="sr-Latn-ME" w:eastAsia="en-US"/>
        </w:rPr>
        <w:t>o riba veći</w:t>
      </w:r>
      <w:r>
        <w:rPr>
          <w:rFonts w:eastAsia="Calibri" w:cs="Calibri"/>
          <w:szCs w:val="22"/>
          <w:lang w:val="sr-Latn-ME" w:eastAsia="en-US"/>
        </w:rPr>
        <w:t>h od srednje dužine prvog polnog sazrije</w:t>
      </w:r>
      <w:r w:rsidRPr="005F4D7E">
        <w:rPr>
          <w:rFonts w:eastAsia="Calibri" w:cs="Calibri"/>
          <w:szCs w:val="22"/>
          <w:lang w:val="sr-Latn-ME" w:eastAsia="en-US"/>
        </w:rPr>
        <w:t>vanja</w:t>
      </w:r>
    </w:p>
    <w:p w14:paraId="41669738" w14:textId="3B30E21F" w:rsidR="00971473" w:rsidRPr="005F4D7E" w:rsidRDefault="00971473" w:rsidP="00842661">
      <w:pPr>
        <w:spacing w:before="0" w:after="0"/>
        <w:ind w:left="720"/>
        <w:jc w:val="left"/>
        <w:rPr>
          <w:rFonts w:eastAsia="Calibri" w:cs="Calibri"/>
          <w:szCs w:val="22"/>
          <w:lang w:val="sr-Latn-ME" w:eastAsia="en-US"/>
        </w:rPr>
      </w:pPr>
      <w:r w:rsidRPr="005F4D7E">
        <w:rPr>
          <w:rFonts w:eastAsia="Calibri" w:cs="Calibri"/>
          <w:szCs w:val="22"/>
          <w:lang w:val="sr-Latn-ME" w:eastAsia="en-US"/>
        </w:rPr>
        <w:t xml:space="preserve">- </w:t>
      </w:r>
      <w:r w:rsidR="00842661">
        <w:rPr>
          <w:rFonts w:eastAsia="Calibri" w:cs="Calibri"/>
          <w:szCs w:val="22"/>
          <w:lang w:val="sr-Latn-ME" w:eastAsia="en-US"/>
        </w:rPr>
        <w:t xml:space="preserve"> </w:t>
      </w:r>
      <w:r w:rsidRPr="005F4D7E">
        <w:rPr>
          <w:rFonts w:eastAsia="Calibri" w:cs="Calibri"/>
          <w:szCs w:val="22"/>
          <w:lang w:val="sr-Latn-ME" w:eastAsia="en-US"/>
        </w:rPr>
        <w:t xml:space="preserve">95% percentila </w:t>
      </w:r>
      <w:r>
        <w:rPr>
          <w:rFonts w:eastAsia="Calibri" w:cs="Calibri"/>
          <w:szCs w:val="22"/>
          <w:lang w:val="sr-Latn-ME" w:eastAsia="en-US"/>
        </w:rPr>
        <w:t xml:space="preserve">dužinske distribucije </w:t>
      </w:r>
      <w:r w:rsidRPr="005F4D7E">
        <w:rPr>
          <w:rFonts w:eastAsia="Calibri" w:cs="Calibri"/>
          <w:szCs w:val="22"/>
          <w:lang w:val="sr-Latn-ME" w:eastAsia="en-US"/>
        </w:rPr>
        <w:t xml:space="preserve">uočeno u istraživanjima </w:t>
      </w:r>
      <w:r>
        <w:rPr>
          <w:rFonts w:eastAsia="Calibri" w:cs="Calibri"/>
          <w:szCs w:val="22"/>
          <w:lang w:val="sr-Latn-ME" w:eastAsia="en-US"/>
        </w:rPr>
        <w:t>sa istraživačkim brodovima</w:t>
      </w:r>
    </w:p>
    <w:p w14:paraId="17C41EBB" w14:textId="5D5FA0D1" w:rsidR="00971473" w:rsidRPr="00842661" w:rsidRDefault="00971473" w:rsidP="00842661">
      <w:pPr>
        <w:pStyle w:val="ListParagraph"/>
        <w:numPr>
          <w:ilvl w:val="0"/>
          <w:numId w:val="77"/>
        </w:numPr>
        <w:spacing w:before="0" w:after="0"/>
        <w:jc w:val="left"/>
        <w:rPr>
          <w:rFonts w:eastAsia="Calibri" w:cs="Calibri"/>
          <w:szCs w:val="22"/>
          <w:lang w:val="sr-Latn-ME" w:eastAsia="en-US"/>
        </w:rPr>
      </w:pPr>
      <w:r w:rsidRPr="00842661">
        <w:rPr>
          <w:rFonts w:eastAsia="Calibri" w:cs="Calibri"/>
          <w:szCs w:val="22"/>
          <w:lang w:val="sr-Latn-ME" w:eastAsia="en-US"/>
        </w:rPr>
        <w:t>Sekundarni indikator: Veličina pri prvom polnom sazrevanju</w:t>
      </w:r>
    </w:p>
    <w:p w14:paraId="59DBA82D" w14:textId="77777777" w:rsidR="00971473" w:rsidRPr="00D716F4" w:rsidRDefault="00971473" w:rsidP="00971473">
      <w:pPr>
        <w:spacing w:before="0" w:after="0"/>
        <w:jc w:val="left"/>
        <w:rPr>
          <w:rFonts w:eastAsia="Calibri" w:cs="Calibri"/>
          <w:szCs w:val="22"/>
          <w:lang w:val="sr-Latn-ME" w:eastAsia="en-US"/>
        </w:rPr>
      </w:pPr>
    </w:p>
    <w:p w14:paraId="5ACFA1AF" w14:textId="77777777" w:rsidR="00971473" w:rsidRDefault="00971473" w:rsidP="00971473">
      <w:pPr>
        <w:spacing w:before="0" w:after="0"/>
        <w:rPr>
          <w:rFonts w:eastAsia="Calibri" w:cs="Calibri"/>
          <w:szCs w:val="22"/>
          <w:lang w:val="sr-Latn-ME" w:eastAsia="en-US"/>
        </w:rPr>
      </w:pPr>
      <w:r w:rsidRPr="00B53A97">
        <w:rPr>
          <w:rFonts w:eastAsia="Calibri" w:cs="Calibri"/>
          <w:szCs w:val="22"/>
          <w:lang w:val="sr-Latn-ME" w:eastAsia="en-US"/>
        </w:rPr>
        <w:t>Razlika u pokazateljima i kriterijumima je u tome što Odluka 2017/848 definiše obavez</w:t>
      </w:r>
      <w:r>
        <w:rPr>
          <w:rFonts w:eastAsia="Calibri" w:cs="Calibri"/>
          <w:szCs w:val="22"/>
          <w:lang w:val="sr-Latn-ME" w:eastAsia="en-US"/>
        </w:rPr>
        <w:t>u država članica (MS</w:t>
      </w:r>
      <w:r w:rsidRPr="00B53A97">
        <w:rPr>
          <w:rFonts w:eastAsia="Calibri" w:cs="Calibri"/>
          <w:szCs w:val="22"/>
          <w:lang w:val="sr-Latn-ME" w:eastAsia="en-US"/>
        </w:rPr>
        <w:t>) da uspostave granične vr</w:t>
      </w:r>
      <w:r>
        <w:rPr>
          <w:rFonts w:eastAsia="Calibri" w:cs="Calibri"/>
          <w:szCs w:val="22"/>
          <w:lang w:val="sr-Latn-ME" w:eastAsia="en-US"/>
        </w:rPr>
        <w:t>ij</w:t>
      </w:r>
      <w:r w:rsidRPr="00B53A97">
        <w:rPr>
          <w:rFonts w:eastAsia="Calibri" w:cs="Calibri"/>
          <w:szCs w:val="22"/>
          <w:lang w:val="sr-Latn-ME" w:eastAsia="en-US"/>
        </w:rPr>
        <w:t>ednosti za primarne kriterijume kroz saradnju na nivou Unije, uzimajući u obzir regionalne ili subregionalne specifičnosti. Glavna razlika između primarnih i sekundarnih kriterijuma je u tome što država članica ne mora da pruži nikakvo obrazloženje u slučaju prim</w:t>
      </w:r>
      <w:r>
        <w:rPr>
          <w:rFonts w:eastAsia="Calibri" w:cs="Calibri"/>
          <w:szCs w:val="22"/>
          <w:lang w:val="sr-Latn-ME" w:eastAsia="en-US"/>
        </w:rPr>
        <w:t>j</w:t>
      </w:r>
      <w:r w:rsidRPr="00B53A97">
        <w:rPr>
          <w:rFonts w:eastAsia="Calibri" w:cs="Calibri"/>
          <w:szCs w:val="22"/>
          <w:lang w:val="sr-Latn-ME" w:eastAsia="en-US"/>
        </w:rPr>
        <w:t>ene sekundarnih kriterijuma. Na osnovu regionalne ili subregionalne saradnje, države članice treba da uspostave nacionalne granične vr</w:t>
      </w:r>
      <w:r>
        <w:rPr>
          <w:rFonts w:eastAsia="Calibri" w:cs="Calibri"/>
          <w:szCs w:val="22"/>
          <w:lang w:val="sr-Latn-ME" w:eastAsia="en-US"/>
        </w:rPr>
        <w:t>ij</w:t>
      </w:r>
      <w:r w:rsidRPr="00B53A97">
        <w:rPr>
          <w:rFonts w:eastAsia="Calibri" w:cs="Calibri"/>
          <w:szCs w:val="22"/>
          <w:lang w:val="sr-Latn-ME" w:eastAsia="en-US"/>
        </w:rPr>
        <w:t>ednosti, sm</w:t>
      </w:r>
      <w:r>
        <w:rPr>
          <w:rFonts w:eastAsia="Calibri" w:cs="Calibri"/>
          <w:szCs w:val="22"/>
          <w:lang w:val="sr-Latn-ME" w:eastAsia="en-US"/>
        </w:rPr>
        <w:t>j</w:t>
      </w:r>
      <w:r w:rsidRPr="00B53A97">
        <w:rPr>
          <w:rFonts w:eastAsia="Calibri" w:cs="Calibri"/>
          <w:szCs w:val="22"/>
          <w:lang w:val="sr-Latn-ME" w:eastAsia="en-US"/>
        </w:rPr>
        <w:t>erne trendove ili granične vr</w:t>
      </w:r>
      <w:r>
        <w:rPr>
          <w:rFonts w:eastAsia="Calibri" w:cs="Calibri"/>
          <w:szCs w:val="22"/>
          <w:lang w:val="sr-Latn-ME" w:eastAsia="en-US"/>
        </w:rPr>
        <w:t>ij</w:t>
      </w:r>
      <w:r w:rsidRPr="00B53A97">
        <w:rPr>
          <w:rFonts w:eastAsia="Calibri" w:cs="Calibri"/>
          <w:szCs w:val="22"/>
          <w:lang w:val="sr-Latn-ME" w:eastAsia="en-US"/>
        </w:rPr>
        <w:t>ednosti zas</w:t>
      </w:r>
      <w:r>
        <w:rPr>
          <w:rFonts w:eastAsia="Calibri" w:cs="Calibri"/>
          <w:szCs w:val="22"/>
          <w:lang w:val="sr-Latn-ME" w:eastAsia="en-US"/>
        </w:rPr>
        <w:t>novane na pritisku kao zamjenu.</w:t>
      </w:r>
    </w:p>
    <w:p w14:paraId="6A7AA085" w14:textId="77777777" w:rsidR="00971473" w:rsidRPr="00D716F4" w:rsidRDefault="00971473" w:rsidP="00971473">
      <w:pPr>
        <w:spacing w:before="0" w:after="0"/>
        <w:rPr>
          <w:rFonts w:eastAsia="Calibri" w:cs="Calibri"/>
          <w:szCs w:val="22"/>
          <w:lang w:val="sr-Latn-ME" w:eastAsia="en-US"/>
        </w:rPr>
      </w:pPr>
    </w:p>
    <w:p w14:paraId="7D6D085F" w14:textId="6889F2C5" w:rsidR="00971473" w:rsidRPr="00D716F4" w:rsidRDefault="00971473" w:rsidP="00971473">
      <w:pPr>
        <w:spacing w:before="0" w:after="160"/>
        <w:rPr>
          <w:b/>
          <w:lang w:val="sr-Latn-ME" w:eastAsia="en-US"/>
        </w:rPr>
      </w:pPr>
      <w:bookmarkStart w:id="102" w:name="_Toc68078488"/>
      <w:bookmarkStart w:id="103" w:name="_Toc68180753"/>
      <w:bookmarkStart w:id="104" w:name="_Toc68247526"/>
      <w:r>
        <w:rPr>
          <w:b/>
          <w:lang w:val="sr-Latn-ME" w:eastAsia="en-US"/>
        </w:rPr>
        <w:t>GES grani</w:t>
      </w:r>
      <w:r w:rsidR="006B25D2">
        <w:rPr>
          <w:b/>
          <w:lang w:val="sr-Latn-ME" w:eastAsia="en-US"/>
        </w:rPr>
        <w:t>čne vrijednosti</w:t>
      </w:r>
      <w:r w:rsidRPr="00D716F4">
        <w:rPr>
          <w:b/>
          <w:lang w:val="sr-Latn-ME" w:eastAsia="en-US"/>
        </w:rPr>
        <w:t>/</w:t>
      </w:r>
      <w:bookmarkEnd w:id="102"/>
      <w:bookmarkEnd w:id="103"/>
      <w:bookmarkEnd w:id="104"/>
      <w:r>
        <w:rPr>
          <w:b/>
          <w:lang w:val="sr-Latn-ME" w:eastAsia="en-US"/>
        </w:rPr>
        <w:t>pragovi</w:t>
      </w:r>
    </w:p>
    <w:p w14:paraId="5AE72097" w14:textId="77777777" w:rsidR="00971473" w:rsidRPr="00375B33" w:rsidRDefault="00971473" w:rsidP="00971473">
      <w:pPr>
        <w:spacing w:before="0" w:after="160"/>
        <w:rPr>
          <w:rFonts w:eastAsia="Calibri" w:cs="Calibri"/>
          <w:szCs w:val="22"/>
          <w:lang w:val="sr-Latn-ME" w:eastAsia="en-US"/>
        </w:rPr>
      </w:pPr>
      <w:bookmarkStart w:id="105" w:name="_Hlk67845493"/>
      <w:r>
        <w:rPr>
          <w:rFonts w:eastAsia="Calibri" w:cs="Calibri"/>
          <w:szCs w:val="22"/>
          <w:lang w:val="sr-Latn-ME" w:eastAsia="en-US"/>
        </w:rPr>
        <w:t>Riblji stokovi</w:t>
      </w:r>
      <w:r w:rsidRPr="00375B33">
        <w:rPr>
          <w:rFonts w:eastAsia="Calibri" w:cs="Calibri"/>
          <w:szCs w:val="22"/>
          <w:lang w:val="sr-Latn-ME" w:eastAsia="en-US"/>
        </w:rPr>
        <w:t xml:space="preserve"> u Crnoj Gori, kao dijelu interesnog područja GFCM-a, procjenjuju se i njima se upravlja na regionalnom nivou (GSA 18) ili na nivou </w:t>
      </w:r>
      <w:r>
        <w:rPr>
          <w:rFonts w:eastAsia="Calibri" w:cs="Calibri"/>
          <w:szCs w:val="22"/>
          <w:lang w:val="sr-Latn-ME" w:eastAsia="en-US"/>
        </w:rPr>
        <w:t xml:space="preserve">Jadrana </w:t>
      </w:r>
      <w:r w:rsidRPr="00375B33">
        <w:rPr>
          <w:rFonts w:eastAsia="Calibri" w:cs="Calibri"/>
          <w:szCs w:val="22"/>
          <w:lang w:val="sr-Latn-ME" w:eastAsia="en-US"/>
        </w:rPr>
        <w:t>(GSA 17 i 18). Naučne proc</w:t>
      </w:r>
      <w:r>
        <w:rPr>
          <w:rFonts w:eastAsia="Calibri" w:cs="Calibri"/>
          <w:szCs w:val="22"/>
          <w:lang w:val="sr-Latn-ME" w:eastAsia="en-US"/>
        </w:rPr>
        <w:t>j</w:t>
      </w:r>
      <w:r w:rsidRPr="00375B33">
        <w:rPr>
          <w:rFonts w:eastAsia="Calibri" w:cs="Calibri"/>
          <w:szCs w:val="22"/>
          <w:lang w:val="sr-Latn-ME" w:eastAsia="en-US"/>
        </w:rPr>
        <w:t>ene stanja ribljeg fonda, referentnih tačaka upravljanja i obima ribolovnih aktivnosti pruža GFCM. Primarna m</w:t>
      </w:r>
      <w:r>
        <w:rPr>
          <w:rFonts w:eastAsia="Calibri" w:cs="Calibri"/>
          <w:szCs w:val="22"/>
          <w:lang w:val="sr-Latn-ME" w:eastAsia="en-US"/>
        </w:rPr>
        <w:t>j</w:t>
      </w:r>
      <w:r w:rsidRPr="00375B33">
        <w:rPr>
          <w:rFonts w:eastAsia="Calibri" w:cs="Calibri"/>
          <w:szCs w:val="22"/>
          <w:lang w:val="sr-Latn-ME" w:eastAsia="en-US"/>
        </w:rPr>
        <w:t>era za</w:t>
      </w:r>
      <w:r>
        <w:rPr>
          <w:rFonts w:eastAsia="Calibri" w:cs="Calibri"/>
          <w:szCs w:val="22"/>
          <w:lang w:val="sr-Latn-ME" w:eastAsia="en-US"/>
        </w:rPr>
        <w:t xml:space="preserve"> opis stanja stoka</w:t>
      </w:r>
      <w:r w:rsidRPr="00375B33">
        <w:rPr>
          <w:rFonts w:eastAsia="Calibri" w:cs="Calibri"/>
          <w:szCs w:val="22"/>
          <w:lang w:val="sr-Latn-ME" w:eastAsia="en-US"/>
        </w:rPr>
        <w:t xml:space="preserve"> je </w:t>
      </w:r>
      <w:r>
        <w:rPr>
          <w:rFonts w:eastAsia="Calibri" w:cs="Calibri"/>
          <w:szCs w:val="22"/>
          <w:lang w:val="sr-Latn-ME" w:eastAsia="en-US"/>
        </w:rPr>
        <w:t>biomasa mrijestećeg stoka (SSB), koja predstavlja vrijednost</w:t>
      </w:r>
      <w:r w:rsidRPr="00375B33">
        <w:rPr>
          <w:rFonts w:eastAsia="Calibri" w:cs="Calibri"/>
          <w:szCs w:val="22"/>
          <w:lang w:val="sr-Latn-ME" w:eastAsia="en-US"/>
        </w:rPr>
        <w:t xml:space="preserve"> reprodu</w:t>
      </w:r>
      <w:r>
        <w:rPr>
          <w:rFonts w:eastAsia="Calibri" w:cs="Calibri"/>
          <w:szCs w:val="22"/>
          <w:lang w:val="sr-Latn-ME" w:eastAsia="en-US"/>
        </w:rPr>
        <w:t>ktivnog potencijala stoka</w:t>
      </w:r>
      <w:r w:rsidRPr="00375B33">
        <w:rPr>
          <w:rFonts w:eastAsia="Calibri" w:cs="Calibri"/>
          <w:szCs w:val="22"/>
          <w:lang w:val="sr-Latn-ME" w:eastAsia="en-US"/>
        </w:rPr>
        <w:t>. Primarna m</w:t>
      </w:r>
      <w:r>
        <w:rPr>
          <w:rFonts w:eastAsia="Calibri" w:cs="Calibri"/>
          <w:szCs w:val="22"/>
          <w:lang w:val="sr-Latn-ME" w:eastAsia="en-US"/>
        </w:rPr>
        <w:t>j</w:t>
      </w:r>
      <w:r w:rsidRPr="00375B33">
        <w:rPr>
          <w:rFonts w:eastAsia="Calibri" w:cs="Calibri"/>
          <w:szCs w:val="22"/>
          <w:lang w:val="sr-Latn-ME" w:eastAsia="en-US"/>
        </w:rPr>
        <w:t xml:space="preserve">era za obim ribolovne aktivnosti je </w:t>
      </w:r>
      <w:r>
        <w:rPr>
          <w:rFonts w:eastAsia="Calibri" w:cs="Calibri"/>
          <w:szCs w:val="22"/>
          <w:lang w:val="sr-Latn-ME" w:eastAsia="en-US"/>
        </w:rPr>
        <w:t xml:space="preserve">ribolovna smrtnost </w:t>
      </w:r>
      <w:r w:rsidRPr="00375B33">
        <w:rPr>
          <w:rFonts w:eastAsia="Calibri" w:cs="Calibri"/>
          <w:szCs w:val="22"/>
          <w:lang w:val="sr-Latn-ME" w:eastAsia="en-US"/>
        </w:rPr>
        <w:t>(F</w:t>
      </w:r>
      <w:r>
        <w:rPr>
          <w:rFonts w:eastAsia="Calibri" w:cs="Calibri"/>
          <w:szCs w:val="22"/>
          <w:lang w:val="sr-Latn-ME" w:eastAsia="en-US"/>
        </w:rPr>
        <w:t>) koja se primenjuje na stok.</w:t>
      </w:r>
    </w:p>
    <w:p w14:paraId="6FDA3943" w14:textId="77777777" w:rsidR="00971473" w:rsidRDefault="00971473" w:rsidP="00971473">
      <w:pPr>
        <w:spacing w:before="0" w:after="160"/>
        <w:rPr>
          <w:rFonts w:eastAsia="Calibri" w:cs="Calibri"/>
          <w:szCs w:val="22"/>
          <w:lang w:val="sr-Latn-ME" w:eastAsia="en-US"/>
        </w:rPr>
      </w:pPr>
      <w:r w:rsidRPr="00375B33">
        <w:rPr>
          <w:rFonts w:eastAsia="Calibri" w:cs="Calibri"/>
          <w:szCs w:val="22"/>
          <w:lang w:val="sr-Latn-ME" w:eastAsia="en-US"/>
        </w:rPr>
        <w:t>GFCM ne vrši procjene</w:t>
      </w:r>
      <w:r>
        <w:rPr>
          <w:rFonts w:eastAsia="Calibri" w:cs="Calibri"/>
          <w:szCs w:val="22"/>
          <w:lang w:val="sr-Latn-ME" w:eastAsia="en-US"/>
        </w:rPr>
        <w:t>,</w:t>
      </w:r>
      <w:r w:rsidRPr="00375B33">
        <w:rPr>
          <w:rFonts w:eastAsia="Calibri" w:cs="Calibri"/>
          <w:szCs w:val="22"/>
          <w:lang w:val="sr-Latn-ME" w:eastAsia="en-US"/>
        </w:rPr>
        <w:t xml:space="preserve"> niti daje referentne tačke za sve </w:t>
      </w:r>
      <w:r>
        <w:rPr>
          <w:rFonts w:eastAsia="Calibri" w:cs="Calibri"/>
          <w:szCs w:val="22"/>
          <w:lang w:val="sr-Latn-ME" w:eastAsia="en-US"/>
        </w:rPr>
        <w:t>stokove</w:t>
      </w:r>
      <w:r w:rsidRPr="00375B33">
        <w:rPr>
          <w:rFonts w:eastAsia="Calibri" w:cs="Calibri"/>
          <w:szCs w:val="22"/>
          <w:lang w:val="sr-Latn-ME" w:eastAsia="en-US"/>
        </w:rPr>
        <w:t xml:space="preserve"> eksploatisane u Crnoj Gori (više od 120 vrsta). Prema tome, proc</w:t>
      </w:r>
      <w:r>
        <w:rPr>
          <w:rFonts w:eastAsia="Calibri" w:cs="Calibri"/>
          <w:szCs w:val="22"/>
          <w:lang w:val="sr-Latn-ME" w:eastAsia="en-US"/>
        </w:rPr>
        <w:t>j</w:t>
      </w:r>
      <w:r w:rsidRPr="00375B33">
        <w:rPr>
          <w:rFonts w:eastAsia="Calibri" w:cs="Calibri"/>
          <w:szCs w:val="22"/>
          <w:lang w:val="sr-Latn-ME" w:eastAsia="en-US"/>
        </w:rPr>
        <w:t>ene GES-a za kriterijum 3.1 (nivo</w:t>
      </w:r>
      <w:r>
        <w:rPr>
          <w:rFonts w:eastAsia="Calibri" w:cs="Calibri"/>
          <w:szCs w:val="22"/>
          <w:lang w:val="sr-Latn-ME" w:eastAsia="en-US"/>
        </w:rPr>
        <w:t xml:space="preserve"> ribolovnog pritiska</w:t>
      </w:r>
      <w:r w:rsidRPr="00375B33">
        <w:rPr>
          <w:rFonts w:eastAsia="Calibri" w:cs="Calibri"/>
          <w:szCs w:val="22"/>
          <w:lang w:val="sr-Latn-ME" w:eastAsia="en-US"/>
        </w:rPr>
        <w:t xml:space="preserve">) i kriterijum </w:t>
      </w:r>
      <w:r>
        <w:rPr>
          <w:rFonts w:eastAsia="Calibri" w:cs="Calibri"/>
          <w:szCs w:val="22"/>
          <w:lang w:val="sr-Latn-ME" w:eastAsia="en-US"/>
        </w:rPr>
        <w:t>3.2 (reproduktivni kapacitet stoka</w:t>
      </w:r>
      <w:r w:rsidRPr="00375B33">
        <w:rPr>
          <w:rFonts w:eastAsia="Calibri" w:cs="Calibri"/>
          <w:szCs w:val="22"/>
          <w:lang w:val="sr-Latn-ME" w:eastAsia="en-US"/>
        </w:rPr>
        <w:t>) trenutno se ne mogu izvršiti za sve stokove na osnovu GFCM-a. U od</w:t>
      </w:r>
      <w:r>
        <w:rPr>
          <w:rFonts w:eastAsia="Calibri" w:cs="Calibri"/>
          <w:szCs w:val="22"/>
          <w:lang w:val="sr-Latn-ME" w:eastAsia="en-US"/>
        </w:rPr>
        <w:t>nosu na kriterijume 3.3 (dužinska i starosna raspodjela populacije</w:t>
      </w:r>
      <w:r w:rsidRPr="00375B33">
        <w:rPr>
          <w:rFonts w:eastAsia="Calibri" w:cs="Calibri"/>
          <w:szCs w:val="22"/>
          <w:lang w:val="sr-Latn-ME" w:eastAsia="en-US"/>
        </w:rPr>
        <w:t>), predlaže se da se u početnoj proc</w:t>
      </w:r>
      <w:r>
        <w:rPr>
          <w:rFonts w:eastAsia="Calibri" w:cs="Calibri"/>
          <w:szCs w:val="22"/>
          <w:lang w:val="sr-Latn-ME" w:eastAsia="en-US"/>
        </w:rPr>
        <w:t>j</w:t>
      </w:r>
      <w:r w:rsidRPr="00375B33">
        <w:rPr>
          <w:rFonts w:eastAsia="Calibri" w:cs="Calibri"/>
          <w:szCs w:val="22"/>
          <w:lang w:val="sr-Latn-ME" w:eastAsia="en-US"/>
        </w:rPr>
        <w:t>eni ne primenjuju indikatori ili referentne tačke.</w:t>
      </w:r>
    </w:p>
    <w:p w14:paraId="21D3BB93" w14:textId="77777777" w:rsidR="00971473" w:rsidRPr="00D716F4" w:rsidRDefault="00971473" w:rsidP="00971473">
      <w:pPr>
        <w:spacing w:before="0" w:after="160"/>
        <w:rPr>
          <w:rFonts w:eastAsia="Calibri" w:cs="Calibri"/>
          <w:szCs w:val="22"/>
          <w:lang w:val="sr-Latn-ME" w:eastAsia="en-US"/>
        </w:rPr>
      </w:pPr>
      <w:r>
        <w:rPr>
          <w:rFonts w:eastAsia="Calibri" w:cs="Calibri"/>
          <w:szCs w:val="22"/>
          <w:lang w:val="sr-Latn-ME" w:eastAsia="en-US"/>
        </w:rPr>
        <w:t>I</w:t>
      </w:r>
      <w:r w:rsidRPr="00375B33">
        <w:rPr>
          <w:rFonts w:eastAsia="Calibri" w:cs="Calibri"/>
          <w:szCs w:val="22"/>
          <w:lang w:val="sr-Latn-ME" w:eastAsia="en-US"/>
        </w:rPr>
        <w:t>zbor vrsta zasnovan je na priručniku DCRF (GFCM, 2018</w:t>
      </w:r>
      <w:r>
        <w:rPr>
          <w:rStyle w:val="FootnoteReference"/>
          <w:rFonts w:eastAsia="Calibri"/>
          <w:szCs w:val="22"/>
          <w:lang w:val="sr-Latn-ME" w:eastAsia="en-US"/>
        </w:rPr>
        <w:footnoteReference w:id="19"/>
      </w:r>
      <w:r w:rsidRPr="00375B33">
        <w:rPr>
          <w:rFonts w:eastAsia="Calibri" w:cs="Calibri"/>
          <w:szCs w:val="22"/>
          <w:lang w:val="sr-Latn-ME" w:eastAsia="en-US"/>
        </w:rPr>
        <w:t>) koji utvrđuje da su trenutno „glavne komercijalne vrste“ one koje su sumirane zajedno i predstavljaj</w:t>
      </w:r>
      <w:r>
        <w:rPr>
          <w:rFonts w:eastAsia="Calibri" w:cs="Calibri"/>
          <w:szCs w:val="22"/>
          <w:lang w:val="sr-Latn-ME" w:eastAsia="en-US"/>
        </w:rPr>
        <w:t>u 90% težine ukupnog iskrcaja</w:t>
      </w:r>
      <w:r w:rsidRPr="00375B33">
        <w:rPr>
          <w:rFonts w:eastAsia="Calibri" w:cs="Calibri"/>
          <w:szCs w:val="22"/>
          <w:lang w:val="sr-Latn-ME" w:eastAsia="en-US"/>
        </w:rPr>
        <w:t xml:space="preserve"> u zemlji. Dodatni kriterijumi koji se koriste su prioritetne vrste koje su pod regionalnim propisima o upravljanj</w:t>
      </w:r>
      <w:r>
        <w:rPr>
          <w:rFonts w:eastAsia="Calibri" w:cs="Calibri"/>
          <w:szCs w:val="22"/>
          <w:lang w:val="sr-Latn-ME" w:eastAsia="en-US"/>
        </w:rPr>
        <w:t>u, kriterijumi zajedničkih stokova</w:t>
      </w:r>
      <w:r w:rsidRPr="00375B33">
        <w:rPr>
          <w:rFonts w:eastAsia="Calibri" w:cs="Calibri"/>
          <w:szCs w:val="22"/>
          <w:lang w:val="sr-Latn-ME" w:eastAsia="en-US"/>
        </w:rPr>
        <w:t xml:space="preserve"> i postojanje dostupnih podataka o određenim vrstama. Tako su odabrane sledeće vrste: pridnene vrste </w:t>
      </w:r>
      <w:r w:rsidRPr="00375B33">
        <w:rPr>
          <w:rFonts w:eastAsia="Calibri" w:cs="Calibri"/>
          <w:i/>
          <w:szCs w:val="22"/>
          <w:lang w:val="sr-Latn-ME" w:eastAsia="en-US"/>
        </w:rPr>
        <w:t>Merluccius merluccius</w:t>
      </w:r>
      <w:r w:rsidRPr="00375B33">
        <w:rPr>
          <w:rFonts w:eastAsia="Calibri" w:cs="Calibri"/>
          <w:szCs w:val="22"/>
          <w:lang w:val="sr-Latn-ME" w:eastAsia="en-US"/>
        </w:rPr>
        <w:t xml:space="preserve">, </w:t>
      </w:r>
      <w:r w:rsidRPr="00375B33">
        <w:rPr>
          <w:rFonts w:eastAsia="Calibri" w:cs="Calibri"/>
          <w:i/>
          <w:szCs w:val="22"/>
          <w:lang w:val="sr-Latn-ME" w:eastAsia="en-US"/>
        </w:rPr>
        <w:t>Mullus barbatus</w:t>
      </w:r>
      <w:r w:rsidRPr="00375B33">
        <w:rPr>
          <w:rFonts w:eastAsia="Calibri" w:cs="Calibri"/>
          <w:szCs w:val="22"/>
          <w:lang w:val="sr-Latn-ME" w:eastAsia="en-US"/>
        </w:rPr>
        <w:t xml:space="preserve"> i </w:t>
      </w:r>
      <w:r w:rsidRPr="00375B33">
        <w:rPr>
          <w:rFonts w:eastAsia="Calibri" w:cs="Calibri"/>
          <w:i/>
          <w:szCs w:val="22"/>
          <w:lang w:val="sr-Latn-ME" w:eastAsia="en-US"/>
        </w:rPr>
        <w:t>Parapenaeus longirostris</w:t>
      </w:r>
      <w:r>
        <w:rPr>
          <w:rFonts w:eastAsia="Calibri" w:cs="Calibri"/>
          <w:szCs w:val="22"/>
          <w:lang w:val="sr-Latn-ME" w:eastAsia="en-US"/>
        </w:rPr>
        <w:t>, pelagične</w:t>
      </w:r>
      <w:r w:rsidRPr="00375B33">
        <w:rPr>
          <w:rFonts w:eastAsia="Calibri" w:cs="Calibri"/>
          <w:szCs w:val="22"/>
          <w:lang w:val="sr-Latn-ME" w:eastAsia="en-US"/>
        </w:rPr>
        <w:t xml:space="preserve"> vrste </w:t>
      </w:r>
      <w:r w:rsidRPr="00375B33">
        <w:rPr>
          <w:rFonts w:eastAsia="Calibri" w:cs="Calibri"/>
          <w:i/>
          <w:szCs w:val="22"/>
          <w:lang w:val="sr-Latn-ME" w:eastAsia="en-US"/>
        </w:rPr>
        <w:t>Engraulis encrasicolus</w:t>
      </w:r>
      <w:r w:rsidRPr="00375B33">
        <w:rPr>
          <w:rFonts w:eastAsia="Calibri" w:cs="Calibri"/>
          <w:szCs w:val="22"/>
          <w:lang w:val="sr-Latn-ME" w:eastAsia="en-US"/>
        </w:rPr>
        <w:t xml:space="preserve"> i </w:t>
      </w:r>
      <w:r w:rsidRPr="00375B33">
        <w:rPr>
          <w:rFonts w:eastAsia="Calibri" w:cs="Calibri"/>
          <w:i/>
          <w:szCs w:val="22"/>
          <w:lang w:val="sr-Latn-ME" w:eastAsia="en-US"/>
        </w:rPr>
        <w:t>Sardina pilchardus</w:t>
      </w:r>
      <w:r w:rsidRPr="00375B33">
        <w:rPr>
          <w:rFonts w:eastAsia="Calibri" w:cs="Calibri"/>
          <w:szCs w:val="22"/>
          <w:lang w:val="sr-Latn-ME" w:eastAsia="en-US"/>
        </w:rPr>
        <w:t>.</w:t>
      </w:r>
      <w:bookmarkEnd w:id="105"/>
    </w:p>
    <w:p w14:paraId="52CFB02C" w14:textId="77777777" w:rsidR="00971473" w:rsidRDefault="00971473" w:rsidP="00971473">
      <w:pPr>
        <w:spacing w:before="0" w:after="0"/>
        <w:rPr>
          <w:rFonts w:eastAsia="Calibri" w:cs="Calibri"/>
          <w:szCs w:val="22"/>
          <w:lang w:val="sr-Latn-ME" w:eastAsia="en-US"/>
        </w:rPr>
      </w:pPr>
      <w:r>
        <w:rPr>
          <w:rFonts w:eastAsia="Calibri" w:cs="Calibri"/>
          <w:szCs w:val="22"/>
          <w:lang w:val="sr-Latn-ME" w:eastAsia="en-US"/>
        </w:rPr>
        <w:t xml:space="preserve">Status stoka je određen na osnovu indikatora povezanih sa ribolovnom smrtnosti i onima povezanim sa stokom (biomasa). </w:t>
      </w:r>
    </w:p>
    <w:p w14:paraId="04A6638D" w14:textId="77777777" w:rsidR="00971473" w:rsidRDefault="00971473" w:rsidP="00971473">
      <w:pPr>
        <w:spacing w:before="0" w:after="0"/>
        <w:rPr>
          <w:rFonts w:eastAsia="Calibri" w:cs="Calibri"/>
          <w:szCs w:val="22"/>
          <w:lang w:val="sr-Latn-ME" w:eastAsia="en-US"/>
        </w:rPr>
      </w:pPr>
    </w:p>
    <w:p w14:paraId="7E45CA59" w14:textId="77777777" w:rsidR="00971473" w:rsidRPr="002F1EBF" w:rsidRDefault="00971473" w:rsidP="00971473">
      <w:pPr>
        <w:spacing w:before="0" w:after="0"/>
        <w:rPr>
          <w:rFonts w:eastAsia="Arial Unicode MS" w:cs="Calibri"/>
          <w:color w:val="000000"/>
          <w:szCs w:val="22"/>
          <w:u w:color="000000"/>
          <w:lang w:val="sr-Latn-ME" w:eastAsia="en-GB"/>
        </w:rPr>
      </w:pPr>
      <w:r>
        <w:rPr>
          <w:rFonts w:eastAsia="Arial Unicode MS" w:cs="Calibri"/>
          <w:color w:val="000000"/>
          <w:szCs w:val="22"/>
          <w:u w:color="000000"/>
          <w:lang w:val="sr-Latn-ME" w:eastAsia="en-GB"/>
        </w:rPr>
        <w:t>Smatra se da je stok održivo eksploatisan</w:t>
      </w:r>
      <w:r w:rsidRPr="002F1EBF">
        <w:rPr>
          <w:rFonts w:eastAsia="Arial Unicode MS" w:cs="Calibri"/>
          <w:color w:val="000000"/>
          <w:szCs w:val="22"/>
          <w:u w:color="000000"/>
          <w:lang w:val="sr-Latn-ME" w:eastAsia="en-GB"/>
        </w:rPr>
        <w:t xml:space="preserve"> kada je ribolovna smrtnost ili napor ispod dogovorene referentne tačke morta</w:t>
      </w:r>
      <w:r>
        <w:rPr>
          <w:rFonts w:eastAsia="Arial Unicode MS" w:cs="Calibri"/>
          <w:color w:val="000000"/>
          <w:szCs w:val="22"/>
          <w:u w:color="000000"/>
          <w:lang w:val="sr-Latn-ME" w:eastAsia="en-GB"/>
        </w:rPr>
        <w:t>liteta ili napora, dok je stok</w:t>
      </w:r>
      <w:r w:rsidRPr="002F1EBF">
        <w:rPr>
          <w:rFonts w:eastAsia="Arial Unicode MS" w:cs="Calibri"/>
          <w:color w:val="000000"/>
          <w:szCs w:val="22"/>
          <w:u w:color="000000"/>
          <w:lang w:val="sr-Latn-ME" w:eastAsia="en-GB"/>
        </w:rPr>
        <w:t xml:space="preserve"> u statusu prekom</w:t>
      </w:r>
      <w:r>
        <w:rPr>
          <w:rFonts w:eastAsia="Arial Unicode MS" w:cs="Calibri"/>
          <w:color w:val="000000"/>
          <w:szCs w:val="22"/>
          <w:u w:color="000000"/>
          <w:lang w:val="sr-Latn-ME" w:eastAsia="en-GB"/>
        </w:rPr>
        <w:t>jernog izlova</w:t>
      </w:r>
      <w:r w:rsidRPr="002F1EBF">
        <w:rPr>
          <w:rFonts w:eastAsia="Arial Unicode MS" w:cs="Calibri"/>
          <w:color w:val="000000"/>
          <w:szCs w:val="22"/>
          <w:u w:color="000000"/>
          <w:lang w:val="sr-Latn-ME" w:eastAsia="en-GB"/>
        </w:rPr>
        <w:t xml:space="preserve"> kada ribolovna smrtnost ili napor prelaze vr</w:t>
      </w:r>
      <w:r>
        <w:rPr>
          <w:rFonts w:eastAsia="Arial Unicode MS" w:cs="Calibri"/>
          <w:color w:val="000000"/>
          <w:szCs w:val="22"/>
          <w:u w:color="000000"/>
          <w:lang w:val="sr-Latn-ME" w:eastAsia="en-GB"/>
        </w:rPr>
        <w:t>ij</w:t>
      </w:r>
      <w:r w:rsidRPr="002F1EBF">
        <w:rPr>
          <w:rFonts w:eastAsia="Arial Unicode MS" w:cs="Calibri"/>
          <w:color w:val="000000"/>
          <w:szCs w:val="22"/>
          <w:u w:color="000000"/>
          <w:lang w:val="sr-Latn-ME" w:eastAsia="en-GB"/>
        </w:rPr>
        <w:t>ednost dogovorene referentne tačke zasnovane na naporu. Da bi se proc</w:t>
      </w:r>
      <w:r>
        <w:rPr>
          <w:rFonts w:eastAsia="Arial Unicode MS" w:cs="Calibri"/>
          <w:color w:val="000000"/>
          <w:szCs w:val="22"/>
          <w:u w:color="000000"/>
          <w:lang w:val="sr-Latn-ME" w:eastAsia="en-GB"/>
        </w:rPr>
        <w:t>j</w:t>
      </w:r>
      <w:r w:rsidRPr="002F1EBF">
        <w:rPr>
          <w:rFonts w:eastAsia="Arial Unicode MS" w:cs="Calibri"/>
          <w:color w:val="000000"/>
          <w:szCs w:val="22"/>
          <w:u w:color="000000"/>
          <w:lang w:val="sr-Latn-ME" w:eastAsia="en-GB"/>
        </w:rPr>
        <w:t>enio nivo statusa prekom</w:t>
      </w:r>
      <w:r>
        <w:rPr>
          <w:rFonts w:eastAsia="Arial Unicode MS" w:cs="Calibri"/>
          <w:color w:val="000000"/>
          <w:szCs w:val="22"/>
          <w:u w:color="000000"/>
          <w:lang w:val="sr-Latn-ME" w:eastAsia="en-GB"/>
        </w:rPr>
        <w:t>j</w:t>
      </w:r>
      <w:r w:rsidRPr="002F1EBF">
        <w:rPr>
          <w:rFonts w:eastAsia="Arial Unicode MS" w:cs="Calibri"/>
          <w:color w:val="000000"/>
          <w:szCs w:val="22"/>
          <w:u w:color="000000"/>
          <w:lang w:val="sr-Latn-ME" w:eastAsia="en-GB"/>
        </w:rPr>
        <w:t>ernog</w:t>
      </w:r>
      <w:r>
        <w:rPr>
          <w:rFonts w:eastAsia="Arial Unicode MS" w:cs="Calibri"/>
          <w:color w:val="000000"/>
          <w:szCs w:val="22"/>
          <w:u w:color="000000"/>
          <w:lang w:val="sr-Latn-ME" w:eastAsia="en-GB"/>
        </w:rPr>
        <w:t xml:space="preserve"> izlova</w:t>
      </w:r>
      <w:r w:rsidRPr="002F1EBF">
        <w:rPr>
          <w:rFonts w:eastAsia="Arial Unicode MS" w:cs="Calibri"/>
          <w:color w:val="000000"/>
          <w:szCs w:val="22"/>
          <w:u w:color="000000"/>
          <w:lang w:val="sr-Latn-ME" w:eastAsia="en-GB"/>
        </w:rPr>
        <w:t>, prihvataju se sl</w:t>
      </w:r>
      <w:r>
        <w:rPr>
          <w:rFonts w:eastAsia="Arial Unicode MS" w:cs="Calibri"/>
          <w:color w:val="000000"/>
          <w:szCs w:val="22"/>
          <w:u w:color="000000"/>
          <w:lang w:val="sr-Latn-ME" w:eastAsia="en-GB"/>
        </w:rPr>
        <w:t>j</w:t>
      </w:r>
      <w:r w:rsidRPr="002F1EBF">
        <w:rPr>
          <w:rFonts w:eastAsia="Arial Unicode MS" w:cs="Calibri"/>
          <w:color w:val="000000"/>
          <w:szCs w:val="22"/>
          <w:u w:color="000000"/>
          <w:lang w:val="sr-Latn-ME" w:eastAsia="en-GB"/>
        </w:rPr>
        <w:t>edeći opsezi: Nizak prekom</w:t>
      </w:r>
      <w:r>
        <w:rPr>
          <w:rFonts w:eastAsia="Arial Unicode MS" w:cs="Calibri"/>
          <w:color w:val="000000"/>
          <w:szCs w:val="22"/>
          <w:u w:color="000000"/>
          <w:lang w:val="sr-Latn-ME" w:eastAsia="en-GB"/>
        </w:rPr>
        <w:t>jerni izlov</w:t>
      </w:r>
      <w:r w:rsidRPr="002F1EBF">
        <w:rPr>
          <w:rFonts w:eastAsia="Arial Unicode MS" w:cs="Calibri"/>
          <w:color w:val="000000"/>
          <w:szCs w:val="22"/>
          <w:u w:color="000000"/>
          <w:lang w:val="sr-Latn-ME" w:eastAsia="en-GB"/>
        </w:rPr>
        <w:t xml:space="preserve"> - ako je Fc * / F0.1 ispod ili jednak 1,33; Srednji prelov - ako je Fc / F0.1 između 1,33 i 1,66, i visoki prelov - ako je Fc / F0,1 jednak ili veći od 1,66. </w:t>
      </w:r>
      <w:r>
        <w:rPr>
          <w:rFonts w:eastAsia="Arial Unicode MS" w:cs="Calibri"/>
          <w:color w:val="000000"/>
          <w:szCs w:val="22"/>
          <w:u w:color="000000"/>
          <w:lang w:val="sr-Latn-ME" w:eastAsia="en-GB"/>
        </w:rPr>
        <w:t>Z</w:t>
      </w:r>
      <w:r w:rsidRPr="002F1EBF">
        <w:rPr>
          <w:rFonts w:eastAsia="Arial Unicode MS" w:cs="Calibri"/>
          <w:color w:val="000000"/>
          <w:szCs w:val="22"/>
          <w:u w:color="000000"/>
          <w:lang w:val="sr-Latn-ME" w:eastAsia="en-GB"/>
        </w:rPr>
        <w:t xml:space="preserve">asnovan na referentnim tačkama biomase smatra se održivo </w:t>
      </w:r>
      <w:r>
        <w:rPr>
          <w:rFonts w:eastAsia="Arial Unicode MS" w:cs="Calibri"/>
          <w:color w:val="000000"/>
          <w:szCs w:val="22"/>
          <w:u w:color="000000"/>
          <w:lang w:val="sr-Latn-ME" w:eastAsia="en-GB"/>
        </w:rPr>
        <w:t xml:space="preserve">eksploatisanim </w:t>
      </w:r>
      <w:r w:rsidRPr="002F1EBF">
        <w:rPr>
          <w:rFonts w:eastAsia="Arial Unicode MS" w:cs="Calibri"/>
          <w:color w:val="000000"/>
          <w:szCs w:val="22"/>
          <w:u w:color="000000"/>
          <w:lang w:val="sr-Latn-ME" w:eastAsia="en-GB"/>
        </w:rPr>
        <w:t xml:space="preserve">kada je </w:t>
      </w:r>
      <w:r>
        <w:rPr>
          <w:rFonts w:eastAsia="Arial Unicode MS" w:cs="Calibri"/>
          <w:color w:val="000000"/>
          <w:szCs w:val="22"/>
          <w:u w:color="000000"/>
          <w:lang w:val="sr-Latn-ME" w:eastAsia="en-GB"/>
        </w:rPr>
        <w:t xml:space="preserve">postojeći stok </w:t>
      </w:r>
      <w:r w:rsidRPr="002F1EBF">
        <w:rPr>
          <w:rFonts w:eastAsia="Arial Unicode MS" w:cs="Calibri"/>
          <w:color w:val="000000"/>
          <w:szCs w:val="22"/>
          <w:u w:color="000000"/>
          <w:lang w:val="sr-Latn-ME" w:eastAsia="en-GB"/>
        </w:rPr>
        <w:t>iznad dogovorene referentne tačke zasnovane na biomasi, a prekom</w:t>
      </w:r>
      <w:r>
        <w:rPr>
          <w:rFonts w:eastAsia="Arial Unicode MS" w:cs="Calibri"/>
          <w:color w:val="000000"/>
          <w:szCs w:val="22"/>
          <w:u w:color="000000"/>
          <w:lang w:val="sr-Latn-ME" w:eastAsia="en-GB"/>
        </w:rPr>
        <w:t>jerno eksploatisan kada je postojeći stok</w:t>
      </w:r>
      <w:r w:rsidRPr="002F1EBF">
        <w:rPr>
          <w:rFonts w:eastAsia="Arial Unicode MS" w:cs="Calibri"/>
          <w:color w:val="000000"/>
          <w:szCs w:val="22"/>
          <w:u w:color="000000"/>
          <w:lang w:val="sr-Latn-ME" w:eastAsia="en-GB"/>
        </w:rPr>
        <w:t xml:space="preserve"> ispod vr</w:t>
      </w:r>
      <w:r>
        <w:rPr>
          <w:rFonts w:eastAsia="Arial Unicode MS" w:cs="Calibri"/>
          <w:color w:val="000000"/>
          <w:szCs w:val="22"/>
          <w:u w:color="000000"/>
          <w:lang w:val="sr-Latn-ME" w:eastAsia="en-GB"/>
        </w:rPr>
        <w:t>ij</w:t>
      </w:r>
      <w:r w:rsidRPr="002F1EBF">
        <w:rPr>
          <w:rFonts w:eastAsia="Arial Unicode MS" w:cs="Calibri"/>
          <w:color w:val="000000"/>
          <w:szCs w:val="22"/>
          <w:u w:color="000000"/>
          <w:lang w:val="sr-Latn-ME" w:eastAsia="en-GB"/>
        </w:rPr>
        <w:t>ednosti dogovorene referentne tačke na biomasi. Da bi se proc</w:t>
      </w:r>
      <w:r>
        <w:rPr>
          <w:rFonts w:eastAsia="Arial Unicode MS" w:cs="Calibri"/>
          <w:color w:val="000000"/>
          <w:szCs w:val="22"/>
          <w:u w:color="000000"/>
          <w:lang w:val="sr-Latn-ME" w:eastAsia="en-GB"/>
        </w:rPr>
        <w:t>jenio nivo</w:t>
      </w:r>
      <w:r w:rsidRPr="002F1EBF">
        <w:rPr>
          <w:rFonts w:eastAsia="Arial Unicode MS" w:cs="Calibri"/>
          <w:color w:val="000000"/>
          <w:szCs w:val="22"/>
          <w:u w:color="000000"/>
          <w:lang w:val="sr-Latn-ME" w:eastAsia="en-GB"/>
        </w:rPr>
        <w:t xml:space="preserve"> indeksa biomase</w:t>
      </w:r>
      <w:r>
        <w:rPr>
          <w:rFonts w:eastAsia="Arial Unicode MS" w:cs="Calibri"/>
          <w:color w:val="000000"/>
          <w:szCs w:val="22"/>
          <w:u w:color="000000"/>
          <w:lang w:val="sr-Latn-ME" w:eastAsia="en-GB"/>
        </w:rPr>
        <w:t xml:space="preserve"> stoka</w:t>
      </w:r>
      <w:r w:rsidRPr="002F1EBF">
        <w:rPr>
          <w:rFonts w:eastAsia="Arial Unicode MS" w:cs="Calibri"/>
          <w:color w:val="000000"/>
          <w:szCs w:val="22"/>
          <w:u w:color="000000"/>
          <w:lang w:val="sr-Latn-ME" w:eastAsia="en-GB"/>
        </w:rPr>
        <w:t>, prihvataju se sl</w:t>
      </w:r>
      <w:r>
        <w:rPr>
          <w:rFonts w:eastAsia="Arial Unicode MS" w:cs="Calibri"/>
          <w:color w:val="000000"/>
          <w:szCs w:val="22"/>
          <w:u w:color="000000"/>
          <w:lang w:val="sr-Latn-ME" w:eastAsia="en-GB"/>
        </w:rPr>
        <w:t>j</w:t>
      </w:r>
      <w:r w:rsidRPr="002F1EBF">
        <w:rPr>
          <w:rFonts w:eastAsia="Arial Unicode MS" w:cs="Calibri"/>
          <w:color w:val="000000"/>
          <w:szCs w:val="22"/>
          <w:u w:color="000000"/>
          <w:lang w:val="sr-Latn-ME" w:eastAsia="en-GB"/>
        </w:rPr>
        <w:t>edeći rasponi: Relativno niska biomasa - vr</w:t>
      </w:r>
      <w:r>
        <w:rPr>
          <w:rFonts w:eastAsia="Arial Unicode MS" w:cs="Calibri"/>
          <w:color w:val="000000"/>
          <w:szCs w:val="22"/>
          <w:u w:color="000000"/>
          <w:lang w:val="sr-Latn-ME" w:eastAsia="en-GB"/>
        </w:rPr>
        <w:t>ij</w:t>
      </w:r>
      <w:r w:rsidRPr="002F1EBF">
        <w:rPr>
          <w:rFonts w:eastAsia="Arial Unicode MS" w:cs="Calibri"/>
          <w:color w:val="000000"/>
          <w:szCs w:val="22"/>
          <w:u w:color="000000"/>
          <w:lang w:val="sr-Latn-ME" w:eastAsia="en-GB"/>
        </w:rPr>
        <w:t>ednosti niže ili jednake 33. percentilu indeksa biomase u vremenskim serijama; Relativna srednja biomasa -Vr</w:t>
      </w:r>
      <w:r>
        <w:rPr>
          <w:rFonts w:eastAsia="Arial Unicode MS" w:cs="Calibri"/>
          <w:color w:val="000000"/>
          <w:szCs w:val="22"/>
          <w:u w:color="000000"/>
          <w:lang w:val="sr-Latn-ME" w:eastAsia="en-GB"/>
        </w:rPr>
        <w:t>ij</w:t>
      </w:r>
      <w:r w:rsidRPr="002F1EBF">
        <w:rPr>
          <w:rFonts w:eastAsia="Arial Unicode MS" w:cs="Calibri"/>
          <w:color w:val="000000"/>
          <w:szCs w:val="22"/>
          <w:u w:color="000000"/>
          <w:lang w:val="sr-Latn-ME" w:eastAsia="en-GB"/>
        </w:rPr>
        <w:t>ednosti koje spadaju u ovu granicu i 66. percentila, i Relativno visoke biomase - Vr</w:t>
      </w:r>
      <w:r>
        <w:rPr>
          <w:rFonts w:eastAsia="Arial Unicode MS" w:cs="Calibri"/>
          <w:color w:val="000000"/>
          <w:szCs w:val="22"/>
          <w:u w:color="000000"/>
          <w:lang w:val="sr-Latn-ME" w:eastAsia="en-GB"/>
        </w:rPr>
        <w:t>ij</w:t>
      </w:r>
      <w:r w:rsidRPr="002F1EBF">
        <w:rPr>
          <w:rFonts w:eastAsia="Arial Unicode MS" w:cs="Calibri"/>
          <w:color w:val="000000"/>
          <w:szCs w:val="22"/>
          <w:u w:color="000000"/>
          <w:lang w:val="sr-Latn-ME" w:eastAsia="en-GB"/>
        </w:rPr>
        <w:t>ednosti veće od 66. percentila</w:t>
      </w:r>
      <w:r>
        <w:rPr>
          <w:rFonts w:eastAsia="Arial Unicode MS" w:cs="Calibri"/>
          <w:color w:val="000000"/>
          <w:szCs w:val="22"/>
          <w:u w:color="000000"/>
          <w:lang w:val="sr-Latn-ME" w:eastAsia="en-GB"/>
        </w:rPr>
        <w:t>.</w:t>
      </w:r>
    </w:p>
    <w:p w14:paraId="7B6CF4D5" w14:textId="77777777" w:rsidR="001D5635" w:rsidRDefault="001D5635" w:rsidP="00F65CFF">
      <w:pPr>
        <w:spacing w:before="0" w:after="0"/>
        <w:rPr>
          <w:rFonts w:eastAsia="Calibri" w:cs="Calibri"/>
          <w:sz w:val="20"/>
          <w:szCs w:val="20"/>
          <w:lang w:val="en-GB" w:eastAsia="en-US"/>
        </w:rPr>
      </w:pPr>
    </w:p>
    <w:p w14:paraId="1DF9949B" w14:textId="77777777" w:rsidR="001D5635" w:rsidRDefault="001D5635" w:rsidP="00F65CFF">
      <w:pPr>
        <w:spacing w:before="0" w:after="0"/>
        <w:rPr>
          <w:rFonts w:eastAsia="Calibri" w:cs="Calibri"/>
          <w:sz w:val="20"/>
          <w:szCs w:val="20"/>
          <w:lang w:val="en-GB" w:eastAsia="en-US"/>
        </w:rPr>
      </w:pPr>
    </w:p>
    <w:p w14:paraId="6CD57C31" w14:textId="77777777" w:rsidR="00971473" w:rsidRPr="00971473" w:rsidRDefault="00971473" w:rsidP="00971473">
      <w:pPr>
        <w:pStyle w:val="Heading3"/>
        <w:rPr>
          <w:rStyle w:val="Heading3Char"/>
          <w:b/>
          <w:bCs/>
          <w:lang w:val="en-GB"/>
        </w:rPr>
      </w:pPr>
      <w:bookmarkStart w:id="106" w:name="_Toc83630908"/>
      <w:r w:rsidRPr="00971473">
        <w:rPr>
          <w:rStyle w:val="Heading3Char"/>
          <w:b/>
          <w:bCs/>
          <w:lang w:val="en-GB"/>
        </w:rPr>
        <w:t>Postizanje GES-a</w:t>
      </w:r>
      <w:bookmarkEnd w:id="106"/>
    </w:p>
    <w:p w14:paraId="64936AFF" w14:textId="77777777" w:rsidR="00971473" w:rsidRDefault="00971473" w:rsidP="00971473">
      <w:pPr>
        <w:spacing w:before="0" w:after="0"/>
        <w:jc w:val="left"/>
        <w:rPr>
          <w:b/>
          <w:i/>
          <w:iCs/>
          <w:color w:val="365F91" w:themeColor="accent1" w:themeShade="BF"/>
          <w:sz w:val="20"/>
          <w:szCs w:val="20"/>
          <w:lang w:val="sr-Latn-ME" w:eastAsia="en-US"/>
        </w:rPr>
      </w:pPr>
      <w:r>
        <w:rPr>
          <w:b/>
          <w:i/>
          <w:iCs/>
          <w:color w:val="365F91" w:themeColor="accent1" w:themeShade="BF"/>
          <w:sz w:val="20"/>
          <w:szCs w:val="20"/>
          <w:lang w:val="sr-Latn-ME" w:eastAsia="en-US"/>
        </w:rPr>
        <w:t xml:space="preserve">GES za demerzalne vrste </w:t>
      </w:r>
    </w:p>
    <w:p w14:paraId="067CB3E6" w14:textId="77777777" w:rsidR="00971473" w:rsidRPr="00D716F4" w:rsidRDefault="00971473" w:rsidP="00971473">
      <w:pPr>
        <w:spacing w:before="0" w:after="0"/>
        <w:jc w:val="left"/>
        <w:rPr>
          <w:rFonts w:eastAsia="Calibri"/>
          <w:szCs w:val="22"/>
          <w:lang w:val="sr-Latn-ME" w:eastAsia="en-US"/>
        </w:rPr>
      </w:pPr>
    </w:p>
    <w:p w14:paraId="790E2A4F" w14:textId="77777777" w:rsidR="00971473" w:rsidRPr="00915347" w:rsidRDefault="00971473" w:rsidP="00971473">
      <w:pPr>
        <w:spacing w:before="0" w:after="0"/>
        <w:jc w:val="left"/>
        <w:rPr>
          <w:rFonts w:eastAsia="Calibri" w:cs="Calibri"/>
          <w:szCs w:val="22"/>
          <w:lang w:val="en-GB" w:eastAsia="en-US"/>
        </w:rPr>
      </w:pPr>
      <w:r>
        <w:rPr>
          <w:rFonts w:eastAsia="Calibri" w:cs="Calibri"/>
          <w:szCs w:val="22"/>
          <w:lang w:val="sr-Latn-ME" w:eastAsia="en-US"/>
        </w:rPr>
        <w:t>Tabela 2.6 pokazuje status deme</w:t>
      </w:r>
      <w:r>
        <w:rPr>
          <w:rFonts w:eastAsia="Calibri" w:cs="Calibri"/>
          <w:szCs w:val="22"/>
          <w:lang w:val="en-GB" w:eastAsia="en-US"/>
        </w:rPr>
        <w:t>rzalnih stokova baziranih na ribolovnoj smrtnosti (F).</w:t>
      </w:r>
    </w:p>
    <w:p w14:paraId="2F7A1BE6" w14:textId="77777777" w:rsidR="00971473" w:rsidRPr="00D716F4" w:rsidRDefault="00971473" w:rsidP="00971473">
      <w:pPr>
        <w:spacing w:before="0" w:after="0"/>
        <w:jc w:val="left"/>
        <w:rPr>
          <w:rFonts w:eastAsia="Calibri" w:cs="Calibri"/>
          <w:sz w:val="20"/>
          <w:szCs w:val="20"/>
          <w:lang w:val="sr-Latn-ME" w:eastAsia="en-US"/>
        </w:rPr>
      </w:pPr>
    </w:p>
    <w:p w14:paraId="2331A722" w14:textId="77777777" w:rsidR="00615E5F" w:rsidRDefault="00615E5F" w:rsidP="00971473">
      <w:pPr>
        <w:spacing w:before="0" w:after="160"/>
        <w:jc w:val="left"/>
        <w:rPr>
          <w:rFonts w:eastAsia="Calibri" w:cs="Calibri"/>
          <w:b/>
          <w:szCs w:val="22"/>
          <w:lang w:val="sr-Latn-ME" w:eastAsia="en-US"/>
        </w:rPr>
      </w:pPr>
      <w:bookmarkStart w:id="107" w:name="_Toc83643161"/>
      <w:bookmarkStart w:id="108" w:name="_Toc69718371"/>
    </w:p>
    <w:p w14:paraId="42E59270" w14:textId="77777777" w:rsidR="00615E5F" w:rsidRDefault="00615E5F" w:rsidP="00971473">
      <w:pPr>
        <w:spacing w:before="0" w:after="160"/>
        <w:jc w:val="left"/>
        <w:rPr>
          <w:rFonts w:eastAsia="Calibri" w:cs="Calibri"/>
          <w:b/>
          <w:szCs w:val="22"/>
          <w:lang w:val="sr-Latn-ME" w:eastAsia="en-US"/>
        </w:rPr>
      </w:pPr>
    </w:p>
    <w:p w14:paraId="7A8D227D" w14:textId="77777777" w:rsidR="00971473" w:rsidRPr="00D716F4" w:rsidRDefault="00971473" w:rsidP="00971473">
      <w:pPr>
        <w:spacing w:before="0" w:after="160"/>
        <w:jc w:val="left"/>
        <w:rPr>
          <w:rFonts w:eastAsia="Calibri" w:cs="Calibri"/>
          <w:b/>
          <w:szCs w:val="22"/>
          <w:lang w:val="sr-Latn-ME" w:eastAsia="en-US"/>
        </w:rPr>
      </w:pPr>
      <w:r>
        <w:rPr>
          <w:rFonts w:eastAsia="Calibri" w:cs="Calibri"/>
          <w:b/>
          <w:szCs w:val="22"/>
          <w:lang w:val="sr-Latn-ME" w:eastAsia="en-US"/>
        </w:rPr>
        <w:t>Tabela</w:t>
      </w:r>
      <w:r w:rsidRPr="00D716F4">
        <w:rPr>
          <w:rFonts w:eastAsia="Calibri" w:cs="Calibri"/>
          <w:b/>
          <w:szCs w:val="22"/>
          <w:lang w:val="sr-Latn-ME" w:eastAsia="en-US"/>
        </w:rPr>
        <w:t xml:space="preserve"> </w:t>
      </w:r>
      <w:r w:rsidRPr="00D716F4">
        <w:rPr>
          <w:b/>
          <w:szCs w:val="22"/>
          <w:lang w:val="sr-Latn-ME"/>
        </w:rPr>
        <w:fldChar w:fldCharType="begin"/>
      </w:r>
      <w:r w:rsidRPr="00D716F4">
        <w:rPr>
          <w:b/>
          <w:szCs w:val="22"/>
          <w:lang w:val="sr-Latn-ME"/>
        </w:rPr>
        <w:instrText xml:space="preserve"> STYLEREF 1 \s </w:instrText>
      </w:r>
      <w:r w:rsidRPr="00D716F4">
        <w:rPr>
          <w:b/>
          <w:szCs w:val="22"/>
          <w:lang w:val="sr-Latn-ME"/>
        </w:rPr>
        <w:fldChar w:fldCharType="separate"/>
      </w:r>
      <w:r w:rsidR="000D1E20">
        <w:rPr>
          <w:b/>
          <w:noProof/>
          <w:szCs w:val="22"/>
          <w:lang w:val="sr-Latn-ME"/>
        </w:rPr>
        <w:t>2</w:t>
      </w:r>
      <w:r w:rsidRPr="00D716F4">
        <w:rPr>
          <w:b/>
          <w:szCs w:val="22"/>
          <w:lang w:val="sr-Latn-ME"/>
        </w:rPr>
        <w:fldChar w:fldCharType="end"/>
      </w:r>
      <w:r w:rsidRPr="00D716F4">
        <w:rPr>
          <w:b/>
          <w:szCs w:val="22"/>
          <w:lang w:val="sr-Latn-ME"/>
        </w:rPr>
        <w:t>.</w:t>
      </w:r>
      <w:r w:rsidRPr="00D716F4">
        <w:rPr>
          <w:b/>
          <w:szCs w:val="22"/>
          <w:lang w:val="sr-Latn-ME"/>
        </w:rPr>
        <w:fldChar w:fldCharType="begin"/>
      </w:r>
      <w:r w:rsidRPr="00D716F4">
        <w:rPr>
          <w:b/>
          <w:szCs w:val="22"/>
          <w:lang w:val="sr-Latn-ME"/>
        </w:rPr>
        <w:instrText xml:space="preserve"> SEQ Table \* ARABIC \s 1 </w:instrText>
      </w:r>
      <w:r w:rsidRPr="00D716F4">
        <w:rPr>
          <w:b/>
          <w:szCs w:val="22"/>
          <w:lang w:val="sr-Latn-ME"/>
        </w:rPr>
        <w:fldChar w:fldCharType="separate"/>
      </w:r>
      <w:r w:rsidR="000D1E20">
        <w:rPr>
          <w:b/>
          <w:noProof/>
          <w:szCs w:val="22"/>
          <w:lang w:val="sr-Latn-ME"/>
        </w:rPr>
        <w:t>3</w:t>
      </w:r>
      <w:r w:rsidRPr="00D716F4">
        <w:rPr>
          <w:b/>
          <w:szCs w:val="22"/>
          <w:lang w:val="sr-Latn-ME"/>
        </w:rPr>
        <w:fldChar w:fldCharType="end"/>
      </w:r>
      <w:r w:rsidRPr="00D716F4">
        <w:rPr>
          <w:b/>
          <w:szCs w:val="22"/>
          <w:lang w:val="sr-Latn-ME"/>
        </w:rPr>
        <w:t>.</w:t>
      </w:r>
      <w:r w:rsidRPr="00D716F4">
        <w:rPr>
          <w:rFonts w:eastAsia="Calibri" w:cs="Calibri"/>
          <w:b/>
          <w:szCs w:val="22"/>
          <w:lang w:val="sr-Latn-ME" w:eastAsia="en-US"/>
        </w:rPr>
        <w:t xml:space="preserve">  Status </w:t>
      </w:r>
      <w:r>
        <w:rPr>
          <w:rFonts w:eastAsia="Calibri" w:cs="Calibri"/>
          <w:b/>
          <w:szCs w:val="22"/>
          <w:lang w:val="sr-Latn-ME" w:eastAsia="en-US"/>
        </w:rPr>
        <w:t>odabranih demerzalnih vrsta baziran na ribolovnoj smrtnosti (F).</w:t>
      </w:r>
      <w:bookmarkEnd w:id="107"/>
      <w:r>
        <w:rPr>
          <w:rFonts w:eastAsia="Calibri" w:cs="Calibri"/>
          <w:b/>
          <w:szCs w:val="22"/>
          <w:lang w:val="sr-Latn-ME" w:eastAsia="en-US"/>
        </w:rPr>
        <w:t xml:space="preserve"> </w:t>
      </w:r>
      <w:bookmarkEnd w:id="108"/>
    </w:p>
    <w:tbl>
      <w:tblPr>
        <w:tblStyle w:val="TableGrid8"/>
        <w:tblW w:w="9351" w:type="dxa"/>
        <w:tblLook w:val="04A0" w:firstRow="1" w:lastRow="0" w:firstColumn="1" w:lastColumn="0" w:noHBand="0" w:noVBand="1"/>
      </w:tblPr>
      <w:tblGrid>
        <w:gridCol w:w="1058"/>
        <w:gridCol w:w="1228"/>
        <w:gridCol w:w="1237"/>
        <w:gridCol w:w="1198"/>
        <w:gridCol w:w="1451"/>
        <w:gridCol w:w="1860"/>
        <w:gridCol w:w="1319"/>
      </w:tblGrid>
      <w:tr w:rsidR="004B363F" w:rsidRPr="00D716F4" w14:paraId="37596BE3" w14:textId="77777777" w:rsidTr="00115E47">
        <w:trPr>
          <w:trHeight w:val="465"/>
        </w:trPr>
        <w:tc>
          <w:tcPr>
            <w:tcW w:w="9351" w:type="dxa"/>
            <w:gridSpan w:val="7"/>
            <w:shd w:val="clear" w:color="auto" w:fill="1F497D" w:themeFill="text2"/>
          </w:tcPr>
          <w:p w14:paraId="336EA915" w14:textId="3A6F1956" w:rsidR="004B363F" w:rsidRPr="00115E47" w:rsidRDefault="00115E47" w:rsidP="00115E47">
            <w:pPr>
              <w:spacing w:before="0" w:after="0" w:line="240" w:lineRule="auto"/>
              <w:jc w:val="center"/>
              <w:rPr>
                <w:rFonts w:cs="Calibri"/>
                <w:b/>
                <w:bCs/>
                <w:szCs w:val="22"/>
                <w:lang w:val="sr-Latn-ME" w:eastAsia="en-US"/>
              </w:rPr>
            </w:pPr>
            <w:r w:rsidRPr="00115E47">
              <w:rPr>
                <w:rFonts w:cs="Calibri"/>
                <w:b/>
                <w:bCs/>
                <w:color w:val="FFFFFF" w:themeColor="background1"/>
                <w:szCs w:val="22"/>
                <w:lang w:val="sr-Latn-ME" w:eastAsia="en-US"/>
              </w:rPr>
              <w:t>Područje procjene: subregionalni nivo – Jardransko more</w:t>
            </w:r>
          </w:p>
        </w:tc>
      </w:tr>
      <w:tr w:rsidR="00971473" w:rsidRPr="00D716F4" w14:paraId="3FD2AD55" w14:textId="77777777" w:rsidTr="004B363F">
        <w:trPr>
          <w:trHeight w:val="841"/>
        </w:trPr>
        <w:tc>
          <w:tcPr>
            <w:tcW w:w="1058" w:type="dxa"/>
            <w:shd w:val="clear" w:color="auto" w:fill="8DB3E2" w:themeFill="text2" w:themeFillTint="66"/>
          </w:tcPr>
          <w:p w14:paraId="137110BF" w14:textId="77777777" w:rsidR="00971473" w:rsidRPr="00D716F4" w:rsidRDefault="00971473" w:rsidP="00971473">
            <w:pPr>
              <w:spacing w:before="0" w:after="0" w:line="240" w:lineRule="auto"/>
              <w:jc w:val="left"/>
              <w:rPr>
                <w:rFonts w:cs="Calibri"/>
                <w:b/>
                <w:bCs/>
                <w:sz w:val="20"/>
                <w:szCs w:val="20"/>
                <w:lang w:val="sr-Latn-ME" w:eastAsia="en-US"/>
              </w:rPr>
            </w:pPr>
            <w:r>
              <w:rPr>
                <w:rFonts w:cs="Calibri"/>
                <w:b/>
                <w:bCs/>
                <w:sz w:val="20"/>
                <w:szCs w:val="20"/>
                <w:lang w:val="sr-Latn-ME" w:eastAsia="en-US"/>
              </w:rPr>
              <w:t>Kriterijum</w:t>
            </w:r>
          </w:p>
        </w:tc>
        <w:tc>
          <w:tcPr>
            <w:tcW w:w="1228" w:type="dxa"/>
            <w:shd w:val="clear" w:color="auto" w:fill="8DB3E2" w:themeFill="text2" w:themeFillTint="66"/>
          </w:tcPr>
          <w:p w14:paraId="739C2243" w14:textId="77777777" w:rsidR="00971473" w:rsidRPr="00D716F4" w:rsidRDefault="00971473" w:rsidP="00971473">
            <w:pPr>
              <w:spacing w:before="0" w:after="0" w:line="240" w:lineRule="auto"/>
              <w:jc w:val="left"/>
              <w:rPr>
                <w:rFonts w:cs="Calibri"/>
                <w:b/>
                <w:bCs/>
                <w:sz w:val="20"/>
                <w:szCs w:val="20"/>
                <w:lang w:val="sr-Latn-ME" w:eastAsia="en-US"/>
              </w:rPr>
            </w:pPr>
            <w:r>
              <w:rPr>
                <w:rFonts w:cs="Calibri"/>
                <w:b/>
                <w:bCs/>
                <w:sz w:val="20"/>
                <w:szCs w:val="20"/>
                <w:lang w:val="sr-Latn-ME" w:eastAsia="en-US"/>
              </w:rPr>
              <w:t>Analitička referentna tačka</w:t>
            </w:r>
          </w:p>
        </w:tc>
        <w:tc>
          <w:tcPr>
            <w:tcW w:w="1237" w:type="dxa"/>
            <w:shd w:val="clear" w:color="auto" w:fill="8DB3E2" w:themeFill="text2" w:themeFillTint="66"/>
          </w:tcPr>
          <w:p w14:paraId="47DB4AFE" w14:textId="77777777" w:rsidR="00971473" w:rsidRPr="00D716F4" w:rsidRDefault="00971473" w:rsidP="00971473">
            <w:pPr>
              <w:spacing w:before="0" w:after="0" w:line="240" w:lineRule="auto"/>
              <w:jc w:val="left"/>
              <w:rPr>
                <w:rFonts w:cs="Calibri"/>
                <w:b/>
                <w:bCs/>
                <w:sz w:val="20"/>
                <w:szCs w:val="20"/>
                <w:lang w:val="sr-Latn-ME" w:eastAsia="en-US"/>
              </w:rPr>
            </w:pPr>
            <w:r>
              <w:rPr>
                <w:rFonts w:cs="Calibri"/>
                <w:b/>
                <w:bCs/>
                <w:sz w:val="20"/>
                <w:szCs w:val="20"/>
                <w:lang w:val="sr-Latn-ME" w:eastAsia="en-US"/>
              </w:rPr>
              <w:t>Trenutna vrijednost iz analiza</w:t>
            </w:r>
          </w:p>
        </w:tc>
        <w:tc>
          <w:tcPr>
            <w:tcW w:w="1198" w:type="dxa"/>
            <w:shd w:val="clear" w:color="auto" w:fill="8DB3E2" w:themeFill="text2" w:themeFillTint="66"/>
          </w:tcPr>
          <w:p w14:paraId="42D8C66B" w14:textId="77777777" w:rsidR="00971473" w:rsidRPr="00D716F4" w:rsidRDefault="00971473" w:rsidP="00971473">
            <w:pPr>
              <w:spacing w:before="0" w:after="0" w:line="240" w:lineRule="auto"/>
              <w:jc w:val="left"/>
              <w:rPr>
                <w:rFonts w:cs="Calibri"/>
                <w:b/>
                <w:bCs/>
                <w:sz w:val="20"/>
                <w:szCs w:val="20"/>
                <w:lang w:val="sr-Latn-ME" w:eastAsia="en-US"/>
              </w:rPr>
            </w:pPr>
            <w:r w:rsidRPr="00D716F4">
              <w:rPr>
                <w:rFonts w:cs="Calibri"/>
                <w:b/>
                <w:bCs/>
                <w:sz w:val="20"/>
                <w:szCs w:val="20"/>
                <w:lang w:val="sr-Latn-ME" w:eastAsia="en-US"/>
              </w:rPr>
              <w:t>Trend</w:t>
            </w:r>
          </w:p>
        </w:tc>
        <w:tc>
          <w:tcPr>
            <w:tcW w:w="1451" w:type="dxa"/>
            <w:shd w:val="clear" w:color="auto" w:fill="8DB3E2" w:themeFill="text2" w:themeFillTint="66"/>
          </w:tcPr>
          <w:p w14:paraId="1140D00A" w14:textId="77777777" w:rsidR="00971473" w:rsidRPr="00D716F4" w:rsidRDefault="00971473" w:rsidP="00971473">
            <w:pPr>
              <w:spacing w:before="0" w:after="0" w:line="240" w:lineRule="auto"/>
              <w:jc w:val="left"/>
              <w:rPr>
                <w:rFonts w:cs="Calibri"/>
                <w:b/>
                <w:bCs/>
                <w:sz w:val="20"/>
                <w:szCs w:val="20"/>
                <w:lang w:val="sr-Latn-ME" w:eastAsia="en-US"/>
              </w:rPr>
            </w:pPr>
            <w:r w:rsidRPr="00D716F4">
              <w:rPr>
                <w:rFonts w:cs="Calibri"/>
                <w:b/>
                <w:bCs/>
                <w:sz w:val="20"/>
                <w:szCs w:val="20"/>
                <w:lang w:val="sr-Latn-ME" w:eastAsia="en-US"/>
              </w:rPr>
              <w:t>Status</w:t>
            </w:r>
          </w:p>
        </w:tc>
        <w:tc>
          <w:tcPr>
            <w:tcW w:w="1860" w:type="dxa"/>
            <w:shd w:val="clear" w:color="auto" w:fill="8DB3E2" w:themeFill="text2" w:themeFillTint="66"/>
          </w:tcPr>
          <w:p w14:paraId="7E79C8F3" w14:textId="77777777" w:rsidR="00971473" w:rsidRPr="00D716F4" w:rsidRDefault="00971473" w:rsidP="00971473">
            <w:pPr>
              <w:spacing w:before="0" w:after="0" w:line="240" w:lineRule="auto"/>
              <w:jc w:val="left"/>
              <w:rPr>
                <w:rFonts w:cs="Calibri"/>
                <w:b/>
                <w:bCs/>
                <w:sz w:val="20"/>
                <w:szCs w:val="20"/>
                <w:lang w:val="sr-Latn-ME" w:eastAsia="en-US"/>
              </w:rPr>
            </w:pPr>
            <w:r>
              <w:rPr>
                <w:rFonts w:cs="Calibri"/>
                <w:b/>
                <w:bCs/>
                <w:sz w:val="20"/>
                <w:szCs w:val="20"/>
                <w:lang w:val="sr-Latn-ME" w:eastAsia="en-US"/>
              </w:rPr>
              <w:t>Finalni zaključak</w:t>
            </w:r>
          </w:p>
        </w:tc>
        <w:tc>
          <w:tcPr>
            <w:tcW w:w="1319" w:type="dxa"/>
            <w:shd w:val="clear" w:color="auto" w:fill="8DB3E2" w:themeFill="text2" w:themeFillTint="66"/>
          </w:tcPr>
          <w:p w14:paraId="211F10C2" w14:textId="77777777" w:rsidR="00971473" w:rsidRPr="00D716F4" w:rsidRDefault="00971473" w:rsidP="00971473">
            <w:pPr>
              <w:spacing w:before="0" w:after="0" w:line="240" w:lineRule="auto"/>
              <w:jc w:val="left"/>
              <w:rPr>
                <w:rFonts w:cs="Calibri"/>
                <w:b/>
                <w:bCs/>
                <w:sz w:val="20"/>
                <w:szCs w:val="20"/>
                <w:lang w:val="sr-Latn-ME" w:eastAsia="en-US"/>
              </w:rPr>
            </w:pPr>
            <w:r>
              <w:rPr>
                <w:rFonts w:cs="Calibri"/>
                <w:b/>
                <w:bCs/>
                <w:sz w:val="20"/>
                <w:szCs w:val="20"/>
                <w:lang w:val="sr-Latn-ME" w:eastAsia="en-US"/>
              </w:rPr>
              <w:t>GES postignut</w:t>
            </w:r>
          </w:p>
        </w:tc>
      </w:tr>
      <w:tr w:rsidR="00971473" w:rsidRPr="00D716F4" w14:paraId="75BE7B56" w14:textId="77777777" w:rsidTr="00971473">
        <w:trPr>
          <w:trHeight w:val="277"/>
        </w:trPr>
        <w:tc>
          <w:tcPr>
            <w:tcW w:w="9351" w:type="dxa"/>
            <w:gridSpan w:val="7"/>
            <w:shd w:val="clear" w:color="auto" w:fill="1F497D" w:themeFill="text2"/>
          </w:tcPr>
          <w:p w14:paraId="10505AF7"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b/>
                <w:bCs/>
                <w:i/>
                <w:iCs/>
                <w:color w:val="FFFFFF" w:themeColor="background1"/>
                <w:sz w:val="20"/>
                <w:szCs w:val="20"/>
                <w:lang w:val="sr-Latn-ME" w:eastAsia="en-US"/>
              </w:rPr>
              <w:t>Mullus barbatus</w:t>
            </w:r>
          </w:p>
        </w:tc>
      </w:tr>
      <w:tr w:rsidR="00971473" w:rsidRPr="00D716F4" w14:paraId="5A5D769A" w14:textId="77777777" w:rsidTr="004B363F">
        <w:trPr>
          <w:trHeight w:val="918"/>
        </w:trPr>
        <w:tc>
          <w:tcPr>
            <w:tcW w:w="1058" w:type="dxa"/>
          </w:tcPr>
          <w:p w14:paraId="278E88A1"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Ribolovna smrtnost</w:t>
            </w:r>
          </w:p>
        </w:tc>
        <w:tc>
          <w:tcPr>
            <w:tcW w:w="1228" w:type="dxa"/>
          </w:tcPr>
          <w:p w14:paraId="221C6208"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F</w:t>
            </w:r>
            <w:r w:rsidRPr="00D716F4">
              <w:rPr>
                <w:rFonts w:cs="Calibri"/>
                <w:sz w:val="20"/>
                <w:szCs w:val="20"/>
                <w:vertAlign w:val="subscript"/>
                <w:lang w:val="sr-Latn-ME" w:eastAsia="en-US"/>
              </w:rPr>
              <w:t>0.1</w:t>
            </w:r>
            <w:r w:rsidRPr="00D716F4">
              <w:rPr>
                <w:rFonts w:cs="Calibri"/>
                <w:sz w:val="20"/>
                <w:szCs w:val="20"/>
                <w:lang w:val="sr-Latn-ME" w:eastAsia="en-US"/>
              </w:rPr>
              <w:t xml:space="preserve"> = 0.41</w:t>
            </w:r>
          </w:p>
        </w:tc>
        <w:tc>
          <w:tcPr>
            <w:tcW w:w="1237" w:type="dxa"/>
          </w:tcPr>
          <w:p w14:paraId="35E982B5"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F</w:t>
            </w:r>
            <w:r w:rsidRPr="00D716F4">
              <w:rPr>
                <w:rFonts w:cs="Calibri"/>
                <w:sz w:val="20"/>
                <w:szCs w:val="20"/>
                <w:vertAlign w:val="subscript"/>
                <w:lang w:val="sr-Latn-ME" w:eastAsia="en-US"/>
              </w:rPr>
              <w:t>curr</w:t>
            </w:r>
            <w:r w:rsidRPr="00D716F4">
              <w:rPr>
                <w:rFonts w:cs="Calibri"/>
                <w:sz w:val="20"/>
                <w:szCs w:val="20"/>
                <w:lang w:val="sr-Latn-ME" w:eastAsia="en-US"/>
              </w:rPr>
              <w:t xml:space="preserve"> = 0.48</w:t>
            </w:r>
          </w:p>
          <w:p w14:paraId="5A481D43"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F</w:t>
            </w:r>
            <w:r w:rsidRPr="00D716F4">
              <w:rPr>
                <w:rFonts w:cs="Calibri"/>
                <w:sz w:val="20"/>
                <w:szCs w:val="20"/>
                <w:vertAlign w:val="subscript"/>
                <w:lang w:val="sr-Latn-ME" w:eastAsia="en-US"/>
              </w:rPr>
              <w:t>curr</w:t>
            </w:r>
            <w:r w:rsidRPr="00D716F4">
              <w:rPr>
                <w:rFonts w:cs="Calibri"/>
                <w:sz w:val="20"/>
                <w:szCs w:val="20"/>
                <w:lang w:val="sr-Latn-ME" w:eastAsia="en-US"/>
              </w:rPr>
              <w:t>/F</w:t>
            </w:r>
            <w:r w:rsidRPr="00D716F4">
              <w:rPr>
                <w:rFonts w:cs="Calibri"/>
                <w:sz w:val="20"/>
                <w:szCs w:val="20"/>
                <w:vertAlign w:val="subscript"/>
                <w:lang w:val="sr-Latn-ME" w:eastAsia="en-US"/>
              </w:rPr>
              <w:t>0.1</w:t>
            </w:r>
            <w:r w:rsidRPr="00D716F4">
              <w:rPr>
                <w:rFonts w:cs="Calibri"/>
                <w:sz w:val="20"/>
                <w:szCs w:val="20"/>
                <w:lang w:val="sr-Latn-ME" w:eastAsia="en-US"/>
              </w:rPr>
              <w:t xml:space="preserve"> = 1.17</w:t>
            </w:r>
          </w:p>
        </w:tc>
        <w:tc>
          <w:tcPr>
            <w:tcW w:w="1198" w:type="dxa"/>
          </w:tcPr>
          <w:p w14:paraId="1B97866F"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Opada</w:t>
            </w:r>
          </w:p>
        </w:tc>
        <w:tc>
          <w:tcPr>
            <w:tcW w:w="1451" w:type="dxa"/>
          </w:tcPr>
          <w:p w14:paraId="1F0D03CD"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 xml:space="preserve">U niskom prelovu </w:t>
            </w:r>
            <w:r w:rsidRPr="00D716F4">
              <w:rPr>
                <w:rFonts w:cs="Calibri"/>
                <w:sz w:val="20"/>
                <w:szCs w:val="20"/>
                <w:lang w:val="sr-Latn-ME" w:eastAsia="en-US"/>
              </w:rPr>
              <w:t xml:space="preserve"> </w:t>
            </w:r>
          </w:p>
        </w:tc>
        <w:tc>
          <w:tcPr>
            <w:tcW w:w="1860" w:type="dxa"/>
          </w:tcPr>
          <w:p w14:paraId="5157A125"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U niskoj prekomjernoj eksploataciji</w:t>
            </w:r>
          </w:p>
        </w:tc>
        <w:tc>
          <w:tcPr>
            <w:tcW w:w="1319" w:type="dxa"/>
          </w:tcPr>
          <w:p w14:paraId="29CDE1D5"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NE</w:t>
            </w:r>
          </w:p>
        </w:tc>
      </w:tr>
      <w:tr w:rsidR="00971473" w:rsidRPr="00D716F4" w14:paraId="4D8905CA" w14:textId="77777777" w:rsidTr="00971473">
        <w:trPr>
          <w:trHeight w:val="233"/>
        </w:trPr>
        <w:tc>
          <w:tcPr>
            <w:tcW w:w="9351" w:type="dxa"/>
            <w:gridSpan w:val="7"/>
            <w:shd w:val="clear" w:color="auto" w:fill="1F497D" w:themeFill="text2"/>
          </w:tcPr>
          <w:p w14:paraId="4E9BE40F" w14:textId="77777777" w:rsidR="00971473" w:rsidRPr="00D716F4" w:rsidRDefault="00971473" w:rsidP="00971473">
            <w:pPr>
              <w:spacing w:before="0" w:after="0" w:line="240" w:lineRule="auto"/>
              <w:jc w:val="left"/>
              <w:rPr>
                <w:rFonts w:cs="Calibri"/>
                <w:b/>
                <w:i/>
                <w:color w:val="FFFFFF" w:themeColor="background1"/>
                <w:sz w:val="20"/>
                <w:szCs w:val="20"/>
                <w:lang w:val="sr-Latn-ME" w:eastAsia="en-US"/>
              </w:rPr>
            </w:pPr>
            <w:r w:rsidRPr="00D716F4">
              <w:rPr>
                <w:rFonts w:cs="Calibri"/>
                <w:b/>
                <w:i/>
                <w:color w:val="FFFFFF" w:themeColor="background1"/>
                <w:sz w:val="20"/>
                <w:szCs w:val="20"/>
                <w:lang w:val="sr-Latn-ME" w:eastAsia="en-US"/>
              </w:rPr>
              <w:t>Merlucius merlucius</w:t>
            </w:r>
          </w:p>
        </w:tc>
      </w:tr>
      <w:tr w:rsidR="00971473" w:rsidRPr="00D716F4" w14:paraId="48513123" w14:textId="77777777" w:rsidTr="004B363F">
        <w:trPr>
          <w:trHeight w:val="836"/>
        </w:trPr>
        <w:tc>
          <w:tcPr>
            <w:tcW w:w="1058" w:type="dxa"/>
          </w:tcPr>
          <w:p w14:paraId="1CAFF744"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Ribolovna smrtnost</w:t>
            </w:r>
          </w:p>
        </w:tc>
        <w:tc>
          <w:tcPr>
            <w:tcW w:w="1228" w:type="dxa"/>
          </w:tcPr>
          <w:p w14:paraId="25ADC039"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F</w:t>
            </w:r>
            <w:r w:rsidRPr="00D716F4">
              <w:rPr>
                <w:rFonts w:cs="Calibri"/>
                <w:sz w:val="20"/>
                <w:szCs w:val="20"/>
                <w:vertAlign w:val="subscript"/>
                <w:lang w:val="sr-Latn-ME" w:eastAsia="en-US"/>
              </w:rPr>
              <w:t>0.1</w:t>
            </w:r>
            <w:r w:rsidRPr="00D716F4">
              <w:rPr>
                <w:rFonts w:cs="Calibri"/>
                <w:sz w:val="20"/>
                <w:szCs w:val="20"/>
                <w:lang w:val="sr-Latn-ME" w:eastAsia="en-US"/>
              </w:rPr>
              <w:t xml:space="preserve"> = 0.167</w:t>
            </w:r>
          </w:p>
        </w:tc>
        <w:tc>
          <w:tcPr>
            <w:tcW w:w="1237" w:type="dxa"/>
          </w:tcPr>
          <w:p w14:paraId="15B4205A"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F</w:t>
            </w:r>
            <w:r w:rsidRPr="00D716F4">
              <w:rPr>
                <w:rFonts w:cs="Calibri"/>
                <w:sz w:val="20"/>
                <w:szCs w:val="20"/>
                <w:vertAlign w:val="subscript"/>
                <w:lang w:val="sr-Latn-ME" w:eastAsia="en-US"/>
              </w:rPr>
              <w:t>curr</w:t>
            </w:r>
            <w:r w:rsidRPr="00D716F4">
              <w:rPr>
                <w:rFonts w:cs="Calibri"/>
                <w:sz w:val="20"/>
                <w:szCs w:val="20"/>
                <w:lang w:val="sr-Latn-ME" w:eastAsia="en-US"/>
              </w:rPr>
              <w:t xml:space="preserve"> = 0.562</w:t>
            </w:r>
          </w:p>
          <w:p w14:paraId="3A49E7C6"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F</w:t>
            </w:r>
            <w:r w:rsidRPr="00D716F4">
              <w:rPr>
                <w:rFonts w:cs="Calibri"/>
                <w:sz w:val="20"/>
                <w:szCs w:val="20"/>
                <w:vertAlign w:val="subscript"/>
                <w:lang w:val="sr-Latn-ME" w:eastAsia="en-US"/>
              </w:rPr>
              <w:t>curr</w:t>
            </w:r>
            <w:r w:rsidRPr="00D716F4">
              <w:rPr>
                <w:rFonts w:cs="Calibri"/>
                <w:sz w:val="20"/>
                <w:szCs w:val="20"/>
                <w:lang w:val="sr-Latn-ME" w:eastAsia="en-US"/>
              </w:rPr>
              <w:t>/F</w:t>
            </w:r>
            <w:r w:rsidRPr="00D716F4">
              <w:rPr>
                <w:rFonts w:cs="Calibri"/>
                <w:sz w:val="20"/>
                <w:szCs w:val="20"/>
                <w:vertAlign w:val="subscript"/>
                <w:lang w:val="sr-Latn-ME" w:eastAsia="en-US"/>
              </w:rPr>
              <w:t>0.1</w:t>
            </w:r>
            <w:r w:rsidRPr="00D716F4">
              <w:rPr>
                <w:rFonts w:cs="Calibri"/>
                <w:sz w:val="20"/>
                <w:szCs w:val="20"/>
                <w:lang w:val="sr-Latn-ME" w:eastAsia="en-US"/>
              </w:rPr>
              <w:t xml:space="preserve"> = 3.66</w:t>
            </w:r>
          </w:p>
        </w:tc>
        <w:tc>
          <w:tcPr>
            <w:tcW w:w="1198" w:type="dxa"/>
          </w:tcPr>
          <w:p w14:paraId="404D70EB"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Opada</w:t>
            </w:r>
          </w:p>
        </w:tc>
        <w:tc>
          <w:tcPr>
            <w:tcW w:w="1451" w:type="dxa"/>
          </w:tcPr>
          <w:p w14:paraId="75F1C6FA"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U visokom prelovu</w:t>
            </w:r>
          </w:p>
        </w:tc>
        <w:tc>
          <w:tcPr>
            <w:tcW w:w="1860" w:type="dxa"/>
          </w:tcPr>
          <w:p w14:paraId="576B5C54"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U visokoj prekomjernoj eksploataciji</w:t>
            </w:r>
          </w:p>
        </w:tc>
        <w:tc>
          <w:tcPr>
            <w:tcW w:w="1319" w:type="dxa"/>
          </w:tcPr>
          <w:p w14:paraId="4CC1F7EE"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N</w:t>
            </w:r>
            <w:r>
              <w:rPr>
                <w:rFonts w:cs="Calibri"/>
                <w:sz w:val="20"/>
                <w:szCs w:val="20"/>
                <w:lang w:val="sr-Latn-ME" w:eastAsia="en-US"/>
              </w:rPr>
              <w:t>E</w:t>
            </w:r>
          </w:p>
        </w:tc>
      </w:tr>
      <w:tr w:rsidR="00971473" w:rsidRPr="00D716F4" w14:paraId="6AD1EBFE" w14:textId="77777777" w:rsidTr="00971473">
        <w:trPr>
          <w:trHeight w:val="282"/>
        </w:trPr>
        <w:tc>
          <w:tcPr>
            <w:tcW w:w="9351" w:type="dxa"/>
            <w:gridSpan w:val="7"/>
            <w:shd w:val="clear" w:color="auto" w:fill="1F497D" w:themeFill="text2"/>
          </w:tcPr>
          <w:p w14:paraId="6DD6F716"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b/>
                <w:bCs/>
                <w:i/>
                <w:iCs/>
                <w:color w:val="FFFFFF" w:themeColor="background1"/>
                <w:sz w:val="20"/>
                <w:szCs w:val="20"/>
                <w:lang w:val="sr-Latn-ME" w:eastAsia="en-US"/>
              </w:rPr>
              <w:t>Parapenaeus longirostris</w:t>
            </w:r>
          </w:p>
        </w:tc>
      </w:tr>
      <w:tr w:rsidR="00971473" w:rsidRPr="00D716F4" w14:paraId="4242AE54" w14:textId="77777777" w:rsidTr="004B363F">
        <w:trPr>
          <w:trHeight w:val="836"/>
        </w:trPr>
        <w:tc>
          <w:tcPr>
            <w:tcW w:w="1058" w:type="dxa"/>
          </w:tcPr>
          <w:p w14:paraId="125769C9"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Ribolovna smrtnost</w:t>
            </w:r>
          </w:p>
        </w:tc>
        <w:tc>
          <w:tcPr>
            <w:tcW w:w="1228" w:type="dxa"/>
          </w:tcPr>
          <w:p w14:paraId="3E81F6E5"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F</w:t>
            </w:r>
            <w:r w:rsidRPr="00D716F4">
              <w:rPr>
                <w:rFonts w:cs="Calibri"/>
                <w:sz w:val="20"/>
                <w:szCs w:val="20"/>
                <w:vertAlign w:val="subscript"/>
                <w:lang w:val="sr-Latn-ME" w:eastAsia="en-US"/>
              </w:rPr>
              <w:t>0.1</w:t>
            </w:r>
            <w:r w:rsidRPr="00D716F4">
              <w:rPr>
                <w:rFonts w:cs="Calibri"/>
                <w:sz w:val="20"/>
                <w:szCs w:val="20"/>
                <w:lang w:val="sr-Latn-ME" w:eastAsia="en-US"/>
              </w:rPr>
              <w:t xml:space="preserve"> = 0.65</w:t>
            </w:r>
          </w:p>
        </w:tc>
        <w:tc>
          <w:tcPr>
            <w:tcW w:w="1237" w:type="dxa"/>
          </w:tcPr>
          <w:p w14:paraId="1AE995D9"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F</w:t>
            </w:r>
            <w:r w:rsidRPr="00D716F4">
              <w:rPr>
                <w:rFonts w:cs="Calibri"/>
                <w:sz w:val="20"/>
                <w:szCs w:val="20"/>
                <w:vertAlign w:val="subscript"/>
                <w:lang w:val="sr-Latn-ME" w:eastAsia="en-US"/>
              </w:rPr>
              <w:t>curr</w:t>
            </w:r>
            <w:r w:rsidRPr="00D716F4">
              <w:rPr>
                <w:rFonts w:cs="Calibri"/>
                <w:sz w:val="20"/>
                <w:szCs w:val="20"/>
                <w:lang w:val="sr-Latn-ME" w:eastAsia="en-US"/>
              </w:rPr>
              <w:t xml:space="preserve"> = 1.85</w:t>
            </w:r>
          </w:p>
          <w:p w14:paraId="0E265377"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F</w:t>
            </w:r>
            <w:r w:rsidRPr="00D716F4">
              <w:rPr>
                <w:rFonts w:cs="Calibri"/>
                <w:sz w:val="20"/>
                <w:szCs w:val="20"/>
                <w:vertAlign w:val="subscript"/>
                <w:lang w:val="sr-Latn-ME" w:eastAsia="en-US"/>
              </w:rPr>
              <w:t>curr</w:t>
            </w:r>
            <w:r w:rsidRPr="00D716F4">
              <w:rPr>
                <w:rFonts w:cs="Calibri"/>
                <w:sz w:val="20"/>
                <w:szCs w:val="20"/>
                <w:lang w:val="sr-Latn-ME" w:eastAsia="en-US"/>
              </w:rPr>
              <w:t>/F</w:t>
            </w:r>
            <w:r w:rsidRPr="00D716F4">
              <w:rPr>
                <w:rFonts w:cs="Calibri"/>
                <w:sz w:val="20"/>
                <w:szCs w:val="20"/>
                <w:vertAlign w:val="subscript"/>
                <w:lang w:val="sr-Latn-ME" w:eastAsia="en-US"/>
              </w:rPr>
              <w:t>0.1</w:t>
            </w:r>
            <w:r w:rsidRPr="00D716F4">
              <w:rPr>
                <w:rFonts w:cs="Calibri"/>
                <w:sz w:val="20"/>
                <w:szCs w:val="20"/>
                <w:lang w:val="sr-Latn-ME" w:eastAsia="en-US"/>
              </w:rPr>
              <w:t xml:space="preserve"> = 2.85</w:t>
            </w:r>
          </w:p>
        </w:tc>
        <w:tc>
          <w:tcPr>
            <w:tcW w:w="1198" w:type="dxa"/>
          </w:tcPr>
          <w:p w14:paraId="6F5CC775"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Opada</w:t>
            </w:r>
          </w:p>
        </w:tc>
        <w:tc>
          <w:tcPr>
            <w:tcW w:w="1451" w:type="dxa"/>
          </w:tcPr>
          <w:p w14:paraId="555CBB6E"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U visokom prelovu</w:t>
            </w:r>
          </w:p>
        </w:tc>
        <w:tc>
          <w:tcPr>
            <w:tcW w:w="1860" w:type="dxa"/>
          </w:tcPr>
          <w:p w14:paraId="618F4267"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U visokoj prekomjernoj eksploataciji</w:t>
            </w:r>
          </w:p>
        </w:tc>
        <w:tc>
          <w:tcPr>
            <w:tcW w:w="1319" w:type="dxa"/>
          </w:tcPr>
          <w:p w14:paraId="4FF34248"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NE</w:t>
            </w:r>
          </w:p>
        </w:tc>
      </w:tr>
    </w:tbl>
    <w:p w14:paraId="1326B51E" w14:textId="77777777" w:rsidR="00971473" w:rsidRPr="00D716F4" w:rsidRDefault="00971473" w:rsidP="00971473">
      <w:pPr>
        <w:spacing w:before="0" w:after="0"/>
        <w:jc w:val="left"/>
        <w:rPr>
          <w:rFonts w:eastAsia="Calibri" w:cs="Calibri"/>
          <w:sz w:val="20"/>
          <w:szCs w:val="20"/>
          <w:lang w:val="sr-Latn-ME" w:eastAsia="en-US"/>
        </w:rPr>
      </w:pPr>
    </w:p>
    <w:p w14:paraId="4EFF0941" w14:textId="77777777" w:rsidR="00971473" w:rsidRDefault="00971473" w:rsidP="00971473">
      <w:pPr>
        <w:spacing w:before="0" w:after="160"/>
        <w:rPr>
          <w:rFonts w:eastAsia="Calibri" w:cs="Calibri"/>
          <w:szCs w:val="22"/>
          <w:lang w:val="sr-Latn-ME" w:eastAsia="en-US"/>
        </w:rPr>
      </w:pPr>
      <w:r w:rsidRPr="00915347">
        <w:rPr>
          <w:rFonts w:eastAsia="Calibri" w:cs="Calibri"/>
          <w:szCs w:val="22"/>
          <w:lang w:val="sr-Latn-ME" w:eastAsia="en-US"/>
        </w:rPr>
        <w:t>Prikazani rezultati se zasnivaju na zajedničkoj proc</w:t>
      </w:r>
      <w:r>
        <w:rPr>
          <w:rFonts w:eastAsia="Calibri" w:cs="Calibri"/>
          <w:szCs w:val="22"/>
          <w:lang w:val="sr-Latn-ME" w:eastAsia="en-US"/>
        </w:rPr>
        <w:t>j</w:t>
      </w:r>
      <w:r w:rsidRPr="00915347">
        <w:rPr>
          <w:rFonts w:eastAsia="Calibri" w:cs="Calibri"/>
          <w:szCs w:val="22"/>
          <w:lang w:val="sr-Latn-ME" w:eastAsia="en-US"/>
        </w:rPr>
        <w:t xml:space="preserve">eni, za </w:t>
      </w:r>
      <w:r w:rsidRPr="00915347">
        <w:rPr>
          <w:rFonts w:eastAsia="Calibri" w:cs="Calibri"/>
          <w:i/>
          <w:szCs w:val="22"/>
          <w:lang w:val="sr-Latn-ME" w:eastAsia="en-US"/>
        </w:rPr>
        <w:t>M. barbatus</w:t>
      </w:r>
      <w:r w:rsidRPr="00915347">
        <w:rPr>
          <w:rFonts w:eastAsia="Calibri" w:cs="Calibri"/>
          <w:szCs w:val="22"/>
          <w:lang w:val="sr-Latn-ME" w:eastAsia="en-US"/>
        </w:rPr>
        <w:t xml:space="preserve"> i </w:t>
      </w:r>
      <w:r w:rsidRPr="00915347">
        <w:rPr>
          <w:rFonts w:eastAsia="Calibri" w:cs="Calibri"/>
          <w:i/>
          <w:szCs w:val="22"/>
          <w:lang w:val="sr-Latn-ME" w:eastAsia="en-US"/>
        </w:rPr>
        <w:t>M. merluccius</w:t>
      </w:r>
      <w:r w:rsidRPr="00915347">
        <w:rPr>
          <w:rFonts w:eastAsia="Calibri" w:cs="Calibri"/>
          <w:szCs w:val="22"/>
          <w:lang w:val="sr-Latn-ME" w:eastAsia="en-US"/>
        </w:rPr>
        <w:t xml:space="preserve"> na nivou čitavog Jadranskog mora (GSA 17 i 18), a za </w:t>
      </w:r>
      <w:r w:rsidRPr="00915347">
        <w:rPr>
          <w:rFonts w:eastAsia="Calibri" w:cs="Calibri"/>
          <w:i/>
          <w:szCs w:val="22"/>
          <w:lang w:val="sr-Latn-ME" w:eastAsia="en-US"/>
        </w:rPr>
        <w:t>P. longirostris</w:t>
      </w:r>
      <w:r w:rsidRPr="00915347">
        <w:rPr>
          <w:rFonts w:eastAsia="Calibri" w:cs="Calibri"/>
          <w:szCs w:val="22"/>
          <w:lang w:val="sr-Latn-ME" w:eastAsia="en-US"/>
        </w:rPr>
        <w:t xml:space="preserve"> </w:t>
      </w:r>
      <w:r>
        <w:rPr>
          <w:rFonts w:eastAsia="Calibri" w:cs="Calibri"/>
          <w:szCs w:val="22"/>
          <w:lang w:val="sr-Latn-ME" w:eastAsia="en-US"/>
        </w:rPr>
        <w:t xml:space="preserve">za čitavo Jadransko </w:t>
      </w:r>
      <w:r w:rsidRPr="00915347">
        <w:rPr>
          <w:rFonts w:eastAsia="Calibri" w:cs="Calibri"/>
          <w:szCs w:val="22"/>
          <w:lang w:val="sr-Latn-ME" w:eastAsia="en-US"/>
        </w:rPr>
        <w:t>i zapadno Jonsko more (GSA 17, 18 i 19). Kak</w:t>
      </w:r>
      <w:r>
        <w:rPr>
          <w:rFonts w:eastAsia="Calibri" w:cs="Calibri"/>
          <w:szCs w:val="22"/>
          <w:lang w:val="sr-Latn-ME" w:eastAsia="en-US"/>
        </w:rPr>
        <w:t>o je crnogorski udio u ukupnom ulovu</w:t>
      </w:r>
      <w:r w:rsidRPr="00915347">
        <w:rPr>
          <w:rFonts w:eastAsia="Calibri" w:cs="Calibri"/>
          <w:szCs w:val="22"/>
          <w:lang w:val="sr-Latn-ME" w:eastAsia="en-US"/>
        </w:rPr>
        <w:t xml:space="preserve"> na tom području izuzetno mali (na </w:t>
      </w:r>
      <w:r>
        <w:rPr>
          <w:rFonts w:eastAsia="Calibri" w:cs="Calibri"/>
          <w:szCs w:val="22"/>
          <w:lang w:val="sr-Latn-ME" w:eastAsia="en-US"/>
        </w:rPr>
        <w:t>J</w:t>
      </w:r>
      <w:r w:rsidRPr="00915347">
        <w:rPr>
          <w:rFonts w:eastAsia="Calibri" w:cs="Calibri"/>
          <w:szCs w:val="22"/>
          <w:lang w:val="sr-Latn-ME" w:eastAsia="en-US"/>
        </w:rPr>
        <w:t xml:space="preserve">adranskom nivou iznosi 1% za </w:t>
      </w:r>
      <w:r w:rsidRPr="00915347">
        <w:rPr>
          <w:rFonts w:eastAsia="Calibri" w:cs="Calibri"/>
          <w:i/>
          <w:szCs w:val="22"/>
          <w:lang w:val="sr-Latn-ME" w:eastAsia="en-US"/>
        </w:rPr>
        <w:t>M. barbatus</w:t>
      </w:r>
      <w:r w:rsidRPr="00915347">
        <w:rPr>
          <w:rFonts w:eastAsia="Calibri" w:cs="Calibri"/>
          <w:szCs w:val="22"/>
          <w:lang w:val="sr-Latn-ME" w:eastAsia="en-US"/>
        </w:rPr>
        <w:t xml:space="preserve">, 0,6% za </w:t>
      </w:r>
      <w:r w:rsidRPr="00915347">
        <w:rPr>
          <w:rFonts w:eastAsia="Calibri" w:cs="Calibri"/>
          <w:i/>
          <w:szCs w:val="22"/>
          <w:lang w:val="sr-Latn-ME" w:eastAsia="en-US"/>
        </w:rPr>
        <w:t>M. merluccius</w:t>
      </w:r>
      <w:r w:rsidRPr="00915347">
        <w:rPr>
          <w:rFonts w:eastAsia="Calibri" w:cs="Calibri"/>
          <w:szCs w:val="22"/>
          <w:lang w:val="sr-Latn-ME" w:eastAsia="en-US"/>
        </w:rPr>
        <w:t xml:space="preserve">, 2% za </w:t>
      </w:r>
      <w:r w:rsidRPr="00915347">
        <w:rPr>
          <w:rFonts w:eastAsia="Calibri" w:cs="Calibri"/>
          <w:i/>
          <w:szCs w:val="22"/>
          <w:lang w:val="sr-Latn-ME" w:eastAsia="en-US"/>
        </w:rPr>
        <w:t>P. longirostris</w:t>
      </w:r>
      <w:r w:rsidRPr="00915347">
        <w:rPr>
          <w:rFonts w:eastAsia="Calibri" w:cs="Calibri"/>
          <w:szCs w:val="22"/>
          <w:lang w:val="sr-Latn-ME" w:eastAsia="en-US"/>
        </w:rPr>
        <w:t>), posebno u poređenju sa godiš</w:t>
      </w:r>
      <w:r>
        <w:rPr>
          <w:rFonts w:eastAsia="Calibri" w:cs="Calibri"/>
          <w:szCs w:val="22"/>
          <w:lang w:val="sr-Latn-ME" w:eastAsia="en-US"/>
        </w:rPr>
        <w:t>njim ulovima Italije i Hrvatske</w:t>
      </w:r>
      <w:r w:rsidRPr="00915347">
        <w:rPr>
          <w:rFonts w:eastAsia="Calibri" w:cs="Calibri"/>
          <w:szCs w:val="22"/>
          <w:lang w:val="sr-Latn-ME" w:eastAsia="en-US"/>
        </w:rPr>
        <w:t>, stvarno stanje GES-a u crnogorskim vodama ne može se tačno procijeniti kroz</w:t>
      </w:r>
      <w:r>
        <w:rPr>
          <w:rFonts w:eastAsia="Calibri" w:cs="Calibri"/>
          <w:szCs w:val="22"/>
          <w:lang w:val="sr-Latn-ME" w:eastAsia="en-US"/>
        </w:rPr>
        <w:t xml:space="preserve"> zajedničke procjene stokova</w:t>
      </w:r>
      <w:r w:rsidRPr="00915347">
        <w:rPr>
          <w:rFonts w:eastAsia="Calibri" w:cs="Calibri"/>
          <w:szCs w:val="22"/>
          <w:lang w:val="sr-Latn-ME" w:eastAsia="en-US"/>
        </w:rPr>
        <w:t>. S</w:t>
      </w:r>
      <w:r>
        <w:rPr>
          <w:rFonts w:eastAsia="Calibri" w:cs="Calibri"/>
          <w:szCs w:val="22"/>
          <w:lang w:val="sr-Latn-ME" w:eastAsia="en-US"/>
        </w:rPr>
        <w:t>a</w:t>
      </w:r>
      <w:r w:rsidRPr="00915347">
        <w:rPr>
          <w:rFonts w:eastAsia="Calibri" w:cs="Calibri"/>
          <w:szCs w:val="22"/>
          <w:lang w:val="sr-Latn-ME" w:eastAsia="en-US"/>
        </w:rPr>
        <w:t xml:space="preserve"> druge strane, zajednički karakter </w:t>
      </w:r>
      <w:r>
        <w:rPr>
          <w:rFonts w:eastAsia="Calibri" w:cs="Calibri"/>
          <w:szCs w:val="22"/>
          <w:lang w:val="sr-Latn-ME" w:eastAsia="en-US"/>
        </w:rPr>
        <w:t xml:space="preserve">resursa čini izolovane procjene stokova nepotpunim. </w:t>
      </w:r>
      <w:r w:rsidRPr="00915347">
        <w:rPr>
          <w:rFonts w:eastAsia="Calibri" w:cs="Calibri"/>
          <w:szCs w:val="22"/>
          <w:lang w:val="sr-Latn-ME" w:eastAsia="en-US"/>
        </w:rPr>
        <w:t xml:space="preserve"> </w:t>
      </w:r>
    </w:p>
    <w:p w14:paraId="2912D5C9" w14:textId="77777777" w:rsidR="00971473" w:rsidRPr="00D716F4" w:rsidRDefault="00971473" w:rsidP="00971473">
      <w:pPr>
        <w:spacing w:before="0" w:after="0"/>
        <w:rPr>
          <w:rFonts w:eastAsia="Calibri" w:cs="Calibri"/>
          <w:sz w:val="20"/>
          <w:szCs w:val="20"/>
          <w:lang w:val="sr-Latn-ME" w:eastAsia="en-US"/>
        </w:rPr>
      </w:pPr>
    </w:p>
    <w:p w14:paraId="52A04B52" w14:textId="77777777" w:rsidR="00971473" w:rsidRPr="00D716F4" w:rsidRDefault="00971473" w:rsidP="00971473">
      <w:pPr>
        <w:keepNext/>
        <w:keepLines/>
        <w:spacing w:before="40" w:after="0" w:line="240" w:lineRule="auto"/>
        <w:jc w:val="left"/>
        <w:outlineLvl w:val="3"/>
        <w:rPr>
          <w:b/>
          <w:i/>
          <w:iCs/>
          <w:color w:val="365F91" w:themeColor="accent1" w:themeShade="BF"/>
          <w:szCs w:val="22"/>
          <w:lang w:val="sr-Latn-ME" w:eastAsia="en-US"/>
        </w:rPr>
      </w:pPr>
      <w:r>
        <w:rPr>
          <w:b/>
          <w:i/>
          <w:iCs/>
          <w:color w:val="365F91" w:themeColor="accent1" w:themeShade="BF"/>
          <w:szCs w:val="22"/>
          <w:lang w:val="sr-Latn-ME" w:eastAsia="en-US"/>
        </w:rPr>
        <w:t>GES za pelagične vrste</w:t>
      </w:r>
    </w:p>
    <w:p w14:paraId="6A7677AE" w14:textId="77777777" w:rsidR="00971473" w:rsidRPr="00D716F4" w:rsidRDefault="00971473" w:rsidP="00971473">
      <w:pPr>
        <w:spacing w:before="0" w:after="0"/>
        <w:jc w:val="left"/>
        <w:rPr>
          <w:rFonts w:eastAsia="Calibri"/>
          <w:b/>
          <w:color w:val="365F91" w:themeColor="accent1" w:themeShade="BF"/>
          <w:szCs w:val="22"/>
          <w:lang w:val="sr-Latn-ME" w:eastAsia="en-US"/>
        </w:rPr>
      </w:pPr>
    </w:p>
    <w:p w14:paraId="24498D35" w14:textId="42B25FE2" w:rsidR="00480592" w:rsidRPr="00115E47" w:rsidRDefault="00971473" w:rsidP="00115E47">
      <w:pPr>
        <w:autoSpaceDE w:val="0"/>
        <w:autoSpaceDN w:val="0"/>
        <w:adjustRightInd w:val="0"/>
        <w:spacing w:before="0" w:after="0"/>
        <w:rPr>
          <w:rFonts w:eastAsia="Calibri" w:cs="Calibri"/>
          <w:szCs w:val="22"/>
          <w:lang w:val="sr-Latn-ME" w:eastAsia="en-US"/>
        </w:rPr>
      </w:pPr>
      <w:r>
        <w:rPr>
          <w:rFonts w:eastAsia="Calibri" w:cs="Calibri"/>
          <w:szCs w:val="22"/>
          <w:lang w:val="sr-Latn-ME" w:eastAsia="en-US"/>
        </w:rPr>
        <w:t>Tabela 2.7 sadrži referentne i trenutne vrijednosti za odabrane primarne kriterijume za srdelu i inćuna</w:t>
      </w:r>
      <w:r w:rsidRPr="00D716F4">
        <w:rPr>
          <w:rFonts w:eastAsia="Calibri" w:cs="Calibri"/>
          <w:szCs w:val="22"/>
          <w:lang w:val="sr-Latn-ME" w:eastAsia="en-US"/>
        </w:rPr>
        <w:t xml:space="preserve"> </w:t>
      </w:r>
      <w:r w:rsidRPr="00D716F4">
        <w:rPr>
          <w:rFonts w:eastAsia="Calibri" w:cs="Calibri"/>
          <w:bCs/>
          <w:szCs w:val="22"/>
          <w:lang w:val="sr-Latn-ME" w:eastAsia="en-US"/>
        </w:rPr>
        <w:t xml:space="preserve">(Angelini </w:t>
      </w:r>
      <w:r w:rsidRPr="00D716F4">
        <w:rPr>
          <w:rFonts w:eastAsia="Calibri" w:cs="Calibri"/>
          <w:bCs/>
          <w:i/>
          <w:iCs/>
          <w:szCs w:val="22"/>
          <w:lang w:val="sr-Latn-ME" w:eastAsia="en-US"/>
        </w:rPr>
        <w:t>et al.</w:t>
      </w:r>
      <w:r w:rsidRPr="00D716F4">
        <w:rPr>
          <w:rFonts w:eastAsia="Calibri" w:cs="Calibri"/>
          <w:bCs/>
          <w:szCs w:val="22"/>
          <w:lang w:val="sr-Latn-ME" w:eastAsia="en-US"/>
        </w:rPr>
        <w:t>, 2018)</w:t>
      </w:r>
      <w:r w:rsidRPr="00D716F4">
        <w:rPr>
          <w:rFonts w:eastAsia="Calibri" w:cs="Calibri"/>
          <w:b/>
          <w:szCs w:val="22"/>
          <w:lang w:val="sr-Latn-ME" w:eastAsia="en-US"/>
        </w:rPr>
        <w:t>.</w:t>
      </w:r>
      <w:bookmarkStart w:id="109" w:name="_Toc69718372"/>
      <w:bookmarkStart w:id="110" w:name="_Hlk68680053"/>
    </w:p>
    <w:p w14:paraId="5D01F9B8" w14:textId="149B48EE" w:rsidR="00971473" w:rsidRPr="00D716F4" w:rsidRDefault="00971473" w:rsidP="00971473">
      <w:pPr>
        <w:autoSpaceDE w:val="0"/>
        <w:autoSpaceDN w:val="0"/>
        <w:adjustRightInd w:val="0"/>
        <w:spacing w:before="0" w:after="160"/>
        <w:rPr>
          <w:rFonts w:eastAsia="Calibri" w:cs="Calibri"/>
          <w:b/>
          <w:szCs w:val="22"/>
          <w:lang w:val="sr-Latn-ME" w:eastAsia="en-US"/>
        </w:rPr>
      </w:pPr>
      <w:bookmarkStart w:id="111" w:name="_Toc83643162"/>
      <w:r w:rsidRPr="00D716F4">
        <w:rPr>
          <w:rFonts w:eastAsia="Calibri" w:cs="Calibri"/>
          <w:b/>
          <w:szCs w:val="22"/>
          <w:lang w:val="sr-Latn-ME" w:eastAsia="en-US"/>
        </w:rPr>
        <w:t>Tab</w:t>
      </w:r>
      <w:r>
        <w:rPr>
          <w:rFonts w:eastAsia="Calibri" w:cs="Calibri"/>
          <w:b/>
          <w:szCs w:val="22"/>
          <w:lang w:val="sr-Latn-ME" w:eastAsia="en-US"/>
        </w:rPr>
        <w:t>ela</w:t>
      </w:r>
      <w:r w:rsidRPr="00D716F4">
        <w:rPr>
          <w:rFonts w:eastAsia="Calibri" w:cs="Calibri"/>
          <w:b/>
          <w:szCs w:val="22"/>
          <w:lang w:val="sr-Latn-ME" w:eastAsia="en-US"/>
        </w:rPr>
        <w:t xml:space="preserve"> </w:t>
      </w:r>
      <w:r w:rsidRPr="00D716F4">
        <w:rPr>
          <w:b/>
          <w:szCs w:val="22"/>
          <w:lang w:val="sr-Latn-ME"/>
        </w:rPr>
        <w:fldChar w:fldCharType="begin"/>
      </w:r>
      <w:r w:rsidRPr="00D716F4">
        <w:rPr>
          <w:b/>
          <w:szCs w:val="22"/>
          <w:lang w:val="sr-Latn-ME"/>
        </w:rPr>
        <w:instrText xml:space="preserve"> STYLEREF 1 \s </w:instrText>
      </w:r>
      <w:r w:rsidRPr="00D716F4">
        <w:rPr>
          <w:b/>
          <w:szCs w:val="22"/>
          <w:lang w:val="sr-Latn-ME"/>
        </w:rPr>
        <w:fldChar w:fldCharType="separate"/>
      </w:r>
      <w:r w:rsidR="000D1E20">
        <w:rPr>
          <w:b/>
          <w:noProof/>
          <w:szCs w:val="22"/>
          <w:lang w:val="sr-Latn-ME"/>
        </w:rPr>
        <w:t>2</w:t>
      </w:r>
      <w:r w:rsidRPr="00D716F4">
        <w:rPr>
          <w:b/>
          <w:szCs w:val="22"/>
          <w:lang w:val="sr-Latn-ME"/>
        </w:rPr>
        <w:fldChar w:fldCharType="end"/>
      </w:r>
      <w:r w:rsidRPr="00D716F4">
        <w:rPr>
          <w:b/>
          <w:szCs w:val="22"/>
          <w:lang w:val="sr-Latn-ME"/>
        </w:rPr>
        <w:t>.</w:t>
      </w:r>
      <w:r w:rsidRPr="00D716F4">
        <w:rPr>
          <w:b/>
          <w:szCs w:val="22"/>
          <w:lang w:val="sr-Latn-ME"/>
        </w:rPr>
        <w:fldChar w:fldCharType="begin"/>
      </w:r>
      <w:r w:rsidRPr="00D716F4">
        <w:rPr>
          <w:b/>
          <w:szCs w:val="22"/>
          <w:lang w:val="sr-Latn-ME"/>
        </w:rPr>
        <w:instrText xml:space="preserve"> SEQ Table \* ARABIC \s 1 </w:instrText>
      </w:r>
      <w:r w:rsidRPr="00D716F4">
        <w:rPr>
          <w:b/>
          <w:szCs w:val="22"/>
          <w:lang w:val="sr-Latn-ME"/>
        </w:rPr>
        <w:fldChar w:fldCharType="separate"/>
      </w:r>
      <w:r w:rsidR="000D1E20">
        <w:rPr>
          <w:b/>
          <w:noProof/>
          <w:szCs w:val="22"/>
          <w:lang w:val="sr-Latn-ME"/>
        </w:rPr>
        <w:t>4</w:t>
      </w:r>
      <w:r w:rsidRPr="00D716F4">
        <w:rPr>
          <w:b/>
          <w:szCs w:val="22"/>
          <w:lang w:val="sr-Latn-ME"/>
        </w:rPr>
        <w:fldChar w:fldCharType="end"/>
      </w:r>
      <w:r w:rsidRPr="00D716F4">
        <w:rPr>
          <w:b/>
          <w:szCs w:val="22"/>
          <w:lang w:val="sr-Latn-ME"/>
        </w:rPr>
        <w:t>.</w:t>
      </w:r>
      <w:r w:rsidRPr="00D716F4">
        <w:rPr>
          <w:rFonts w:eastAsia="Calibri" w:cs="Calibri"/>
          <w:b/>
          <w:szCs w:val="22"/>
          <w:lang w:val="sr-Latn-ME" w:eastAsia="en-US"/>
        </w:rPr>
        <w:t xml:space="preserve">  Status </w:t>
      </w:r>
      <w:r>
        <w:rPr>
          <w:rFonts w:eastAsia="Calibri" w:cs="Calibri"/>
          <w:b/>
          <w:szCs w:val="22"/>
          <w:lang w:val="sr-Latn-ME" w:eastAsia="en-US"/>
        </w:rPr>
        <w:t>odabranih pelagičnih vrsta po primarnim kriterijumima.</w:t>
      </w:r>
      <w:bookmarkEnd w:id="111"/>
      <w:r>
        <w:rPr>
          <w:rFonts w:eastAsia="Calibri" w:cs="Calibri"/>
          <w:b/>
          <w:szCs w:val="22"/>
          <w:lang w:val="sr-Latn-ME" w:eastAsia="en-US"/>
        </w:rPr>
        <w:t xml:space="preserve"> </w:t>
      </w:r>
      <w:bookmarkEnd w:id="109"/>
    </w:p>
    <w:tbl>
      <w:tblPr>
        <w:tblStyle w:val="TableGrid8"/>
        <w:tblW w:w="9067" w:type="dxa"/>
        <w:tblLayout w:type="fixed"/>
        <w:tblLook w:val="04A0" w:firstRow="1" w:lastRow="0" w:firstColumn="1" w:lastColumn="0" w:noHBand="0" w:noVBand="1"/>
      </w:tblPr>
      <w:tblGrid>
        <w:gridCol w:w="1058"/>
        <w:gridCol w:w="1343"/>
        <w:gridCol w:w="1348"/>
        <w:gridCol w:w="1196"/>
        <w:gridCol w:w="1575"/>
        <w:gridCol w:w="1272"/>
        <w:gridCol w:w="1275"/>
      </w:tblGrid>
      <w:tr w:rsidR="00115E47" w:rsidRPr="00D716F4" w14:paraId="38F4B78D" w14:textId="77777777" w:rsidTr="00615E5F">
        <w:trPr>
          <w:trHeight w:val="461"/>
          <w:tblHeader/>
        </w:trPr>
        <w:tc>
          <w:tcPr>
            <w:tcW w:w="9067" w:type="dxa"/>
            <w:gridSpan w:val="7"/>
            <w:shd w:val="clear" w:color="auto" w:fill="1F497D" w:themeFill="text2"/>
          </w:tcPr>
          <w:p w14:paraId="05020133" w14:textId="3B79E77D" w:rsidR="00115E47" w:rsidRPr="00D716F4" w:rsidRDefault="00115E47" w:rsidP="00115E47">
            <w:pPr>
              <w:spacing w:before="0" w:after="0" w:line="240" w:lineRule="auto"/>
              <w:jc w:val="center"/>
              <w:rPr>
                <w:rFonts w:cs="Calibri"/>
                <w:b/>
                <w:sz w:val="20"/>
                <w:szCs w:val="20"/>
                <w:lang w:val="sr-Latn-ME" w:eastAsia="en-US"/>
              </w:rPr>
            </w:pPr>
            <w:r w:rsidRPr="00115E47">
              <w:rPr>
                <w:rFonts w:cs="Calibri"/>
                <w:b/>
                <w:color w:val="FFFFFF" w:themeColor="background1"/>
                <w:sz w:val="20"/>
                <w:szCs w:val="20"/>
                <w:lang w:val="sr-Latn-ME" w:eastAsia="en-US"/>
              </w:rPr>
              <w:t>Područje procjene: subregionalni nivo – Jadransko more</w:t>
            </w:r>
          </w:p>
        </w:tc>
      </w:tr>
      <w:tr w:rsidR="00971473" w:rsidRPr="00D716F4" w14:paraId="6EE579C5" w14:textId="77777777" w:rsidTr="00615E5F">
        <w:trPr>
          <w:trHeight w:val="817"/>
          <w:tblHeader/>
        </w:trPr>
        <w:tc>
          <w:tcPr>
            <w:tcW w:w="1058" w:type="dxa"/>
            <w:shd w:val="clear" w:color="auto" w:fill="8DB3E2" w:themeFill="text2" w:themeFillTint="66"/>
          </w:tcPr>
          <w:p w14:paraId="2FD601D4" w14:textId="77777777" w:rsidR="00971473" w:rsidRPr="00D716F4" w:rsidRDefault="00971473" w:rsidP="00971473">
            <w:pPr>
              <w:spacing w:before="0" w:after="0" w:line="240" w:lineRule="auto"/>
              <w:jc w:val="left"/>
              <w:rPr>
                <w:rFonts w:cs="Calibri"/>
                <w:b/>
                <w:sz w:val="20"/>
                <w:szCs w:val="20"/>
                <w:lang w:val="sr-Latn-ME" w:eastAsia="en-US"/>
              </w:rPr>
            </w:pPr>
            <w:r>
              <w:rPr>
                <w:rFonts w:cs="Calibri"/>
                <w:b/>
                <w:sz w:val="20"/>
                <w:szCs w:val="20"/>
                <w:lang w:val="sr-Latn-ME" w:eastAsia="en-US"/>
              </w:rPr>
              <w:t>Kriterijum</w:t>
            </w:r>
          </w:p>
        </w:tc>
        <w:tc>
          <w:tcPr>
            <w:tcW w:w="1343" w:type="dxa"/>
            <w:shd w:val="clear" w:color="auto" w:fill="8DB3E2" w:themeFill="text2" w:themeFillTint="66"/>
          </w:tcPr>
          <w:p w14:paraId="4010F0C4" w14:textId="77777777" w:rsidR="00971473" w:rsidRPr="00D716F4" w:rsidRDefault="00971473" w:rsidP="00971473">
            <w:pPr>
              <w:spacing w:before="0" w:after="0" w:line="240" w:lineRule="auto"/>
              <w:jc w:val="left"/>
              <w:rPr>
                <w:rFonts w:eastAsia="Arial Unicode MS" w:cs="Calibri"/>
                <w:sz w:val="20"/>
                <w:szCs w:val="20"/>
                <w:u w:color="000000"/>
                <w:lang w:val="sr-Latn-ME" w:eastAsia="it-IT"/>
              </w:rPr>
            </w:pPr>
            <w:r>
              <w:rPr>
                <w:rFonts w:eastAsia="Arial Unicode MS" w:cs="Calibri"/>
                <w:b/>
                <w:bCs/>
                <w:sz w:val="20"/>
                <w:szCs w:val="20"/>
                <w:u w:color="000000"/>
                <w:lang w:val="sr-Latn-ME" w:eastAsia="it-IT"/>
              </w:rPr>
              <w:t>Analitička referentna tačka</w:t>
            </w:r>
          </w:p>
        </w:tc>
        <w:tc>
          <w:tcPr>
            <w:tcW w:w="1348" w:type="dxa"/>
            <w:shd w:val="clear" w:color="auto" w:fill="8DB3E2" w:themeFill="text2" w:themeFillTint="66"/>
          </w:tcPr>
          <w:p w14:paraId="64F1655E" w14:textId="77777777" w:rsidR="00971473" w:rsidRPr="00D716F4" w:rsidRDefault="00971473" w:rsidP="00971473">
            <w:pPr>
              <w:spacing w:before="0" w:after="0" w:line="240" w:lineRule="auto"/>
              <w:jc w:val="left"/>
              <w:rPr>
                <w:rFonts w:eastAsia="Arial Unicode MS" w:cs="Calibri"/>
                <w:sz w:val="20"/>
                <w:szCs w:val="20"/>
                <w:u w:color="000000"/>
                <w:lang w:val="sr-Latn-ME" w:eastAsia="it-IT"/>
              </w:rPr>
            </w:pPr>
            <w:r>
              <w:rPr>
                <w:rFonts w:eastAsia="Arial Unicode MS" w:cs="Calibri"/>
                <w:b/>
                <w:bCs/>
                <w:sz w:val="20"/>
                <w:szCs w:val="20"/>
                <w:u w:color="000000"/>
                <w:lang w:val="sr-Latn-ME" w:eastAsia="it-IT"/>
              </w:rPr>
              <w:t>Trenutna vrijednost iz analiza</w:t>
            </w:r>
          </w:p>
        </w:tc>
        <w:tc>
          <w:tcPr>
            <w:tcW w:w="1196" w:type="dxa"/>
            <w:shd w:val="clear" w:color="auto" w:fill="8DB3E2" w:themeFill="text2" w:themeFillTint="66"/>
          </w:tcPr>
          <w:p w14:paraId="1BCAC302" w14:textId="77777777" w:rsidR="00971473" w:rsidRPr="00D716F4" w:rsidRDefault="00971473" w:rsidP="00971473">
            <w:pPr>
              <w:spacing w:before="0" w:after="0" w:line="240" w:lineRule="auto"/>
              <w:jc w:val="left"/>
              <w:rPr>
                <w:rFonts w:cs="Calibri"/>
                <w:b/>
                <w:sz w:val="20"/>
                <w:szCs w:val="20"/>
                <w:lang w:val="sr-Latn-ME" w:eastAsia="en-US"/>
              </w:rPr>
            </w:pPr>
            <w:r w:rsidRPr="00D716F4">
              <w:rPr>
                <w:rFonts w:cs="Calibri"/>
                <w:b/>
                <w:sz w:val="20"/>
                <w:szCs w:val="20"/>
                <w:lang w:val="sr-Latn-ME" w:eastAsia="en-US"/>
              </w:rPr>
              <w:t>Trend</w:t>
            </w:r>
          </w:p>
        </w:tc>
        <w:tc>
          <w:tcPr>
            <w:tcW w:w="1575" w:type="dxa"/>
            <w:shd w:val="clear" w:color="auto" w:fill="8DB3E2" w:themeFill="text2" w:themeFillTint="66"/>
          </w:tcPr>
          <w:p w14:paraId="4CA7E0DE" w14:textId="77777777" w:rsidR="00971473" w:rsidRPr="00D716F4" w:rsidRDefault="00971473" w:rsidP="00971473">
            <w:pPr>
              <w:spacing w:before="0" w:after="0" w:line="240" w:lineRule="auto"/>
              <w:jc w:val="left"/>
              <w:rPr>
                <w:rFonts w:cs="Calibri"/>
                <w:b/>
                <w:sz w:val="20"/>
                <w:szCs w:val="20"/>
                <w:lang w:val="sr-Latn-ME" w:eastAsia="en-US"/>
              </w:rPr>
            </w:pPr>
            <w:r w:rsidRPr="00D716F4">
              <w:rPr>
                <w:rFonts w:cs="Calibri"/>
                <w:b/>
                <w:sz w:val="20"/>
                <w:szCs w:val="20"/>
                <w:lang w:val="sr-Latn-ME" w:eastAsia="en-US"/>
              </w:rPr>
              <w:t>Status</w:t>
            </w:r>
          </w:p>
        </w:tc>
        <w:tc>
          <w:tcPr>
            <w:tcW w:w="1272" w:type="dxa"/>
            <w:shd w:val="clear" w:color="auto" w:fill="8DB3E2" w:themeFill="text2" w:themeFillTint="66"/>
          </w:tcPr>
          <w:p w14:paraId="5F6A86E1" w14:textId="77777777" w:rsidR="00971473" w:rsidRPr="00D716F4" w:rsidRDefault="00971473" w:rsidP="00971473">
            <w:pPr>
              <w:spacing w:before="0" w:after="0" w:line="240" w:lineRule="auto"/>
              <w:jc w:val="left"/>
              <w:rPr>
                <w:rFonts w:cs="Calibri"/>
                <w:b/>
                <w:sz w:val="20"/>
                <w:szCs w:val="20"/>
                <w:lang w:val="sr-Latn-ME" w:eastAsia="en-US"/>
              </w:rPr>
            </w:pPr>
            <w:r>
              <w:rPr>
                <w:rFonts w:cs="Calibri"/>
                <w:b/>
                <w:sz w:val="20"/>
                <w:szCs w:val="20"/>
                <w:lang w:val="sr-Latn-ME" w:eastAsia="en-US"/>
              </w:rPr>
              <w:t>Finalni zaključak</w:t>
            </w:r>
          </w:p>
        </w:tc>
        <w:tc>
          <w:tcPr>
            <w:tcW w:w="1275" w:type="dxa"/>
            <w:shd w:val="clear" w:color="auto" w:fill="8DB3E2" w:themeFill="text2" w:themeFillTint="66"/>
          </w:tcPr>
          <w:p w14:paraId="14C5449A" w14:textId="77777777" w:rsidR="00971473" w:rsidRPr="00D716F4" w:rsidRDefault="00971473" w:rsidP="00971473">
            <w:pPr>
              <w:spacing w:before="0" w:after="0" w:line="240" w:lineRule="auto"/>
              <w:jc w:val="left"/>
              <w:rPr>
                <w:rFonts w:cs="Calibri"/>
                <w:b/>
                <w:sz w:val="20"/>
                <w:szCs w:val="20"/>
                <w:lang w:val="sr-Latn-ME" w:eastAsia="en-US"/>
              </w:rPr>
            </w:pPr>
            <w:r w:rsidRPr="00D716F4">
              <w:rPr>
                <w:rFonts w:cs="Calibri"/>
                <w:b/>
                <w:sz w:val="20"/>
                <w:szCs w:val="20"/>
                <w:lang w:val="sr-Latn-ME" w:eastAsia="en-US"/>
              </w:rPr>
              <w:t xml:space="preserve">GES </w:t>
            </w:r>
            <w:r>
              <w:rPr>
                <w:rFonts w:cs="Calibri"/>
                <w:b/>
                <w:sz w:val="20"/>
                <w:szCs w:val="20"/>
                <w:lang w:val="sr-Latn-ME" w:eastAsia="en-US"/>
              </w:rPr>
              <w:t>postignut</w:t>
            </w:r>
          </w:p>
        </w:tc>
      </w:tr>
      <w:tr w:rsidR="00971473" w:rsidRPr="00D716F4" w14:paraId="0BA81714" w14:textId="77777777" w:rsidTr="00115E47">
        <w:trPr>
          <w:trHeight w:val="325"/>
        </w:trPr>
        <w:tc>
          <w:tcPr>
            <w:tcW w:w="9067" w:type="dxa"/>
            <w:gridSpan w:val="7"/>
            <w:shd w:val="clear" w:color="auto" w:fill="1F497D" w:themeFill="text2"/>
          </w:tcPr>
          <w:p w14:paraId="747D72C0"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b/>
                <w:bCs/>
                <w:i/>
                <w:iCs/>
                <w:color w:val="FFFFFF" w:themeColor="background1"/>
                <w:sz w:val="20"/>
                <w:szCs w:val="20"/>
                <w:lang w:val="sr-Latn-ME" w:eastAsia="en-US"/>
              </w:rPr>
              <w:t>Sardina pilchardus</w:t>
            </w:r>
          </w:p>
        </w:tc>
      </w:tr>
      <w:tr w:rsidR="00971473" w:rsidRPr="00D716F4" w14:paraId="6A8E5A3D" w14:textId="77777777" w:rsidTr="00115E47">
        <w:trPr>
          <w:trHeight w:val="20"/>
        </w:trPr>
        <w:tc>
          <w:tcPr>
            <w:tcW w:w="1058" w:type="dxa"/>
          </w:tcPr>
          <w:p w14:paraId="4A8A2053"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Ribolovna smrtnost</w:t>
            </w:r>
          </w:p>
        </w:tc>
        <w:tc>
          <w:tcPr>
            <w:tcW w:w="1343" w:type="dxa"/>
          </w:tcPr>
          <w:p w14:paraId="3006E3A0"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E = 0.4</w:t>
            </w:r>
          </w:p>
        </w:tc>
        <w:tc>
          <w:tcPr>
            <w:tcW w:w="1348" w:type="dxa"/>
          </w:tcPr>
          <w:p w14:paraId="135731F1" w14:textId="77777777" w:rsidR="00971473" w:rsidRPr="00D716F4" w:rsidRDefault="00971473" w:rsidP="00971473">
            <w:pPr>
              <w:spacing w:before="0" w:after="0" w:line="240" w:lineRule="auto"/>
              <w:jc w:val="left"/>
              <w:rPr>
                <w:rFonts w:cs="Calibri"/>
                <w:sz w:val="20"/>
                <w:szCs w:val="20"/>
                <w:lang w:val="sr-Latn-ME" w:eastAsia="en-GB"/>
              </w:rPr>
            </w:pPr>
            <w:r w:rsidRPr="00D716F4">
              <w:rPr>
                <w:rFonts w:cs="Calibri"/>
                <w:sz w:val="20"/>
                <w:szCs w:val="20"/>
                <w:lang w:val="sr-Latn-ME" w:eastAsia="en-GB"/>
              </w:rPr>
              <w:t>F</w:t>
            </w:r>
            <w:r w:rsidRPr="00D716F4">
              <w:rPr>
                <w:rFonts w:cs="Calibri"/>
                <w:sz w:val="20"/>
                <w:szCs w:val="20"/>
                <w:vertAlign w:val="subscript"/>
                <w:lang w:val="sr-Latn-ME" w:eastAsia="en-GB"/>
              </w:rPr>
              <w:t>cur</w:t>
            </w:r>
            <w:r w:rsidRPr="00D716F4">
              <w:rPr>
                <w:rFonts w:cs="Calibri"/>
                <w:sz w:val="20"/>
                <w:szCs w:val="20"/>
                <w:lang w:val="sr-Latn-ME" w:eastAsia="en-GB"/>
              </w:rPr>
              <w:t xml:space="preserve"> = 1.529</w:t>
            </w:r>
          </w:p>
          <w:p w14:paraId="1323A29A"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GB"/>
              </w:rPr>
              <w:t>E</w:t>
            </w:r>
            <w:r w:rsidRPr="00D716F4">
              <w:rPr>
                <w:rFonts w:cs="Calibri"/>
                <w:sz w:val="20"/>
                <w:szCs w:val="20"/>
                <w:vertAlign w:val="subscript"/>
                <w:lang w:val="sr-Latn-ME" w:eastAsia="en-GB"/>
              </w:rPr>
              <w:t>2018</w:t>
            </w:r>
            <w:r w:rsidRPr="00D716F4">
              <w:rPr>
                <w:rFonts w:cs="Calibri"/>
                <w:sz w:val="20"/>
                <w:szCs w:val="20"/>
                <w:lang w:val="sr-Latn-ME" w:eastAsia="en-GB"/>
              </w:rPr>
              <w:t xml:space="preserve"> = 0.683</w:t>
            </w:r>
          </w:p>
        </w:tc>
        <w:tc>
          <w:tcPr>
            <w:tcW w:w="1196" w:type="dxa"/>
          </w:tcPr>
          <w:p w14:paraId="59219C53"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Povećava se</w:t>
            </w:r>
          </w:p>
        </w:tc>
        <w:tc>
          <w:tcPr>
            <w:tcW w:w="1575" w:type="dxa"/>
          </w:tcPr>
          <w:p w14:paraId="797706B2" w14:textId="77777777" w:rsidR="00971473" w:rsidRPr="00D716F4" w:rsidRDefault="00971473" w:rsidP="00971473">
            <w:pPr>
              <w:spacing w:before="0" w:after="0" w:line="240" w:lineRule="auto"/>
              <w:jc w:val="left"/>
              <w:rPr>
                <w:rFonts w:cs="Calibri"/>
                <w:sz w:val="20"/>
                <w:szCs w:val="20"/>
                <w:lang w:val="sr-Latn-ME" w:eastAsia="en-US"/>
              </w:rPr>
            </w:pPr>
            <w:r>
              <w:rPr>
                <w:rFonts w:cs="Calibri"/>
                <w:b/>
                <w:bCs/>
                <w:sz w:val="20"/>
                <w:szCs w:val="20"/>
                <w:lang w:val="sr-Latn-ME" w:eastAsia="en-US"/>
              </w:rPr>
              <w:t xml:space="preserve">U stanju visokog prelova </w:t>
            </w:r>
          </w:p>
          <w:p w14:paraId="6648E61B" w14:textId="77777777" w:rsidR="00971473" w:rsidRPr="00D716F4" w:rsidRDefault="00971473" w:rsidP="00971473">
            <w:pPr>
              <w:spacing w:before="0" w:after="0" w:line="240" w:lineRule="auto"/>
              <w:jc w:val="left"/>
              <w:rPr>
                <w:rFonts w:cs="Calibri"/>
                <w:sz w:val="20"/>
                <w:szCs w:val="20"/>
                <w:lang w:val="sr-Latn-ME" w:eastAsia="en-US"/>
              </w:rPr>
            </w:pPr>
          </w:p>
        </w:tc>
        <w:tc>
          <w:tcPr>
            <w:tcW w:w="1272" w:type="dxa"/>
            <w:vMerge w:val="restart"/>
          </w:tcPr>
          <w:p w14:paraId="15B07500" w14:textId="77777777" w:rsidR="00971473" w:rsidRPr="00D716F4" w:rsidRDefault="00971473" w:rsidP="00971473">
            <w:pPr>
              <w:pBdr>
                <w:top w:val="none" w:sz="96" w:space="31" w:color="FFFFFF" w:frame="1"/>
                <w:left w:val="none" w:sz="96" w:space="31" w:color="FFFFFF" w:frame="1"/>
                <w:bottom w:val="none" w:sz="96" w:space="31" w:color="FFFFFF" w:frame="1"/>
                <w:right w:val="none" w:sz="96" w:space="31" w:color="FFFFFF" w:frame="1"/>
                <w:bar w:val="none" w:sz="0" w:color="000000"/>
              </w:pBdr>
              <w:spacing w:before="0" w:after="0" w:line="240" w:lineRule="auto"/>
              <w:jc w:val="left"/>
              <w:rPr>
                <w:rFonts w:cs="Calibri"/>
                <w:bCs/>
                <w:sz w:val="20"/>
                <w:szCs w:val="20"/>
                <w:lang w:val="sr-Latn-ME" w:eastAsia="en-US"/>
              </w:rPr>
            </w:pPr>
            <w:r>
              <w:rPr>
                <w:rFonts w:cs="Calibri"/>
                <w:sz w:val="20"/>
                <w:szCs w:val="20"/>
                <w:lang w:val="sr-Latn-ME" w:eastAsia="en-US"/>
              </w:rPr>
              <w:t xml:space="preserve">U prelovu sa relativno srednjom biomasom </w:t>
            </w:r>
          </w:p>
        </w:tc>
        <w:tc>
          <w:tcPr>
            <w:tcW w:w="1275" w:type="dxa"/>
            <w:vMerge w:val="restart"/>
          </w:tcPr>
          <w:p w14:paraId="2D8536A6" w14:textId="77777777" w:rsidR="00971473" w:rsidRPr="00D716F4" w:rsidRDefault="00971473" w:rsidP="00971473">
            <w:pPr>
              <w:spacing w:before="0" w:after="0" w:line="240" w:lineRule="auto"/>
              <w:jc w:val="left"/>
              <w:rPr>
                <w:rFonts w:cs="Calibri"/>
                <w:b/>
                <w:bCs/>
                <w:sz w:val="20"/>
                <w:szCs w:val="20"/>
                <w:lang w:val="sr-Latn-ME" w:eastAsia="en-US"/>
              </w:rPr>
            </w:pPr>
            <w:r w:rsidRPr="00D716F4">
              <w:rPr>
                <w:rFonts w:cs="Calibri"/>
                <w:b/>
                <w:bCs/>
                <w:sz w:val="20"/>
                <w:szCs w:val="20"/>
                <w:lang w:val="sr-Latn-ME" w:eastAsia="en-US"/>
              </w:rPr>
              <w:t>N</w:t>
            </w:r>
            <w:r>
              <w:rPr>
                <w:rFonts w:cs="Calibri"/>
                <w:b/>
                <w:bCs/>
                <w:sz w:val="20"/>
                <w:szCs w:val="20"/>
                <w:lang w:val="sr-Latn-ME" w:eastAsia="en-US"/>
              </w:rPr>
              <w:t>E</w:t>
            </w:r>
          </w:p>
        </w:tc>
      </w:tr>
      <w:tr w:rsidR="00971473" w:rsidRPr="00D716F4" w14:paraId="7A9C63FF" w14:textId="77777777" w:rsidTr="00115E47">
        <w:trPr>
          <w:trHeight w:val="1162"/>
        </w:trPr>
        <w:tc>
          <w:tcPr>
            <w:tcW w:w="1058" w:type="dxa"/>
          </w:tcPr>
          <w:p w14:paraId="7228D17D"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SSB</w:t>
            </w:r>
          </w:p>
        </w:tc>
        <w:tc>
          <w:tcPr>
            <w:tcW w:w="1343" w:type="dxa"/>
          </w:tcPr>
          <w:p w14:paraId="22F9A7DE" w14:textId="77777777" w:rsidR="00971473" w:rsidRPr="00D716F4" w:rsidRDefault="00971473" w:rsidP="00971473">
            <w:pPr>
              <w:spacing w:before="0" w:after="0" w:line="240" w:lineRule="auto"/>
              <w:jc w:val="left"/>
              <w:rPr>
                <w:rFonts w:cs="Calibri"/>
                <w:sz w:val="20"/>
                <w:szCs w:val="20"/>
                <w:lang w:val="sr-Latn-ME" w:eastAsia="en-GB"/>
              </w:rPr>
            </w:pPr>
            <w:r w:rsidRPr="00D716F4">
              <w:rPr>
                <w:rFonts w:cs="Calibri"/>
                <w:sz w:val="20"/>
                <w:szCs w:val="20"/>
                <w:lang w:val="sr-Latn-ME" w:eastAsia="en-GB"/>
              </w:rPr>
              <w:t>B</w:t>
            </w:r>
            <w:r w:rsidRPr="00D716F4">
              <w:rPr>
                <w:rFonts w:cs="Calibri"/>
                <w:sz w:val="20"/>
                <w:szCs w:val="20"/>
                <w:vertAlign w:val="subscript"/>
                <w:lang w:val="sr-Latn-ME" w:eastAsia="en-GB"/>
              </w:rPr>
              <w:t>lim</w:t>
            </w:r>
            <w:r w:rsidRPr="00D716F4">
              <w:rPr>
                <w:rFonts w:cs="Calibri"/>
                <w:sz w:val="20"/>
                <w:szCs w:val="20"/>
                <w:lang w:val="sr-Latn-ME" w:eastAsia="en-GB"/>
              </w:rPr>
              <w:t>=125,318</w:t>
            </w:r>
          </w:p>
          <w:p w14:paraId="5EA9A213"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GB"/>
              </w:rPr>
              <w:t>B</w:t>
            </w:r>
            <w:r w:rsidRPr="00D716F4">
              <w:rPr>
                <w:rFonts w:cs="Calibri"/>
                <w:sz w:val="20"/>
                <w:szCs w:val="20"/>
                <w:vertAlign w:val="subscript"/>
                <w:lang w:val="sr-Latn-ME" w:eastAsia="en-GB"/>
              </w:rPr>
              <w:t>pa</w:t>
            </w:r>
            <w:r w:rsidRPr="00D716F4">
              <w:rPr>
                <w:rFonts w:cs="Calibri"/>
                <w:sz w:val="20"/>
                <w:szCs w:val="20"/>
                <w:lang w:val="sr-Latn-ME" w:eastAsia="en-GB"/>
              </w:rPr>
              <w:t>=250,636</w:t>
            </w:r>
          </w:p>
        </w:tc>
        <w:tc>
          <w:tcPr>
            <w:tcW w:w="1348" w:type="dxa"/>
          </w:tcPr>
          <w:p w14:paraId="2CBB961C"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GB"/>
              </w:rPr>
              <w:t>B</w:t>
            </w:r>
            <w:r w:rsidRPr="00D716F4">
              <w:rPr>
                <w:rFonts w:cs="Calibri"/>
                <w:sz w:val="20"/>
                <w:szCs w:val="20"/>
                <w:vertAlign w:val="subscript"/>
                <w:lang w:val="sr-Latn-ME" w:eastAsia="en-GB"/>
              </w:rPr>
              <w:t>cur</w:t>
            </w:r>
            <w:r w:rsidRPr="00D716F4">
              <w:rPr>
                <w:rFonts w:cs="Calibri"/>
                <w:sz w:val="20"/>
                <w:szCs w:val="20"/>
                <w:lang w:val="sr-Latn-ME" w:eastAsia="en-GB"/>
              </w:rPr>
              <w:t>=</w:t>
            </w:r>
            <w:r w:rsidRPr="00D716F4">
              <w:rPr>
                <w:rFonts w:cs="Calibri"/>
                <w:sz w:val="20"/>
                <w:szCs w:val="20"/>
                <w:lang w:val="sr-Latn-ME" w:eastAsia="en-US"/>
              </w:rPr>
              <w:t>157,251</w:t>
            </w:r>
          </w:p>
          <w:p w14:paraId="337A7688" w14:textId="77777777" w:rsidR="00971473" w:rsidRPr="00D716F4" w:rsidRDefault="00971473" w:rsidP="00971473">
            <w:pPr>
              <w:spacing w:before="0" w:after="0" w:line="240" w:lineRule="auto"/>
              <w:jc w:val="left"/>
              <w:rPr>
                <w:rFonts w:cs="Calibri"/>
                <w:sz w:val="20"/>
                <w:szCs w:val="20"/>
                <w:lang w:val="sr-Latn-ME" w:eastAsia="en-US"/>
              </w:rPr>
            </w:pPr>
          </w:p>
        </w:tc>
        <w:tc>
          <w:tcPr>
            <w:tcW w:w="1196" w:type="dxa"/>
          </w:tcPr>
          <w:p w14:paraId="7C220862" w14:textId="3F4D297C" w:rsidR="00842661"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Opada</w:t>
            </w:r>
          </w:p>
          <w:p w14:paraId="0E3D4607" w14:textId="6CDC4185" w:rsidR="00971473" w:rsidRPr="00842661" w:rsidRDefault="00971473" w:rsidP="00842661">
            <w:pPr>
              <w:rPr>
                <w:rFonts w:cs="Calibri"/>
                <w:sz w:val="20"/>
                <w:szCs w:val="20"/>
                <w:lang w:val="sr-Latn-ME" w:eastAsia="en-US"/>
              </w:rPr>
            </w:pPr>
          </w:p>
        </w:tc>
        <w:tc>
          <w:tcPr>
            <w:tcW w:w="1575" w:type="dxa"/>
          </w:tcPr>
          <w:p w14:paraId="40A894A8" w14:textId="77777777" w:rsidR="00971473" w:rsidRPr="00D716F4" w:rsidRDefault="00971473" w:rsidP="00971473">
            <w:pPr>
              <w:spacing w:before="0" w:after="0" w:line="240" w:lineRule="auto"/>
              <w:jc w:val="left"/>
              <w:rPr>
                <w:rFonts w:cs="Calibri"/>
                <w:sz w:val="20"/>
                <w:szCs w:val="20"/>
                <w:lang w:val="sr-Latn-ME" w:eastAsia="en-US"/>
              </w:rPr>
            </w:pPr>
            <w:r>
              <w:rPr>
                <w:rFonts w:cs="Calibri"/>
                <w:b/>
                <w:bCs/>
                <w:sz w:val="20"/>
                <w:szCs w:val="20"/>
                <w:lang w:val="sr-Latn-ME" w:eastAsia="en-US"/>
              </w:rPr>
              <w:t>Relativno srednja biomasa</w:t>
            </w:r>
          </w:p>
        </w:tc>
        <w:tc>
          <w:tcPr>
            <w:tcW w:w="1272" w:type="dxa"/>
            <w:vMerge/>
          </w:tcPr>
          <w:p w14:paraId="1E5BD104" w14:textId="77777777" w:rsidR="00971473" w:rsidRPr="00D716F4" w:rsidRDefault="00971473" w:rsidP="00971473">
            <w:pPr>
              <w:spacing w:before="0" w:after="0" w:line="240" w:lineRule="auto"/>
              <w:jc w:val="left"/>
              <w:rPr>
                <w:rFonts w:cs="Calibri"/>
                <w:b/>
                <w:bCs/>
                <w:sz w:val="20"/>
                <w:szCs w:val="20"/>
                <w:lang w:val="sr-Latn-ME" w:eastAsia="en-US"/>
              </w:rPr>
            </w:pPr>
          </w:p>
        </w:tc>
        <w:tc>
          <w:tcPr>
            <w:tcW w:w="1275" w:type="dxa"/>
            <w:vMerge/>
          </w:tcPr>
          <w:p w14:paraId="436E5414" w14:textId="77777777" w:rsidR="00971473" w:rsidRPr="00D716F4" w:rsidRDefault="00971473" w:rsidP="00971473">
            <w:pPr>
              <w:spacing w:before="0" w:after="0" w:line="240" w:lineRule="auto"/>
              <w:jc w:val="left"/>
              <w:rPr>
                <w:rFonts w:cs="Calibri"/>
                <w:color w:val="0000FF"/>
                <w:sz w:val="20"/>
                <w:szCs w:val="20"/>
                <w:lang w:val="sr-Latn-ME" w:eastAsia="en-US"/>
              </w:rPr>
            </w:pPr>
          </w:p>
        </w:tc>
      </w:tr>
      <w:tr w:rsidR="00971473" w:rsidRPr="00D716F4" w14:paraId="2AC9A42A" w14:textId="77777777" w:rsidTr="00115E47">
        <w:trPr>
          <w:trHeight w:val="333"/>
        </w:trPr>
        <w:tc>
          <w:tcPr>
            <w:tcW w:w="9067" w:type="dxa"/>
            <w:gridSpan w:val="7"/>
            <w:shd w:val="clear" w:color="auto" w:fill="1F497D" w:themeFill="text2"/>
          </w:tcPr>
          <w:p w14:paraId="5CB51A95" w14:textId="77777777" w:rsidR="00971473" w:rsidRPr="00D716F4" w:rsidRDefault="00971473" w:rsidP="00971473">
            <w:pPr>
              <w:spacing w:before="0" w:after="0" w:line="240" w:lineRule="auto"/>
              <w:jc w:val="left"/>
              <w:rPr>
                <w:rFonts w:cs="Calibri"/>
                <w:color w:val="0000FF"/>
                <w:sz w:val="20"/>
                <w:szCs w:val="20"/>
                <w:lang w:val="sr-Latn-ME" w:eastAsia="en-US"/>
              </w:rPr>
            </w:pPr>
            <w:r w:rsidRPr="00D716F4">
              <w:rPr>
                <w:rFonts w:cs="Calibri"/>
                <w:b/>
                <w:bCs/>
                <w:i/>
                <w:iCs/>
                <w:color w:val="FFFFFF" w:themeColor="background1"/>
                <w:sz w:val="20"/>
                <w:szCs w:val="20"/>
                <w:lang w:val="sr-Latn-ME" w:eastAsia="en-US"/>
              </w:rPr>
              <w:t>Engraulis encrasicolus</w:t>
            </w:r>
          </w:p>
        </w:tc>
      </w:tr>
      <w:tr w:rsidR="00971473" w:rsidRPr="00D716F4" w14:paraId="6739C715" w14:textId="77777777" w:rsidTr="00115E47">
        <w:trPr>
          <w:trHeight w:val="426"/>
        </w:trPr>
        <w:tc>
          <w:tcPr>
            <w:tcW w:w="1058" w:type="dxa"/>
          </w:tcPr>
          <w:p w14:paraId="14ABB787"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Ribolovna smrtnost</w:t>
            </w:r>
          </w:p>
        </w:tc>
        <w:tc>
          <w:tcPr>
            <w:tcW w:w="1343" w:type="dxa"/>
          </w:tcPr>
          <w:p w14:paraId="1AAC6879" w14:textId="77777777" w:rsidR="00971473" w:rsidRPr="00D716F4" w:rsidRDefault="00971473" w:rsidP="00971473">
            <w:pPr>
              <w:spacing w:before="0" w:after="0" w:line="240" w:lineRule="auto"/>
              <w:jc w:val="left"/>
              <w:rPr>
                <w:rFonts w:cs="Calibri"/>
                <w:sz w:val="20"/>
                <w:szCs w:val="20"/>
                <w:lang w:val="sr-Latn-ME" w:eastAsia="en-GB"/>
              </w:rPr>
            </w:pPr>
            <w:r w:rsidRPr="00D716F4">
              <w:rPr>
                <w:rFonts w:cs="Calibri"/>
                <w:sz w:val="20"/>
                <w:szCs w:val="20"/>
                <w:lang w:val="sr-Latn-ME" w:eastAsia="en-US"/>
              </w:rPr>
              <w:t>E = 0.4</w:t>
            </w:r>
          </w:p>
        </w:tc>
        <w:tc>
          <w:tcPr>
            <w:tcW w:w="1348" w:type="dxa"/>
          </w:tcPr>
          <w:p w14:paraId="6330A6CC"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F</w:t>
            </w:r>
            <w:r w:rsidRPr="00D716F4">
              <w:rPr>
                <w:rFonts w:cs="Calibri"/>
                <w:sz w:val="20"/>
                <w:szCs w:val="20"/>
                <w:vertAlign w:val="subscript"/>
                <w:lang w:val="sr-Latn-ME" w:eastAsia="en-US"/>
              </w:rPr>
              <w:t>cur</w:t>
            </w:r>
            <w:r w:rsidRPr="00D716F4">
              <w:rPr>
                <w:rFonts w:cs="Calibri"/>
                <w:sz w:val="20"/>
                <w:szCs w:val="20"/>
                <w:lang w:val="sr-Latn-ME" w:eastAsia="en-US"/>
              </w:rPr>
              <w:t xml:space="preserve"> = 1.075</w:t>
            </w:r>
          </w:p>
          <w:p w14:paraId="5C7BCCD4" w14:textId="77777777" w:rsidR="00971473" w:rsidRPr="00D716F4" w:rsidRDefault="00971473" w:rsidP="00971473">
            <w:pPr>
              <w:spacing w:before="0" w:after="0" w:line="240" w:lineRule="auto"/>
              <w:jc w:val="left"/>
              <w:rPr>
                <w:rFonts w:cs="Calibri"/>
                <w:sz w:val="20"/>
                <w:szCs w:val="20"/>
                <w:lang w:val="sr-Latn-ME" w:eastAsia="en-GB"/>
              </w:rPr>
            </w:pPr>
            <w:r w:rsidRPr="00D716F4">
              <w:rPr>
                <w:rFonts w:cs="Calibri"/>
                <w:sz w:val="20"/>
                <w:szCs w:val="20"/>
                <w:lang w:val="sr-Latn-ME" w:eastAsia="en-US"/>
              </w:rPr>
              <w:t>E</w:t>
            </w:r>
            <w:r w:rsidRPr="00D716F4">
              <w:rPr>
                <w:rFonts w:cs="Calibri"/>
                <w:sz w:val="20"/>
                <w:szCs w:val="20"/>
                <w:vertAlign w:val="subscript"/>
                <w:lang w:val="sr-Latn-ME" w:eastAsia="en-US"/>
              </w:rPr>
              <w:t>2018</w:t>
            </w:r>
            <w:r w:rsidRPr="00D716F4">
              <w:rPr>
                <w:rFonts w:cs="Calibri"/>
                <w:sz w:val="20"/>
                <w:szCs w:val="20"/>
                <w:lang w:val="sr-Latn-ME" w:eastAsia="en-US"/>
              </w:rPr>
              <w:t xml:space="preserve"> = 0.530</w:t>
            </w:r>
          </w:p>
        </w:tc>
        <w:tc>
          <w:tcPr>
            <w:tcW w:w="1196" w:type="dxa"/>
          </w:tcPr>
          <w:p w14:paraId="146DD05D"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Povećava se</w:t>
            </w:r>
          </w:p>
        </w:tc>
        <w:tc>
          <w:tcPr>
            <w:tcW w:w="1575" w:type="dxa"/>
          </w:tcPr>
          <w:p w14:paraId="53DF301D" w14:textId="77777777" w:rsidR="00971473" w:rsidRPr="00D716F4" w:rsidRDefault="00971473" w:rsidP="00971473">
            <w:pPr>
              <w:spacing w:before="0" w:after="0" w:line="240" w:lineRule="auto"/>
              <w:jc w:val="left"/>
              <w:rPr>
                <w:rFonts w:cs="Calibri"/>
                <w:sz w:val="20"/>
                <w:szCs w:val="20"/>
                <w:lang w:val="sr-Latn-ME" w:eastAsia="en-US"/>
              </w:rPr>
            </w:pPr>
            <w:r>
              <w:rPr>
                <w:rFonts w:cs="Calibri"/>
                <w:b/>
                <w:bCs/>
                <w:sz w:val="20"/>
                <w:szCs w:val="20"/>
                <w:lang w:val="sr-Latn-ME" w:eastAsia="en-US"/>
              </w:rPr>
              <w:t xml:space="preserve">U stanju visokog prelova </w:t>
            </w:r>
          </w:p>
          <w:p w14:paraId="3445A872" w14:textId="77777777" w:rsidR="00971473" w:rsidRPr="00D716F4" w:rsidRDefault="00971473" w:rsidP="00971473">
            <w:pPr>
              <w:spacing w:before="0" w:after="0" w:line="240" w:lineRule="auto"/>
              <w:jc w:val="left"/>
              <w:rPr>
                <w:rFonts w:cs="Calibri"/>
                <w:b/>
                <w:bCs/>
                <w:sz w:val="20"/>
                <w:szCs w:val="20"/>
                <w:lang w:val="sr-Latn-ME" w:eastAsia="en-US"/>
              </w:rPr>
            </w:pPr>
          </w:p>
        </w:tc>
        <w:tc>
          <w:tcPr>
            <w:tcW w:w="1272" w:type="dxa"/>
            <w:vMerge w:val="restart"/>
          </w:tcPr>
          <w:p w14:paraId="6F5BE412" w14:textId="77777777" w:rsidR="00971473" w:rsidRPr="00D716F4" w:rsidRDefault="00971473" w:rsidP="00971473">
            <w:pPr>
              <w:spacing w:before="0" w:after="0" w:line="240" w:lineRule="auto"/>
              <w:jc w:val="left"/>
              <w:rPr>
                <w:rFonts w:cs="Calibri"/>
                <w:b/>
                <w:bCs/>
                <w:sz w:val="20"/>
                <w:szCs w:val="20"/>
                <w:lang w:val="sr-Latn-ME" w:eastAsia="en-US"/>
              </w:rPr>
            </w:pPr>
          </w:p>
          <w:p w14:paraId="33496B65" w14:textId="77777777" w:rsidR="00971473" w:rsidRPr="00D716F4" w:rsidRDefault="00971473" w:rsidP="00971473">
            <w:pPr>
              <w:spacing w:before="0" w:after="0" w:line="240" w:lineRule="auto"/>
              <w:jc w:val="left"/>
              <w:rPr>
                <w:rFonts w:cs="Calibri"/>
                <w:bCs/>
                <w:sz w:val="20"/>
                <w:szCs w:val="20"/>
                <w:lang w:val="sr-Latn-ME" w:eastAsia="en-US"/>
              </w:rPr>
            </w:pPr>
          </w:p>
          <w:p w14:paraId="22A9C80D" w14:textId="77777777" w:rsidR="00971473" w:rsidRPr="00D716F4" w:rsidRDefault="00971473" w:rsidP="00971473">
            <w:pPr>
              <w:spacing w:before="0" w:after="0" w:line="240" w:lineRule="auto"/>
              <w:jc w:val="left"/>
              <w:rPr>
                <w:rFonts w:cs="Calibri"/>
                <w:bCs/>
                <w:sz w:val="20"/>
                <w:szCs w:val="20"/>
                <w:lang w:val="sr-Latn-ME" w:eastAsia="en-US"/>
              </w:rPr>
            </w:pPr>
            <w:r>
              <w:rPr>
                <w:rFonts w:cs="Calibri"/>
                <w:bCs/>
                <w:sz w:val="20"/>
                <w:szCs w:val="20"/>
                <w:lang w:val="sr-Latn-ME" w:eastAsia="en-US"/>
              </w:rPr>
              <w:t>U prelovu sa relativno visokom biomasom</w:t>
            </w:r>
          </w:p>
        </w:tc>
        <w:tc>
          <w:tcPr>
            <w:tcW w:w="1275" w:type="dxa"/>
            <w:vMerge w:val="restart"/>
          </w:tcPr>
          <w:p w14:paraId="666C63B3" w14:textId="77777777" w:rsidR="00971473" w:rsidRPr="00D716F4" w:rsidRDefault="00971473" w:rsidP="00971473">
            <w:pPr>
              <w:spacing w:before="0" w:after="0" w:line="240" w:lineRule="auto"/>
              <w:jc w:val="left"/>
              <w:rPr>
                <w:rFonts w:cs="Calibri"/>
                <w:b/>
                <w:color w:val="0000FF"/>
                <w:sz w:val="20"/>
                <w:szCs w:val="20"/>
                <w:lang w:val="sr-Latn-ME" w:eastAsia="en-US"/>
              </w:rPr>
            </w:pPr>
            <w:r>
              <w:rPr>
                <w:rFonts w:cs="Calibri"/>
                <w:b/>
                <w:sz w:val="20"/>
                <w:szCs w:val="20"/>
                <w:lang w:val="sr-Latn-ME" w:eastAsia="en-US"/>
              </w:rPr>
              <w:t>NE</w:t>
            </w:r>
          </w:p>
        </w:tc>
      </w:tr>
      <w:tr w:rsidR="00971473" w:rsidRPr="00D716F4" w14:paraId="1A02388C" w14:textId="77777777" w:rsidTr="00115E47">
        <w:trPr>
          <w:trHeight w:val="426"/>
        </w:trPr>
        <w:tc>
          <w:tcPr>
            <w:tcW w:w="1058" w:type="dxa"/>
          </w:tcPr>
          <w:p w14:paraId="2E97508A"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SSB</w:t>
            </w:r>
          </w:p>
        </w:tc>
        <w:tc>
          <w:tcPr>
            <w:tcW w:w="1343" w:type="dxa"/>
          </w:tcPr>
          <w:p w14:paraId="7DF984C9" w14:textId="77777777" w:rsidR="00971473" w:rsidRPr="00D716F4" w:rsidRDefault="00971473" w:rsidP="00971473">
            <w:pPr>
              <w:spacing w:before="0" w:after="0" w:line="240" w:lineRule="auto"/>
              <w:jc w:val="left"/>
              <w:rPr>
                <w:rFonts w:cs="Calibri"/>
                <w:sz w:val="20"/>
                <w:szCs w:val="20"/>
                <w:lang w:val="sr-Latn-ME" w:eastAsia="en-US"/>
              </w:rPr>
            </w:pPr>
            <w:r w:rsidRPr="00D716F4">
              <w:rPr>
                <w:rFonts w:cs="Calibri"/>
                <w:sz w:val="20"/>
                <w:szCs w:val="20"/>
                <w:lang w:val="sr-Latn-ME" w:eastAsia="en-US"/>
              </w:rPr>
              <w:t>B</w:t>
            </w:r>
            <w:r w:rsidRPr="00D716F4">
              <w:rPr>
                <w:rFonts w:cs="Calibri"/>
                <w:sz w:val="20"/>
                <w:szCs w:val="20"/>
                <w:vertAlign w:val="subscript"/>
                <w:lang w:val="sr-Latn-ME" w:eastAsia="en-US"/>
              </w:rPr>
              <w:t>lim</w:t>
            </w:r>
            <w:r w:rsidRPr="00D716F4">
              <w:rPr>
                <w:rFonts w:cs="Calibri"/>
                <w:sz w:val="20"/>
                <w:szCs w:val="20"/>
                <w:lang w:val="sr-Latn-ME" w:eastAsia="en-US"/>
              </w:rPr>
              <w:t>=45,936</w:t>
            </w:r>
          </w:p>
          <w:p w14:paraId="68681E3C" w14:textId="77777777" w:rsidR="00971473" w:rsidRPr="00D716F4" w:rsidRDefault="00971473" w:rsidP="00971473">
            <w:pPr>
              <w:spacing w:before="0" w:after="0" w:line="240" w:lineRule="auto"/>
              <w:jc w:val="left"/>
              <w:rPr>
                <w:rFonts w:cs="Calibri"/>
                <w:sz w:val="20"/>
                <w:szCs w:val="20"/>
                <w:lang w:val="sr-Latn-ME" w:eastAsia="en-GB"/>
              </w:rPr>
            </w:pPr>
            <w:r w:rsidRPr="00D716F4">
              <w:rPr>
                <w:rFonts w:cs="Calibri"/>
                <w:sz w:val="20"/>
                <w:szCs w:val="20"/>
                <w:lang w:val="sr-Latn-ME" w:eastAsia="en-US"/>
              </w:rPr>
              <w:t>B</w:t>
            </w:r>
            <w:r w:rsidRPr="00D716F4">
              <w:rPr>
                <w:rFonts w:cs="Calibri"/>
                <w:sz w:val="20"/>
                <w:szCs w:val="20"/>
                <w:vertAlign w:val="subscript"/>
                <w:lang w:val="sr-Latn-ME" w:eastAsia="en-US"/>
              </w:rPr>
              <w:t>pa</w:t>
            </w:r>
            <w:r w:rsidRPr="00D716F4">
              <w:rPr>
                <w:rFonts w:cs="Calibri"/>
                <w:sz w:val="20"/>
                <w:szCs w:val="20"/>
                <w:lang w:val="sr-Latn-ME" w:eastAsia="en-US"/>
              </w:rPr>
              <w:t>=91,872</w:t>
            </w:r>
          </w:p>
        </w:tc>
        <w:tc>
          <w:tcPr>
            <w:tcW w:w="1348" w:type="dxa"/>
          </w:tcPr>
          <w:p w14:paraId="7D5CD084" w14:textId="77777777" w:rsidR="00971473" w:rsidRPr="00D716F4" w:rsidRDefault="00971473" w:rsidP="00971473">
            <w:pPr>
              <w:spacing w:before="0" w:after="0" w:line="240" w:lineRule="auto"/>
              <w:jc w:val="left"/>
              <w:rPr>
                <w:rFonts w:cs="Calibri"/>
                <w:sz w:val="20"/>
                <w:szCs w:val="20"/>
                <w:lang w:val="sr-Latn-ME" w:eastAsia="en-GB"/>
              </w:rPr>
            </w:pPr>
            <w:r w:rsidRPr="00D716F4">
              <w:rPr>
                <w:rFonts w:cs="Calibri"/>
                <w:sz w:val="20"/>
                <w:szCs w:val="20"/>
                <w:lang w:val="sr-Latn-ME" w:eastAsia="en-US"/>
              </w:rPr>
              <w:t>B</w:t>
            </w:r>
            <w:r w:rsidRPr="00D716F4">
              <w:rPr>
                <w:rFonts w:cs="Calibri"/>
                <w:sz w:val="20"/>
                <w:szCs w:val="20"/>
                <w:vertAlign w:val="subscript"/>
                <w:lang w:val="sr-Latn-ME" w:eastAsia="en-US"/>
              </w:rPr>
              <w:t>cur</w:t>
            </w:r>
            <w:r w:rsidRPr="00D716F4">
              <w:rPr>
                <w:rFonts w:cs="Calibri"/>
                <w:sz w:val="20"/>
                <w:szCs w:val="20"/>
                <w:lang w:val="sr-Latn-ME" w:eastAsia="en-US"/>
              </w:rPr>
              <w:t>= 113,353</w:t>
            </w:r>
          </w:p>
        </w:tc>
        <w:tc>
          <w:tcPr>
            <w:tcW w:w="1196" w:type="dxa"/>
          </w:tcPr>
          <w:p w14:paraId="6CB8474B" w14:textId="77777777" w:rsidR="00971473" w:rsidRPr="00D716F4" w:rsidRDefault="00971473" w:rsidP="00971473">
            <w:pPr>
              <w:spacing w:before="0" w:after="0" w:line="240" w:lineRule="auto"/>
              <w:jc w:val="left"/>
              <w:rPr>
                <w:rFonts w:cs="Calibri"/>
                <w:sz w:val="20"/>
                <w:szCs w:val="20"/>
                <w:lang w:val="sr-Latn-ME" w:eastAsia="en-US"/>
              </w:rPr>
            </w:pPr>
            <w:r>
              <w:rPr>
                <w:rFonts w:cs="Calibri"/>
                <w:sz w:val="20"/>
                <w:szCs w:val="20"/>
                <w:lang w:val="sr-Latn-ME" w:eastAsia="en-US"/>
              </w:rPr>
              <w:t>Opada</w:t>
            </w:r>
          </w:p>
        </w:tc>
        <w:tc>
          <w:tcPr>
            <w:tcW w:w="1575" w:type="dxa"/>
          </w:tcPr>
          <w:p w14:paraId="74940573" w14:textId="77777777" w:rsidR="00971473" w:rsidRDefault="00971473" w:rsidP="00971473">
            <w:pPr>
              <w:spacing w:before="0" w:after="0" w:line="240" w:lineRule="auto"/>
              <w:jc w:val="left"/>
              <w:rPr>
                <w:rFonts w:cs="Calibri"/>
                <w:b/>
                <w:bCs/>
                <w:sz w:val="20"/>
                <w:szCs w:val="20"/>
                <w:lang w:val="sr-Latn-ME" w:eastAsia="en-US"/>
              </w:rPr>
            </w:pPr>
            <w:r>
              <w:rPr>
                <w:rFonts w:cs="Calibri"/>
                <w:b/>
                <w:bCs/>
                <w:sz w:val="20"/>
                <w:szCs w:val="20"/>
                <w:lang w:val="sr-Latn-ME" w:eastAsia="en-US"/>
              </w:rPr>
              <w:t>Održivo ekslopatisanje</w:t>
            </w:r>
          </w:p>
          <w:p w14:paraId="6DA1FAB2" w14:textId="77777777" w:rsidR="00971473" w:rsidRPr="00D716F4" w:rsidRDefault="00971473" w:rsidP="00971473">
            <w:pPr>
              <w:spacing w:before="0" w:after="0" w:line="240" w:lineRule="auto"/>
              <w:jc w:val="left"/>
              <w:rPr>
                <w:rFonts w:cs="Calibri"/>
                <w:b/>
                <w:bCs/>
                <w:sz w:val="20"/>
                <w:szCs w:val="20"/>
                <w:lang w:val="sr-Latn-ME" w:eastAsia="en-US"/>
              </w:rPr>
            </w:pPr>
            <w:r>
              <w:rPr>
                <w:rFonts w:cs="Calibri"/>
                <w:b/>
                <w:bCs/>
                <w:sz w:val="20"/>
                <w:szCs w:val="20"/>
                <w:lang w:val="sr-Latn-ME" w:eastAsia="en-US"/>
              </w:rPr>
              <w:t xml:space="preserve">Relativno visoka biomasa </w:t>
            </w:r>
          </w:p>
          <w:p w14:paraId="7A1B6A7C" w14:textId="77777777" w:rsidR="00971473" w:rsidRPr="00D716F4" w:rsidRDefault="00971473" w:rsidP="00971473">
            <w:pPr>
              <w:spacing w:before="0" w:after="0" w:line="240" w:lineRule="auto"/>
              <w:jc w:val="left"/>
              <w:rPr>
                <w:rFonts w:cs="Calibri"/>
                <w:b/>
                <w:bCs/>
                <w:sz w:val="20"/>
                <w:szCs w:val="20"/>
                <w:lang w:val="sr-Latn-ME" w:eastAsia="en-US"/>
              </w:rPr>
            </w:pPr>
          </w:p>
        </w:tc>
        <w:tc>
          <w:tcPr>
            <w:tcW w:w="1272" w:type="dxa"/>
            <w:vMerge/>
          </w:tcPr>
          <w:p w14:paraId="08D0FF93" w14:textId="77777777" w:rsidR="00971473" w:rsidRPr="00D716F4" w:rsidRDefault="00971473" w:rsidP="00971473">
            <w:pPr>
              <w:spacing w:before="0" w:after="0" w:line="240" w:lineRule="auto"/>
              <w:jc w:val="left"/>
              <w:rPr>
                <w:rFonts w:cs="Calibri"/>
                <w:b/>
                <w:bCs/>
                <w:sz w:val="20"/>
                <w:szCs w:val="20"/>
                <w:lang w:val="sr-Latn-ME" w:eastAsia="en-US"/>
              </w:rPr>
            </w:pPr>
          </w:p>
        </w:tc>
        <w:tc>
          <w:tcPr>
            <w:tcW w:w="1275" w:type="dxa"/>
            <w:vMerge/>
          </w:tcPr>
          <w:p w14:paraId="54E96CDD" w14:textId="77777777" w:rsidR="00971473" w:rsidRPr="00D716F4" w:rsidRDefault="00971473" w:rsidP="00971473">
            <w:pPr>
              <w:spacing w:before="0" w:after="0" w:line="240" w:lineRule="auto"/>
              <w:jc w:val="left"/>
              <w:rPr>
                <w:rFonts w:cs="Calibri"/>
                <w:color w:val="0000FF"/>
                <w:sz w:val="20"/>
                <w:szCs w:val="20"/>
                <w:lang w:val="sr-Latn-ME" w:eastAsia="en-US"/>
              </w:rPr>
            </w:pPr>
          </w:p>
        </w:tc>
      </w:tr>
    </w:tbl>
    <w:p w14:paraId="624019AA" w14:textId="77777777" w:rsidR="00971473" w:rsidRPr="00D716F4" w:rsidRDefault="00971473" w:rsidP="00971473">
      <w:pPr>
        <w:spacing w:before="0" w:after="0" w:line="240" w:lineRule="auto"/>
        <w:rPr>
          <w:rFonts w:eastAsia="Calibri" w:cs="Calibri"/>
          <w:sz w:val="20"/>
          <w:szCs w:val="20"/>
          <w:lang w:val="sr-Latn-ME" w:eastAsia="en-US"/>
        </w:rPr>
      </w:pPr>
    </w:p>
    <w:bookmarkEnd w:id="110"/>
    <w:p w14:paraId="5025818C" w14:textId="77777777" w:rsidR="00971473" w:rsidRDefault="00971473" w:rsidP="00971473">
      <w:pPr>
        <w:spacing w:before="0" w:after="0"/>
        <w:rPr>
          <w:rFonts w:eastAsia="Calibri" w:cs="Calibri"/>
          <w:szCs w:val="22"/>
          <w:lang w:val="sr-Latn-ME" w:eastAsia="en-US"/>
        </w:rPr>
      </w:pPr>
      <w:r w:rsidRPr="00C83C2E">
        <w:rPr>
          <w:rFonts w:eastAsia="Calibri" w:cs="Calibri"/>
          <w:szCs w:val="22"/>
          <w:lang w:val="sr-Latn-ME" w:eastAsia="en-US"/>
        </w:rPr>
        <w:t>Proc</w:t>
      </w:r>
      <w:r>
        <w:rPr>
          <w:rFonts w:eastAsia="Calibri" w:cs="Calibri"/>
          <w:szCs w:val="22"/>
          <w:lang w:val="sr-Latn-ME" w:eastAsia="en-US"/>
        </w:rPr>
        <w:t>jena stokova</w:t>
      </w:r>
      <w:r w:rsidRPr="00C83C2E">
        <w:rPr>
          <w:rFonts w:eastAsia="Calibri" w:cs="Calibri"/>
          <w:szCs w:val="22"/>
          <w:lang w:val="sr-Latn-ME" w:eastAsia="en-US"/>
        </w:rPr>
        <w:t xml:space="preserve"> na nivou čitavog Jadranskog mora (GSA 17 + 18) pokazuj</w:t>
      </w:r>
      <w:r>
        <w:rPr>
          <w:rFonts w:eastAsia="Calibri" w:cs="Calibri"/>
          <w:szCs w:val="22"/>
          <w:lang w:val="sr-Latn-ME" w:eastAsia="en-US"/>
        </w:rPr>
        <w:t>e da za srdelu</w:t>
      </w:r>
      <w:r w:rsidRPr="00C83C2E">
        <w:rPr>
          <w:rFonts w:eastAsia="Calibri" w:cs="Calibri"/>
          <w:szCs w:val="22"/>
          <w:lang w:val="sr-Latn-ME" w:eastAsia="en-US"/>
        </w:rPr>
        <w:t xml:space="preserve"> nije postignut GES, a inćuni su na gornjoj granici GES-a. Međutim, postoji snažna neravnoteža u ribolovnom naporu usmjerenom na resurse malih pelagičnih vrsta u Jadranu. Italijanska i hrvatska ribarska flota dominiraju na Jadranu, što rezultira određenim m</w:t>
      </w:r>
      <w:r>
        <w:rPr>
          <w:rFonts w:eastAsia="Calibri" w:cs="Calibri"/>
          <w:szCs w:val="22"/>
          <w:lang w:val="sr-Latn-ME" w:eastAsia="en-US"/>
        </w:rPr>
        <w:t>j</w:t>
      </w:r>
      <w:r w:rsidRPr="00C83C2E">
        <w:rPr>
          <w:rFonts w:eastAsia="Calibri" w:cs="Calibri"/>
          <w:szCs w:val="22"/>
          <w:lang w:val="sr-Latn-ME" w:eastAsia="en-US"/>
        </w:rPr>
        <w:t>erama upravljanja usmjerenim samo na ove flote (Preporuka GFCM / 42/2018/8 2019-2021). Crnogorska ribarska flota, s druge strane, i</w:t>
      </w:r>
      <w:r>
        <w:rPr>
          <w:rFonts w:eastAsia="Calibri" w:cs="Calibri"/>
          <w:szCs w:val="22"/>
          <w:lang w:val="sr-Latn-ME" w:eastAsia="en-US"/>
        </w:rPr>
        <w:t>skorištava vrlo mali dio stokova srdele</w:t>
      </w:r>
      <w:r w:rsidRPr="00C83C2E">
        <w:rPr>
          <w:rFonts w:eastAsia="Calibri" w:cs="Calibri"/>
          <w:szCs w:val="22"/>
          <w:lang w:val="sr-Latn-ME" w:eastAsia="en-US"/>
        </w:rPr>
        <w:t xml:space="preserve"> i inćuna, što je razlog zbog kojeg je Crna Gora izuzeta od mjera upravljanja malim pelagičnim vrstama na Jadranu. Biološki podaci prikupljeni za dv</w:t>
      </w:r>
      <w:r>
        <w:rPr>
          <w:rFonts w:eastAsia="Calibri" w:cs="Calibri"/>
          <w:szCs w:val="22"/>
          <w:lang w:val="sr-Latn-ME" w:eastAsia="en-US"/>
        </w:rPr>
        <w:t>ij</w:t>
      </w:r>
      <w:r w:rsidRPr="00C83C2E">
        <w:rPr>
          <w:rFonts w:eastAsia="Calibri" w:cs="Calibri"/>
          <w:szCs w:val="22"/>
          <w:lang w:val="sr-Latn-ME" w:eastAsia="en-US"/>
        </w:rPr>
        <w:t>e vrste kroz programe prikupljanja podataka analizirani su</w:t>
      </w:r>
      <w:r>
        <w:rPr>
          <w:rFonts w:eastAsia="Calibri" w:cs="Calibri"/>
          <w:szCs w:val="22"/>
          <w:lang w:val="sr-Latn-ME" w:eastAsia="en-US"/>
        </w:rPr>
        <w:t xml:space="preserve"> kroz veličinu i starosnu strukturu, ciklus mrijesta i dužinu dostizanja prve </w:t>
      </w:r>
      <w:r w:rsidRPr="00C83C2E">
        <w:rPr>
          <w:rFonts w:eastAsia="Calibri" w:cs="Calibri"/>
          <w:szCs w:val="22"/>
          <w:lang w:val="sr-Latn-ME" w:eastAsia="en-US"/>
        </w:rPr>
        <w:t xml:space="preserve">zrelosti. Svi ovi </w:t>
      </w:r>
      <w:r>
        <w:rPr>
          <w:rFonts w:eastAsia="Calibri" w:cs="Calibri"/>
          <w:szCs w:val="22"/>
          <w:lang w:val="sr-Latn-ME" w:eastAsia="en-US"/>
        </w:rPr>
        <w:t>pokazatelji sugerišu da na stokove srdele</w:t>
      </w:r>
      <w:r w:rsidRPr="00C83C2E">
        <w:rPr>
          <w:rFonts w:eastAsia="Calibri" w:cs="Calibri"/>
          <w:szCs w:val="22"/>
          <w:lang w:val="sr-Latn-ME" w:eastAsia="en-US"/>
        </w:rPr>
        <w:t xml:space="preserve"> i inćuna u crnogors</w:t>
      </w:r>
      <w:r>
        <w:rPr>
          <w:rFonts w:eastAsia="Calibri" w:cs="Calibri"/>
          <w:szCs w:val="22"/>
          <w:lang w:val="sr-Latn-ME" w:eastAsia="en-US"/>
        </w:rPr>
        <w:t>kim vodama antropogeni uticaji</w:t>
      </w:r>
      <w:r w:rsidRPr="00C83C2E">
        <w:rPr>
          <w:rFonts w:eastAsia="Calibri" w:cs="Calibri"/>
          <w:szCs w:val="22"/>
          <w:lang w:val="sr-Latn-ME" w:eastAsia="en-US"/>
        </w:rPr>
        <w:t xml:space="preserve"> ne utiču značajno i da bi se moglo smatrati da su dostigli GES u toj oblasti. Kako područje crnogorskih voda predstavlja samo mali dio Jadrana, a doprinos crnogorske flote u ukupnom jadranskom </w:t>
      </w:r>
      <w:r>
        <w:rPr>
          <w:rFonts w:eastAsia="Calibri" w:cs="Calibri"/>
          <w:szCs w:val="22"/>
          <w:lang w:val="sr-Latn-ME" w:eastAsia="en-US"/>
        </w:rPr>
        <w:t xml:space="preserve">ulovu srdele </w:t>
      </w:r>
      <w:r w:rsidRPr="00C83C2E">
        <w:rPr>
          <w:rFonts w:eastAsia="Calibri" w:cs="Calibri"/>
          <w:szCs w:val="22"/>
          <w:lang w:val="sr-Latn-ME" w:eastAsia="en-US"/>
        </w:rPr>
        <w:t xml:space="preserve">i inćuna je vrlo mali, moglo bi se tvrditi da se GES status ovih vrsta ne može u potpunosti </w:t>
      </w:r>
      <w:r>
        <w:rPr>
          <w:rFonts w:eastAsia="Calibri" w:cs="Calibri"/>
          <w:szCs w:val="22"/>
          <w:lang w:val="sr-Latn-ME" w:eastAsia="en-US"/>
        </w:rPr>
        <w:t>procijeniti kroz zajedničke procjene stokova</w:t>
      </w:r>
      <w:r w:rsidRPr="00C83C2E">
        <w:rPr>
          <w:rFonts w:eastAsia="Calibri" w:cs="Calibri"/>
          <w:szCs w:val="22"/>
          <w:lang w:val="sr-Latn-ME" w:eastAsia="en-US"/>
        </w:rPr>
        <w:t>. S</w:t>
      </w:r>
      <w:r>
        <w:rPr>
          <w:rFonts w:eastAsia="Calibri" w:cs="Calibri"/>
          <w:szCs w:val="22"/>
          <w:lang w:val="sr-Latn-ME" w:eastAsia="en-US"/>
        </w:rPr>
        <w:t>a</w:t>
      </w:r>
      <w:r w:rsidRPr="00C83C2E">
        <w:rPr>
          <w:rFonts w:eastAsia="Calibri" w:cs="Calibri"/>
          <w:szCs w:val="22"/>
          <w:lang w:val="sr-Latn-ME" w:eastAsia="en-US"/>
        </w:rPr>
        <w:t xml:space="preserve"> druge strane, p</w:t>
      </w:r>
      <w:r>
        <w:rPr>
          <w:rFonts w:eastAsia="Calibri" w:cs="Calibri"/>
          <w:szCs w:val="22"/>
          <w:lang w:val="sr-Latn-ME" w:eastAsia="en-US"/>
        </w:rPr>
        <w:t>rocjena vrsta ispod nivoa stoka</w:t>
      </w:r>
      <w:r w:rsidRPr="00C83C2E">
        <w:rPr>
          <w:rFonts w:eastAsia="Calibri" w:cs="Calibri"/>
          <w:szCs w:val="22"/>
          <w:lang w:val="sr-Latn-ME" w:eastAsia="en-US"/>
        </w:rPr>
        <w:t xml:space="preserve"> za područje poput Jadranskog mora pružila bi samo mali dio šire slike, pa je don</w:t>
      </w:r>
      <w:r>
        <w:rPr>
          <w:rFonts w:eastAsia="Calibri" w:cs="Calibri"/>
          <w:szCs w:val="22"/>
          <w:lang w:val="sr-Latn-ME" w:eastAsia="en-US"/>
        </w:rPr>
        <w:t>ij</w:t>
      </w:r>
      <w:r w:rsidRPr="00C83C2E">
        <w:rPr>
          <w:rFonts w:eastAsia="Calibri" w:cs="Calibri"/>
          <w:szCs w:val="22"/>
          <w:lang w:val="sr-Latn-ME" w:eastAsia="en-US"/>
        </w:rPr>
        <w:t>eta odluka da se koristi zajednička procjena, čak i ako bi mogla</w:t>
      </w:r>
      <w:r>
        <w:rPr>
          <w:rFonts w:eastAsia="Calibri" w:cs="Calibri"/>
          <w:szCs w:val="22"/>
          <w:lang w:val="sr-Latn-ME" w:eastAsia="en-US"/>
        </w:rPr>
        <w:t xml:space="preserve"> biti nepovoljna za Crnu Goru. </w:t>
      </w:r>
    </w:p>
    <w:p w14:paraId="49E7BC30" w14:textId="77777777" w:rsidR="00971473" w:rsidRPr="00C83C2E" w:rsidRDefault="00971473" w:rsidP="00971473">
      <w:pPr>
        <w:spacing w:before="0" w:after="0"/>
        <w:rPr>
          <w:rFonts w:eastAsia="Calibri" w:cs="Calibri"/>
          <w:szCs w:val="22"/>
          <w:lang w:val="sr-Latn-ME" w:eastAsia="en-US"/>
        </w:rPr>
      </w:pPr>
    </w:p>
    <w:p w14:paraId="5A2B5F98" w14:textId="77777777" w:rsidR="00971473" w:rsidRPr="00D716F4" w:rsidRDefault="00971473" w:rsidP="00971473">
      <w:pPr>
        <w:spacing w:before="0" w:after="0"/>
        <w:contextualSpacing/>
        <w:jc w:val="left"/>
        <w:rPr>
          <w:rFonts w:cs="Calibri"/>
          <w:i/>
          <w:sz w:val="20"/>
          <w:szCs w:val="20"/>
          <w:highlight w:val="yellow"/>
          <w:lang w:val="sr-Latn-ME" w:eastAsia="en-US"/>
        </w:rPr>
      </w:pPr>
      <w:bookmarkStart w:id="112" w:name="_Hlk68174260"/>
    </w:p>
    <w:p w14:paraId="4CFF221C" w14:textId="21465429" w:rsidR="00971473" w:rsidRPr="00D716F4" w:rsidRDefault="00971473" w:rsidP="00971473">
      <w:pPr>
        <w:spacing w:before="0" w:after="0" w:line="240" w:lineRule="auto"/>
        <w:rPr>
          <w:rFonts w:eastAsia="Calibri" w:cs="Calibri"/>
          <w:b/>
          <w:szCs w:val="22"/>
          <w:lang w:val="sr-Latn-ME" w:eastAsia="en-US"/>
        </w:rPr>
      </w:pPr>
      <w:r w:rsidRPr="00480592">
        <w:rPr>
          <w:b/>
          <w:szCs w:val="22"/>
          <w:lang w:val="sr-Latn-ME" w:eastAsia="en-US"/>
        </w:rPr>
        <w:t>S</w:t>
      </w:r>
      <w:r w:rsidR="00480592" w:rsidRPr="00480592">
        <w:rPr>
          <w:b/>
          <w:szCs w:val="22"/>
          <w:lang w:val="sr-Latn-ME" w:eastAsia="en-US"/>
        </w:rPr>
        <w:t xml:space="preserve">umarna </w:t>
      </w:r>
      <w:r w:rsidRPr="00480592">
        <w:rPr>
          <w:b/>
          <w:szCs w:val="22"/>
          <w:lang w:val="sr-Latn-ME" w:eastAsia="en-US"/>
        </w:rPr>
        <w:t>p</w:t>
      </w:r>
      <w:r>
        <w:rPr>
          <w:b/>
          <w:szCs w:val="22"/>
          <w:lang w:val="sr-Latn-ME" w:eastAsia="en-US"/>
        </w:rPr>
        <w:t>rocjen</w:t>
      </w:r>
      <w:r w:rsidR="00480592">
        <w:rPr>
          <w:b/>
          <w:szCs w:val="22"/>
          <w:lang w:val="sr-Latn-ME" w:eastAsia="en-US"/>
        </w:rPr>
        <w:t>a</w:t>
      </w:r>
      <w:r>
        <w:rPr>
          <w:b/>
          <w:szCs w:val="22"/>
          <w:lang w:val="sr-Latn-ME" w:eastAsia="en-US"/>
        </w:rPr>
        <w:t xml:space="preserve"> GES-a prema kriterijumima iz Odluke Komisije </w:t>
      </w:r>
      <w:r w:rsidRPr="00D716F4">
        <w:rPr>
          <w:rFonts w:eastAsia="Calibri" w:cs="Calibri"/>
          <w:b/>
          <w:szCs w:val="22"/>
          <w:lang w:val="sr-Latn-ME" w:eastAsia="en-US"/>
        </w:rPr>
        <w:t>2017/848/EU</w:t>
      </w:r>
    </w:p>
    <w:p w14:paraId="72CC687B" w14:textId="77777777" w:rsidR="00971473" w:rsidRPr="00D716F4" w:rsidRDefault="00971473" w:rsidP="00971473">
      <w:pPr>
        <w:spacing w:before="0" w:after="0" w:line="240" w:lineRule="auto"/>
        <w:rPr>
          <w:rFonts w:eastAsia="Calibri" w:cs="Calibri"/>
          <w:szCs w:val="22"/>
          <w:lang w:val="sr-Latn-ME" w:eastAsia="en-US"/>
        </w:rPr>
      </w:pPr>
      <w:r w:rsidRPr="00D716F4">
        <w:rPr>
          <w:rFonts w:eastAsia="Calibri" w:cs="Calibri"/>
          <w:b/>
          <w:szCs w:val="22"/>
          <w:lang w:val="sr-Latn-ME" w:eastAsia="en-US"/>
        </w:rPr>
        <w:t xml:space="preserve"> </w:t>
      </w:r>
    </w:p>
    <w:p w14:paraId="26D12E7F" w14:textId="77777777" w:rsidR="00971473" w:rsidRPr="00F61E3B" w:rsidRDefault="00971473" w:rsidP="00971473">
      <w:pPr>
        <w:spacing w:before="0" w:after="160"/>
        <w:contextualSpacing/>
        <w:rPr>
          <w:rFonts w:cs="Calibri"/>
          <w:szCs w:val="22"/>
          <w:lang w:val="sr-Latn-ME" w:eastAsia="en-US"/>
        </w:rPr>
      </w:pPr>
      <w:r>
        <w:rPr>
          <w:rFonts w:cs="Calibri"/>
          <w:szCs w:val="22"/>
          <w:lang w:val="sr-Latn-ME" w:eastAsia="en-US"/>
        </w:rPr>
        <w:t>Tabele 2.8. i 2.9 rezimiraju</w:t>
      </w:r>
      <w:r w:rsidRPr="00F61E3B">
        <w:rPr>
          <w:rFonts w:cs="Calibri"/>
          <w:szCs w:val="22"/>
          <w:lang w:val="sr-Latn-ME" w:eastAsia="en-US"/>
        </w:rPr>
        <w:t xml:space="preserve"> status najvažnij</w:t>
      </w:r>
      <w:r>
        <w:rPr>
          <w:rFonts w:cs="Calibri"/>
          <w:szCs w:val="22"/>
          <w:lang w:val="sr-Latn-ME" w:eastAsia="en-US"/>
        </w:rPr>
        <w:t>ih demerzalnih i pelagičnih stokova</w:t>
      </w:r>
      <w:r w:rsidRPr="00F61E3B">
        <w:rPr>
          <w:rFonts w:cs="Calibri"/>
          <w:szCs w:val="22"/>
          <w:lang w:val="sr-Latn-ME" w:eastAsia="en-US"/>
        </w:rPr>
        <w:t xml:space="preserve"> i </w:t>
      </w:r>
      <w:r>
        <w:rPr>
          <w:rFonts w:cs="Calibri"/>
          <w:szCs w:val="22"/>
          <w:lang w:val="sr-Latn-ME" w:eastAsia="en-US"/>
        </w:rPr>
        <w:t>status njihovog GES-a</w:t>
      </w:r>
      <w:r w:rsidRPr="00F61E3B">
        <w:rPr>
          <w:rFonts w:cs="Calibri"/>
          <w:szCs w:val="22"/>
          <w:lang w:val="sr-Latn-ME" w:eastAsia="en-US"/>
        </w:rPr>
        <w:t>. S</w:t>
      </w:r>
      <w:r>
        <w:rPr>
          <w:rFonts w:cs="Calibri"/>
          <w:szCs w:val="22"/>
          <w:lang w:val="sr-Latn-ME" w:eastAsia="en-US"/>
        </w:rPr>
        <w:t>a</w:t>
      </w:r>
      <w:r w:rsidRPr="00F61E3B">
        <w:rPr>
          <w:rFonts w:cs="Calibri"/>
          <w:szCs w:val="22"/>
          <w:lang w:val="sr-Latn-ME" w:eastAsia="en-US"/>
        </w:rPr>
        <w:t xml:space="preserve"> obzirom na to da se ribolov </w:t>
      </w:r>
      <w:r>
        <w:rPr>
          <w:rFonts w:cs="Calibri"/>
          <w:szCs w:val="22"/>
          <w:lang w:val="sr-Latn-ME" w:eastAsia="en-US"/>
        </w:rPr>
        <w:t>demerzalnih</w:t>
      </w:r>
      <w:r w:rsidRPr="00F61E3B">
        <w:rPr>
          <w:rFonts w:cs="Calibri"/>
          <w:szCs w:val="22"/>
          <w:lang w:val="sr-Latn-ME" w:eastAsia="en-US"/>
        </w:rPr>
        <w:t xml:space="preserve"> vrsta </w:t>
      </w:r>
      <w:r w:rsidRPr="00F61E3B">
        <w:rPr>
          <w:rFonts w:cs="Calibri"/>
          <w:i/>
          <w:szCs w:val="22"/>
          <w:lang w:val="sr-Latn-ME" w:eastAsia="en-US"/>
        </w:rPr>
        <w:t>Mullus barbatus</w:t>
      </w:r>
      <w:r w:rsidRPr="00F61E3B">
        <w:rPr>
          <w:rFonts w:cs="Calibri"/>
          <w:szCs w:val="22"/>
          <w:lang w:val="sr-Latn-ME" w:eastAsia="en-US"/>
        </w:rPr>
        <w:t xml:space="preserve">, </w:t>
      </w:r>
      <w:r w:rsidRPr="00F61E3B">
        <w:rPr>
          <w:rFonts w:cs="Calibri"/>
          <w:i/>
          <w:szCs w:val="22"/>
          <w:lang w:val="sr-Latn-ME" w:eastAsia="en-US"/>
        </w:rPr>
        <w:t>Merluccius merluccius</w:t>
      </w:r>
      <w:r w:rsidRPr="00F61E3B">
        <w:rPr>
          <w:rFonts w:cs="Calibri"/>
          <w:szCs w:val="22"/>
          <w:lang w:val="sr-Latn-ME" w:eastAsia="en-US"/>
        </w:rPr>
        <w:t xml:space="preserve"> i </w:t>
      </w:r>
      <w:r w:rsidRPr="00F61E3B">
        <w:rPr>
          <w:rFonts w:cs="Calibri"/>
          <w:i/>
          <w:szCs w:val="22"/>
          <w:lang w:val="sr-Latn-ME" w:eastAsia="en-US"/>
        </w:rPr>
        <w:t>Parapenaeus longirostris</w:t>
      </w:r>
      <w:r w:rsidRPr="00F61E3B">
        <w:rPr>
          <w:rFonts w:cs="Calibri"/>
          <w:szCs w:val="22"/>
          <w:lang w:val="sr-Latn-ME" w:eastAsia="en-US"/>
        </w:rPr>
        <w:t xml:space="preserve"> obavlja uglavnom pridnenim kočarskim mrežama, što znači da se radi o </w:t>
      </w:r>
      <w:r>
        <w:rPr>
          <w:rFonts w:cs="Calibri"/>
          <w:szCs w:val="22"/>
          <w:lang w:val="sr-Latn-ME" w:eastAsia="en-US"/>
        </w:rPr>
        <w:t>ribarstvu koje lovi veliki broj vrsta</w:t>
      </w:r>
      <w:r w:rsidRPr="00F61E3B">
        <w:rPr>
          <w:rFonts w:cs="Calibri"/>
          <w:szCs w:val="22"/>
          <w:lang w:val="sr-Latn-ME" w:eastAsia="en-US"/>
        </w:rPr>
        <w:t>, bez mogućnosti selekcije ili ciljanja samo jedne vrste, onda su sve m</w:t>
      </w:r>
      <w:r>
        <w:rPr>
          <w:rFonts w:cs="Calibri"/>
          <w:szCs w:val="22"/>
          <w:lang w:val="sr-Latn-ME" w:eastAsia="en-US"/>
        </w:rPr>
        <w:t>j</w:t>
      </w:r>
      <w:r w:rsidRPr="00F61E3B">
        <w:rPr>
          <w:rFonts w:cs="Calibri"/>
          <w:szCs w:val="22"/>
          <w:lang w:val="sr-Latn-ME" w:eastAsia="en-US"/>
        </w:rPr>
        <w:t>ere upravljanja i preporuke (za regulisanje</w:t>
      </w:r>
      <w:r>
        <w:rPr>
          <w:rFonts w:cs="Calibri"/>
          <w:szCs w:val="22"/>
          <w:lang w:val="sr-Latn-ME" w:eastAsia="en-US"/>
        </w:rPr>
        <w:t xml:space="preserve"> ribolovne smrtnosti</w:t>
      </w:r>
      <w:r w:rsidRPr="00F61E3B">
        <w:rPr>
          <w:rFonts w:cs="Calibri"/>
          <w:szCs w:val="22"/>
          <w:lang w:val="sr-Latn-ME" w:eastAsia="en-US"/>
        </w:rPr>
        <w:t xml:space="preserve">, zaštita SSB) </w:t>
      </w:r>
      <w:r>
        <w:rPr>
          <w:rFonts w:cs="Calibri"/>
          <w:szCs w:val="22"/>
          <w:lang w:val="sr-Latn-ME" w:eastAsia="en-US"/>
        </w:rPr>
        <w:t xml:space="preserve">zasnovane na </w:t>
      </w:r>
      <w:r w:rsidRPr="00F61E3B">
        <w:rPr>
          <w:rFonts w:cs="Calibri"/>
          <w:szCs w:val="22"/>
          <w:lang w:val="sr-Latn-ME" w:eastAsia="en-US"/>
        </w:rPr>
        <w:t>regulaciji kočarskog ribolova uopšte.</w:t>
      </w:r>
    </w:p>
    <w:p w14:paraId="41F182B2" w14:textId="77777777" w:rsidR="00971473" w:rsidRDefault="00971473" w:rsidP="00971473">
      <w:pPr>
        <w:spacing w:before="0" w:after="160"/>
        <w:contextualSpacing/>
        <w:rPr>
          <w:rFonts w:cs="Calibri"/>
          <w:szCs w:val="22"/>
          <w:lang w:val="sr-Latn-ME" w:eastAsia="en-US"/>
        </w:rPr>
      </w:pPr>
      <w:r w:rsidRPr="00F61E3B">
        <w:rPr>
          <w:rFonts w:cs="Calibri"/>
          <w:szCs w:val="22"/>
          <w:lang w:val="sr-Latn-ME" w:eastAsia="en-US"/>
        </w:rPr>
        <w:t xml:space="preserve">Ista je situacija sa pelagičnim vrstama, </w:t>
      </w:r>
      <w:r w:rsidRPr="00F61E3B">
        <w:rPr>
          <w:rFonts w:cs="Calibri"/>
          <w:i/>
          <w:szCs w:val="22"/>
          <w:lang w:val="sr-Latn-ME" w:eastAsia="en-US"/>
        </w:rPr>
        <w:t>Sardina pilhardus</w:t>
      </w:r>
      <w:r w:rsidRPr="00F61E3B">
        <w:rPr>
          <w:rFonts w:cs="Calibri"/>
          <w:szCs w:val="22"/>
          <w:lang w:val="sr-Latn-ME" w:eastAsia="en-US"/>
        </w:rPr>
        <w:t xml:space="preserve"> i </w:t>
      </w:r>
      <w:r w:rsidRPr="00F61E3B">
        <w:rPr>
          <w:rFonts w:cs="Calibri"/>
          <w:i/>
          <w:szCs w:val="22"/>
          <w:lang w:val="sr-Latn-ME" w:eastAsia="en-US"/>
        </w:rPr>
        <w:t>Engraulis encrasicolus</w:t>
      </w:r>
      <w:r w:rsidRPr="00F61E3B">
        <w:rPr>
          <w:rFonts w:cs="Calibri"/>
          <w:szCs w:val="22"/>
          <w:lang w:val="sr-Latn-ME" w:eastAsia="en-US"/>
        </w:rPr>
        <w:t xml:space="preserve"> koje se uglavnom love mrežama</w:t>
      </w:r>
      <w:r>
        <w:rPr>
          <w:rFonts w:cs="Calibri"/>
          <w:szCs w:val="22"/>
          <w:lang w:val="sr-Latn-ME" w:eastAsia="en-US"/>
        </w:rPr>
        <w:t xml:space="preserve"> plivaricama</w:t>
      </w:r>
      <w:r w:rsidRPr="00F61E3B">
        <w:rPr>
          <w:rFonts w:cs="Calibri"/>
          <w:szCs w:val="22"/>
          <w:lang w:val="sr-Latn-ME" w:eastAsia="en-US"/>
        </w:rPr>
        <w:t>, opet kao</w:t>
      </w:r>
      <w:r>
        <w:rPr>
          <w:rFonts w:cs="Calibri"/>
          <w:szCs w:val="22"/>
          <w:lang w:val="sr-Latn-ME" w:eastAsia="en-US"/>
        </w:rPr>
        <w:t xml:space="preserve"> ribarstvo sa više vrsta</w:t>
      </w:r>
      <w:r w:rsidRPr="00F61E3B">
        <w:rPr>
          <w:rFonts w:cs="Calibri"/>
          <w:szCs w:val="22"/>
          <w:lang w:val="sr-Latn-ME" w:eastAsia="en-US"/>
        </w:rPr>
        <w:t>.</w:t>
      </w:r>
    </w:p>
    <w:bookmarkEnd w:id="112"/>
    <w:p w14:paraId="692FC838" w14:textId="77777777" w:rsidR="00971473" w:rsidRDefault="00971473" w:rsidP="00971473">
      <w:pPr>
        <w:spacing w:before="0" w:after="160"/>
        <w:contextualSpacing/>
        <w:rPr>
          <w:rFonts w:cs="Calibri"/>
          <w:szCs w:val="22"/>
          <w:lang w:val="sr-Latn-ME" w:eastAsia="en-US"/>
        </w:rPr>
      </w:pPr>
    </w:p>
    <w:p w14:paraId="6920F936" w14:textId="18055F3A" w:rsidR="00971473" w:rsidRPr="00F61E3B" w:rsidRDefault="00971473" w:rsidP="00971473">
      <w:pPr>
        <w:spacing w:before="0" w:after="160"/>
        <w:contextualSpacing/>
        <w:rPr>
          <w:rFonts w:cs="Calibri"/>
          <w:szCs w:val="22"/>
          <w:lang w:val="sr-Latn-ME" w:eastAsia="en-US"/>
        </w:rPr>
      </w:pPr>
      <w:r>
        <w:rPr>
          <w:rFonts w:cs="Calibri"/>
          <w:szCs w:val="22"/>
          <w:lang w:val="sr-Latn-ME" w:eastAsia="en-US"/>
        </w:rPr>
        <w:t xml:space="preserve">Iz ovih razloga, generalni status GES-a je prezentovan </w:t>
      </w:r>
      <w:r w:rsidR="003A0615">
        <w:rPr>
          <w:rFonts w:cs="Calibri"/>
          <w:szCs w:val="22"/>
          <w:lang w:val="sr-Latn-ME" w:eastAsia="en-US"/>
        </w:rPr>
        <w:t>posebno</w:t>
      </w:r>
      <w:r>
        <w:rPr>
          <w:rFonts w:cs="Calibri"/>
          <w:szCs w:val="22"/>
          <w:lang w:val="sr-Latn-ME" w:eastAsia="en-US"/>
        </w:rPr>
        <w:t xml:space="preserve"> za demerzalne i </w:t>
      </w:r>
      <w:r w:rsidR="003A0615">
        <w:rPr>
          <w:rFonts w:cs="Calibri"/>
          <w:szCs w:val="22"/>
          <w:lang w:val="sr-Latn-ME" w:eastAsia="en-US"/>
        </w:rPr>
        <w:t>posebno</w:t>
      </w:r>
      <w:r>
        <w:rPr>
          <w:rFonts w:cs="Calibri"/>
          <w:szCs w:val="22"/>
          <w:lang w:val="sr-Latn-ME" w:eastAsia="en-US"/>
        </w:rPr>
        <w:t xml:space="preserve"> za pelagične vrste u sljedećim tabelama (Tabele 2.8 i</w:t>
      </w:r>
      <w:r w:rsidRPr="00D716F4">
        <w:rPr>
          <w:rFonts w:cs="Calibri"/>
          <w:szCs w:val="22"/>
          <w:lang w:val="sr-Latn-ME" w:eastAsia="en-US"/>
        </w:rPr>
        <w:t xml:space="preserve"> 2.9).</w:t>
      </w:r>
    </w:p>
    <w:p w14:paraId="310589E6" w14:textId="77777777" w:rsidR="00971473" w:rsidRPr="00D716F4" w:rsidRDefault="00971473" w:rsidP="00971473">
      <w:pPr>
        <w:spacing w:before="0" w:after="160"/>
        <w:contextualSpacing/>
        <w:rPr>
          <w:rFonts w:cs="Calibri"/>
          <w:szCs w:val="22"/>
          <w:highlight w:val="yellow"/>
          <w:lang w:val="sr-Latn-ME" w:eastAsia="en-US"/>
        </w:rPr>
      </w:pPr>
    </w:p>
    <w:p w14:paraId="7C2FB507" w14:textId="77777777" w:rsidR="00615E5F" w:rsidRDefault="00615E5F" w:rsidP="00971473">
      <w:pPr>
        <w:tabs>
          <w:tab w:val="left" w:pos="7328"/>
        </w:tabs>
        <w:spacing w:before="0" w:after="0" w:line="240" w:lineRule="auto"/>
        <w:rPr>
          <w:rFonts w:cs="Calibri"/>
          <w:b/>
          <w:szCs w:val="22"/>
          <w:lang w:val="sr-Latn-ME" w:eastAsia="en-US"/>
        </w:rPr>
      </w:pPr>
      <w:bookmarkStart w:id="113" w:name="_Toc69718373"/>
      <w:bookmarkStart w:id="114" w:name="_Toc83643163"/>
    </w:p>
    <w:p w14:paraId="3C880B01" w14:textId="77777777" w:rsidR="00971473" w:rsidRPr="00D716F4" w:rsidRDefault="00971473" w:rsidP="00971473">
      <w:pPr>
        <w:tabs>
          <w:tab w:val="left" w:pos="7328"/>
        </w:tabs>
        <w:spacing w:before="0" w:after="0" w:line="240" w:lineRule="auto"/>
        <w:rPr>
          <w:rFonts w:eastAsia="Calibri" w:cs="Calibri"/>
          <w:b/>
          <w:bCs/>
          <w:szCs w:val="22"/>
          <w:lang w:val="sr-Latn-ME" w:eastAsia="en-US"/>
        </w:rPr>
      </w:pPr>
      <w:r>
        <w:rPr>
          <w:rFonts w:cs="Calibri"/>
          <w:b/>
          <w:szCs w:val="22"/>
          <w:lang w:val="sr-Latn-ME" w:eastAsia="en-US"/>
        </w:rPr>
        <w:t>Tabela</w:t>
      </w:r>
      <w:r w:rsidRPr="00D716F4">
        <w:rPr>
          <w:rFonts w:cs="Calibri"/>
          <w:b/>
          <w:szCs w:val="22"/>
          <w:lang w:val="sr-Latn-ME" w:eastAsia="en-US"/>
        </w:rPr>
        <w:t xml:space="preserve"> </w:t>
      </w:r>
      <w:r w:rsidRPr="00D716F4">
        <w:rPr>
          <w:b/>
          <w:szCs w:val="22"/>
          <w:lang w:val="sr-Latn-ME"/>
        </w:rPr>
        <w:fldChar w:fldCharType="begin"/>
      </w:r>
      <w:r w:rsidRPr="00D716F4">
        <w:rPr>
          <w:b/>
          <w:szCs w:val="22"/>
          <w:lang w:val="sr-Latn-ME"/>
        </w:rPr>
        <w:instrText xml:space="preserve"> STYLEREF 1 \s </w:instrText>
      </w:r>
      <w:r w:rsidRPr="00D716F4">
        <w:rPr>
          <w:b/>
          <w:szCs w:val="22"/>
          <w:lang w:val="sr-Latn-ME"/>
        </w:rPr>
        <w:fldChar w:fldCharType="separate"/>
      </w:r>
      <w:r w:rsidR="000D1E20">
        <w:rPr>
          <w:b/>
          <w:noProof/>
          <w:szCs w:val="22"/>
          <w:lang w:val="sr-Latn-ME"/>
        </w:rPr>
        <w:t>2</w:t>
      </w:r>
      <w:r w:rsidRPr="00D716F4">
        <w:rPr>
          <w:b/>
          <w:szCs w:val="22"/>
          <w:lang w:val="sr-Latn-ME"/>
        </w:rPr>
        <w:fldChar w:fldCharType="end"/>
      </w:r>
      <w:r w:rsidRPr="00D716F4">
        <w:rPr>
          <w:b/>
          <w:szCs w:val="22"/>
          <w:lang w:val="sr-Latn-ME"/>
        </w:rPr>
        <w:t>.</w:t>
      </w:r>
      <w:r w:rsidRPr="00D716F4">
        <w:rPr>
          <w:b/>
          <w:szCs w:val="22"/>
          <w:lang w:val="sr-Latn-ME"/>
        </w:rPr>
        <w:fldChar w:fldCharType="begin"/>
      </w:r>
      <w:r w:rsidRPr="00D716F4">
        <w:rPr>
          <w:b/>
          <w:szCs w:val="22"/>
          <w:lang w:val="sr-Latn-ME"/>
        </w:rPr>
        <w:instrText xml:space="preserve"> SEQ Table \* ARABIC \s 1 </w:instrText>
      </w:r>
      <w:r w:rsidRPr="00D716F4">
        <w:rPr>
          <w:b/>
          <w:szCs w:val="22"/>
          <w:lang w:val="sr-Latn-ME"/>
        </w:rPr>
        <w:fldChar w:fldCharType="separate"/>
      </w:r>
      <w:r w:rsidR="000D1E20">
        <w:rPr>
          <w:b/>
          <w:noProof/>
          <w:szCs w:val="22"/>
          <w:lang w:val="sr-Latn-ME"/>
        </w:rPr>
        <w:t>5</w:t>
      </w:r>
      <w:r w:rsidRPr="00D716F4">
        <w:rPr>
          <w:b/>
          <w:szCs w:val="22"/>
          <w:lang w:val="sr-Latn-ME"/>
        </w:rPr>
        <w:fldChar w:fldCharType="end"/>
      </w:r>
      <w:r w:rsidRPr="00D716F4">
        <w:rPr>
          <w:b/>
          <w:szCs w:val="22"/>
          <w:lang w:val="sr-Latn-ME"/>
        </w:rPr>
        <w:t>.</w:t>
      </w:r>
      <w:r w:rsidRPr="00D716F4">
        <w:rPr>
          <w:rFonts w:eastAsia="Calibri" w:cs="Calibri"/>
          <w:b/>
          <w:szCs w:val="22"/>
          <w:lang w:val="sr-Latn-ME" w:eastAsia="en-US"/>
        </w:rPr>
        <w:t xml:space="preserve"> </w:t>
      </w:r>
      <w:r>
        <w:rPr>
          <w:rFonts w:eastAsia="Calibri" w:cs="Calibri"/>
          <w:b/>
          <w:szCs w:val="22"/>
          <w:lang w:val="sr-Latn-ME" w:eastAsia="en-US"/>
        </w:rPr>
        <w:t>Procjena GES-a za demerzalne vrste prema kriterijumima iz Odluke Komisije</w:t>
      </w:r>
      <w:r w:rsidRPr="00D716F4">
        <w:rPr>
          <w:rFonts w:eastAsia="Calibri" w:cs="Calibri"/>
          <w:b/>
          <w:szCs w:val="22"/>
          <w:lang w:val="sr-Latn-ME" w:eastAsia="en-US"/>
        </w:rPr>
        <w:t xml:space="preserve"> 2017/845/EU</w:t>
      </w:r>
      <w:bookmarkEnd w:id="113"/>
      <w:r>
        <w:rPr>
          <w:rFonts w:eastAsia="Calibri" w:cs="Calibri"/>
          <w:b/>
          <w:bCs/>
          <w:szCs w:val="22"/>
          <w:lang w:val="sr-Latn-ME" w:eastAsia="en-US"/>
        </w:rPr>
        <w:t>.</w:t>
      </w:r>
      <w:bookmarkEnd w:id="114"/>
    </w:p>
    <w:p w14:paraId="4A1B0605" w14:textId="77777777" w:rsidR="00971473" w:rsidRPr="00D716F4" w:rsidRDefault="00971473" w:rsidP="00971473">
      <w:pPr>
        <w:tabs>
          <w:tab w:val="left" w:pos="7328"/>
        </w:tabs>
        <w:spacing w:before="0" w:after="0" w:line="240" w:lineRule="auto"/>
        <w:rPr>
          <w:rFonts w:eastAsia="Calibri" w:cs="Calibri"/>
          <w:b/>
          <w:bCs/>
          <w:szCs w:val="22"/>
          <w:lang w:val="sr-Latn-ME" w:eastAsia="en-US"/>
        </w:rPr>
      </w:pPr>
    </w:p>
    <w:tbl>
      <w:tblPr>
        <w:tblStyle w:val="GolderTable33"/>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397"/>
        <w:gridCol w:w="2694"/>
        <w:gridCol w:w="3260"/>
      </w:tblGrid>
      <w:tr w:rsidR="00115E47" w:rsidRPr="00D716F4" w14:paraId="2D64A38C" w14:textId="77777777" w:rsidTr="00115E47">
        <w:trPr>
          <w:tblHeader/>
        </w:trPr>
        <w:tc>
          <w:tcPr>
            <w:tcW w:w="9351" w:type="dxa"/>
            <w:gridSpan w:val="3"/>
            <w:shd w:val="clear" w:color="auto" w:fill="1F497D" w:themeFill="text2"/>
          </w:tcPr>
          <w:p w14:paraId="024BB4D3" w14:textId="2E9A1DDE" w:rsidR="00115E47" w:rsidRPr="00115E47" w:rsidRDefault="00115E47" w:rsidP="00BB6D68">
            <w:pPr>
              <w:spacing w:before="0" w:after="0" w:line="240" w:lineRule="auto"/>
              <w:jc w:val="center"/>
              <w:rPr>
                <w:b/>
                <w:color w:val="FFFFFF" w:themeColor="background1"/>
                <w:lang w:val="sr-Latn-ME" w:eastAsia="en-US"/>
              </w:rPr>
            </w:pPr>
            <w:r w:rsidRPr="00115E47">
              <w:rPr>
                <w:b/>
                <w:color w:val="FFFFFF" w:themeColor="background1"/>
                <w:lang w:val="sr-Latn-ME" w:eastAsia="en-US"/>
              </w:rPr>
              <w:t>Područje procjene: subregionalni nivo - Jadransko more</w:t>
            </w:r>
          </w:p>
        </w:tc>
      </w:tr>
      <w:tr w:rsidR="00971473" w:rsidRPr="00D716F4" w14:paraId="54115A11" w14:textId="77777777" w:rsidTr="00115E47">
        <w:trPr>
          <w:tblHeader/>
        </w:trPr>
        <w:tc>
          <w:tcPr>
            <w:tcW w:w="9351" w:type="dxa"/>
            <w:gridSpan w:val="3"/>
            <w:shd w:val="clear" w:color="auto" w:fill="1F497D" w:themeFill="text2"/>
          </w:tcPr>
          <w:p w14:paraId="09C2D3CC" w14:textId="77777777" w:rsidR="00971473" w:rsidRPr="00115E47" w:rsidRDefault="00971473" w:rsidP="00971473">
            <w:pPr>
              <w:spacing w:before="0" w:after="0" w:line="240" w:lineRule="auto"/>
              <w:rPr>
                <w:b/>
                <w:color w:val="FFFFFF" w:themeColor="background1"/>
                <w:sz w:val="20"/>
                <w:szCs w:val="20"/>
                <w:lang w:val="sr-Latn-ME" w:eastAsia="en-US"/>
              </w:rPr>
            </w:pPr>
            <w:bookmarkStart w:id="115" w:name="_Hlk67382010"/>
            <w:r w:rsidRPr="00115E47">
              <w:rPr>
                <w:b/>
                <w:color w:val="FFFFFF" w:themeColor="background1"/>
                <w:sz w:val="20"/>
                <w:szCs w:val="20"/>
                <w:lang w:val="sr-Latn-ME" w:eastAsia="en-US"/>
              </w:rPr>
              <w:t>GES za demerzalne vrste</w:t>
            </w:r>
          </w:p>
          <w:p w14:paraId="1243F4C1" w14:textId="77777777" w:rsidR="00971473" w:rsidRPr="00115E47" w:rsidRDefault="00971473" w:rsidP="00971473">
            <w:pPr>
              <w:spacing w:before="0" w:after="0" w:line="240" w:lineRule="auto"/>
              <w:rPr>
                <w:b/>
                <w:color w:val="FFFFFF" w:themeColor="background1"/>
                <w:sz w:val="20"/>
                <w:szCs w:val="20"/>
                <w:lang w:val="sr-Latn-ME" w:eastAsia="en-US"/>
              </w:rPr>
            </w:pPr>
          </w:p>
        </w:tc>
      </w:tr>
      <w:tr w:rsidR="00971473" w:rsidRPr="00D716F4" w14:paraId="5F7AA0AC" w14:textId="77777777" w:rsidTr="00971473">
        <w:trPr>
          <w:tblHeader/>
        </w:trPr>
        <w:tc>
          <w:tcPr>
            <w:tcW w:w="3397" w:type="dxa"/>
            <w:shd w:val="clear" w:color="auto" w:fill="8DB3E2" w:themeFill="text2" w:themeFillTint="66"/>
          </w:tcPr>
          <w:p w14:paraId="38B922BB" w14:textId="77777777" w:rsidR="00971473" w:rsidRPr="00D716F4" w:rsidRDefault="00971473" w:rsidP="00971473">
            <w:pPr>
              <w:spacing w:before="0" w:after="0" w:line="240" w:lineRule="auto"/>
              <w:jc w:val="left"/>
              <w:rPr>
                <w:b/>
                <w:sz w:val="20"/>
                <w:szCs w:val="20"/>
                <w:lang w:val="sr-Latn-ME" w:eastAsia="en-US"/>
              </w:rPr>
            </w:pPr>
            <w:r>
              <w:rPr>
                <w:b/>
                <w:sz w:val="20"/>
                <w:szCs w:val="20"/>
                <w:lang w:val="sr-Latn-ME" w:eastAsia="en-US"/>
              </w:rPr>
              <w:t>Kriterijum</w:t>
            </w:r>
          </w:p>
        </w:tc>
        <w:tc>
          <w:tcPr>
            <w:tcW w:w="2694" w:type="dxa"/>
            <w:shd w:val="clear" w:color="auto" w:fill="8DB3E2" w:themeFill="text2" w:themeFillTint="66"/>
          </w:tcPr>
          <w:p w14:paraId="317630A2" w14:textId="77777777" w:rsidR="00971473" w:rsidRPr="00D716F4" w:rsidRDefault="00971473" w:rsidP="00971473">
            <w:pPr>
              <w:spacing w:before="0" w:after="0" w:line="240" w:lineRule="auto"/>
              <w:jc w:val="left"/>
              <w:rPr>
                <w:b/>
                <w:sz w:val="20"/>
                <w:szCs w:val="20"/>
                <w:lang w:val="sr-Latn-ME" w:eastAsia="en-US"/>
              </w:rPr>
            </w:pPr>
            <w:r>
              <w:rPr>
                <w:b/>
                <w:sz w:val="20"/>
                <w:szCs w:val="20"/>
                <w:lang w:val="sr-Latn-ME" w:eastAsia="en-US"/>
              </w:rPr>
              <w:t>Odabrane vrste</w:t>
            </w:r>
          </w:p>
        </w:tc>
        <w:tc>
          <w:tcPr>
            <w:tcW w:w="3260" w:type="dxa"/>
            <w:shd w:val="clear" w:color="auto" w:fill="8DB3E2" w:themeFill="text2" w:themeFillTint="66"/>
          </w:tcPr>
          <w:p w14:paraId="1E348262" w14:textId="77777777" w:rsidR="00971473" w:rsidRPr="00D716F4" w:rsidRDefault="00971473" w:rsidP="00971473">
            <w:pPr>
              <w:spacing w:before="0" w:after="0" w:line="240" w:lineRule="auto"/>
              <w:jc w:val="left"/>
              <w:rPr>
                <w:b/>
                <w:sz w:val="20"/>
                <w:szCs w:val="20"/>
                <w:lang w:val="sr-Latn-ME" w:eastAsia="en-US"/>
              </w:rPr>
            </w:pPr>
            <w:r w:rsidRPr="00D716F4">
              <w:rPr>
                <w:b/>
                <w:sz w:val="20"/>
                <w:szCs w:val="20"/>
                <w:lang w:val="sr-Latn-ME" w:eastAsia="en-US"/>
              </w:rPr>
              <w:t>GES</w:t>
            </w:r>
          </w:p>
        </w:tc>
      </w:tr>
      <w:tr w:rsidR="00971473" w:rsidRPr="00D716F4" w14:paraId="5D097FB9" w14:textId="77777777" w:rsidTr="00971473">
        <w:trPr>
          <w:trHeight w:val="805"/>
        </w:trPr>
        <w:tc>
          <w:tcPr>
            <w:tcW w:w="3397" w:type="dxa"/>
            <w:vMerge w:val="restart"/>
          </w:tcPr>
          <w:p w14:paraId="7E72D3BA" w14:textId="77777777" w:rsidR="00971473" w:rsidRPr="00F61E3B" w:rsidRDefault="00971473" w:rsidP="00971473">
            <w:pPr>
              <w:spacing w:before="0" w:after="0" w:line="240" w:lineRule="auto"/>
              <w:jc w:val="left"/>
              <w:rPr>
                <w:sz w:val="20"/>
                <w:szCs w:val="20"/>
                <w:lang w:val="sr-Latn-ME" w:eastAsia="en-US"/>
              </w:rPr>
            </w:pPr>
            <w:r w:rsidRPr="00F61E3B">
              <w:rPr>
                <w:b/>
                <w:sz w:val="20"/>
                <w:szCs w:val="20"/>
                <w:lang w:val="sr-Latn-ME" w:eastAsia="en-US"/>
              </w:rPr>
              <w:t>D3C1 – Primarni</w:t>
            </w:r>
            <w:r w:rsidRPr="00F61E3B">
              <w:rPr>
                <w:sz w:val="20"/>
                <w:szCs w:val="20"/>
                <w:lang w:val="sr-Latn-ME" w:eastAsia="en-US"/>
              </w:rPr>
              <w:t>:</w:t>
            </w:r>
          </w:p>
          <w:p w14:paraId="16318055" w14:textId="77777777" w:rsidR="00971473" w:rsidRPr="00F61E3B" w:rsidRDefault="00971473" w:rsidP="00971473">
            <w:pPr>
              <w:spacing w:before="0" w:after="0" w:line="240" w:lineRule="auto"/>
              <w:jc w:val="left"/>
              <w:rPr>
                <w:sz w:val="20"/>
                <w:szCs w:val="20"/>
                <w:lang w:val="sr-Latn-ME" w:eastAsia="en-US"/>
              </w:rPr>
            </w:pPr>
            <w:r w:rsidRPr="00F61E3B">
              <w:rPr>
                <w:sz w:val="20"/>
                <w:szCs w:val="20"/>
                <w:lang w:val="sr-Latn-ME" w:eastAsia="en-US"/>
              </w:rPr>
              <w:t>Stopa ribolovne</w:t>
            </w:r>
            <w:r>
              <w:rPr>
                <w:sz w:val="20"/>
                <w:szCs w:val="20"/>
                <w:lang w:val="sr-Latn-ME" w:eastAsia="en-US"/>
              </w:rPr>
              <w:t xml:space="preserve"> smrtnosti kod populacija vrsta koje se iskorišćavaju u komercijalne svrhe na nivou je koji</w:t>
            </w:r>
            <w:r w:rsidRPr="00F61E3B">
              <w:rPr>
                <w:sz w:val="20"/>
                <w:szCs w:val="20"/>
                <w:lang w:val="sr-Latn-ME" w:eastAsia="en-US"/>
              </w:rPr>
              <w:t>m se može osigurati najviši održivi</w:t>
            </w:r>
          </w:p>
          <w:p w14:paraId="0414F6CD" w14:textId="77777777" w:rsidR="00971473" w:rsidRPr="00D716F4" w:rsidRDefault="00971473" w:rsidP="00971473">
            <w:pPr>
              <w:spacing w:before="0" w:after="0" w:line="240" w:lineRule="auto"/>
              <w:jc w:val="left"/>
              <w:rPr>
                <w:sz w:val="20"/>
                <w:szCs w:val="20"/>
                <w:lang w:val="sr-Latn-ME" w:eastAsia="en-US"/>
              </w:rPr>
            </w:pPr>
            <w:r>
              <w:rPr>
                <w:sz w:val="20"/>
                <w:szCs w:val="20"/>
                <w:lang w:val="sr-Latn-ME" w:eastAsia="en-US"/>
              </w:rPr>
              <w:t>p</w:t>
            </w:r>
            <w:r w:rsidRPr="00F61E3B">
              <w:rPr>
                <w:sz w:val="20"/>
                <w:szCs w:val="20"/>
                <w:lang w:val="sr-Latn-ME" w:eastAsia="en-US"/>
              </w:rPr>
              <w:t>rinos</w:t>
            </w:r>
            <w:r>
              <w:rPr>
                <w:sz w:val="20"/>
                <w:szCs w:val="20"/>
                <w:lang w:val="sr-Latn-ME" w:eastAsia="en-US"/>
              </w:rPr>
              <w:t xml:space="preserve"> (MSY)</w:t>
            </w:r>
            <w:r w:rsidRPr="00F61E3B">
              <w:rPr>
                <w:sz w:val="20"/>
                <w:szCs w:val="20"/>
                <w:lang w:val="sr-Latn-ME" w:eastAsia="en-US"/>
              </w:rPr>
              <w:t xml:space="preserve"> ili ispod nje</w:t>
            </w:r>
            <w:r>
              <w:rPr>
                <w:sz w:val="20"/>
                <w:szCs w:val="20"/>
                <w:lang w:val="sr-Latn-ME" w:eastAsia="en-US"/>
              </w:rPr>
              <w:t>ga.</w:t>
            </w:r>
          </w:p>
          <w:p w14:paraId="334CD99C" w14:textId="77777777" w:rsidR="00971473" w:rsidRPr="00D716F4" w:rsidRDefault="00971473" w:rsidP="00971473">
            <w:pPr>
              <w:spacing w:before="0" w:after="0" w:line="240" w:lineRule="auto"/>
              <w:jc w:val="left"/>
              <w:rPr>
                <w:sz w:val="20"/>
                <w:szCs w:val="20"/>
                <w:lang w:val="sr-Latn-ME" w:eastAsia="en-US"/>
              </w:rPr>
            </w:pPr>
          </w:p>
        </w:tc>
        <w:tc>
          <w:tcPr>
            <w:tcW w:w="2694" w:type="dxa"/>
          </w:tcPr>
          <w:p w14:paraId="264505EC" w14:textId="77777777" w:rsidR="00971473" w:rsidRPr="00D716F4" w:rsidRDefault="00971473" w:rsidP="00971473">
            <w:pPr>
              <w:spacing w:before="0" w:after="0" w:line="240" w:lineRule="auto"/>
              <w:jc w:val="left"/>
              <w:rPr>
                <w:sz w:val="20"/>
                <w:szCs w:val="20"/>
                <w:lang w:val="sr-Latn-ME" w:eastAsia="en-US"/>
              </w:rPr>
            </w:pPr>
            <w:r w:rsidRPr="00D716F4">
              <w:rPr>
                <w:rFonts w:cs="Calibri"/>
                <w:b/>
                <w:bCs/>
                <w:i/>
                <w:iCs/>
                <w:sz w:val="20"/>
                <w:szCs w:val="20"/>
                <w:lang w:val="sr-Latn-ME" w:eastAsia="en-US"/>
              </w:rPr>
              <w:t>Mullus barbatus</w:t>
            </w:r>
          </w:p>
        </w:tc>
        <w:tc>
          <w:tcPr>
            <w:tcW w:w="3260" w:type="dxa"/>
            <w:vMerge w:val="restart"/>
          </w:tcPr>
          <w:p w14:paraId="4100F6D1" w14:textId="77777777" w:rsidR="00971473" w:rsidRPr="00D716F4" w:rsidRDefault="00971473" w:rsidP="00971473">
            <w:pPr>
              <w:spacing w:before="0" w:after="0" w:line="240" w:lineRule="auto"/>
              <w:jc w:val="left"/>
              <w:rPr>
                <w:sz w:val="20"/>
                <w:szCs w:val="20"/>
                <w:lang w:val="sr-Latn-ME" w:eastAsia="en-US"/>
              </w:rPr>
            </w:pPr>
            <w:r w:rsidRPr="00D716F4">
              <w:rPr>
                <w:sz w:val="20"/>
                <w:szCs w:val="20"/>
                <w:lang w:val="sr-Latn-ME" w:eastAsia="en-US"/>
              </w:rPr>
              <w:t>GES</w:t>
            </w:r>
            <w:r>
              <w:rPr>
                <w:sz w:val="20"/>
                <w:szCs w:val="20"/>
                <w:lang w:val="sr-Latn-ME" w:eastAsia="en-US"/>
              </w:rPr>
              <w:t xml:space="preserve"> nije postignut, ali opadajući trend u ribolovnoj smrtnosti (F) možda pokazuje šansu za oporavak stokova ovih vrsta na nivou Jadrana</w:t>
            </w:r>
            <w:r w:rsidRPr="00D716F4">
              <w:rPr>
                <w:sz w:val="20"/>
                <w:szCs w:val="20"/>
                <w:lang w:val="sr-Latn-ME" w:eastAsia="en-US"/>
              </w:rPr>
              <w:t xml:space="preserve">, </w:t>
            </w:r>
            <w:r>
              <w:rPr>
                <w:sz w:val="20"/>
                <w:szCs w:val="20"/>
                <w:lang w:val="sr-Latn-ME" w:eastAsia="en-US"/>
              </w:rPr>
              <w:t xml:space="preserve">pod uslovom da se ribolovni mortalitet i dalje nastavi smanjivati, biomasa stoka će rasti. </w:t>
            </w:r>
          </w:p>
        </w:tc>
      </w:tr>
      <w:tr w:rsidR="00971473" w:rsidRPr="00D716F4" w14:paraId="6DDAE844" w14:textId="77777777" w:rsidTr="00971473">
        <w:trPr>
          <w:trHeight w:val="806"/>
        </w:trPr>
        <w:tc>
          <w:tcPr>
            <w:tcW w:w="3397" w:type="dxa"/>
            <w:vMerge/>
          </w:tcPr>
          <w:p w14:paraId="5075C734" w14:textId="77777777" w:rsidR="00971473" w:rsidRPr="00D716F4" w:rsidRDefault="00971473" w:rsidP="00971473">
            <w:pPr>
              <w:spacing w:before="0" w:after="0" w:line="240" w:lineRule="auto"/>
              <w:jc w:val="left"/>
              <w:rPr>
                <w:b/>
                <w:sz w:val="20"/>
                <w:szCs w:val="20"/>
                <w:lang w:val="sr-Latn-ME" w:eastAsia="en-US"/>
              </w:rPr>
            </w:pPr>
          </w:p>
        </w:tc>
        <w:tc>
          <w:tcPr>
            <w:tcW w:w="2694" w:type="dxa"/>
          </w:tcPr>
          <w:p w14:paraId="5167FE6A" w14:textId="77777777" w:rsidR="00971473" w:rsidRPr="00D716F4" w:rsidRDefault="00971473" w:rsidP="00971473">
            <w:pPr>
              <w:spacing w:before="0" w:after="0" w:line="240" w:lineRule="auto"/>
              <w:jc w:val="left"/>
              <w:rPr>
                <w:sz w:val="20"/>
                <w:szCs w:val="20"/>
                <w:lang w:val="sr-Latn-ME" w:eastAsia="en-US"/>
              </w:rPr>
            </w:pPr>
            <w:r w:rsidRPr="00D716F4">
              <w:rPr>
                <w:rFonts w:cs="Calibri"/>
                <w:b/>
                <w:bCs/>
                <w:i/>
                <w:iCs/>
                <w:sz w:val="20"/>
                <w:szCs w:val="20"/>
                <w:lang w:val="sr-Latn-ME" w:eastAsia="en-US"/>
              </w:rPr>
              <w:t>Merluccius merluccius</w:t>
            </w:r>
          </w:p>
        </w:tc>
        <w:tc>
          <w:tcPr>
            <w:tcW w:w="3260" w:type="dxa"/>
            <w:vMerge/>
          </w:tcPr>
          <w:p w14:paraId="1D981143" w14:textId="77777777" w:rsidR="00971473" w:rsidRPr="00D716F4" w:rsidRDefault="00971473" w:rsidP="00971473">
            <w:pPr>
              <w:spacing w:before="0" w:after="0" w:line="240" w:lineRule="auto"/>
              <w:jc w:val="left"/>
              <w:rPr>
                <w:sz w:val="20"/>
                <w:szCs w:val="20"/>
                <w:lang w:val="sr-Latn-ME" w:eastAsia="en-US"/>
              </w:rPr>
            </w:pPr>
          </w:p>
        </w:tc>
      </w:tr>
      <w:tr w:rsidR="00971473" w:rsidRPr="00D716F4" w14:paraId="5DCB96C8" w14:textId="77777777" w:rsidTr="00971473">
        <w:trPr>
          <w:trHeight w:val="806"/>
        </w:trPr>
        <w:tc>
          <w:tcPr>
            <w:tcW w:w="3397" w:type="dxa"/>
            <w:vMerge/>
          </w:tcPr>
          <w:p w14:paraId="020D6A00" w14:textId="77777777" w:rsidR="00971473" w:rsidRPr="00D716F4" w:rsidRDefault="00971473" w:rsidP="00971473">
            <w:pPr>
              <w:spacing w:before="0" w:after="0" w:line="240" w:lineRule="auto"/>
              <w:jc w:val="left"/>
              <w:rPr>
                <w:b/>
                <w:sz w:val="20"/>
                <w:szCs w:val="20"/>
                <w:lang w:val="sr-Latn-ME" w:eastAsia="en-US"/>
              </w:rPr>
            </w:pPr>
          </w:p>
        </w:tc>
        <w:tc>
          <w:tcPr>
            <w:tcW w:w="2694" w:type="dxa"/>
          </w:tcPr>
          <w:p w14:paraId="57A827B0" w14:textId="77777777" w:rsidR="00971473" w:rsidRPr="00D716F4" w:rsidRDefault="00971473" w:rsidP="00971473">
            <w:pPr>
              <w:spacing w:before="0" w:after="0" w:line="240" w:lineRule="auto"/>
              <w:jc w:val="left"/>
              <w:rPr>
                <w:sz w:val="20"/>
                <w:szCs w:val="20"/>
                <w:lang w:val="sr-Latn-ME" w:eastAsia="en-US"/>
              </w:rPr>
            </w:pPr>
            <w:r w:rsidRPr="00D716F4">
              <w:rPr>
                <w:rFonts w:cs="Calibri"/>
                <w:b/>
                <w:bCs/>
                <w:i/>
                <w:iCs/>
                <w:sz w:val="20"/>
                <w:szCs w:val="20"/>
                <w:lang w:val="sr-Latn-ME" w:eastAsia="en-US"/>
              </w:rPr>
              <w:t>Parapenaeus longirostris</w:t>
            </w:r>
          </w:p>
        </w:tc>
        <w:tc>
          <w:tcPr>
            <w:tcW w:w="3260" w:type="dxa"/>
            <w:vMerge/>
          </w:tcPr>
          <w:p w14:paraId="690772CA" w14:textId="77777777" w:rsidR="00971473" w:rsidRPr="00D716F4" w:rsidRDefault="00971473" w:rsidP="00971473">
            <w:pPr>
              <w:spacing w:before="0" w:after="0" w:line="240" w:lineRule="auto"/>
              <w:jc w:val="left"/>
              <w:rPr>
                <w:sz w:val="20"/>
                <w:szCs w:val="20"/>
                <w:lang w:val="sr-Latn-ME" w:eastAsia="en-US"/>
              </w:rPr>
            </w:pPr>
          </w:p>
        </w:tc>
      </w:tr>
      <w:tr w:rsidR="00971473" w:rsidRPr="00D716F4" w14:paraId="707A9AC4" w14:textId="77777777" w:rsidTr="00971473">
        <w:trPr>
          <w:trHeight w:val="807"/>
        </w:trPr>
        <w:tc>
          <w:tcPr>
            <w:tcW w:w="3397" w:type="dxa"/>
            <w:vMerge w:val="restart"/>
          </w:tcPr>
          <w:p w14:paraId="666469F8" w14:textId="77777777" w:rsidR="00971473" w:rsidRPr="00D716F4" w:rsidRDefault="00971473" w:rsidP="00971473">
            <w:pPr>
              <w:spacing w:before="0" w:after="0" w:line="240" w:lineRule="auto"/>
              <w:jc w:val="left"/>
              <w:rPr>
                <w:b/>
                <w:sz w:val="20"/>
                <w:szCs w:val="20"/>
                <w:lang w:val="sr-Latn-ME" w:eastAsia="en-US"/>
              </w:rPr>
            </w:pPr>
            <w:r>
              <w:rPr>
                <w:b/>
                <w:sz w:val="20"/>
                <w:szCs w:val="20"/>
                <w:lang w:val="sr-Latn-ME" w:eastAsia="en-US"/>
              </w:rPr>
              <w:t>D3C2 – Primarni</w:t>
            </w:r>
          </w:p>
          <w:p w14:paraId="35423DD7" w14:textId="77777777" w:rsidR="00971473" w:rsidRPr="00D716F4" w:rsidRDefault="00971473" w:rsidP="00971473">
            <w:pPr>
              <w:spacing w:before="0" w:after="0" w:line="240" w:lineRule="auto"/>
              <w:jc w:val="left"/>
              <w:rPr>
                <w:sz w:val="20"/>
                <w:szCs w:val="20"/>
                <w:lang w:val="sr-Latn-ME" w:eastAsia="en-US"/>
              </w:rPr>
            </w:pPr>
            <w:r w:rsidRPr="00F61E3B">
              <w:rPr>
                <w:sz w:val="20"/>
                <w:szCs w:val="20"/>
                <w:lang w:val="sr-Latn-ME" w:eastAsia="en-US"/>
              </w:rPr>
              <w:t>Biomasa</w:t>
            </w:r>
            <w:r>
              <w:rPr>
                <w:sz w:val="20"/>
                <w:szCs w:val="20"/>
                <w:lang w:val="sr-Latn-ME" w:eastAsia="en-US"/>
              </w:rPr>
              <w:t xml:space="preserve"> mrijestećeg</w:t>
            </w:r>
            <w:r w:rsidRPr="00F61E3B">
              <w:rPr>
                <w:sz w:val="20"/>
                <w:szCs w:val="20"/>
                <w:lang w:val="sr-Latn-ME" w:eastAsia="en-US"/>
              </w:rPr>
              <w:t xml:space="preserve"> stoka </w:t>
            </w:r>
            <w:r>
              <w:rPr>
                <w:sz w:val="20"/>
                <w:szCs w:val="20"/>
                <w:lang w:val="sr-Latn-ME" w:eastAsia="en-US"/>
              </w:rPr>
              <w:t>populacija vrsta koje se iskorišć</w:t>
            </w:r>
            <w:r w:rsidRPr="00F61E3B">
              <w:rPr>
                <w:sz w:val="20"/>
                <w:szCs w:val="20"/>
                <w:lang w:val="sr-Latn-ME" w:eastAsia="en-US"/>
              </w:rPr>
              <w:t>avaju</w:t>
            </w:r>
            <w:r>
              <w:rPr>
                <w:sz w:val="20"/>
                <w:szCs w:val="20"/>
                <w:lang w:val="sr-Latn-ME" w:eastAsia="en-US"/>
              </w:rPr>
              <w:t xml:space="preserve"> u komercijalne svrhe iznad je nivoa biomase koja omogućava</w:t>
            </w:r>
            <w:r w:rsidRPr="00F61E3B">
              <w:rPr>
                <w:sz w:val="20"/>
                <w:szCs w:val="20"/>
                <w:lang w:val="sr-Latn-ME" w:eastAsia="en-US"/>
              </w:rPr>
              <w:t xml:space="preserve"> najviši održivi prinos</w:t>
            </w:r>
            <w:r>
              <w:rPr>
                <w:sz w:val="20"/>
                <w:szCs w:val="20"/>
                <w:lang w:val="sr-Latn-ME" w:eastAsia="en-US"/>
              </w:rPr>
              <w:t>.</w:t>
            </w:r>
          </w:p>
        </w:tc>
        <w:tc>
          <w:tcPr>
            <w:tcW w:w="2694" w:type="dxa"/>
          </w:tcPr>
          <w:p w14:paraId="494B266A" w14:textId="77777777" w:rsidR="00971473" w:rsidRPr="00D716F4" w:rsidRDefault="00971473" w:rsidP="00971473">
            <w:pPr>
              <w:spacing w:before="0" w:after="0" w:line="240" w:lineRule="auto"/>
              <w:jc w:val="left"/>
              <w:rPr>
                <w:rFonts w:cs="Calibri"/>
                <w:b/>
                <w:bCs/>
                <w:i/>
                <w:iCs/>
                <w:sz w:val="20"/>
                <w:szCs w:val="20"/>
                <w:lang w:val="sr-Latn-ME" w:eastAsia="en-US"/>
              </w:rPr>
            </w:pPr>
            <w:r w:rsidRPr="00D716F4">
              <w:rPr>
                <w:rFonts w:cs="Calibri"/>
                <w:b/>
                <w:bCs/>
                <w:i/>
                <w:iCs/>
                <w:sz w:val="20"/>
                <w:szCs w:val="20"/>
                <w:lang w:val="sr-Latn-ME" w:eastAsia="en-US"/>
              </w:rPr>
              <w:t>Mullus barbatus</w:t>
            </w:r>
          </w:p>
          <w:p w14:paraId="630D8B05" w14:textId="77777777" w:rsidR="00971473" w:rsidRPr="00D716F4" w:rsidRDefault="00971473" w:rsidP="00971473">
            <w:pPr>
              <w:spacing w:before="0" w:after="0" w:line="240" w:lineRule="auto"/>
              <w:jc w:val="left"/>
              <w:rPr>
                <w:sz w:val="20"/>
                <w:szCs w:val="20"/>
                <w:lang w:val="sr-Latn-ME" w:eastAsia="en-US"/>
              </w:rPr>
            </w:pPr>
          </w:p>
        </w:tc>
        <w:tc>
          <w:tcPr>
            <w:tcW w:w="3260" w:type="dxa"/>
            <w:vMerge w:val="restart"/>
          </w:tcPr>
          <w:p w14:paraId="199B28D8" w14:textId="77777777" w:rsidR="00971473" w:rsidRPr="00D716F4" w:rsidRDefault="00971473" w:rsidP="00971473">
            <w:pPr>
              <w:spacing w:before="0" w:after="0" w:line="240" w:lineRule="auto"/>
              <w:jc w:val="left"/>
              <w:rPr>
                <w:sz w:val="20"/>
                <w:szCs w:val="20"/>
                <w:lang w:val="sr-Latn-ME" w:eastAsia="en-US"/>
              </w:rPr>
            </w:pPr>
            <w:r w:rsidRPr="00E4752A">
              <w:rPr>
                <w:sz w:val="20"/>
                <w:szCs w:val="20"/>
                <w:lang w:val="sr-Latn-ME" w:eastAsia="en-US"/>
              </w:rPr>
              <w:t>Prema izveštaju</w:t>
            </w:r>
            <w:r>
              <w:rPr>
                <w:rStyle w:val="FootnoteReference"/>
                <w:sz w:val="20"/>
                <w:szCs w:val="20"/>
                <w:lang w:val="sr-Latn-ME" w:eastAsia="en-US"/>
              </w:rPr>
              <w:footnoteReference w:id="20"/>
            </w:r>
            <w:r w:rsidRPr="00E4752A">
              <w:rPr>
                <w:sz w:val="20"/>
                <w:szCs w:val="20"/>
                <w:lang w:val="sr-Latn-ME" w:eastAsia="en-US"/>
              </w:rPr>
              <w:t xml:space="preserve"> FAO-a, „referentne tačke biomase nisu obično dostupne za proc</w:t>
            </w:r>
            <w:r>
              <w:rPr>
                <w:sz w:val="20"/>
                <w:szCs w:val="20"/>
                <w:lang w:val="sr-Latn-ME" w:eastAsia="en-US"/>
              </w:rPr>
              <w:t>ij</w:t>
            </w:r>
            <w:r w:rsidRPr="00E4752A">
              <w:rPr>
                <w:sz w:val="20"/>
                <w:szCs w:val="20"/>
                <w:lang w:val="sr-Latn-ME" w:eastAsia="en-US"/>
              </w:rPr>
              <w:t>enjene</w:t>
            </w:r>
            <w:r>
              <w:rPr>
                <w:sz w:val="20"/>
                <w:szCs w:val="20"/>
                <w:lang w:val="sr-Latn-ME" w:eastAsia="en-US"/>
              </w:rPr>
              <w:t xml:space="preserve"> stokove</w:t>
            </w:r>
            <w:r w:rsidRPr="00E4752A">
              <w:rPr>
                <w:sz w:val="20"/>
                <w:szCs w:val="20"/>
                <w:lang w:val="sr-Latn-ME" w:eastAsia="en-US"/>
              </w:rPr>
              <w:t>; stoga se procenat</w:t>
            </w:r>
            <w:r>
              <w:rPr>
                <w:sz w:val="20"/>
                <w:szCs w:val="20"/>
                <w:lang w:val="sr-Latn-ME" w:eastAsia="en-US"/>
              </w:rPr>
              <w:t xml:space="preserve"> ulovljenog</w:t>
            </w:r>
            <w:r w:rsidRPr="00E4752A">
              <w:rPr>
                <w:sz w:val="20"/>
                <w:szCs w:val="20"/>
                <w:lang w:val="sr-Latn-ME" w:eastAsia="en-US"/>
              </w:rPr>
              <w:t xml:space="preserve"> stoka van biološki održivih granica uglavnom proc</w:t>
            </w:r>
            <w:r>
              <w:rPr>
                <w:sz w:val="20"/>
                <w:szCs w:val="20"/>
                <w:lang w:val="sr-Latn-ME" w:eastAsia="en-US"/>
              </w:rPr>
              <w:t>j</w:t>
            </w:r>
            <w:r w:rsidRPr="00E4752A">
              <w:rPr>
                <w:sz w:val="20"/>
                <w:szCs w:val="20"/>
                <w:lang w:val="sr-Latn-ME" w:eastAsia="en-US"/>
              </w:rPr>
              <w:t xml:space="preserve">enjuje na osnovu nivoa ribolovne smrtnosti u odnosu na referentnu tačku </w:t>
            </w:r>
            <w:r>
              <w:rPr>
                <w:sz w:val="20"/>
                <w:szCs w:val="20"/>
                <w:lang w:val="sr-Latn-ME" w:eastAsia="en-US"/>
              </w:rPr>
              <w:t xml:space="preserve">ribolovnog </w:t>
            </w:r>
            <w:r w:rsidRPr="00E4752A">
              <w:rPr>
                <w:sz w:val="20"/>
                <w:szCs w:val="20"/>
                <w:lang w:val="sr-Latn-ME" w:eastAsia="en-US"/>
              </w:rPr>
              <w:t>mortaliteta</w:t>
            </w:r>
            <w:r>
              <w:rPr>
                <w:sz w:val="20"/>
                <w:szCs w:val="20"/>
                <w:lang w:val="sr-Latn-ME" w:eastAsia="en-US"/>
              </w:rPr>
              <w:t>.</w:t>
            </w:r>
            <w:r w:rsidRPr="00E4752A">
              <w:rPr>
                <w:sz w:val="20"/>
                <w:szCs w:val="20"/>
                <w:lang w:val="sr-Latn-ME" w:eastAsia="en-US"/>
              </w:rPr>
              <w:t>'</w:t>
            </w:r>
          </w:p>
        </w:tc>
      </w:tr>
      <w:tr w:rsidR="00971473" w:rsidRPr="00D716F4" w14:paraId="66CC0637" w14:textId="77777777" w:rsidTr="00971473">
        <w:trPr>
          <w:trHeight w:val="807"/>
        </w:trPr>
        <w:tc>
          <w:tcPr>
            <w:tcW w:w="3397" w:type="dxa"/>
            <w:vMerge/>
          </w:tcPr>
          <w:p w14:paraId="2A90492A" w14:textId="77777777" w:rsidR="00971473" w:rsidRPr="00D716F4" w:rsidRDefault="00971473" w:rsidP="00971473">
            <w:pPr>
              <w:spacing w:before="0" w:after="0" w:line="240" w:lineRule="auto"/>
              <w:jc w:val="left"/>
              <w:rPr>
                <w:b/>
                <w:sz w:val="20"/>
                <w:szCs w:val="20"/>
                <w:lang w:val="sr-Latn-ME" w:eastAsia="en-US"/>
              </w:rPr>
            </w:pPr>
          </w:p>
        </w:tc>
        <w:tc>
          <w:tcPr>
            <w:tcW w:w="2694" w:type="dxa"/>
          </w:tcPr>
          <w:p w14:paraId="7C53A2C0" w14:textId="77777777" w:rsidR="00971473" w:rsidRPr="00D716F4" w:rsidRDefault="00971473" w:rsidP="00971473">
            <w:pPr>
              <w:spacing w:before="0" w:after="0" w:line="240" w:lineRule="auto"/>
              <w:jc w:val="left"/>
              <w:rPr>
                <w:b/>
                <w:i/>
                <w:sz w:val="20"/>
                <w:szCs w:val="20"/>
                <w:lang w:val="sr-Latn-ME" w:eastAsia="en-US"/>
              </w:rPr>
            </w:pPr>
            <w:r w:rsidRPr="00D716F4">
              <w:rPr>
                <w:rFonts w:cs="Calibri"/>
                <w:b/>
                <w:bCs/>
                <w:i/>
                <w:iCs/>
                <w:sz w:val="20"/>
                <w:szCs w:val="20"/>
                <w:lang w:val="sr-Latn-ME" w:eastAsia="en-US"/>
              </w:rPr>
              <w:t>Merluccius merluccius</w:t>
            </w:r>
          </w:p>
        </w:tc>
        <w:tc>
          <w:tcPr>
            <w:tcW w:w="3260" w:type="dxa"/>
            <w:vMerge/>
          </w:tcPr>
          <w:p w14:paraId="2F979F6E" w14:textId="77777777" w:rsidR="00971473" w:rsidRPr="00D716F4" w:rsidRDefault="00971473" w:rsidP="00971473">
            <w:pPr>
              <w:spacing w:before="0" w:after="0" w:line="240" w:lineRule="auto"/>
              <w:jc w:val="left"/>
              <w:rPr>
                <w:sz w:val="20"/>
                <w:szCs w:val="20"/>
                <w:lang w:val="sr-Latn-ME" w:eastAsia="en-US"/>
              </w:rPr>
            </w:pPr>
          </w:p>
        </w:tc>
      </w:tr>
      <w:tr w:rsidR="00971473" w:rsidRPr="00D716F4" w14:paraId="773E658C" w14:textId="77777777" w:rsidTr="00971473">
        <w:trPr>
          <w:trHeight w:val="807"/>
        </w:trPr>
        <w:tc>
          <w:tcPr>
            <w:tcW w:w="3397" w:type="dxa"/>
            <w:vMerge/>
          </w:tcPr>
          <w:p w14:paraId="3C176238" w14:textId="77777777" w:rsidR="00971473" w:rsidRPr="00D716F4" w:rsidRDefault="00971473" w:rsidP="00971473">
            <w:pPr>
              <w:spacing w:before="0" w:after="0" w:line="240" w:lineRule="auto"/>
              <w:jc w:val="left"/>
              <w:rPr>
                <w:b/>
                <w:sz w:val="20"/>
                <w:szCs w:val="20"/>
                <w:lang w:val="sr-Latn-ME" w:eastAsia="en-US"/>
              </w:rPr>
            </w:pPr>
          </w:p>
        </w:tc>
        <w:tc>
          <w:tcPr>
            <w:tcW w:w="2694" w:type="dxa"/>
          </w:tcPr>
          <w:p w14:paraId="681FC9F2" w14:textId="77777777" w:rsidR="00971473" w:rsidRPr="00D716F4" w:rsidRDefault="00971473" w:rsidP="00971473">
            <w:pPr>
              <w:spacing w:before="0" w:after="0" w:line="240" w:lineRule="auto"/>
              <w:jc w:val="left"/>
              <w:rPr>
                <w:sz w:val="20"/>
                <w:szCs w:val="20"/>
                <w:lang w:val="sr-Latn-ME" w:eastAsia="en-US"/>
              </w:rPr>
            </w:pPr>
            <w:r w:rsidRPr="00D716F4">
              <w:rPr>
                <w:rFonts w:cs="Calibri"/>
                <w:b/>
                <w:bCs/>
                <w:i/>
                <w:iCs/>
                <w:sz w:val="20"/>
                <w:szCs w:val="20"/>
                <w:lang w:val="sr-Latn-ME" w:eastAsia="en-US"/>
              </w:rPr>
              <w:t>Parapenaeus longirostris</w:t>
            </w:r>
          </w:p>
        </w:tc>
        <w:tc>
          <w:tcPr>
            <w:tcW w:w="3260" w:type="dxa"/>
            <w:vMerge/>
          </w:tcPr>
          <w:p w14:paraId="26932D52" w14:textId="77777777" w:rsidR="00971473" w:rsidRPr="00D716F4" w:rsidRDefault="00971473" w:rsidP="00971473">
            <w:pPr>
              <w:spacing w:before="0" w:after="0" w:line="240" w:lineRule="auto"/>
              <w:jc w:val="left"/>
              <w:rPr>
                <w:sz w:val="20"/>
                <w:szCs w:val="20"/>
                <w:lang w:val="sr-Latn-ME" w:eastAsia="en-US"/>
              </w:rPr>
            </w:pPr>
          </w:p>
        </w:tc>
      </w:tr>
      <w:tr w:rsidR="00971473" w:rsidRPr="00D716F4" w14:paraId="45F68F1C" w14:textId="77777777" w:rsidTr="00971473">
        <w:trPr>
          <w:trHeight w:val="521"/>
        </w:trPr>
        <w:tc>
          <w:tcPr>
            <w:tcW w:w="3397" w:type="dxa"/>
            <w:vMerge w:val="restart"/>
          </w:tcPr>
          <w:p w14:paraId="2FCAA5FE" w14:textId="77777777" w:rsidR="00971473" w:rsidRPr="00D716F4" w:rsidRDefault="00971473" w:rsidP="00971473">
            <w:pPr>
              <w:spacing w:before="0" w:after="0" w:line="240" w:lineRule="auto"/>
              <w:jc w:val="left"/>
              <w:rPr>
                <w:b/>
                <w:sz w:val="20"/>
                <w:szCs w:val="20"/>
                <w:lang w:val="sr-Latn-ME" w:eastAsia="en-US"/>
              </w:rPr>
            </w:pPr>
            <w:r>
              <w:rPr>
                <w:b/>
                <w:sz w:val="20"/>
                <w:szCs w:val="20"/>
                <w:lang w:val="sr-Latn-ME" w:eastAsia="en-US"/>
              </w:rPr>
              <w:t>D3C3 – Primarni</w:t>
            </w:r>
          </w:p>
          <w:p w14:paraId="0C4EDE1D" w14:textId="77777777" w:rsidR="00971473" w:rsidRPr="00D716F4" w:rsidRDefault="00971473" w:rsidP="00971473">
            <w:pPr>
              <w:spacing w:before="0" w:after="0" w:line="240" w:lineRule="auto"/>
              <w:jc w:val="left"/>
              <w:rPr>
                <w:sz w:val="20"/>
                <w:szCs w:val="20"/>
                <w:lang w:val="sr-Latn-ME" w:eastAsia="en-US"/>
              </w:rPr>
            </w:pPr>
            <w:r>
              <w:rPr>
                <w:sz w:val="20"/>
                <w:szCs w:val="20"/>
                <w:lang w:val="sr-Latn-ME" w:eastAsia="en-US"/>
              </w:rPr>
              <w:t>Raspodjela jedinki po starosti</w:t>
            </w:r>
            <w:r w:rsidRPr="00E4752A">
              <w:rPr>
                <w:sz w:val="20"/>
                <w:szCs w:val="20"/>
                <w:lang w:val="sr-Latn-ME" w:eastAsia="en-US"/>
              </w:rPr>
              <w:t xml:space="preserve"> i veličini u popu</w:t>
            </w:r>
            <w:r>
              <w:rPr>
                <w:sz w:val="20"/>
                <w:szCs w:val="20"/>
                <w:lang w:val="sr-Latn-ME" w:eastAsia="en-US"/>
              </w:rPr>
              <w:t xml:space="preserve">lacijama vrsta koje se iskorišćavaju u komercijalne </w:t>
            </w:r>
            <w:r w:rsidRPr="00E4752A">
              <w:rPr>
                <w:sz w:val="20"/>
                <w:szCs w:val="20"/>
                <w:lang w:val="sr-Latn-ME" w:eastAsia="en-US"/>
              </w:rPr>
              <w:t>svrhe ukazuje na zdravu populaciju.</w:t>
            </w:r>
          </w:p>
          <w:p w14:paraId="48ABB409" w14:textId="77777777" w:rsidR="00971473" w:rsidRPr="00D716F4" w:rsidRDefault="00971473" w:rsidP="00971473">
            <w:pPr>
              <w:spacing w:before="0" w:after="0" w:line="240" w:lineRule="auto"/>
              <w:jc w:val="left"/>
              <w:rPr>
                <w:sz w:val="20"/>
                <w:szCs w:val="20"/>
                <w:lang w:val="sr-Latn-ME" w:eastAsia="en-US"/>
              </w:rPr>
            </w:pPr>
          </w:p>
        </w:tc>
        <w:tc>
          <w:tcPr>
            <w:tcW w:w="2694" w:type="dxa"/>
          </w:tcPr>
          <w:p w14:paraId="7E268B44" w14:textId="77777777" w:rsidR="00971473" w:rsidRPr="00D716F4" w:rsidRDefault="00971473" w:rsidP="00971473">
            <w:pPr>
              <w:spacing w:before="0" w:after="0" w:line="240" w:lineRule="auto"/>
              <w:jc w:val="left"/>
              <w:rPr>
                <w:rFonts w:cs="Calibri"/>
                <w:b/>
                <w:bCs/>
                <w:i/>
                <w:iCs/>
                <w:sz w:val="20"/>
                <w:szCs w:val="20"/>
                <w:lang w:val="sr-Latn-ME" w:eastAsia="en-US"/>
              </w:rPr>
            </w:pPr>
            <w:r w:rsidRPr="00D716F4">
              <w:rPr>
                <w:rFonts w:cs="Calibri"/>
                <w:b/>
                <w:bCs/>
                <w:i/>
                <w:iCs/>
                <w:sz w:val="20"/>
                <w:szCs w:val="20"/>
                <w:lang w:val="sr-Latn-ME" w:eastAsia="en-US"/>
              </w:rPr>
              <w:t>Mullus barbatus</w:t>
            </w:r>
          </w:p>
          <w:p w14:paraId="27B9B347" w14:textId="77777777" w:rsidR="00971473" w:rsidRPr="00D716F4" w:rsidRDefault="00971473" w:rsidP="00971473">
            <w:pPr>
              <w:spacing w:before="0" w:after="0"/>
              <w:jc w:val="left"/>
              <w:rPr>
                <w:rFonts w:cs="Calibri"/>
                <w:bCs/>
                <w:color w:val="000000"/>
                <w:sz w:val="20"/>
                <w:szCs w:val="20"/>
                <w:lang w:val="sr-Latn-ME" w:eastAsia="en-US"/>
              </w:rPr>
            </w:pPr>
          </w:p>
        </w:tc>
        <w:tc>
          <w:tcPr>
            <w:tcW w:w="3260" w:type="dxa"/>
            <w:vMerge w:val="restart"/>
          </w:tcPr>
          <w:p w14:paraId="1A1F8323" w14:textId="77777777" w:rsidR="00971473" w:rsidRPr="00D716F4" w:rsidRDefault="00971473" w:rsidP="00971473">
            <w:pPr>
              <w:spacing w:before="0" w:after="0" w:line="240" w:lineRule="auto"/>
              <w:jc w:val="left"/>
              <w:rPr>
                <w:rFonts w:cs="Calibri"/>
                <w:bCs/>
                <w:color w:val="000000"/>
                <w:sz w:val="20"/>
                <w:szCs w:val="20"/>
                <w:lang w:val="sr-Latn-ME" w:eastAsia="en-US"/>
              </w:rPr>
            </w:pPr>
            <w:r w:rsidRPr="00E4752A">
              <w:rPr>
                <w:rFonts w:cs="Calibri"/>
                <w:bCs/>
                <w:color w:val="000000"/>
                <w:sz w:val="20"/>
                <w:szCs w:val="20"/>
                <w:lang w:val="sr-Latn-ME" w:eastAsia="en-US"/>
              </w:rPr>
              <w:t>Raspod</w:t>
            </w:r>
            <w:r>
              <w:rPr>
                <w:rFonts w:cs="Calibri"/>
                <w:bCs/>
                <w:color w:val="000000"/>
                <w:sz w:val="20"/>
                <w:szCs w:val="20"/>
                <w:lang w:val="sr-Latn-ME" w:eastAsia="en-US"/>
              </w:rPr>
              <w:t>j</w:t>
            </w:r>
            <w:r w:rsidRPr="00E4752A">
              <w:rPr>
                <w:rFonts w:cs="Calibri"/>
                <w:bCs/>
                <w:color w:val="000000"/>
                <w:sz w:val="20"/>
                <w:szCs w:val="20"/>
                <w:lang w:val="sr-Latn-ME" w:eastAsia="en-US"/>
              </w:rPr>
              <w:t>ela jedinki iz komercijalnog ulova po veličini je prikladna za dotične vrste i ribolovne alate.</w:t>
            </w:r>
          </w:p>
        </w:tc>
      </w:tr>
      <w:tr w:rsidR="00971473" w:rsidRPr="00D716F4" w14:paraId="373598FA" w14:textId="77777777" w:rsidTr="00971473">
        <w:trPr>
          <w:trHeight w:val="341"/>
        </w:trPr>
        <w:tc>
          <w:tcPr>
            <w:tcW w:w="3397" w:type="dxa"/>
            <w:vMerge/>
          </w:tcPr>
          <w:p w14:paraId="1EDD0442" w14:textId="77777777" w:rsidR="00971473" w:rsidRPr="00D716F4" w:rsidRDefault="00971473" w:rsidP="00971473">
            <w:pPr>
              <w:spacing w:before="0" w:after="0" w:line="240" w:lineRule="auto"/>
              <w:rPr>
                <w:b/>
                <w:sz w:val="20"/>
                <w:szCs w:val="20"/>
                <w:lang w:val="sr-Latn-ME" w:eastAsia="en-US"/>
              </w:rPr>
            </w:pPr>
          </w:p>
        </w:tc>
        <w:tc>
          <w:tcPr>
            <w:tcW w:w="2694" w:type="dxa"/>
          </w:tcPr>
          <w:p w14:paraId="1FF91EB6" w14:textId="77777777" w:rsidR="00971473" w:rsidRPr="00D716F4" w:rsidRDefault="00971473" w:rsidP="00971473">
            <w:pPr>
              <w:spacing w:before="0" w:after="0"/>
              <w:rPr>
                <w:rFonts w:cs="Calibri"/>
                <w:b/>
                <w:bCs/>
                <w:i/>
                <w:color w:val="000000"/>
                <w:sz w:val="20"/>
                <w:szCs w:val="20"/>
                <w:lang w:val="sr-Latn-ME" w:eastAsia="en-US"/>
              </w:rPr>
            </w:pPr>
            <w:r w:rsidRPr="00D716F4">
              <w:rPr>
                <w:rFonts w:cs="Calibri"/>
                <w:b/>
                <w:bCs/>
                <w:i/>
                <w:color w:val="000000"/>
                <w:sz w:val="20"/>
                <w:szCs w:val="20"/>
                <w:lang w:val="sr-Latn-ME" w:eastAsia="en-US"/>
              </w:rPr>
              <w:t>Merluccius merluccius</w:t>
            </w:r>
          </w:p>
          <w:p w14:paraId="331BF194" w14:textId="77777777" w:rsidR="00971473" w:rsidRPr="00D716F4" w:rsidRDefault="00971473" w:rsidP="00971473">
            <w:pPr>
              <w:spacing w:before="0" w:after="0"/>
              <w:rPr>
                <w:rFonts w:cs="Calibri"/>
                <w:b/>
                <w:bCs/>
                <w:i/>
                <w:color w:val="000000"/>
                <w:sz w:val="20"/>
                <w:szCs w:val="20"/>
                <w:lang w:val="sr-Latn-ME" w:eastAsia="en-US"/>
              </w:rPr>
            </w:pPr>
          </w:p>
        </w:tc>
        <w:tc>
          <w:tcPr>
            <w:tcW w:w="3260" w:type="dxa"/>
            <w:vMerge/>
          </w:tcPr>
          <w:p w14:paraId="520F7CDA" w14:textId="77777777" w:rsidR="00971473" w:rsidRPr="00D716F4" w:rsidRDefault="00971473" w:rsidP="00971473">
            <w:pPr>
              <w:spacing w:before="0" w:after="0"/>
              <w:rPr>
                <w:rFonts w:cs="Calibri"/>
                <w:bCs/>
                <w:color w:val="000000"/>
                <w:sz w:val="20"/>
                <w:szCs w:val="20"/>
                <w:lang w:val="sr-Latn-ME" w:eastAsia="en-US"/>
              </w:rPr>
            </w:pPr>
          </w:p>
        </w:tc>
      </w:tr>
      <w:tr w:rsidR="00971473" w:rsidRPr="00D716F4" w14:paraId="7CA38328" w14:textId="77777777" w:rsidTr="00971473">
        <w:trPr>
          <w:trHeight w:val="251"/>
        </w:trPr>
        <w:tc>
          <w:tcPr>
            <w:tcW w:w="3397" w:type="dxa"/>
            <w:vMerge/>
          </w:tcPr>
          <w:p w14:paraId="1E3A8A3C" w14:textId="77777777" w:rsidR="00971473" w:rsidRPr="00D716F4" w:rsidRDefault="00971473" w:rsidP="00971473">
            <w:pPr>
              <w:spacing w:before="0" w:after="0" w:line="240" w:lineRule="auto"/>
              <w:rPr>
                <w:b/>
                <w:sz w:val="20"/>
                <w:szCs w:val="20"/>
                <w:lang w:val="sr-Latn-ME" w:eastAsia="en-US"/>
              </w:rPr>
            </w:pPr>
          </w:p>
        </w:tc>
        <w:tc>
          <w:tcPr>
            <w:tcW w:w="2694" w:type="dxa"/>
          </w:tcPr>
          <w:p w14:paraId="46D5EA5A" w14:textId="77777777" w:rsidR="00971473" w:rsidRPr="00D716F4" w:rsidRDefault="00971473" w:rsidP="00971473">
            <w:pPr>
              <w:spacing w:before="0" w:after="0"/>
              <w:rPr>
                <w:rFonts w:cs="Calibri"/>
                <w:b/>
                <w:bCs/>
                <w:i/>
                <w:color w:val="000000"/>
                <w:sz w:val="20"/>
                <w:szCs w:val="20"/>
                <w:lang w:val="sr-Latn-ME" w:eastAsia="en-US"/>
              </w:rPr>
            </w:pPr>
            <w:r w:rsidRPr="00D716F4">
              <w:rPr>
                <w:rFonts w:cs="Calibri"/>
                <w:b/>
                <w:bCs/>
                <w:i/>
                <w:color w:val="000000"/>
                <w:sz w:val="20"/>
                <w:szCs w:val="20"/>
                <w:lang w:val="sr-Latn-ME" w:eastAsia="en-US"/>
              </w:rPr>
              <w:t>Parapenaeus longirostris</w:t>
            </w:r>
          </w:p>
        </w:tc>
        <w:tc>
          <w:tcPr>
            <w:tcW w:w="3260" w:type="dxa"/>
            <w:vMerge/>
          </w:tcPr>
          <w:p w14:paraId="178C4E46" w14:textId="77777777" w:rsidR="00971473" w:rsidRPr="00D716F4" w:rsidRDefault="00971473" w:rsidP="00971473">
            <w:pPr>
              <w:spacing w:before="0" w:after="0"/>
              <w:rPr>
                <w:rFonts w:cs="Calibri"/>
                <w:bCs/>
                <w:color w:val="000000"/>
                <w:sz w:val="20"/>
                <w:szCs w:val="20"/>
                <w:lang w:val="sr-Latn-ME" w:eastAsia="en-US"/>
              </w:rPr>
            </w:pPr>
          </w:p>
        </w:tc>
      </w:tr>
      <w:bookmarkEnd w:id="115"/>
    </w:tbl>
    <w:p w14:paraId="27EB8A6C" w14:textId="77777777" w:rsidR="00971473" w:rsidRPr="00D716F4" w:rsidRDefault="00971473" w:rsidP="00971473">
      <w:pPr>
        <w:spacing w:before="0" w:after="0" w:line="240" w:lineRule="auto"/>
        <w:jc w:val="left"/>
        <w:rPr>
          <w:rFonts w:cs="Calibri"/>
          <w:b/>
          <w:szCs w:val="22"/>
          <w:lang w:val="sr-Latn-ME" w:eastAsia="en-US"/>
        </w:rPr>
      </w:pPr>
    </w:p>
    <w:p w14:paraId="79EF2AF5" w14:textId="674FE86C" w:rsidR="00E800A8" w:rsidRDefault="00E800A8" w:rsidP="00971473">
      <w:pPr>
        <w:spacing w:before="0" w:after="0" w:line="240" w:lineRule="auto"/>
        <w:jc w:val="left"/>
        <w:rPr>
          <w:rFonts w:cs="Calibri"/>
          <w:b/>
          <w:szCs w:val="22"/>
          <w:lang w:val="sr-Latn-ME" w:eastAsia="en-US"/>
        </w:rPr>
      </w:pPr>
    </w:p>
    <w:p w14:paraId="7F9454F7" w14:textId="77777777" w:rsidR="00E800A8" w:rsidRPr="00D716F4" w:rsidRDefault="00E800A8" w:rsidP="00971473">
      <w:pPr>
        <w:spacing w:before="0" w:after="0" w:line="240" w:lineRule="auto"/>
        <w:jc w:val="left"/>
        <w:rPr>
          <w:rFonts w:cs="Calibri"/>
          <w:b/>
          <w:szCs w:val="22"/>
          <w:lang w:val="sr-Latn-ME" w:eastAsia="en-US"/>
        </w:rPr>
      </w:pPr>
    </w:p>
    <w:p w14:paraId="731473FE" w14:textId="77777777" w:rsidR="00971473" w:rsidRPr="00D716F4" w:rsidRDefault="00971473" w:rsidP="00971473">
      <w:pPr>
        <w:spacing w:line="240" w:lineRule="auto"/>
        <w:rPr>
          <w:rFonts w:eastAsia="Calibri" w:cs="Calibri"/>
          <w:b/>
          <w:bCs/>
          <w:szCs w:val="22"/>
          <w:lang w:val="sr-Latn-ME" w:eastAsia="en-US"/>
        </w:rPr>
      </w:pPr>
      <w:bookmarkStart w:id="116" w:name="_Toc69718374"/>
      <w:bookmarkStart w:id="117" w:name="_Toc83643164"/>
      <w:r>
        <w:rPr>
          <w:rFonts w:cs="Calibri"/>
          <w:b/>
          <w:szCs w:val="22"/>
          <w:lang w:val="sr-Latn-ME" w:eastAsia="en-US"/>
        </w:rPr>
        <w:t>Tabela</w:t>
      </w:r>
      <w:r w:rsidRPr="00D716F4">
        <w:rPr>
          <w:rFonts w:cs="Calibri"/>
          <w:b/>
          <w:szCs w:val="22"/>
          <w:lang w:val="sr-Latn-ME" w:eastAsia="en-US"/>
        </w:rPr>
        <w:t xml:space="preserve"> </w:t>
      </w:r>
      <w:r w:rsidRPr="00D716F4">
        <w:rPr>
          <w:b/>
          <w:szCs w:val="22"/>
          <w:lang w:val="sr-Latn-ME"/>
        </w:rPr>
        <w:fldChar w:fldCharType="begin"/>
      </w:r>
      <w:r w:rsidRPr="00D716F4">
        <w:rPr>
          <w:b/>
          <w:szCs w:val="22"/>
          <w:lang w:val="sr-Latn-ME"/>
        </w:rPr>
        <w:instrText xml:space="preserve"> STYLEREF 1 \s </w:instrText>
      </w:r>
      <w:r w:rsidRPr="00D716F4">
        <w:rPr>
          <w:b/>
          <w:szCs w:val="22"/>
          <w:lang w:val="sr-Latn-ME"/>
        </w:rPr>
        <w:fldChar w:fldCharType="separate"/>
      </w:r>
      <w:r w:rsidR="000D1E20">
        <w:rPr>
          <w:b/>
          <w:noProof/>
          <w:szCs w:val="22"/>
          <w:lang w:val="sr-Latn-ME"/>
        </w:rPr>
        <w:t>2</w:t>
      </w:r>
      <w:r w:rsidRPr="00D716F4">
        <w:rPr>
          <w:b/>
          <w:szCs w:val="22"/>
          <w:lang w:val="sr-Latn-ME"/>
        </w:rPr>
        <w:fldChar w:fldCharType="end"/>
      </w:r>
      <w:r w:rsidRPr="00D716F4">
        <w:rPr>
          <w:b/>
          <w:szCs w:val="22"/>
          <w:lang w:val="sr-Latn-ME"/>
        </w:rPr>
        <w:t>.</w:t>
      </w:r>
      <w:r w:rsidRPr="00D716F4">
        <w:rPr>
          <w:b/>
          <w:szCs w:val="22"/>
          <w:lang w:val="sr-Latn-ME"/>
        </w:rPr>
        <w:fldChar w:fldCharType="begin"/>
      </w:r>
      <w:r w:rsidRPr="00D716F4">
        <w:rPr>
          <w:b/>
          <w:szCs w:val="22"/>
          <w:lang w:val="sr-Latn-ME"/>
        </w:rPr>
        <w:instrText xml:space="preserve"> SEQ Table \* ARABIC \s 1 </w:instrText>
      </w:r>
      <w:r w:rsidRPr="00D716F4">
        <w:rPr>
          <w:b/>
          <w:szCs w:val="22"/>
          <w:lang w:val="sr-Latn-ME"/>
        </w:rPr>
        <w:fldChar w:fldCharType="separate"/>
      </w:r>
      <w:r w:rsidR="000D1E20">
        <w:rPr>
          <w:b/>
          <w:noProof/>
          <w:szCs w:val="22"/>
          <w:lang w:val="sr-Latn-ME"/>
        </w:rPr>
        <w:t>6</w:t>
      </w:r>
      <w:r w:rsidRPr="00D716F4">
        <w:rPr>
          <w:b/>
          <w:szCs w:val="22"/>
          <w:lang w:val="sr-Latn-ME"/>
        </w:rPr>
        <w:fldChar w:fldCharType="end"/>
      </w:r>
      <w:r w:rsidRPr="00D716F4">
        <w:rPr>
          <w:b/>
          <w:szCs w:val="22"/>
          <w:lang w:val="sr-Latn-ME"/>
        </w:rPr>
        <w:t>.</w:t>
      </w:r>
      <w:r w:rsidRPr="00D716F4">
        <w:rPr>
          <w:rFonts w:eastAsia="Calibri" w:cs="Calibri"/>
          <w:b/>
          <w:szCs w:val="22"/>
          <w:lang w:val="sr-Latn-ME" w:eastAsia="en-US"/>
        </w:rPr>
        <w:t xml:space="preserve"> </w:t>
      </w:r>
      <w:r>
        <w:rPr>
          <w:rFonts w:eastAsia="Calibri" w:cs="Calibri"/>
          <w:b/>
          <w:szCs w:val="22"/>
          <w:lang w:val="sr-Latn-ME" w:eastAsia="en-US"/>
        </w:rPr>
        <w:t xml:space="preserve">Procjena </w:t>
      </w:r>
      <w:r w:rsidRPr="00D716F4">
        <w:rPr>
          <w:rFonts w:eastAsia="Calibri" w:cs="Calibri"/>
          <w:b/>
          <w:szCs w:val="22"/>
          <w:lang w:val="sr-Latn-ME" w:eastAsia="en-US"/>
        </w:rPr>
        <w:t>GES</w:t>
      </w:r>
      <w:r>
        <w:rPr>
          <w:rFonts w:eastAsia="Calibri" w:cs="Calibri"/>
          <w:b/>
          <w:szCs w:val="22"/>
          <w:lang w:val="sr-Latn-ME" w:eastAsia="en-US"/>
        </w:rPr>
        <w:t>-a za pelagične vrste prema kriterijumima iz Odluke Komisije</w:t>
      </w:r>
      <w:r w:rsidRPr="00D716F4">
        <w:rPr>
          <w:rFonts w:eastAsia="Calibri" w:cs="Calibri"/>
          <w:b/>
          <w:szCs w:val="22"/>
          <w:lang w:val="sr-Latn-ME" w:eastAsia="en-US"/>
        </w:rPr>
        <w:t xml:space="preserve"> 2017/845/EU</w:t>
      </w:r>
      <w:bookmarkEnd w:id="116"/>
      <w:r>
        <w:rPr>
          <w:rFonts w:eastAsia="Calibri" w:cs="Calibri"/>
          <w:b/>
          <w:bCs/>
          <w:szCs w:val="22"/>
          <w:lang w:val="sr-Latn-ME" w:eastAsia="en-US"/>
        </w:rPr>
        <w:t>.</w:t>
      </w:r>
      <w:bookmarkEnd w:id="117"/>
    </w:p>
    <w:tbl>
      <w:tblPr>
        <w:tblStyle w:val="GolderTable33"/>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397"/>
        <w:gridCol w:w="2694"/>
        <w:gridCol w:w="3260"/>
      </w:tblGrid>
      <w:tr w:rsidR="00115E47" w:rsidRPr="00D716F4" w14:paraId="48C1755F" w14:textId="77777777" w:rsidTr="00B23467">
        <w:trPr>
          <w:tblHeader/>
        </w:trPr>
        <w:tc>
          <w:tcPr>
            <w:tcW w:w="935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38A61BEB" w14:textId="77777777" w:rsidR="00115E47" w:rsidRPr="00B23467" w:rsidRDefault="00115E47" w:rsidP="00D133D9">
            <w:pPr>
              <w:spacing w:before="0" w:after="0" w:line="240" w:lineRule="auto"/>
              <w:jc w:val="center"/>
              <w:rPr>
                <w:b/>
                <w:color w:val="FFFFFF" w:themeColor="background1"/>
                <w:lang w:val="sr-Latn-ME" w:eastAsia="en-US"/>
              </w:rPr>
            </w:pPr>
          </w:p>
          <w:p w14:paraId="6E36D620" w14:textId="72733D6F" w:rsidR="00115E47" w:rsidRPr="00B23467" w:rsidRDefault="00115E47" w:rsidP="00D133D9">
            <w:pPr>
              <w:spacing w:before="0" w:after="0" w:line="240" w:lineRule="auto"/>
              <w:jc w:val="center"/>
              <w:rPr>
                <w:b/>
                <w:color w:val="FFFFFF" w:themeColor="background1"/>
                <w:lang w:val="sr-Latn-ME" w:eastAsia="en-US"/>
              </w:rPr>
            </w:pPr>
            <w:r w:rsidRPr="00B23467">
              <w:rPr>
                <w:b/>
                <w:color w:val="FFFFFF" w:themeColor="background1"/>
                <w:lang w:val="sr-Latn-ME" w:eastAsia="en-US"/>
              </w:rPr>
              <w:t xml:space="preserve">Područje procjene: </w:t>
            </w:r>
            <w:r w:rsidR="00D133D9" w:rsidRPr="00B23467">
              <w:rPr>
                <w:b/>
                <w:color w:val="FFFFFF" w:themeColor="background1"/>
                <w:lang w:val="sr-Latn-ME" w:eastAsia="en-US"/>
              </w:rPr>
              <w:t>subregionalni nivo – Jadransko more</w:t>
            </w:r>
          </w:p>
        </w:tc>
      </w:tr>
      <w:tr w:rsidR="00971473" w:rsidRPr="00D716F4" w14:paraId="21E50D20" w14:textId="77777777" w:rsidTr="00B23467">
        <w:trPr>
          <w:tblHeader/>
        </w:trPr>
        <w:tc>
          <w:tcPr>
            <w:tcW w:w="935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2B2B9A7" w14:textId="77777777" w:rsidR="00971473" w:rsidRPr="00B23467" w:rsidRDefault="00971473" w:rsidP="00971473">
            <w:pPr>
              <w:spacing w:before="0" w:after="0" w:line="240" w:lineRule="auto"/>
              <w:rPr>
                <w:b/>
                <w:color w:val="FFFFFF" w:themeColor="background1"/>
                <w:sz w:val="20"/>
                <w:szCs w:val="20"/>
                <w:lang w:val="sr-Latn-ME" w:eastAsia="en-US"/>
              </w:rPr>
            </w:pPr>
            <w:r w:rsidRPr="00B23467">
              <w:rPr>
                <w:b/>
                <w:color w:val="FFFFFF" w:themeColor="background1"/>
                <w:sz w:val="20"/>
                <w:szCs w:val="20"/>
                <w:lang w:val="sr-Latn-ME" w:eastAsia="en-US"/>
              </w:rPr>
              <w:t>GES za pelagične vrste</w:t>
            </w:r>
          </w:p>
          <w:p w14:paraId="4D89288A" w14:textId="77777777" w:rsidR="00971473" w:rsidRPr="00B23467" w:rsidRDefault="00971473" w:rsidP="00971473">
            <w:pPr>
              <w:spacing w:before="0" w:after="0" w:line="240" w:lineRule="auto"/>
              <w:rPr>
                <w:b/>
                <w:color w:val="FFFFFF" w:themeColor="background1"/>
                <w:sz w:val="20"/>
                <w:szCs w:val="20"/>
                <w:lang w:val="sr-Latn-ME" w:eastAsia="en-US"/>
              </w:rPr>
            </w:pPr>
          </w:p>
        </w:tc>
      </w:tr>
      <w:tr w:rsidR="00971473" w:rsidRPr="00D716F4" w14:paraId="4D866FE8" w14:textId="77777777" w:rsidTr="00B23467">
        <w:trPr>
          <w:tblHeader/>
        </w:trPr>
        <w:tc>
          <w:tcPr>
            <w:tcW w:w="3397" w:type="dxa"/>
            <w:tcBorders>
              <w:top w:val="single" w:sz="4" w:space="0" w:color="FFFFFF" w:themeColor="background1"/>
            </w:tcBorders>
            <w:shd w:val="clear" w:color="auto" w:fill="8DB3E2" w:themeFill="text2" w:themeFillTint="66"/>
          </w:tcPr>
          <w:p w14:paraId="6B355A0A" w14:textId="77777777" w:rsidR="00971473" w:rsidRPr="00D716F4" w:rsidRDefault="00971473" w:rsidP="00971473">
            <w:pPr>
              <w:spacing w:before="0" w:after="0" w:line="240" w:lineRule="auto"/>
              <w:rPr>
                <w:b/>
                <w:sz w:val="20"/>
                <w:szCs w:val="20"/>
                <w:lang w:val="sr-Latn-ME" w:eastAsia="en-US"/>
              </w:rPr>
            </w:pPr>
            <w:r>
              <w:rPr>
                <w:b/>
                <w:sz w:val="20"/>
                <w:szCs w:val="20"/>
                <w:lang w:val="sr-Latn-ME" w:eastAsia="en-US"/>
              </w:rPr>
              <w:t>Kriterijum</w:t>
            </w:r>
          </w:p>
        </w:tc>
        <w:tc>
          <w:tcPr>
            <w:tcW w:w="2694" w:type="dxa"/>
            <w:tcBorders>
              <w:top w:val="single" w:sz="4" w:space="0" w:color="FFFFFF" w:themeColor="background1"/>
            </w:tcBorders>
            <w:shd w:val="clear" w:color="auto" w:fill="8DB3E2" w:themeFill="text2" w:themeFillTint="66"/>
          </w:tcPr>
          <w:p w14:paraId="78CC3488" w14:textId="77777777" w:rsidR="00971473" w:rsidRPr="00D716F4" w:rsidRDefault="00971473" w:rsidP="00971473">
            <w:pPr>
              <w:spacing w:before="0" w:after="0" w:line="240" w:lineRule="auto"/>
              <w:rPr>
                <w:b/>
                <w:sz w:val="20"/>
                <w:szCs w:val="20"/>
                <w:lang w:val="sr-Latn-ME" w:eastAsia="en-US"/>
              </w:rPr>
            </w:pPr>
            <w:r>
              <w:rPr>
                <w:b/>
                <w:sz w:val="20"/>
                <w:szCs w:val="20"/>
                <w:lang w:val="sr-Latn-ME" w:eastAsia="en-US"/>
              </w:rPr>
              <w:t>Odabrane vrste</w:t>
            </w:r>
          </w:p>
        </w:tc>
        <w:tc>
          <w:tcPr>
            <w:tcW w:w="3260" w:type="dxa"/>
            <w:tcBorders>
              <w:top w:val="single" w:sz="4" w:space="0" w:color="FFFFFF" w:themeColor="background1"/>
            </w:tcBorders>
            <w:shd w:val="clear" w:color="auto" w:fill="8DB3E2" w:themeFill="text2" w:themeFillTint="66"/>
          </w:tcPr>
          <w:p w14:paraId="4D082BD5" w14:textId="77777777" w:rsidR="00971473" w:rsidRPr="00D716F4" w:rsidRDefault="00971473" w:rsidP="00971473">
            <w:pPr>
              <w:spacing w:before="0" w:after="0" w:line="240" w:lineRule="auto"/>
              <w:rPr>
                <w:b/>
                <w:sz w:val="20"/>
                <w:szCs w:val="20"/>
                <w:lang w:val="sr-Latn-ME" w:eastAsia="en-US"/>
              </w:rPr>
            </w:pPr>
            <w:r w:rsidRPr="00D716F4">
              <w:rPr>
                <w:b/>
                <w:sz w:val="20"/>
                <w:szCs w:val="20"/>
                <w:lang w:val="sr-Latn-ME" w:eastAsia="en-US"/>
              </w:rPr>
              <w:t>GES</w:t>
            </w:r>
          </w:p>
        </w:tc>
      </w:tr>
      <w:tr w:rsidR="00971473" w:rsidRPr="00D716F4" w14:paraId="0C33141C" w14:textId="77777777" w:rsidTr="00971473">
        <w:tc>
          <w:tcPr>
            <w:tcW w:w="3397" w:type="dxa"/>
            <w:vMerge w:val="restart"/>
          </w:tcPr>
          <w:p w14:paraId="397FF5D7" w14:textId="77777777" w:rsidR="00971473" w:rsidRPr="00F61E3B" w:rsidRDefault="00971473" w:rsidP="00971473">
            <w:pPr>
              <w:spacing w:before="0" w:after="0" w:line="240" w:lineRule="auto"/>
              <w:jc w:val="left"/>
              <w:rPr>
                <w:sz w:val="20"/>
                <w:szCs w:val="20"/>
                <w:lang w:val="sr-Latn-ME" w:eastAsia="en-US"/>
              </w:rPr>
            </w:pPr>
            <w:r w:rsidRPr="00F61E3B">
              <w:rPr>
                <w:b/>
                <w:sz w:val="20"/>
                <w:szCs w:val="20"/>
                <w:lang w:val="sr-Latn-ME" w:eastAsia="en-US"/>
              </w:rPr>
              <w:t>D3C1 – Primarni</w:t>
            </w:r>
            <w:r w:rsidRPr="00F61E3B">
              <w:rPr>
                <w:sz w:val="20"/>
                <w:szCs w:val="20"/>
                <w:lang w:val="sr-Latn-ME" w:eastAsia="en-US"/>
              </w:rPr>
              <w:t>:</w:t>
            </w:r>
          </w:p>
          <w:p w14:paraId="7D071BC8" w14:textId="77777777" w:rsidR="00971473" w:rsidRPr="00F61E3B" w:rsidRDefault="00971473" w:rsidP="00971473">
            <w:pPr>
              <w:spacing w:before="0" w:after="0" w:line="240" w:lineRule="auto"/>
              <w:jc w:val="left"/>
              <w:rPr>
                <w:sz w:val="20"/>
                <w:szCs w:val="20"/>
                <w:lang w:val="sr-Latn-ME" w:eastAsia="en-US"/>
              </w:rPr>
            </w:pPr>
            <w:r w:rsidRPr="00F61E3B">
              <w:rPr>
                <w:sz w:val="20"/>
                <w:szCs w:val="20"/>
                <w:lang w:val="sr-Latn-ME" w:eastAsia="en-US"/>
              </w:rPr>
              <w:t>Stopa ribolovne</w:t>
            </w:r>
            <w:r>
              <w:rPr>
                <w:sz w:val="20"/>
                <w:szCs w:val="20"/>
                <w:lang w:val="sr-Latn-ME" w:eastAsia="en-US"/>
              </w:rPr>
              <w:t xml:space="preserve"> smrtnosti kod populacija vrsta koje se iskorišćavaju u komercijalne svrhe na nivou je koji</w:t>
            </w:r>
            <w:r w:rsidRPr="00F61E3B">
              <w:rPr>
                <w:sz w:val="20"/>
                <w:szCs w:val="20"/>
                <w:lang w:val="sr-Latn-ME" w:eastAsia="en-US"/>
              </w:rPr>
              <w:t>m se može osigurati najviši održivi</w:t>
            </w:r>
          </w:p>
          <w:p w14:paraId="14C1D054" w14:textId="77777777" w:rsidR="00971473" w:rsidRPr="00D716F4" w:rsidRDefault="00971473" w:rsidP="00971473">
            <w:pPr>
              <w:spacing w:before="0" w:after="0" w:line="240" w:lineRule="auto"/>
              <w:jc w:val="left"/>
              <w:rPr>
                <w:sz w:val="20"/>
                <w:szCs w:val="20"/>
                <w:lang w:val="sr-Latn-ME" w:eastAsia="en-US"/>
              </w:rPr>
            </w:pPr>
            <w:r>
              <w:rPr>
                <w:sz w:val="20"/>
                <w:szCs w:val="20"/>
                <w:lang w:val="sr-Latn-ME" w:eastAsia="en-US"/>
              </w:rPr>
              <w:t>p</w:t>
            </w:r>
            <w:r w:rsidRPr="00F61E3B">
              <w:rPr>
                <w:sz w:val="20"/>
                <w:szCs w:val="20"/>
                <w:lang w:val="sr-Latn-ME" w:eastAsia="en-US"/>
              </w:rPr>
              <w:t>rinos</w:t>
            </w:r>
            <w:r>
              <w:rPr>
                <w:sz w:val="20"/>
                <w:szCs w:val="20"/>
                <w:lang w:val="sr-Latn-ME" w:eastAsia="en-US"/>
              </w:rPr>
              <w:t xml:space="preserve"> (MSY)</w:t>
            </w:r>
            <w:r w:rsidRPr="00F61E3B">
              <w:rPr>
                <w:sz w:val="20"/>
                <w:szCs w:val="20"/>
                <w:lang w:val="sr-Latn-ME" w:eastAsia="en-US"/>
              </w:rPr>
              <w:t xml:space="preserve"> ili ispod nje</w:t>
            </w:r>
            <w:r>
              <w:rPr>
                <w:sz w:val="20"/>
                <w:szCs w:val="20"/>
                <w:lang w:val="sr-Latn-ME" w:eastAsia="en-US"/>
              </w:rPr>
              <w:t>ga.</w:t>
            </w:r>
          </w:p>
          <w:p w14:paraId="6A61E5FA" w14:textId="77777777" w:rsidR="00971473" w:rsidRPr="00D716F4" w:rsidRDefault="00971473" w:rsidP="00971473">
            <w:pPr>
              <w:spacing w:before="0" w:after="0" w:line="240" w:lineRule="auto"/>
              <w:jc w:val="left"/>
              <w:rPr>
                <w:sz w:val="20"/>
                <w:szCs w:val="20"/>
                <w:lang w:val="sr-Latn-ME" w:eastAsia="en-US"/>
              </w:rPr>
            </w:pPr>
          </w:p>
        </w:tc>
        <w:tc>
          <w:tcPr>
            <w:tcW w:w="2694" w:type="dxa"/>
          </w:tcPr>
          <w:p w14:paraId="48C0A241" w14:textId="77777777" w:rsidR="00971473" w:rsidRPr="00D716F4" w:rsidRDefault="00971473" w:rsidP="00971473">
            <w:pPr>
              <w:spacing w:before="0" w:after="0" w:line="240" w:lineRule="auto"/>
              <w:jc w:val="left"/>
              <w:rPr>
                <w:b/>
                <w:i/>
                <w:sz w:val="20"/>
                <w:szCs w:val="20"/>
                <w:lang w:val="sr-Latn-ME" w:eastAsia="en-US"/>
              </w:rPr>
            </w:pPr>
            <w:r w:rsidRPr="00D716F4">
              <w:rPr>
                <w:b/>
                <w:i/>
                <w:sz w:val="20"/>
                <w:szCs w:val="20"/>
                <w:lang w:val="sr-Latn-ME" w:eastAsia="en-US"/>
              </w:rPr>
              <w:t>Sardina pilchardus</w:t>
            </w:r>
          </w:p>
        </w:tc>
        <w:tc>
          <w:tcPr>
            <w:tcW w:w="3260" w:type="dxa"/>
            <w:vMerge w:val="restart"/>
          </w:tcPr>
          <w:p w14:paraId="211D69D0" w14:textId="77777777" w:rsidR="00971473" w:rsidRDefault="00971473" w:rsidP="00971473">
            <w:pPr>
              <w:spacing w:before="0" w:after="0" w:line="240" w:lineRule="auto"/>
              <w:jc w:val="left"/>
              <w:rPr>
                <w:sz w:val="20"/>
                <w:szCs w:val="20"/>
                <w:lang w:val="sr-Latn-ME" w:eastAsia="en-US"/>
              </w:rPr>
            </w:pPr>
            <w:r>
              <w:rPr>
                <w:sz w:val="20"/>
                <w:szCs w:val="20"/>
                <w:lang w:val="sr-Latn-ME" w:eastAsia="en-US"/>
              </w:rPr>
              <w:t xml:space="preserve">GES nije postignut, povećanje trenda u ribolovnom mortalitetu vodi do toga da je status stoka u prekomjernom izlovu. </w:t>
            </w:r>
          </w:p>
          <w:p w14:paraId="00710E02" w14:textId="77777777" w:rsidR="00971473" w:rsidRPr="00D716F4" w:rsidRDefault="00971473" w:rsidP="00971473">
            <w:pPr>
              <w:spacing w:before="0" w:after="0" w:line="240" w:lineRule="auto"/>
              <w:jc w:val="left"/>
              <w:rPr>
                <w:sz w:val="20"/>
                <w:szCs w:val="20"/>
                <w:lang w:val="sr-Latn-ME" w:eastAsia="en-US"/>
              </w:rPr>
            </w:pPr>
            <w:r>
              <w:rPr>
                <w:sz w:val="20"/>
                <w:szCs w:val="20"/>
                <w:lang w:val="sr-Latn-ME" w:eastAsia="en-US"/>
              </w:rPr>
              <w:t xml:space="preserve">Trenutni plan upravljanja za malu plavu ribu u Jadranskom moru reguliše nivo ribolovnog napora, što dovodi do opadanja ribolovne smrtnosti, i ima za cilj da osigura oporavak stokova ovih vrsta na nivou cijelog Jadrana. </w:t>
            </w:r>
          </w:p>
        </w:tc>
      </w:tr>
      <w:tr w:rsidR="00971473" w:rsidRPr="00D716F4" w14:paraId="4A194B09" w14:textId="77777777" w:rsidTr="00971473">
        <w:tc>
          <w:tcPr>
            <w:tcW w:w="3397" w:type="dxa"/>
            <w:vMerge/>
          </w:tcPr>
          <w:p w14:paraId="1E971E30" w14:textId="77777777" w:rsidR="00971473" w:rsidRPr="00D716F4" w:rsidRDefault="00971473" w:rsidP="00971473">
            <w:pPr>
              <w:spacing w:before="0" w:after="0" w:line="240" w:lineRule="auto"/>
              <w:jc w:val="left"/>
              <w:rPr>
                <w:b/>
                <w:sz w:val="20"/>
                <w:szCs w:val="20"/>
                <w:lang w:val="sr-Latn-ME" w:eastAsia="en-US"/>
              </w:rPr>
            </w:pPr>
          </w:p>
        </w:tc>
        <w:tc>
          <w:tcPr>
            <w:tcW w:w="2694" w:type="dxa"/>
          </w:tcPr>
          <w:p w14:paraId="266DD644" w14:textId="77777777" w:rsidR="00971473" w:rsidRPr="00D716F4" w:rsidRDefault="00971473" w:rsidP="00971473">
            <w:pPr>
              <w:spacing w:before="0" w:after="0" w:line="240" w:lineRule="auto"/>
              <w:jc w:val="left"/>
              <w:rPr>
                <w:sz w:val="20"/>
                <w:szCs w:val="20"/>
                <w:lang w:val="sr-Latn-ME" w:eastAsia="en-US"/>
              </w:rPr>
            </w:pPr>
            <w:r w:rsidRPr="00D716F4">
              <w:rPr>
                <w:rFonts w:cs="Calibri"/>
                <w:b/>
                <w:bCs/>
                <w:i/>
                <w:iCs/>
                <w:sz w:val="20"/>
                <w:szCs w:val="20"/>
                <w:lang w:val="sr-Latn-ME" w:eastAsia="en-US"/>
              </w:rPr>
              <w:t>Engraulis encrasicolus</w:t>
            </w:r>
          </w:p>
        </w:tc>
        <w:tc>
          <w:tcPr>
            <w:tcW w:w="3260" w:type="dxa"/>
            <w:vMerge/>
          </w:tcPr>
          <w:p w14:paraId="5EC1C116" w14:textId="77777777" w:rsidR="00971473" w:rsidRPr="00D716F4" w:rsidRDefault="00971473" w:rsidP="00971473">
            <w:pPr>
              <w:spacing w:before="0" w:after="0" w:line="240" w:lineRule="auto"/>
              <w:jc w:val="left"/>
              <w:rPr>
                <w:sz w:val="20"/>
                <w:szCs w:val="20"/>
                <w:lang w:val="sr-Latn-ME" w:eastAsia="en-US"/>
              </w:rPr>
            </w:pPr>
          </w:p>
        </w:tc>
      </w:tr>
      <w:tr w:rsidR="00971473" w:rsidRPr="00D716F4" w14:paraId="1D69D89A" w14:textId="77777777" w:rsidTr="00971473">
        <w:trPr>
          <w:trHeight w:val="661"/>
        </w:trPr>
        <w:tc>
          <w:tcPr>
            <w:tcW w:w="3397" w:type="dxa"/>
            <w:vMerge/>
          </w:tcPr>
          <w:p w14:paraId="476078ED" w14:textId="77777777" w:rsidR="00971473" w:rsidRPr="00D716F4" w:rsidRDefault="00971473" w:rsidP="00971473">
            <w:pPr>
              <w:spacing w:before="0" w:after="0" w:line="240" w:lineRule="auto"/>
              <w:jc w:val="left"/>
              <w:rPr>
                <w:b/>
                <w:sz w:val="20"/>
                <w:szCs w:val="20"/>
                <w:lang w:val="sr-Latn-ME" w:eastAsia="en-US"/>
              </w:rPr>
            </w:pPr>
          </w:p>
        </w:tc>
        <w:tc>
          <w:tcPr>
            <w:tcW w:w="2694" w:type="dxa"/>
          </w:tcPr>
          <w:p w14:paraId="5B0C0213" w14:textId="77777777" w:rsidR="00971473" w:rsidRPr="00D716F4" w:rsidRDefault="00971473" w:rsidP="00971473">
            <w:pPr>
              <w:spacing w:before="0" w:after="0" w:line="240" w:lineRule="auto"/>
              <w:jc w:val="left"/>
              <w:rPr>
                <w:sz w:val="20"/>
                <w:szCs w:val="20"/>
                <w:lang w:val="sr-Latn-ME" w:eastAsia="en-US"/>
              </w:rPr>
            </w:pPr>
          </w:p>
        </w:tc>
        <w:tc>
          <w:tcPr>
            <w:tcW w:w="3260" w:type="dxa"/>
            <w:vMerge/>
          </w:tcPr>
          <w:p w14:paraId="76B874E8" w14:textId="77777777" w:rsidR="00971473" w:rsidRPr="00D716F4" w:rsidRDefault="00971473" w:rsidP="00971473">
            <w:pPr>
              <w:spacing w:before="0" w:after="0" w:line="240" w:lineRule="auto"/>
              <w:jc w:val="left"/>
              <w:rPr>
                <w:sz w:val="20"/>
                <w:szCs w:val="20"/>
                <w:lang w:val="sr-Latn-ME" w:eastAsia="en-US"/>
              </w:rPr>
            </w:pPr>
          </w:p>
        </w:tc>
      </w:tr>
      <w:tr w:rsidR="00971473" w:rsidRPr="00D716F4" w14:paraId="2AE9ACCD" w14:textId="77777777" w:rsidTr="00971473">
        <w:tc>
          <w:tcPr>
            <w:tcW w:w="3397" w:type="dxa"/>
            <w:vMerge w:val="restart"/>
          </w:tcPr>
          <w:p w14:paraId="00A74A37" w14:textId="77777777" w:rsidR="00971473" w:rsidRPr="00D716F4" w:rsidRDefault="00971473" w:rsidP="00971473">
            <w:pPr>
              <w:spacing w:before="0" w:after="0" w:line="240" w:lineRule="auto"/>
              <w:jc w:val="left"/>
              <w:rPr>
                <w:b/>
                <w:sz w:val="20"/>
                <w:szCs w:val="20"/>
                <w:lang w:val="sr-Latn-ME" w:eastAsia="en-US"/>
              </w:rPr>
            </w:pPr>
            <w:r>
              <w:rPr>
                <w:b/>
                <w:sz w:val="20"/>
                <w:szCs w:val="20"/>
                <w:lang w:val="sr-Latn-ME" w:eastAsia="en-US"/>
              </w:rPr>
              <w:t>D3C2 – Primarni</w:t>
            </w:r>
          </w:p>
          <w:p w14:paraId="2CD6D149" w14:textId="77777777" w:rsidR="00971473" w:rsidRPr="00D716F4" w:rsidRDefault="00971473" w:rsidP="00971473">
            <w:pPr>
              <w:spacing w:before="0" w:after="0" w:line="240" w:lineRule="auto"/>
              <w:jc w:val="left"/>
              <w:rPr>
                <w:sz w:val="20"/>
                <w:szCs w:val="20"/>
                <w:lang w:val="sr-Latn-ME" w:eastAsia="en-US"/>
              </w:rPr>
            </w:pPr>
            <w:r w:rsidRPr="00F61E3B">
              <w:rPr>
                <w:sz w:val="20"/>
                <w:szCs w:val="20"/>
                <w:lang w:val="sr-Latn-ME" w:eastAsia="en-US"/>
              </w:rPr>
              <w:t>Biomasa</w:t>
            </w:r>
            <w:r>
              <w:rPr>
                <w:sz w:val="20"/>
                <w:szCs w:val="20"/>
                <w:lang w:val="sr-Latn-ME" w:eastAsia="en-US"/>
              </w:rPr>
              <w:t xml:space="preserve"> mrijestećeg</w:t>
            </w:r>
            <w:r w:rsidRPr="00F61E3B">
              <w:rPr>
                <w:sz w:val="20"/>
                <w:szCs w:val="20"/>
                <w:lang w:val="sr-Latn-ME" w:eastAsia="en-US"/>
              </w:rPr>
              <w:t xml:space="preserve"> stoka</w:t>
            </w:r>
            <w:r>
              <w:rPr>
                <w:sz w:val="20"/>
                <w:szCs w:val="20"/>
                <w:lang w:val="sr-Latn-ME" w:eastAsia="en-US"/>
              </w:rPr>
              <w:t xml:space="preserve"> populacija vrsta koje se iskorišć</w:t>
            </w:r>
            <w:r w:rsidRPr="00F61E3B">
              <w:rPr>
                <w:sz w:val="20"/>
                <w:szCs w:val="20"/>
                <w:lang w:val="sr-Latn-ME" w:eastAsia="en-US"/>
              </w:rPr>
              <w:t>avaju</w:t>
            </w:r>
            <w:r>
              <w:rPr>
                <w:sz w:val="20"/>
                <w:szCs w:val="20"/>
                <w:lang w:val="sr-Latn-ME" w:eastAsia="en-US"/>
              </w:rPr>
              <w:t xml:space="preserve"> u komercijalne svrhe iznad je nivoa biomase koja omogućava</w:t>
            </w:r>
            <w:r w:rsidRPr="00F61E3B">
              <w:rPr>
                <w:sz w:val="20"/>
                <w:szCs w:val="20"/>
                <w:lang w:val="sr-Latn-ME" w:eastAsia="en-US"/>
              </w:rPr>
              <w:t xml:space="preserve"> najviši održivi prinos</w:t>
            </w:r>
            <w:r>
              <w:rPr>
                <w:sz w:val="20"/>
                <w:szCs w:val="20"/>
                <w:lang w:val="sr-Latn-ME" w:eastAsia="en-US"/>
              </w:rPr>
              <w:t>.</w:t>
            </w:r>
          </w:p>
        </w:tc>
        <w:tc>
          <w:tcPr>
            <w:tcW w:w="2694" w:type="dxa"/>
          </w:tcPr>
          <w:p w14:paraId="4827A4ED" w14:textId="77777777" w:rsidR="00971473" w:rsidRPr="00D716F4" w:rsidRDefault="00971473" w:rsidP="00971473">
            <w:pPr>
              <w:spacing w:before="0" w:after="0" w:line="240" w:lineRule="auto"/>
              <w:jc w:val="left"/>
              <w:rPr>
                <w:b/>
                <w:i/>
                <w:sz w:val="20"/>
                <w:szCs w:val="20"/>
                <w:lang w:val="sr-Latn-ME" w:eastAsia="en-US"/>
              </w:rPr>
            </w:pPr>
            <w:r w:rsidRPr="00D716F4">
              <w:rPr>
                <w:b/>
                <w:i/>
                <w:sz w:val="20"/>
                <w:szCs w:val="20"/>
                <w:lang w:val="sr-Latn-ME" w:eastAsia="en-US"/>
              </w:rPr>
              <w:t>Sardina pilchardus</w:t>
            </w:r>
          </w:p>
        </w:tc>
        <w:tc>
          <w:tcPr>
            <w:tcW w:w="3260" w:type="dxa"/>
            <w:vMerge w:val="restart"/>
          </w:tcPr>
          <w:p w14:paraId="33EF0169" w14:textId="77777777" w:rsidR="00971473" w:rsidRDefault="00971473" w:rsidP="00971473">
            <w:pPr>
              <w:spacing w:before="0" w:after="0" w:line="240" w:lineRule="auto"/>
              <w:jc w:val="left"/>
              <w:rPr>
                <w:sz w:val="20"/>
                <w:szCs w:val="20"/>
                <w:lang w:val="sr-Latn-ME" w:eastAsia="en-US"/>
              </w:rPr>
            </w:pPr>
            <w:r>
              <w:rPr>
                <w:sz w:val="20"/>
                <w:szCs w:val="20"/>
                <w:lang w:val="sr-Latn-ME" w:eastAsia="en-US"/>
              </w:rPr>
              <w:t xml:space="preserve">GES nije postignut, biomasa mrijestećeg stoka (SSB) za obije pelagične vrste pokazuje opadajući trend u dužem vremenskom periodu (od 1975), ali u posljednjoj deceniji SSB pokazuje mali porast. </w:t>
            </w:r>
          </w:p>
          <w:p w14:paraId="7315EB1D" w14:textId="77777777" w:rsidR="00971473" w:rsidRPr="00D716F4" w:rsidRDefault="00971473" w:rsidP="00971473">
            <w:pPr>
              <w:spacing w:before="0" w:after="0" w:line="240" w:lineRule="auto"/>
              <w:jc w:val="left"/>
              <w:rPr>
                <w:sz w:val="20"/>
                <w:szCs w:val="20"/>
                <w:lang w:val="sr-Latn-ME" w:eastAsia="en-US"/>
              </w:rPr>
            </w:pPr>
            <w:r>
              <w:rPr>
                <w:sz w:val="20"/>
                <w:szCs w:val="20"/>
                <w:lang w:val="sr-Latn-ME" w:eastAsia="en-US"/>
              </w:rPr>
              <w:t xml:space="preserve">Trenutni plan upravljanja za malu plavu ribu na Jadranu reguliše zaštitu mjesta mrijesta, sa ciljem da osigura oporavak ovih vrsta na nivou Jadrana. </w:t>
            </w:r>
          </w:p>
        </w:tc>
      </w:tr>
      <w:tr w:rsidR="00971473" w:rsidRPr="00D716F4" w14:paraId="7BC1D766" w14:textId="77777777" w:rsidTr="00971473">
        <w:tc>
          <w:tcPr>
            <w:tcW w:w="3397" w:type="dxa"/>
            <w:vMerge/>
          </w:tcPr>
          <w:p w14:paraId="6196F249" w14:textId="77777777" w:rsidR="00971473" w:rsidRPr="00D716F4" w:rsidRDefault="00971473" w:rsidP="00971473">
            <w:pPr>
              <w:spacing w:before="0" w:after="0" w:line="240" w:lineRule="auto"/>
              <w:jc w:val="left"/>
              <w:rPr>
                <w:b/>
                <w:sz w:val="20"/>
                <w:szCs w:val="20"/>
                <w:lang w:val="sr-Latn-ME" w:eastAsia="en-US"/>
              </w:rPr>
            </w:pPr>
          </w:p>
        </w:tc>
        <w:tc>
          <w:tcPr>
            <w:tcW w:w="2694" w:type="dxa"/>
          </w:tcPr>
          <w:p w14:paraId="76D9D519" w14:textId="77777777" w:rsidR="00971473" w:rsidRPr="00D716F4" w:rsidRDefault="00971473" w:rsidP="00971473">
            <w:pPr>
              <w:spacing w:before="0" w:after="0" w:line="240" w:lineRule="auto"/>
              <w:jc w:val="left"/>
              <w:rPr>
                <w:sz w:val="20"/>
                <w:szCs w:val="20"/>
                <w:lang w:val="sr-Latn-ME" w:eastAsia="en-US"/>
              </w:rPr>
            </w:pPr>
            <w:r w:rsidRPr="00D716F4">
              <w:rPr>
                <w:rFonts w:cs="Calibri"/>
                <w:b/>
                <w:bCs/>
                <w:i/>
                <w:iCs/>
                <w:sz w:val="20"/>
                <w:szCs w:val="20"/>
                <w:lang w:val="sr-Latn-ME" w:eastAsia="en-US"/>
              </w:rPr>
              <w:t>Engraulis encrasicolus</w:t>
            </w:r>
          </w:p>
        </w:tc>
        <w:tc>
          <w:tcPr>
            <w:tcW w:w="3260" w:type="dxa"/>
            <w:vMerge/>
          </w:tcPr>
          <w:p w14:paraId="1DD12695" w14:textId="77777777" w:rsidR="00971473" w:rsidRPr="00D716F4" w:rsidRDefault="00971473" w:rsidP="00971473">
            <w:pPr>
              <w:spacing w:before="0" w:after="0" w:line="240" w:lineRule="auto"/>
              <w:jc w:val="left"/>
              <w:rPr>
                <w:sz w:val="20"/>
                <w:szCs w:val="20"/>
                <w:lang w:val="sr-Latn-ME" w:eastAsia="en-US"/>
              </w:rPr>
            </w:pPr>
          </w:p>
        </w:tc>
      </w:tr>
      <w:tr w:rsidR="00971473" w:rsidRPr="00D716F4" w14:paraId="2B0613E1" w14:textId="77777777" w:rsidTr="00971473">
        <w:tc>
          <w:tcPr>
            <w:tcW w:w="3397" w:type="dxa"/>
            <w:vMerge/>
          </w:tcPr>
          <w:p w14:paraId="567169E0" w14:textId="77777777" w:rsidR="00971473" w:rsidRPr="00D716F4" w:rsidRDefault="00971473" w:rsidP="00971473">
            <w:pPr>
              <w:spacing w:before="0" w:after="0" w:line="240" w:lineRule="auto"/>
              <w:jc w:val="left"/>
              <w:rPr>
                <w:b/>
                <w:sz w:val="20"/>
                <w:szCs w:val="20"/>
                <w:lang w:val="sr-Latn-ME" w:eastAsia="en-US"/>
              </w:rPr>
            </w:pPr>
          </w:p>
        </w:tc>
        <w:tc>
          <w:tcPr>
            <w:tcW w:w="2694" w:type="dxa"/>
          </w:tcPr>
          <w:p w14:paraId="57F7A019" w14:textId="77777777" w:rsidR="00971473" w:rsidRPr="00D716F4" w:rsidRDefault="00971473" w:rsidP="00971473">
            <w:pPr>
              <w:spacing w:before="0" w:after="0" w:line="240" w:lineRule="auto"/>
              <w:jc w:val="left"/>
              <w:rPr>
                <w:sz w:val="20"/>
                <w:szCs w:val="20"/>
                <w:lang w:val="sr-Latn-ME" w:eastAsia="en-US"/>
              </w:rPr>
            </w:pPr>
          </w:p>
        </w:tc>
        <w:tc>
          <w:tcPr>
            <w:tcW w:w="3260" w:type="dxa"/>
            <w:vMerge/>
          </w:tcPr>
          <w:p w14:paraId="51C5C43C" w14:textId="77777777" w:rsidR="00971473" w:rsidRPr="00D716F4" w:rsidRDefault="00971473" w:rsidP="00971473">
            <w:pPr>
              <w:spacing w:before="0" w:after="0" w:line="240" w:lineRule="auto"/>
              <w:jc w:val="left"/>
              <w:rPr>
                <w:sz w:val="20"/>
                <w:szCs w:val="20"/>
                <w:lang w:val="sr-Latn-ME" w:eastAsia="en-US"/>
              </w:rPr>
            </w:pPr>
          </w:p>
        </w:tc>
      </w:tr>
      <w:tr w:rsidR="00971473" w:rsidRPr="00D716F4" w14:paraId="1B782C28" w14:textId="77777777" w:rsidTr="00971473">
        <w:tc>
          <w:tcPr>
            <w:tcW w:w="3397" w:type="dxa"/>
            <w:vMerge w:val="restart"/>
          </w:tcPr>
          <w:p w14:paraId="23356FAA" w14:textId="77777777" w:rsidR="00971473" w:rsidRPr="00D716F4" w:rsidRDefault="00971473" w:rsidP="00971473">
            <w:pPr>
              <w:spacing w:before="0" w:after="0" w:line="240" w:lineRule="auto"/>
              <w:jc w:val="left"/>
              <w:rPr>
                <w:b/>
                <w:sz w:val="20"/>
                <w:szCs w:val="20"/>
                <w:lang w:val="sr-Latn-ME" w:eastAsia="en-US"/>
              </w:rPr>
            </w:pPr>
            <w:r>
              <w:rPr>
                <w:b/>
                <w:sz w:val="20"/>
                <w:szCs w:val="20"/>
                <w:lang w:val="sr-Latn-ME" w:eastAsia="en-US"/>
              </w:rPr>
              <w:t>D3C3 – Primarni</w:t>
            </w:r>
          </w:p>
          <w:p w14:paraId="540986D4" w14:textId="77777777" w:rsidR="00971473" w:rsidRPr="00D716F4" w:rsidRDefault="00971473" w:rsidP="00971473">
            <w:pPr>
              <w:spacing w:before="0" w:after="0" w:line="240" w:lineRule="auto"/>
              <w:jc w:val="left"/>
              <w:rPr>
                <w:sz w:val="20"/>
                <w:szCs w:val="20"/>
                <w:lang w:val="sr-Latn-ME" w:eastAsia="en-US"/>
              </w:rPr>
            </w:pPr>
            <w:r>
              <w:rPr>
                <w:sz w:val="20"/>
                <w:szCs w:val="20"/>
                <w:lang w:val="sr-Latn-ME" w:eastAsia="en-US"/>
              </w:rPr>
              <w:t>Raspodjela jedinki po starosti</w:t>
            </w:r>
            <w:r w:rsidRPr="00E4752A">
              <w:rPr>
                <w:sz w:val="20"/>
                <w:szCs w:val="20"/>
                <w:lang w:val="sr-Latn-ME" w:eastAsia="en-US"/>
              </w:rPr>
              <w:t xml:space="preserve"> i veličini u popu</w:t>
            </w:r>
            <w:r>
              <w:rPr>
                <w:sz w:val="20"/>
                <w:szCs w:val="20"/>
                <w:lang w:val="sr-Latn-ME" w:eastAsia="en-US"/>
              </w:rPr>
              <w:t xml:space="preserve">lacijama vrsta koje se iskorišćavaju u komercijalne </w:t>
            </w:r>
            <w:r w:rsidRPr="00E4752A">
              <w:rPr>
                <w:sz w:val="20"/>
                <w:szCs w:val="20"/>
                <w:lang w:val="sr-Latn-ME" w:eastAsia="en-US"/>
              </w:rPr>
              <w:t>svrhe ukazuje na zdravu populaciju.</w:t>
            </w:r>
          </w:p>
          <w:p w14:paraId="0C864417" w14:textId="77777777" w:rsidR="00971473" w:rsidRPr="00D716F4" w:rsidRDefault="00971473" w:rsidP="00971473">
            <w:pPr>
              <w:spacing w:before="0" w:after="0" w:line="240" w:lineRule="auto"/>
              <w:jc w:val="left"/>
              <w:rPr>
                <w:sz w:val="20"/>
                <w:szCs w:val="20"/>
                <w:lang w:val="sr-Latn-ME" w:eastAsia="en-US"/>
              </w:rPr>
            </w:pPr>
          </w:p>
        </w:tc>
        <w:tc>
          <w:tcPr>
            <w:tcW w:w="2694" w:type="dxa"/>
          </w:tcPr>
          <w:p w14:paraId="15EEEE5D" w14:textId="77777777" w:rsidR="00971473" w:rsidRPr="00D716F4" w:rsidRDefault="00971473" w:rsidP="00971473">
            <w:pPr>
              <w:spacing w:before="0" w:after="0" w:line="240" w:lineRule="auto"/>
              <w:jc w:val="left"/>
              <w:rPr>
                <w:b/>
                <w:i/>
                <w:sz w:val="20"/>
                <w:szCs w:val="20"/>
                <w:lang w:val="sr-Latn-ME" w:eastAsia="en-US"/>
              </w:rPr>
            </w:pPr>
            <w:r w:rsidRPr="00D716F4">
              <w:rPr>
                <w:b/>
                <w:i/>
                <w:sz w:val="20"/>
                <w:szCs w:val="20"/>
                <w:lang w:val="sr-Latn-ME" w:eastAsia="en-US"/>
              </w:rPr>
              <w:t>Sardina pilchardus</w:t>
            </w:r>
          </w:p>
        </w:tc>
        <w:tc>
          <w:tcPr>
            <w:tcW w:w="3260" w:type="dxa"/>
            <w:vMerge w:val="restart"/>
          </w:tcPr>
          <w:p w14:paraId="0A3B2E9E" w14:textId="77777777" w:rsidR="00971473" w:rsidRPr="00D716F4" w:rsidRDefault="00971473" w:rsidP="00971473">
            <w:pPr>
              <w:spacing w:before="0" w:after="0"/>
              <w:jc w:val="left"/>
              <w:rPr>
                <w:rFonts w:cs="Calibri"/>
                <w:bCs/>
                <w:color w:val="000000"/>
                <w:sz w:val="20"/>
                <w:szCs w:val="20"/>
                <w:lang w:val="sr-Latn-ME" w:eastAsia="en-US"/>
              </w:rPr>
            </w:pPr>
            <w:r w:rsidRPr="00E4752A">
              <w:rPr>
                <w:rFonts w:cs="Calibri"/>
                <w:bCs/>
                <w:color w:val="000000"/>
                <w:sz w:val="20"/>
                <w:szCs w:val="20"/>
                <w:lang w:val="sr-Latn-ME" w:eastAsia="en-US"/>
              </w:rPr>
              <w:t>Raspod</w:t>
            </w:r>
            <w:r>
              <w:rPr>
                <w:rFonts w:cs="Calibri"/>
                <w:bCs/>
                <w:color w:val="000000"/>
                <w:sz w:val="20"/>
                <w:szCs w:val="20"/>
                <w:lang w:val="sr-Latn-ME" w:eastAsia="en-US"/>
              </w:rPr>
              <w:t>j</w:t>
            </w:r>
            <w:r w:rsidRPr="00E4752A">
              <w:rPr>
                <w:rFonts w:cs="Calibri"/>
                <w:bCs/>
                <w:color w:val="000000"/>
                <w:sz w:val="20"/>
                <w:szCs w:val="20"/>
                <w:lang w:val="sr-Latn-ME" w:eastAsia="en-US"/>
              </w:rPr>
              <w:t>ela jedinki iz komercijalnog ulova po veličini je prikladna za dotične vrste i ribolovne alate.</w:t>
            </w:r>
          </w:p>
        </w:tc>
      </w:tr>
      <w:tr w:rsidR="00971473" w:rsidRPr="00D716F4" w14:paraId="0504E83E" w14:textId="77777777" w:rsidTr="00971473">
        <w:tc>
          <w:tcPr>
            <w:tcW w:w="3397" w:type="dxa"/>
            <w:vMerge/>
          </w:tcPr>
          <w:p w14:paraId="6C42BC51" w14:textId="77777777" w:rsidR="00971473" w:rsidRPr="00D716F4" w:rsidRDefault="00971473" w:rsidP="00971473">
            <w:pPr>
              <w:spacing w:before="0" w:after="0" w:line="240" w:lineRule="auto"/>
              <w:rPr>
                <w:b/>
                <w:sz w:val="20"/>
                <w:szCs w:val="20"/>
                <w:lang w:val="sr-Latn-ME" w:eastAsia="en-US"/>
              </w:rPr>
            </w:pPr>
          </w:p>
        </w:tc>
        <w:tc>
          <w:tcPr>
            <w:tcW w:w="2694" w:type="dxa"/>
          </w:tcPr>
          <w:p w14:paraId="573F5BB2" w14:textId="77777777" w:rsidR="00971473" w:rsidRPr="00D716F4" w:rsidRDefault="00971473" w:rsidP="00971473">
            <w:pPr>
              <w:spacing w:before="0" w:after="0" w:line="240" w:lineRule="auto"/>
              <w:jc w:val="left"/>
              <w:rPr>
                <w:b/>
                <w:i/>
                <w:sz w:val="20"/>
                <w:szCs w:val="20"/>
                <w:lang w:val="sr-Latn-ME" w:eastAsia="en-US"/>
              </w:rPr>
            </w:pPr>
            <w:r w:rsidRPr="00D716F4">
              <w:rPr>
                <w:b/>
                <w:i/>
                <w:sz w:val="20"/>
                <w:szCs w:val="20"/>
                <w:lang w:val="sr-Latn-ME" w:eastAsia="en-US"/>
              </w:rPr>
              <w:t>Engraulis encrasicolus</w:t>
            </w:r>
          </w:p>
        </w:tc>
        <w:tc>
          <w:tcPr>
            <w:tcW w:w="3260" w:type="dxa"/>
            <w:vMerge/>
          </w:tcPr>
          <w:p w14:paraId="34ADA7A3" w14:textId="77777777" w:rsidR="00971473" w:rsidRPr="00D716F4" w:rsidRDefault="00971473" w:rsidP="00971473">
            <w:pPr>
              <w:spacing w:before="0" w:after="0"/>
              <w:rPr>
                <w:rFonts w:cs="Calibri"/>
                <w:bCs/>
                <w:color w:val="000000"/>
                <w:sz w:val="20"/>
                <w:szCs w:val="20"/>
                <w:lang w:val="sr-Latn-ME" w:eastAsia="en-US"/>
              </w:rPr>
            </w:pPr>
          </w:p>
        </w:tc>
      </w:tr>
    </w:tbl>
    <w:p w14:paraId="284E45B4" w14:textId="77777777" w:rsidR="00971473" w:rsidRPr="00D716F4" w:rsidRDefault="00971473" w:rsidP="00971473">
      <w:pPr>
        <w:spacing w:before="0" w:after="0"/>
        <w:contextualSpacing/>
        <w:jc w:val="left"/>
        <w:rPr>
          <w:rFonts w:cs="Calibri"/>
          <w:i/>
          <w:sz w:val="20"/>
          <w:szCs w:val="20"/>
          <w:highlight w:val="yellow"/>
          <w:lang w:val="sr-Latn-ME" w:eastAsia="en-US"/>
        </w:rPr>
      </w:pPr>
    </w:p>
    <w:p w14:paraId="5B9B53E2" w14:textId="0F2DEA62" w:rsidR="00376B56" w:rsidRPr="001C6CCA" w:rsidRDefault="00376B56" w:rsidP="00F65CFF">
      <w:pPr>
        <w:spacing w:before="0" w:after="0"/>
        <w:contextualSpacing/>
        <w:jc w:val="left"/>
        <w:rPr>
          <w:rFonts w:cs="Calibri"/>
          <w:i/>
          <w:sz w:val="20"/>
          <w:szCs w:val="20"/>
          <w:highlight w:val="yellow"/>
          <w:lang w:val="en-GB" w:eastAsia="en-US"/>
        </w:rPr>
      </w:pPr>
    </w:p>
    <w:p w14:paraId="519E44D5" w14:textId="359EB440" w:rsidR="00971473" w:rsidRPr="00971473" w:rsidRDefault="00971473" w:rsidP="00971473">
      <w:pPr>
        <w:pStyle w:val="Heading3"/>
        <w:rPr>
          <w:lang w:val="en-GB"/>
        </w:rPr>
      </w:pPr>
      <w:bookmarkStart w:id="118" w:name="_Toc83630909"/>
      <w:bookmarkStart w:id="119" w:name="_Toc69678359"/>
      <w:bookmarkEnd w:id="101"/>
      <w:r w:rsidRPr="00971473">
        <w:rPr>
          <w:lang w:val="en-GB"/>
        </w:rPr>
        <w:t xml:space="preserve">Pristup </w:t>
      </w:r>
      <w:r w:rsidR="00534546">
        <w:rPr>
          <w:lang w:val="en-GB"/>
        </w:rPr>
        <w:t xml:space="preserve">definisanju ciljeva </w:t>
      </w:r>
      <w:r w:rsidRPr="00971473">
        <w:rPr>
          <w:lang w:val="en-GB"/>
        </w:rPr>
        <w:t>za D3</w:t>
      </w:r>
      <w:bookmarkEnd w:id="118"/>
      <w:r w:rsidRPr="00971473">
        <w:rPr>
          <w:lang w:val="en-GB"/>
        </w:rPr>
        <w:t xml:space="preserve"> </w:t>
      </w:r>
      <w:bookmarkEnd w:id="119"/>
    </w:p>
    <w:p w14:paraId="4EB9B24D" w14:textId="15C823A0" w:rsidR="00971473" w:rsidRDefault="00647DDD" w:rsidP="00971473">
      <w:pPr>
        <w:spacing w:before="0" w:after="0"/>
        <w:rPr>
          <w:rFonts w:cs="Calibri"/>
          <w:bCs/>
          <w:szCs w:val="22"/>
          <w:lang w:val="sr-Latn-ME" w:eastAsia="en-US"/>
        </w:rPr>
      </w:pPr>
      <w:bookmarkStart w:id="120" w:name="_Toc68078491"/>
      <w:bookmarkStart w:id="121" w:name="_Toc68180756"/>
      <w:r>
        <w:rPr>
          <w:rFonts w:cs="Calibri"/>
          <w:bCs/>
          <w:szCs w:val="22"/>
          <w:lang w:val="sr-Latn-ME" w:eastAsia="en-US"/>
        </w:rPr>
        <w:t>Ciljevi</w:t>
      </w:r>
      <w:r w:rsidR="00971473">
        <w:rPr>
          <w:rFonts w:cs="Calibri"/>
          <w:bCs/>
          <w:szCs w:val="22"/>
          <w:lang w:val="sr-Latn-ME" w:eastAsia="en-US"/>
        </w:rPr>
        <w:t xml:space="preserve"> smanjenja </w:t>
      </w:r>
      <w:r w:rsidR="00971473" w:rsidRPr="00EC2753">
        <w:rPr>
          <w:rFonts w:cs="Calibri"/>
          <w:bCs/>
          <w:szCs w:val="22"/>
          <w:lang w:val="sr-Latn-ME" w:eastAsia="en-US"/>
        </w:rPr>
        <w:t>imaju za cilj smanjenje postojećih pritisaka na morske resurse</w:t>
      </w:r>
      <w:r w:rsidR="00971473">
        <w:rPr>
          <w:rFonts w:cs="Calibri"/>
          <w:bCs/>
          <w:szCs w:val="22"/>
          <w:lang w:val="sr-Latn-ME" w:eastAsia="en-US"/>
        </w:rPr>
        <w:t xml:space="preserve">, da osiguraju </w:t>
      </w:r>
      <w:r w:rsidR="00971473" w:rsidRPr="00EC2753">
        <w:rPr>
          <w:rFonts w:cs="Calibri"/>
          <w:bCs/>
          <w:szCs w:val="22"/>
          <w:lang w:val="sr-Latn-ME" w:eastAsia="en-US"/>
        </w:rPr>
        <w:t xml:space="preserve">da svi živi resursi budu u sigurnim biološkim granicama i </w:t>
      </w:r>
      <w:r w:rsidR="00971473">
        <w:rPr>
          <w:rFonts w:cs="Calibri"/>
          <w:bCs/>
          <w:szCs w:val="22"/>
          <w:lang w:val="sr-Latn-ME" w:eastAsia="en-US"/>
        </w:rPr>
        <w:t xml:space="preserve">da osiguraju održivo ribarstvo. </w:t>
      </w:r>
      <w:r w:rsidR="00A43665">
        <w:rPr>
          <w:rFonts w:cs="Calibri"/>
          <w:bCs/>
          <w:szCs w:val="22"/>
          <w:lang w:val="sr-Latn-ME" w:eastAsia="en-US"/>
        </w:rPr>
        <w:t>Ciljevi</w:t>
      </w:r>
      <w:r w:rsidR="00971473" w:rsidRPr="00EC2753">
        <w:rPr>
          <w:rFonts w:cs="Calibri"/>
          <w:bCs/>
          <w:szCs w:val="22"/>
          <w:lang w:val="sr-Latn-ME" w:eastAsia="en-US"/>
        </w:rPr>
        <w:t xml:space="preserve"> s</w:t>
      </w:r>
      <w:r w:rsidR="00971473">
        <w:rPr>
          <w:rFonts w:cs="Calibri"/>
          <w:bCs/>
          <w:szCs w:val="22"/>
          <w:lang w:val="sr-Latn-ME" w:eastAsia="en-US"/>
        </w:rPr>
        <w:t>manjenja trebaju biti koncentris</w:t>
      </w:r>
      <w:r w:rsidR="00971473" w:rsidRPr="00EC2753">
        <w:rPr>
          <w:rFonts w:cs="Calibri"/>
          <w:bCs/>
          <w:szCs w:val="22"/>
          <w:lang w:val="sr-Latn-ME" w:eastAsia="en-US"/>
        </w:rPr>
        <w:t>an</w:t>
      </w:r>
      <w:r w:rsidR="00971473">
        <w:rPr>
          <w:rFonts w:cs="Calibri"/>
          <w:bCs/>
          <w:szCs w:val="22"/>
          <w:lang w:val="sr-Latn-ME" w:eastAsia="en-US"/>
        </w:rPr>
        <w:t>e</w:t>
      </w:r>
      <w:r w:rsidR="00971473" w:rsidRPr="00EC2753">
        <w:rPr>
          <w:rFonts w:cs="Calibri"/>
          <w:bCs/>
          <w:szCs w:val="22"/>
          <w:lang w:val="sr-Latn-ME" w:eastAsia="en-US"/>
        </w:rPr>
        <w:t xml:space="preserve"> na najvažnije jadranske </w:t>
      </w:r>
      <w:r w:rsidR="00971473">
        <w:rPr>
          <w:rFonts w:cs="Calibri"/>
          <w:bCs/>
          <w:szCs w:val="22"/>
          <w:lang w:val="sr-Latn-ME" w:eastAsia="en-US"/>
        </w:rPr>
        <w:t>stokove koji</w:t>
      </w:r>
      <w:r w:rsidR="00971473" w:rsidRPr="00EC2753">
        <w:rPr>
          <w:rFonts w:cs="Calibri"/>
          <w:bCs/>
          <w:szCs w:val="22"/>
          <w:lang w:val="sr-Latn-ME" w:eastAsia="en-US"/>
        </w:rPr>
        <w:t xml:space="preserve"> se dijele između različitih nacionalnih flota i pod najvećim su ribolovnim pritiskom</w:t>
      </w:r>
      <w:r w:rsidR="00971473">
        <w:rPr>
          <w:rFonts w:cs="Calibri"/>
          <w:bCs/>
          <w:szCs w:val="22"/>
          <w:lang w:val="sr-Latn-ME" w:eastAsia="en-US"/>
        </w:rPr>
        <w:t>.</w:t>
      </w:r>
    </w:p>
    <w:p w14:paraId="44FA1B26" w14:textId="77777777" w:rsidR="00971473" w:rsidRDefault="00971473" w:rsidP="00971473">
      <w:pPr>
        <w:spacing w:before="0" w:after="0"/>
        <w:rPr>
          <w:rFonts w:cs="Calibri"/>
          <w:bCs/>
          <w:szCs w:val="22"/>
          <w:lang w:val="sr-Latn-ME" w:eastAsia="en-US"/>
        </w:rPr>
      </w:pPr>
    </w:p>
    <w:p w14:paraId="49F05F37" w14:textId="77777777" w:rsidR="00971473" w:rsidRPr="00D716F4" w:rsidRDefault="00971473" w:rsidP="00971473">
      <w:pPr>
        <w:spacing w:before="0" w:after="0"/>
        <w:rPr>
          <w:rFonts w:cs="Calibri"/>
          <w:bCs/>
          <w:szCs w:val="22"/>
          <w:lang w:val="sr-Latn-ME" w:eastAsia="en-US"/>
        </w:rPr>
      </w:pPr>
      <w:r>
        <w:rPr>
          <w:rFonts w:cs="Calibri"/>
          <w:bCs/>
          <w:szCs w:val="22"/>
          <w:lang w:val="sr-Latn-ME" w:eastAsia="en-US"/>
        </w:rPr>
        <w:t>Osnovni ciljevi koji se odnose na postizanje GES-a u populacionim strukturama komercijalno važnih vrsta riba i rakova (D3) definisani su kao što je dato u Tabeli 2.10.</w:t>
      </w:r>
    </w:p>
    <w:p w14:paraId="258195BA" w14:textId="77777777" w:rsidR="00971473" w:rsidRDefault="00971473" w:rsidP="00971473">
      <w:pPr>
        <w:spacing w:before="0" w:after="0"/>
        <w:rPr>
          <w:rFonts w:cs="Calibri"/>
          <w:b/>
          <w:bCs/>
          <w:szCs w:val="22"/>
          <w:lang w:val="sr-Latn-ME" w:eastAsia="en-US"/>
        </w:rPr>
      </w:pPr>
    </w:p>
    <w:p w14:paraId="33CB5DD0" w14:textId="77777777" w:rsidR="00842661" w:rsidRDefault="00842661" w:rsidP="00971473">
      <w:pPr>
        <w:spacing w:before="0" w:after="0"/>
        <w:rPr>
          <w:rFonts w:cs="Calibri"/>
          <w:b/>
          <w:bCs/>
          <w:szCs w:val="22"/>
          <w:lang w:val="sr-Latn-ME" w:eastAsia="en-US"/>
        </w:rPr>
      </w:pPr>
    </w:p>
    <w:p w14:paraId="1BDAB0F5" w14:textId="77777777" w:rsidR="00842661" w:rsidRDefault="00842661" w:rsidP="00971473">
      <w:pPr>
        <w:spacing w:before="0" w:after="0"/>
        <w:rPr>
          <w:rFonts w:cs="Calibri"/>
          <w:b/>
          <w:bCs/>
          <w:szCs w:val="22"/>
          <w:lang w:val="sr-Latn-ME" w:eastAsia="en-US"/>
        </w:rPr>
      </w:pPr>
    </w:p>
    <w:p w14:paraId="2FC369EB" w14:textId="77777777" w:rsidR="00842661" w:rsidRDefault="00842661" w:rsidP="00971473">
      <w:pPr>
        <w:spacing w:before="0" w:after="0"/>
        <w:rPr>
          <w:rFonts w:cs="Calibri"/>
          <w:b/>
          <w:bCs/>
          <w:szCs w:val="22"/>
          <w:lang w:val="sr-Latn-ME" w:eastAsia="en-US"/>
        </w:rPr>
      </w:pPr>
    </w:p>
    <w:p w14:paraId="76C317B6" w14:textId="77777777" w:rsidR="00842661" w:rsidRDefault="00842661" w:rsidP="00971473">
      <w:pPr>
        <w:spacing w:before="0" w:after="0"/>
        <w:rPr>
          <w:rFonts w:cs="Calibri"/>
          <w:b/>
          <w:bCs/>
          <w:szCs w:val="22"/>
          <w:lang w:val="sr-Latn-ME" w:eastAsia="en-US"/>
        </w:rPr>
      </w:pPr>
    </w:p>
    <w:p w14:paraId="4D40CA13" w14:textId="77777777" w:rsidR="00615E5F" w:rsidRDefault="00615E5F" w:rsidP="00971473">
      <w:pPr>
        <w:spacing w:before="0" w:after="0"/>
        <w:rPr>
          <w:rFonts w:cs="Calibri"/>
          <w:b/>
          <w:bCs/>
          <w:szCs w:val="22"/>
          <w:lang w:val="sr-Latn-ME" w:eastAsia="en-US"/>
        </w:rPr>
      </w:pPr>
    </w:p>
    <w:p w14:paraId="4995108C" w14:textId="77777777" w:rsidR="00615E5F" w:rsidRDefault="00615E5F" w:rsidP="00971473">
      <w:pPr>
        <w:spacing w:before="0" w:after="0"/>
        <w:rPr>
          <w:rFonts w:cs="Calibri"/>
          <w:b/>
          <w:bCs/>
          <w:szCs w:val="22"/>
          <w:lang w:val="sr-Latn-ME" w:eastAsia="en-US"/>
        </w:rPr>
      </w:pPr>
    </w:p>
    <w:p w14:paraId="35719BED" w14:textId="77777777" w:rsidR="00842661" w:rsidRPr="00D716F4" w:rsidRDefault="00842661" w:rsidP="00971473">
      <w:pPr>
        <w:spacing w:before="0" w:after="0"/>
        <w:rPr>
          <w:rFonts w:cs="Calibri"/>
          <w:b/>
          <w:bCs/>
          <w:szCs w:val="22"/>
          <w:lang w:val="sr-Latn-ME" w:eastAsia="en-US"/>
        </w:rPr>
      </w:pPr>
    </w:p>
    <w:p w14:paraId="7759C4C1" w14:textId="183A8A97" w:rsidR="00971473" w:rsidRPr="00D716F4" w:rsidRDefault="00971473" w:rsidP="00971473">
      <w:pPr>
        <w:spacing w:before="0" w:after="0"/>
        <w:rPr>
          <w:rFonts w:eastAsia="Calibri" w:cs="Calibri"/>
          <w:b/>
          <w:bCs/>
          <w:szCs w:val="22"/>
          <w:lang w:val="sr-Latn-ME" w:eastAsia="en-US"/>
        </w:rPr>
      </w:pPr>
      <w:bookmarkStart w:id="122" w:name="_Toc83643165"/>
      <w:bookmarkStart w:id="123" w:name="_Toc69718375"/>
      <w:r>
        <w:rPr>
          <w:rFonts w:cs="Calibri"/>
          <w:b/>
          <w:bCs/>
          <w:szCs w:val="22"/>
          <w:lang w:val="sr-Latn-ME" w:eastAsia="en-US"/>
        </w:rPr>
        <w:t>Tabela</w:t>
      </w:r>
      <w:r w:rsidRPr="00D716F4">
        <w:rPr>
          <w:rFonts w:cs="Calibri"/>
          <w:b/>
          <w:bCs/>
          <w:szCs w:val="22"/>
          <w:lang w:val="sr-Latn-ME" w:eastAsia="en-US"/>
        </w:rPr>
        <w:t xml:space="preserve"> </w:t>
      </w:r>
      <w:r w:rsidRPr="00D716F4">
        <w:rPr>
          <w:b/>
          <w:szCs w:val="22"/>
          <w:lang w:val="sr-Latn-ME"/>
        </w:rPr>
        <w:fldChar w:fldCharType="begin"/>
      </w:r>
      <w:r w:rsidRPr="00D716F4">
        <w:rPr>
          <w:b/>
          <w:szCs w:val="22"/>
          <w:lang w:val="sr-Latn-ME"/>
        </w:rPr>
        <w:instrText xml:space="preserve"> STYLEREF 1 \s </w:instrText>
      </w:r>
      <w:r w:rsidRPr="00D716F4">
        <w:rPr>
          <w:b/>
          <w:szCs w:val="22"/>
          <w:lang w:val="sr-Latn-ME"/>
        </w:rPr>
        <w:fldChar w:fldCharType="separate"/>
      </w:r>
      <w:r w:rsidR="000D1E20">
        <w:rPr>
          <w:b/>
          <w:noProof/>
          <w:szCs w:val="22"/>
          <w:lang w:val="sr-Latn-ME"/>
        </w:rPr>
        <w:t>2</w:t>
      </w:r>
      <w:r w:rsidRPr="00D716F4">
        <w:rPr>
          <w:b/>
          <w:szCs w:val="22"/>
          <w:lang w:val="sr-Latn-ME"/>
        </w:rPr>
        <w:fldChar w:fldCharType="end"/>
      </w:r>
      <w:r w:rsidRPr="00D716F4">
        <w:rPr>
          <w:b/>
          <w:szCs w:val="22"/>
          <w:lang w:val="sr-Latn-ME"/>
        </w:rPr>
        <w:t>.</w:t>
      </w:r>
      <w:r w:rsidRPr="00D716F4">
        <w:rPr>
          <w:b/>
          <w:szCs w:val="22"/>
          <w:lang w:val="sr-Latn-ME"/>
        </w:rPr>
        <w:fldChar w:fldCharType="begin"/>
      </w:r>
      <w:r w:rsidRPr="00D716F4">
        <w:rPr>
          <w:b/>
          <w:szCs w:val="22"/>
          <w:lang w:val="sr-Latn-ME"/>
        </w:rPr>
        <w:instrText xml:space="preserve"> SEQ Table \* ARABIC \s 1 </w:instrText>
      </w:r>
      <w:r w:rsidRPr="00D716F4">
        <w:rPr>
          <w:b/>
          <w:szCs w:val="22"/>
          <w:lang w:val="sr-Latn-ME"/>
        </w:rPr>
        <w:fldChar w:fldCharType="separate"/>
      </w:r>
      <w:r w:rsidR="000D1E20">
        <w:rPr>
          <w:b/>
          <w:noProof/>
          <w:szCs w:val="22"/>
          <w:lang w:val="sr-Latn-ME"/>
        </w:rPr>
        <w:t>7</w:t>
      </w:r>
      <w:r w:rsidRPr="00D716F4">
        <w:rPr>
          <w:b/>
          <w:szCs w:val="22"/>
          <w:lang w:val="sr-Latn-ME"/>
        </w:rPr>
        <w:fldChar w:fldCharType="end"/>
      </w:r>
      <w:r w:rsidRPr="00534546">
        <w:rPr>
          <w:b/>
          <w:szCs w:val="22"/>
          <w:lang w:val="sr-Latn-ME"/>
        </w:rPr>
        <w:t>.</w:t>
      </w:r>
      <w:r w:rsidRPr="00534546">
        <w:rPr>
          <w:rFonts w:eastAsia="Calibri" w:cs="Calibri"/>
          <w:b/>
          <w:szCs w:val="22"/>
          <w:lang w:val="sr-Latn-ME" w:eastAsia="en-US"/>
        </w:rPr>
        <w:t xml:space="preserve">  </w:t>
      </w:r>
      <w:bookmarkStart w:id="124" w:name="_Hlk67894694"/>
      <w:r w:rsidR="00534546">
        <w:rPr>
          <w:rFonts w:eastAsia="Calibri" w:cs="Calibri"/>
          <w:b/>
          <w:szCs w:val="22"/>
          <w:lang w:val="sr-Latn-ME" w:eastAsia="en-US"/>
        </w:rPr>
        <w:t>C</w:t>
      </w:r>
      <w:r>
        <w:rPr>
          <w:rFonts w:eastAsia="Calibri" w:cs="Calibri"/>
          <w:b/>
          <w:szCs w:val="22"/>
          <w:lang w:val="sr-Latn-ME" w:eastAsia="en-US"/>
        </w:rPr>
        <w:t xml:space="preserve">iljevi koji vode ka </w:t>
      </w:r>
      <w:r w:rsidR="00534546">
        <w:rPr>
          <w:rFonts w:eastAsia="Calibri" w:cs="Calibri"/>
          <w:b/>
          <w:szCs w:val="22"/>
          <w:lang w:val="sr-Latn-ME" w:eastAsia="en-US"/>
        </w:rPr>
        <w:t>napretku</w:t>
      </w:r>
      <w:r>
        <w:rPr>
          <w:rFonts w:eastAsia="Calibri" w:cs="Calibri"/>
          <w:b/>
          <w:szCs w:val="22"/>
          <w:lang w:val="sr-Latn-ME" w:eastAsia="en-US"/>
        </w:rPr>
        <w:t xml:space="preserve"> u postizanju GES-a za Deskriptor 3.</w:t>
      </w:r>
      <w:bookmarkEnd w:id="122"/>
      <w:r>
        <w:rPr>
          <w:rFonts w:eastAsia="Calibri" w:cs="Calibri"/>
          <w:b/>
          <w:szCs w:val="22"/>
          <w:lang w:val="sr-Latn-ME" w:eastAsia="en-US"/>
        </w:rPr>
        <w:t xml:space="preserve"> </w:t>
      </w:r>
      <w:bookmarkEnd w:id="123"/>
      <w:bookmarkEnd w:id="124"/>
    </w:p>
    <w:tbl>
      <w:tblPr>
        <w:tblStyle w:val="GolderTable1"/>
        <w:tblW w:w="9351"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555"/>
        <w:gridCol w:w="6804"/>
        <w:gridCol w:w="992"/>
      </w:tblGrid>
      <w:tr w:rsidR="00D133D9" w:rsidRPr="00D716F4" w14:paraId="69A14823" w14:textId="77777777" w:rsidTr="00B23467">
        <w:tc>
          <w:tcPr>
            <w:tcW w:w="935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126B9F7A" w14:textId="2CD67814" w:rsidR="00D133D9" w:rsidRPr="00D133D9" w:rsidRDefault="00D133D9" w:rsidP="00D133D9">
            <w:pPr>
              <w:autoSpaceDE w:val="0"/>
              <w:autoSpaceDN w:val="0"/>
              <w:adjustRightInd w:val="0"/>
              <w:spacing w:before="0" w:after="0" w:line="240" w:lineRule="auto"/>
              <w:jc w:val="center"/>
              <w:rPr>
                <w:rFonts w:cs="Calibri"/>
                <w:b/>
                <w:color w:val="FFFFFF" w:themeColor="background1"/>
                <w:lang w:val="sr-Latn-ME" w:eastAsia="en-US"/>
              </w:rPr>
            </w:pPr>
            <w:r w:rsidRPr="00D133D9">
              <w:rPr>
                <w:rFonts w:cs="Calibri"/>
                <w:b/>
                <w:color w:val="FFFFFF" w:themeColor="background1"/>
                <w:lang w:val="sr-Latn-ME" w:eastAsia="en-US"/>
              </w:rPr>
              <w:t>Područje procjene: subregionalni nivo – Jadransko more</w:t>
            </w:r>
          </w:p>
          <w:p w14:paraId="6B6DAD61" w14:textId="5E342B3D" w:rsidR="00D133D9" w:rsidRPr="00D133D9" w:rsidRDefault="00D133D9" w:rsidP="00971473">
            <w:pPr>
              <w:autoSpaceDE w:val="0"/>
              <w:autoSpaceDN w:val="0"/>
              <w:adjustRightInd w:val="0"/>
              <w:spacing w:before="0" w:after="0" w:line="240" w:lineRule="auto"/>
              <w:jc w:val="left"/>
              <w:rPr>
                <w:rFonts w:cs="Calibri"/>
                <w:b/>
                <w:color w:val="FFFFFF" w:themeColor="background1"/>
                <w:sz w:val="20"/>
                <w:szCs w:val="20"/>
                <w:lang w:val="sr-Latn-ME" w:eastAsia="en-US"/>
              </w:rPr>
            </w:pPr>
          </w:p>
        </w:tc>
      </w:tr>
      <w:tr w:rsidR="00971473" w:rsidRPr="00D716F4" w14:paraId="03E325AD" w14:textId="77777777" w:rsidTr="00B23467">
        <w:tc>
          <w:tcPr>
            <w:tcW w:w="15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49DE0531" w14:textId="77777777" w:rsidR="00971473" w:rsidRPr="00D133D9" w:rsidRDefault="00971473" w:rsidP="00971473">
            <w:pPr>
              <w:spacing w:before="0" w:after="0" w:line="240" w:lineRule="auto"/>
              <w:jc w:val="left"/>
              <w:rPr>
                <w:rFonts w:cs="Calibri"/>
                <w:b/>
                <w:color w:val="FFFFFF" w:themeColor="background1"/>
                <w:sz w:val="20"/>
                <w:szCs w:val="20"/>
                <w:lang w:val="sr-Latn-ME" w:eastAsia="en-US"/>
              </w:rPr>
            </w:pPr>
            <w:r w:rsidRPr="00D133D9">
              <w:rPr>
                <w:rFonts w:cs="Calibri"/>
                <w:b/>
                <w:color w:val="FFFFFF" w:themeColor="background1"/>
                <w:sz w:val="20"/>
                <w:szCs w:val="20"/>
                <w:lang w:val="sr-Latn-ME" w:eastAsia="en-US"/>
              </w:rPr>
              <w:t>Kriterijum</w:t>
            </w:r>
          </w:p>
        </w:tc>
        <w:tc>
          <w:tcPr>
            <w:tcW w:w="68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0A0A6F75" w14:textId="77777777" w:rsidR="00971473" w:rsidRPr="00D133D9" w:rsidRDefault="00971473" w:rsidP="00971473">
            <w:pPr>
              <w:autoSpaceDE w:val="0"/>
              <w:autoSpaceDN w:val="0"/>
              <w:adjustRightInd w:val="0"/>
              <w:spacing w:before="0" w:after="0" w:line="240" w:lineRule="auto"/>
              <w:jc w:val="left"/>
              <w:rPr>
                <w:rFonts w:cs="Calibri"/>
                <w:b/>
                <w:color w:val="FFFFFF" w:themeColor="background1"/>
                <w:sz w:val="20"/>
                <w:szCs w:val="20"/>
                <w:lang w:val="sr-Latn-ME" w:eastAsia="en-US"/>
              </w:rPr>
            </w:pPr>
            <w:r w:rsidRPr="00D133D9">
              <w:rPr>
                <w:rFonts w:cs="Calibri"/>
                <w:b/>
                <w:color w:val="FFFFFF" w:themeColor="background1"/>
                <w:sz w:val="20"/>
                <w:szCs w:val="20"/>
                <w:lang w:val="sr-Latn-ME" w:eastAsia="en-US"/>
              </w:rPr>
              <w:t>Cilj</w:t>
            </w:r>
          </w:p>
          <w:p w14:paraId="657A03FD" w14:textId="3CCFC6CD" w:rsidR="00D133D9" w:rsidRPr="00D133D9" w:rsidRDefault="00D133D9" w:rsidP="00971473">
            <w:pPr>
              <w:autoSpaceDE w:val="0"/>
              <w:autoSpaceDN w:val="0"/>
              <w:adjustRightInd w:val="0"/>
              <w:spacing w:before="0" w:after="0" w:line="240" w:lineRule="auto"/>
              <w:jc w:val="left"/>
              <w:rPr>
                <w:rFonts w:cs="Calibri"/>
                <w:b/>
                <w:color w:val="FFFFFF" w:themeColor="background1"/>
                <w:sz w:val="20"/>
                <w:szCs w:val="20"/>
                <w:lang w:val="sr-Latn-ME" w:eastAsia="en-US"/>
              </w:rPr>
            </w:pP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14F7DCED" w14:textId="77777777" w:rsidR="00971473" w:rsidRPr="00D133D9" w:rsidRDefault="00971473" w:rsidP="00971473">
            <w:pPr>
              <w:autoSpaceDE w:val="0"/>
              <w:autoSpaceDN w:val="0"/>
              <w:adjustRightInd w:val="0"/>
              <w:spacing w:before="0" w:after="0" w:line="240" w:lineRule="auto"/>
              <w:jc w:val="left"/>
              <w:rPr>
                <w:rFonts w:cs="Calibri"/>
                <w:b/>
                <w:color w:val="FFFFFF" w:themeColor="background1"/>
                <w:sz w:val="20"/>
                <w:szCs w:val="20"/>
                <w:lang w:val="sr-Latn-ME" w:eastAsia="en-US"/>
              </w:rPr>
            </w:pPr>
            <w:r w:rsidRPr="00D133D9">
              <w:rPr>
                <w:rFonts w:cs="Calibri"/>
                <w:b/>
                <w:color w:val="FFFFFF" w:themeColor="background1"/>
                <w:sz w:val="20"/>
                <w:szCs w:val="20"/>
                <w:lang w:val="sr-Latn-ME" w:eastAsia="en-US"/>
              </w:rPr>
              <w:t>Kod cilja</w:t>
            </w:r>
          </w:p>
        </w:tc>
      </w:tr>
      <w:tr w:rsidR="00971473" w:rsidRPr="00D716F4" w14:paraId="2F8FD5DF" w14:textId="77777777" w:rsidTr="00B23467">
        <w:tc>
          <w:tcPr>
            <w:tcW w:w="1555" w:type="dxa"/>
            <w:tcBorders>
              <w:top w:val="single" w:sz="4" w:space="0" w:color="FFFFFF" w:themeColor="background1"/>
            </w:tcBorders>
          </w:tcPr>
          <w:p w14:paraId="3C290C74" w14:textId="77777777" w:rsidR="00971473" w:rsidRPr="00D716F4" w:rsidRDefault="00971473" w:rsidP="00971473">
            <w:pPr>
              <w:autoSpaceDE w:val="0"/>
              <w:autoSpaceDN w:val="0"/>
              <w:adjustRightInd w:val="0"/>
              <w:spacing w:before="0" w:after="0" w:line="240" w:lineRule="auto"/>
              <w:jc w:val="left"/>
              <w:rPr>
                <w:rFonts w:cs="Calibri"/>
                <w:b/>
                <w:color w:val="000000"/>
                <w:sz w:val="20"/>
                <w:szCs w:val="20"/>
                <w:lang w:val="sr-Latn-ME" w:eastAsia="en-US"/>
              </w:rPr>
            </w:pPr>
            <w:r w:rsidRPr="00D716F4">
              <w:rPr>
                <w:rFonts w:cs="Calibri"/>
                <w:b/>
                <w:color w:val="000000"/>
                <w:sz w:val="20"/>
                <w:szCs w:val="20"/>
                <w:lang w:val="sr-Latn-ME" w:eastAsia="en-US"/>
              </w:rPr>
              <w:t>D3C1</w:t>
            </w:r>
          </w:p>
        </w:tc>
        <w:tc>
          <w:tcPr>
            <w:tcW w:w="6804" w:type="dxa"/>
            <w:tcBorders>
              <w:top w:val="single" w:sz="4" w:space="0" w:color="FFFFFF" w:themeColor="background1"/>
              <w:right w:val="single" w:sz="4" w:space="0" w:color="auto"/>
            </w:tcBorders>
          </w:tcPr>
          <w:p w14:paraId="0DCF973C" w14:textId="77777777" w:rsidR="00971473" w:rsidRPr="00F61E3B" w:rsidRDefault="00971473" w:rsidP="00971473">
            <w:pPr>
              <w:spacing w:before="0" w:after="0" w:line="240" w:lineRule="auto"/>
              <w:jc w:val="left"/>
              <w:rPr>
                <w:sz w:val="20"/>
                <w:szCs w:val="20"/>
                <w:lang w:val="sr-Latn-ME" w:eastAsia="en-US"/>
              </w:rPr>
            </w:pPr>
            <w:r w:rsidRPr="00F61E3B">
              <w:rPr>
                <w:sz w:val="20"/>
                <w:szCs w:val="20"/>
                <w:lang w:val="sr-Latn-ME" w:eastAsia="en-US"/>
              </w:rPr>
              <w:t>Stopa ribolovne</w:t>
            </w:r>
            <w:r>
              <w:rPr>
                <w:sz w:val="20"/>
                <w:szCs w:val="20"/>
                <w:lang w:val="sr-Latn-ME" w:eastAsia="en-US"/>
              </w:rPr>
              <w:t xml:space="preserve"> smrtnosti kod populacija vrsta koje se iskorišćavaju u komercijalne svrhe na nivou je koji</w:t>
            </w:r>
            <w:r w:rsidRPr="00F61E3B">
              <w:rPr>
                <w:sz w:val="20"/>
                <w:szCs w:val="20"/>
                <w:lang w:val="sr-Latn-ME" w:eastAsia="en-US"/>
              </w:rPr>
              <w:t>m se može osigurati najviši održivi</w:t>
            </w:r>
          </w:p>
          <w:p w14:paraId="6FE98B25" w14:textId="77777777" w:rsidR="00971473" w:rsidRPr="00D716F4" w:rsidRDefault="00971473" w:rsidP="00971473">
            <w:pPr>
              <w:spacing w:before="0" w:after="0" w:line="240" w:lineRule="auto"/>
              <w:jc w:val="left"/>
              <w:rPr>
                <w:sz w:val="20"/>
                <w:szCs w:val="20"/>
                <w:lang w:val="sr-Latn-ME" w:eastAsia="en-US"/>
              </w:rPr>
            </w:pPr>
            <w:r>
              <w:rPr>
                <w:sz w:val="20"/>
                <w:szCs w:val="20"/>
                <w:lang w:val="sr-Latn-ME" w:eastAsia="en-US"/>
              </w:rPr>
              <w:t>p</w:t>
            </w:r>
            <w:r w:rsidRPr="00F61E3B">
              <w:rPr>
                <w:sz w:val="20"/>
                <w:szCs w:val="20"/>
                <w:lang w:val="sr-Latn-ME" w:eastAsia="en-US"/>
              </w:rPr>
              <w:t>rinos</w:t>
            </w:r>
            <w:r>
              <w:rPr>
                <w:sz w:val="20"/>
                <w:szCs w:val="20"/>
                <w:lang w:val="sr-Latn-ME" w:eastAsia="en-US"/>
              </w:rPr>
              <w:t xml:space="preserve"> (MSY)</w:t>
            </w:r>
            <w:r w:rsidRPr="00F61E3B">
              <w:rPr>
                <w:sz w:val="20"/>
                <w:szCs w:val="20"/>
                <w:lang w:val="sr-Latn-ME" w:eastAsia="en-US"/>
              </w:rPr>
              <w:t xml:space="preserve"> ili ispod nje</w:t>
            </w:r>
            <w:r>
              <w:rPr>
                <w:sz w:val="20"/>
                <w:szCs w:val="20"/>
                <w:lang w:val="sr-Latn-ME" w:eastAsia="en-US"/>
              </w:rPr>
              <w:t>ga.</w:t>
            </w:r>
          </w:p>
          <w:p w14:paraId="6D8C0D0A" w14:textId="77777777" w:rsidR="00971473" w:rsidRPr="00D716F4" w:rsidRDefault="00971473" w:rsidP="00971473">
            <w:pPr>
              <w:spacing w:before="0" w:after="0" w:line="240" w:lineRule="auto"/>
              <w:contextualSpacing/>
              <w:jc w:val="left"/>
              <w:rPr>
                <w:sz w:val="20"/>
                <w:szCs w:val="20"/>
                <w:lang w:val="sr-Latn-ME" w:eastAsia="hr-HR"/>
              </w:rPr>
            </w:pPr>
          </w:p>
        </w:tc>
        <w:tc>
          <w:tcPr>
            <w:tcW w:w="992" w:type="dxa"/>
            <w:tcBorders>
              <w:top w:val="single" w:sz="4" w:space="0" w:color="FFFFFF" w:themeColor="background1"/>
              <w:left w:val="single" w:sz="4" w:space="0" w:color="auto"/>
            </w:tcBorders>
          </w:tcPr>
          <w:p w14:paraId="30DD298D" w14:textId="77777777" w:rsidR="00971473" w:rsidRPr="00D716F4" w:rsidRDefault="00971473" w:rsidP="00971473">
            <w:pPr>
              <w:autoSpaceDE w:val="0"/>
              <w:autoSpaceDN w:val="0"/>
              <w:adjustRightInd w:val="0"/>
              <w:spacing w:before="0" w:after="0"/>
              <w:jc w:val="left"/>
              <w:rPr>
                <w:rFonts w:cs="Calibri"/>
                <w:b/>
                <w:color w:val="000000"/>
                <w:sz w:val="20"/>
                <w:szCs w:val="20"/>
                <w:lang w:val="sr-Latn-ME" w:eastAsia="en-US"/>
              </w:rPr>
            </w:pPr>
            <w:r w:rsidRPr="00D716F4">
              <w:rPr>
                <w:rFonts w:cs="Calibri"/>
                <w:b/>
                <w:color w:val="000000"/>
                <w:sz w:val="20"/>
                <w:szCs w:val="20"/>
                <w:lang w:val="sr-Latn-ME" w:eastAsia="en-US"/>
              </w:rPr>
              <w:t>D3T1</w:t>
            </w:r>
          </w:p>
        </w:tc>
      </w:tr>
      <w:tr w:rsidR="00971473" w:rsidRPr="00D716F4" w14:paraId="5C7E4193" w14:textId="77777777" w:rsidTr="00971473">
        <w:tc>
          <w:tcPr>
            <w:tcW w:w="1555" w:type="dxa"/>
          </w:tcPr>
          <w:p w14:paraId="3C0CA913" w14:textId="77777777" w:rsidR="00971473" w:rsidRPr="00D716F4" w:rsidRDefault="00971473" w:rsidP="00971473">
            <w:pPr>
              <w:spacing w:before="0" w:after="0" w:line="240" w:lineRule="auto"/>
              <w:jc w:val="left"/>
              <w:rPr>
                <w:rFonts w:cs="Calibri"/>
                <w:b/>
                <w:sz w:val="20"/>
                <w:szCs w:val="20"/>
                <w:lang w:val="sr-Latn-ME" w:eastAsia="en-US"/>
              </w:rPr>
            </w:pPr>
            <w:r w:rsidRPr="00D716F4">
              <w:rPr>
                <w:rFonts w:cs="Calibri"/>
                <w:b/>
                <w:sz w:val="20"/>
                <w:szCs w:val="20"/>
                <w:lang w:val="sr-Latn-ME" w:eastAsia="en-US"/>
              </w:rPr>
              <w:t>D3C2</w:t>
            </w:r>
          </w:p>
        </w:tc>
        <w:tc>
          <w:tcPr>
            <w:tcW w:w="6804" w:type="dxa"/>
            <w:tcBorders>
              <w:right w:val="single" w:sz="4" w:space="0" w:color="auto"/>
            </w:tcBorders>
          </w:tcPr>
          <w:p w14:paraId="4CBF084E" w14:textId="77777777" w:rsidR="00971473" w:rsidRPr="00D716F4" w:rsidRDefault="00971473" w:rsidP="00971473">
            <w:pPr>
              <w:spacing w:before="0" w:after="0" w:line="240" w:lineRule="auto"/>
              <w:contextualSpacing/>
              <w:jc w:val="left"/>
              <w:rPr>
                <w:b/>
                <w:sz w:val="20"/>
                <w:szCs w:val="20"/>
                <w:lang w:val="sr-Latn-ME" w:eastAsia="hr-HR"/>
              </w:rPr>
            </w:pPr>
            <w:r w:rsidRPr="00F61E3B">
              <w:rPr>
                <w:sz w:val="20"/>
                <w:szCs w:val="20"/>
                <w:lang w:val="sr-Latn-ME" w:eastAsia="en-US"/>
              </w:rPr>
              <w:t>Biomasa</w:t>
            </w:r>
            <w:r>
              <w:rPr>
                <w:sz w:val="20"/>
                <w:szCs w:val="20"/>
                <w:lang w:val="sr-Latn-ME" w:eastAsia="en-US"/>
              </w:rPr>
              <w:t xml:space="preserve"> mrijestećeg</w:t>
            </w:r>
            <w:r w:rsidRPr="00F61E3B">
              <w:rPr>
                <w:sz w:val="20"/>
                <w:szCs w:val="20"/>
                <w:lang w:val="sr-Latn-ME" w:eastAsia="en-US"/>
              </w:rPr>
              <w:t xml:space="preserve"> stoka </w:t>
            </w:r>
            <w:r>
              <w:rPr>
                <w:sz w:val="20"/>
                <w:szCs w:val="20"/>
                <w:lang w:val="sr-Latn-ME" w:eastAsia="en-US"/>
              </w:rPr>
              <w:t>populacija vrsta koje se iskorišć</w:t>
            </w:r>
            <w:r w:rsidRPr="00F61E3B">
              <w:rPr>
                <w:sz w:val="20"/>
                <w:szCs w:val="20"/>
                <w:lang w:val="sr-Latn-ME" w:eastAsia="en-US"/>
              </w:rPr>
              <w:t>avaju</w:t>
            </w:r>
            <w:r>
              <w:rPr>
                <w:sz w:val="20"/>
                <w:szCs w:val="20"/>
                <w:lang w:val="sr-Latn-ME" w:eastAsia="en-US"/>
              </w:rPr>
              <w:t xml:space="preserve"> u komercijalne svrhe iznad je nivoa biomase koja omogućava</w:t>
            </w:r>
            <w:r w:rsidRPr="00F61E3B">
              <w:rPr>
                <w:sz w:val="20"/>
                <w:szCs w:val="20"/>
                <w:lang w:val="sr-Latn-ME" w:eastAsia="en-US"/>
              </w:rPr>
              <w:t xml:space="preserve"> najviši održivi prinos</w:t>
            </w:r>
            <w:r>
              <w:rPr>
                <w:sz w:val="20"/>
                <w:szCs w:val="20"/>
                <w:lang w:val="sr-Latn-ME" w:eastAsia="en-US"/>
              </w:rPr>
              <w:t>.</w:t>
            </w:r>
          </w:p>
        </w:tc>
        <w:tc>
          <w:tcPr>
            <w:tcW w:w="992" w:type="dxa"/>
            <w:tcBorders>
              <w:left w:val="single" w:sz="4" w:space="0" w:color="auto"/>
            </w:tcBorders>
          </w:tcPr>
          <w:p w14:paraId="57AE8056" w14:textId="77777777" w:rsidR="00971473" w:rsidRPr="00D716F4" w:rsidRDefault="00971473" w:rsidP="00971473">
            <w:pPr>
              <w:autoSpaceDE w:val="0"/>
              <w:autoSpaceDN w:val="0"/>
              <w:adjustRightInd w:val="0"/>
              <w:spacing w:before="0" w:after="0"/>
              <w:jc w:val="left"/>
              <w:rPr>
                <w:rFonts w:cs="Calibri"/>
                <w:b/>
                <w:color w:val="000000"/>
                <w:sz w:val="20"/>
                <w:szCs w:val="20"/>
                <w:lang w:val="sr-Latn-ME" w:eastAsia="en-US"/>
              </w:rPr>
            </w:pPr>
            <w:r w:rsidRPr="00D716F4">
              <w:rPr>
                <w:rFonts w:cs="Calibri"/>
                <w:b/>
                <w:color w:val="000000"/>
                <w:sz w:val="20"/>
                <w:szCs w:val="20"/>
                <w:lang w:val="sr-Latn-ME" w:eastAsia="en-US"/>
              </w:rPr>
              <w:t>D3T2</w:t>
            </w:r>
          </w:p>
        </w:tc>
      </w:tr>
      <w:tr w:rsidR="00971473" w:rsidRPr="00D716F4" w14:paraId="729CE597" w14:textId="77777777" w:rsidTr="00971473">
        <w:trPr>
          <w:trHeight w:val="576"/>
        </w:trPr>
        <w:tc>
          <w:tcPr>
            <w:tcW w:w="1555" w:type="dxa"/>
          </w:tcPr>
          <w:p w14:paraId="72A6988A" w14:textId="77777777" w:rsidR="00971473" w:rsidRPr="00D716F4" w:rsidRDefault="00971473" w:rsidP="00971473">
            <w:pPr>
              <w:spacing w:before="0" w:after="0" w:line="240" w:lineRule="auto"/>
              <w:jc w:val="left"/>
              <w:rPr>
                <w:b/>
                <w:sz w:val="20"/>
                <w:szCs w:val="20"/>
                <w:lang w:val="sr-Latn-ME" w:eastAsia="en-US"/>
              </w:rPr>
            </w:pPr>
            <w:r w:rsidRPr="00D716F4">
              <w:rPr>
                <w:b/>
                <w:sz w:val="20"/>
                <w:szCs w:val="20"/>
                <w:lang w:val="sr-Latn-ME" w:eastAsia="en-US"/>
              </w:rPr>
              <w:t>D3C3</w:t>
            </w:r>
          </w:p>
        </w:tc>
        <w:tc>
          <w:tcPr>
            <w:tcW w:w="6804" w:type="dxa"/>
            <w:tcBorders>
              <w:right w:val="single" w:sz="4" w:space="0" w:color="auto"/>
            </w:tcBorders>
          </w:tcPr>
          <w:p w14:paraId="7C36D4CC" w14:textId="77777777" w:rsidR="00971473" w:rsidRPr="00D716F4" w:rsidRDefault="00971473" w:rsidP="00971473">
            <w:pPr>
              <w:spacing w:before="0" w:after="0" w:line="240" w:lineRule="auto"/>
              <w:jc w:val="left"/>
              <w:rPr>
                <w:sz w:val="20"/>
                <w:szCs w:val="20"/>
                <w:lang w:val="sr-Latn-ME" w:eastAsia="en-US"/>
              </w:rPr>
            </w:pPr>
            <w:r>
              <w:rPr>
                <w:sz w:val="20"/>
                <w:szCs w:val="20"/>
                <w:lang w:val="sr-Latn-ME" w:eastAsia="en-US"/>
              </w:rPr>
              <w:t>Raspodjela jedinki po starosti</w:t>
            </w:r>
            <w:r w:rsidRPr="00E4752A">
              <w:rPr>
                <w:sz w:val="20"/>
                <w:szCs w:val="20"/>
                <w:lang w:val="sr-Latn-ME" w:eastAsia="en-US"/>
              </w:rPr>
              <w:t xml:space="preserve"> i veličini u popu</w:t>
            </w:r>
            <w:r>
              <w:rPr>
                <w:sz w:val="20"/>
                <w:szCs w:val="20"/>
                <w:lang w:val="sr-Latn-ME" w:eastAsia="en-US"/>
              </w:rPr>
              <w:t xml:space="preserve">lacijama vrsta koje se iskorišćavaju u komercijalne </w:t>
            </w:r>
            <w:r w:rsidRPr="00E4752A">
              <w:rPr>
                <w:sz w:val="20"/>
                <w:szCs w:val="20"/>
                <w:lang w:val="sr-Latn-ME" w:eastAsia="en-US"/>
              </w:rPr>
              <w:t>svrhe ukazuje na zdravu populaciju.</w:t>
            </w:r>
          </w:p>
          <w:p w14:paraId="5E8EA140" w14:textId="77777777" w:rsidR="00971473" w:rsidRPr="00D716F4" w:rsidRDefault="00971473" w:rsidP="00971473">
            <w:pPr>
              <w:autoSpaceDE w:val="0"/>
              <w:autoSpaceDN w:val="0"/>
              <w:adjustRightInd w:val="0"/>
              <w:spacing w:before="0" w:after="0" w:line="240" w:lineRule="auto"/>
              <w:jc w:val="left"/>
              <w:rPr>
                <w:rFonts w:cs="Calibri"/>
                <w:color w:val="000000"/>
                <w:sz w:val="20"/>
                <w:szCs w:val="20"/>
                <w:lang w:val="sr-Latn-ME" w:eastAsia="en-US"/>
              </w:rPr>
            </w:pPr>
          </w:p>
        </w:tc>
        <w:tc>
          <w:tcPr>
            <w:tcW w:w="992" w:type="dxa"/>
            <w:tcBorders>
              <w:left w:val="single" w:sz="4" w:space="0" w:color="auto"/>
            </w:tcBorders>
          </w:tcPr>
          <w:p w14:paraId="20CCF9EE" w14:textId="77777777" w:rsidR="00971473" w:rsidRPr="00D716F4" w:rsidRDefault="00971473" w:rsidP="00971473">
            <w:pPr>
              <w:autoSpaceDE w:val="0"/>
              <w:autoSpaceDN w:val="0"/>
              <w:adjustRightInd w:val="0"/>
              <w:spacing w:before="0" w:after="0"/>
              <w:jc w:val="left"/>
              <w:rPr>
                <w:rFonts w:cs="Calibri"/>
                <w:b/>
                <w:color w:val="000000"/>
                <w:sz w:val="20"/>
                <w:szCs w:val="20"/>
                <w:lang w:val="sr-Latn-ME" w:eastAsia="en-US"/>
              </w:rPr>
            </w:pPr>
            <w:r w:rsidRPr="00D716F4">
              <w:rPr>
                <w:rFonts w:cs="Calibri"/>
                <w:b/>
                <w:color w:val="000000"/>
                <w:sz w:val="20"/>
                <w:szCs w:val="20"/>
                <w:lang w:val="sr-Latn-ME" w:eastAsia="en-US"/>
              </w:rPr>
              <w:t>D3T3</w:t>
            </w:r>
          </w:p>
        </w:tc>
      </w:tr>
      <w:tr w:rsidR="00971473" w:rsidRPr="00D716F4" w14:paraId="615CA0D7" w14:textId="77777777" w:rsidTr="00971473">
        <w:tc>
          <w:tcPr>
            <w:tcW w:w="1555" w:type="dxa"/>
          </w:tcPr>
          <w:p w14:paraId="0820D2A9" w14:textId="77777777" w:rsidR="00971473" w:rsidRPr="00D716F4" w:rsidRDefault="00971473" w:rsidP="00971473">
            <w:pPr>
              <w:spacing w:before="0" w:after="0" w:line="240" w:lineRule="auto"/>
              <w:jc w:val="left"/>
              <w:rPr>
                <w:b/>
                <w:sz w:val="20"/>
                <w:szCs w:val="20"/>
                <w:lang w:val="sr-Latn-ME" w:eastAsia="en-US"/>
              </w:rPr>
            </w:pPr>
            <w:r>
              <w:rPr>
                <w:b/>
                <w:sz w:val="20"/>
                <w:szCs w:val="20"/>
                <w:lang w:val="sr-Latn-ME" w:eastAsia="en-US"/>
              </w:rPr>
              <w:t xml:space="preserve">Operativni ciljevi </w:t>
            </w:r>
          </w:p>
        </w:tc>
        <w:tc>
          <w:tcPr>
            <w:tcW w:w="7796" w:type="dxa"/>
            <w:gridSpan w:val="2"/>
          </w:tcPr>
          <w:p w14:paraId="6E3E5A29" w14:textId="77777777" w:rsidR="00971473" w:rsidRPr="00D716F4" w:rsidRDefault="00971473" w:rsidP="00C52E6F">
            <w:pPr>
              <w:pStyle w:val="ListParagraph"/>
              <w:numPr>
                <w:ilvl w:val="0"/>
                <w:numId w:val="40"/>
              </w:numPr>
              <w:spacing w:before="0" w:after="0" w:line="240" w:lineRule="auto"/>
              <w:ind w:left="175" w:hanging="175"/>
              <w:jc w:val="left"/>
              <w:rPr>
                <w:rFonts w:cs="Calibri"/>
                <w:bCs/>
                <w:sz w:val="20"/>
                <w:szCs w:val="20"/>
                <w:lang w:val="sr-Latn-ME" w:eastAsia="hr-HR"/>
              </w:rPr>
            </w:pPr>
            <w:r>
              <w:rPr>
                <w:rFonts w:cs="Calibri"/>
                <w:bCs/>
                <w:sz w:val="20"/>
                <w:szCs w:val="20"/>
                <w:lang w:val="sr-Latn-ME" w:eastAsia="hr-HR"/>
              </w:rPr>
              <w:t xml:space="preserve">Uspostavljanje operativnog nacionalnog plana upravljanja za aktivne tipove ribarstva </w:t>
            </w:r>
          </w:p>
          <w:p w14:paraId="6915BCA5" w14:textId="77777777" w:rsidR="00971473" w:rsidRPr="00D716F4" w:rsidRDefault="00971473" w:rsidP="00C52E6F">
            <w:pPr>
              <w:pStyle w:val="ListParagraph"/>
              <w:numPr>
                <w:ilvl w:val="0"/>
                <w:numId w:val="40"/>
              </w:numPr>
              <w:spacing w:before="0" w:after="0" w:line="240" w:lineRule="auto"/>
              <w:ind w:left="175" w:hanging="175"/>
              <w:jc w:val="left"/>
              <w:rPr>
                <w:rFonts w:cs="Calibri"/>
                <w:bCs/>
                <w:sz w:val="20"/>
                <w:szCs w:val="20"/>
                <w:lang w:val="sr-Latn-ME" w:eastAsia="hr-HR"/>
              </w:rPr>
            </w:pPr>
            <w:r>
              <w:rPr>
                <w:rFonts w:cs="Calibri"/>
                <w:bCs/>
                <w:sz w:val="20"/>
                <w:szCs w:val="20"/>
                <w:lang w:val="sr-Latn-ME" w:eastAsia="hr-HR"/>
              </w:rPr>
              <w:t>Uspostavljanje zona zabranjenih za ribolov i zaštićenih područja u moru (ZPM) (D3C1 i</w:t>
            </w:r>
            <w:r w:rsidRPr="00D716F4">
              <w:rPr>
                <w:rFonts w:cs="Calibri"/>
                <w:bCs/>
                <w:sz w:val="20"/>
                <w:szCs w:val="20"/>
                <w:lang w:val="sr-Latn-ME" w:eastAsia="hr-HR"/>
              </w:rPr>
              <w:t xml:space="preserve"> D3C2)</w:t>
            </w:r>
          </w:p>
          <w:p w14:paraId="01F2F98F" w14:textId="77777777" w:rsidR="00971473" w:rsidRPr="00D716F4" w:rsidRDefault="00971473" w:rsidP="00C52E6F">
            <w:pPr>
              <w:pStyle w:val="ListParagraph"/>
              <w:numPr>
                <w:ilvl w:val="0"/>
                <w:numId w:val="40"/>
              </w:numPr>
              <w:spacing w:before="0" w:after="0" w:line="240" w:lineRule="auto"/>
              <w:ind w:left="175" w:hanging="175"/>
              <w:jc w:val="left"/>
              <w:rPr>
                <w:rFonts w:cs="Calibri"/>
                <w:bCs/>
                <w:sz w:val="20"/>
                <w:szCs w:val="20"/>
                <w:lang w:val="sr-Latn-ME" w:eastAsia="hr-HR"/>
              </w:rPr>
            </w:pPr>
            <w:r>
              <w:rPr>
                <w:rFonts w:cs="Calibri"/>
                <w:bCs/>
                <w:sz w:val="20"/>
                <w:szCs w:val="20"/>
                <w:lang w:val="sr-Latn-ME" w:eastAsia="hr-HR"/>
              </w:rPr>
              <w:t xml:space="preserve">Definisanje osnove i praga/referentnih vrijednosti za kriterijume za D3 na nacionalnom i/ili regionalnom nivou </w:t>
            </w:r>
          </w:p>
        </w:tc>
      </w:tr>
      <w:tr w:rsidR="00971473" w:rsidRPr="00D716F4" w14:paraId="7156E568" w14:textId="77777777" w:rsidTr="00971473">
        <w:tc>
          <w:tcPr>
            <w:tcW w:w="1555" w:type="dxa"/>
          </w:tcPr>
          <w:p w14:paraId="3993334C" w14:textId="77777777" w:rsidR="00971473" w:rsidRPr="00D716F4" w:rsidRDefault="00971473" w:rsidP="00971473">
            <w:pPr>
              <w:autoSpaceDE w:val="0"/>
              <w:autoSpaceDN w:val="0"/>
              <w:adjustRightInd w:val="0"/>
              <w:spacing w:before="0" w:after="0" w:line="240" w:lineRule="auto"/>
              <w:jc w:val="left"/>
              <w:rPr>
                <w:rFonts w:cs="Calibri"/>
                <w:b/>
                <w:color w:val="000000"/>
                <w:sz w:val="20"/>
                <w:szCs w:val="20"/>
                <w:lang w:val="sr-Latn-ME" w:eastAsia="en-US"/>
              </w:rPr>
            </w:pPr>
            <w:r>
              <w:rPr>
                <w:rFonts w:cs="Calibri"/>
                <w:b/>
                <w:color w:val="000000"/>
                <w:sz w:val="20"/>
                <w:szCs w:val="20"/>
                <w:lang w:val="sr-Latn-ME" w:eastAsia="en-US"/>
              </w:rPr>
              <w:t xml:space="preserve">Indikatori koji se koriste za procjenu statusa </w:t>
            </w:r>
          </w:p>
        </w:tc>
        <w:tc>
          <w:tcPr>
            <w:tcW w:w="7796" w:type="dxa"/>
            <w:gridSpan w:val="2"/>
          </w:tcPr>
          <w:p w14:paraId="5F23B742" w14:textId="4C4B6148" w:rsidR="00971473" w:rsidRDefault="002741F8" w:rsidP="000413B6">
            <w:pPr>
              <w:autoSpaceDE w:val="0"/>
              <w:autoSpaceDN w:val="0"/>
              <w:adjustRightInd w:val="0"/>
              <w:spacing w:before="0" w:after="0"/>
              <w:contextualSpacing/>
              <w:jc w:val="left"/>
              <w:rPr>
                <w:rFonts w:cs="Calibri"/>
                <w:color w:val="000000"/>
                <w:sz w:val="20"/>
                <w:szCs w:val="20"/>
                <w:lang w:val="sr-Latn-ME" w:eastAsia="en-US"/>
              </w:rPr>
            </w:pPr>
            <w:r w:rsidRPr="00991F05">
              <w:rPr>
                <w:rFonts w:cs="Calibri"/>
                <w:b/>
                <w:color w:val="000000"/>
                <w:sz w:val="20"/>
                <w:szCs w:val="20"/>
                <w:lang w:val="sr-Latn-ME" w:eastAsia="en-US"/>
              </w:rPr>
              <w:t>D3C1.1</w:t>
            </w:r>
            <w:r>
              <w:rPr>
                <w:rFonts w:cs="Calibri"/>
                <w:color w:val="000000"/>
                <w:sz w:val="20"/>
                <w:szCs w:val="20"/>
                <w:lang w:val="sr-Latn-ME" w:eastAsia="en-US"/>
              </w:rPr>
              <w:t>: Stopa ribolovne smrtnosti za o</w:t>
            </w:r>
            <w:r w:rsidR="00971473">
              <w:rPr>
                <w:rFonts w:cs="Calibri"/>
                <w:color w:val="000000"/>
                <w:sz w:val="20"/>
                <w:szCs w:val="20"/>
                <w:lang w:val="sr-Latn-ME" w:eastAsia="en-US"/>
              </w:rPr>
              <w:t>dabrane demerzalne vrste</w:t>
            </w:r>
          </w:p>
          <w:p w14:paraId="6FF65EFD" w14:textId="77777777" w:rsidR="00971473" w:rsidRDefault="002741F8" w:rsidP="000413B6">
            <w:pPr>
              <w:autoSpaceDE w:val="0"/>
              <w:autoSpaceDN w:val="0"/>
              <w:adjustRightInd w:val="0"/>
              <w:spacing w:before="0" w:after="0"/>
              <w:contextualSpacing/>
              <w:jc w:val="left"/>
              <w:rPr>
                <w:rFonts w:cs="Calibri"/>
                <w:color w:val="000000"/>
                <w:sz w:val="20"/>
                <w:szCs w:val="20"/>
                <w:lang w:val="sr-Latn-ME" w:eastAsia="en-US"/>
              </w:rPr>
            </w:pPr>
            <w:r w:rsidRPr="00991F05">
              <w:rPr>
                <w:rFonts w:cs="Calibri"/>
                <w:b/>
                <w:color w:val="000000"/>
                <w:sz w:val="20"/>
                <w:szCs w:val="20"/>
                <w:lang w:val="sr-Latn-ME" w:eastAsia="en-US"/>
              </w:rPr>
              <w:t>D3C1.2:</w:t>
            </w:r>
            <w:r>
              <w:rPr>
                <w:rFonts w:cs="Calibri"/>
                <w:color w:val="000000"/>
                <w:sz w:val="20"/>
                <w:szCs w:val="20"/>
                <w:lang w:val="sr-Latn-ME" w:eastAsia="en-US"/>
              </w:rPr>
              <w:t xml:space="preserve"> Stopa ribolovne smrtnosti za odabrane </w:t>
            </w:r>
            <w:r w:rsidR="00971473">
              <w:rPr>
                <w:rFonts w:cs="Calibri"/>
                <w:color w:val="000000"/>
                <w:sz w:val="20"/>
                <w:szCs w:val="20"/>
                <w:lang w:val="sr-Latn-ME" w:eastAsia="en-US"/>
              </w:rPr>
              <w:t xml:space="preserve"> pelagične vrste</w:t>
            </w:r>
          </w:p>
          <w:p w14:paraId="6547BA3E" w14:textId="5A85B7B5" w:rsidR="002741F8" w:rsidRDefault="002741F8" w:rsidP="000413B6">
            <w:pPr>
              <w:autoSpaceDE w:val="0"/>
              <w:autoSpaceDN w:val="0"/>
              <w:adjustRightInd w:val="0"/>
              <w:spacing w:before="0" w:after="0"/>
              <w:contextualSpacing/>
              <w:jc w:val="left"/>
              <w:rPr>
                <w:rFonts w:cs="Calibri"/>
                <w:color w:val="000000"/>
                <w:sz w:val="20"/>
                <w:szCs w:val="20"/>
                <w:lang w:val="sr-Latn-ME" w:eastAsia="en-US"/>
              </w:rPr>
            </w:pPr>
            <w:r w:rsidRPr="00991F05">
              <w:rPr>
                <w:rFonts w:cs="Calibri"/>
                <w:b/>
                <w:color w:val="000000"/>
                <w:sz w:val="20"/>
                <w:szCs w:val="20"/>
                <w:lang w:val="sr-Latn-ME" w:eastAsia="en-US"/>
              </w:rPr>
              <w:t>D3C2.1</w:t>
            </w:r>
            <w:r>
              <w:rPr>
                <w:rFonts w:cs="Calibri"/>
                <w:color w:val="000000"/>
                <w:sz w:val="20"/>
                <w:szCs w:val="20"/>
                <w:lang w:val="sr-Latn-ME" w:eastAsia="en-US"/>
              </w:rPr>
              <w:t>: Abundanca mrijestećeg sto</w:t>
            </w:r>
            <w:r w:rsidR="00991F05">
              <w:rPr>
                <w:rFonts w:cs="Calibri"/>
                <w:color w:val="000000"/>
                <w:sz w:val="20"/>
                <w:szCs w:val="20"/>
                <w:lang w:val="sr-Latn-ME" w:eastAsia="en-US"/>
              </w:rPr>
              <w:t>k</w:t>
            </w:r>
            <w:r>
              <w:rPr>
                <w:rFonts w:cs="Calibri"/>
                <w:color w:val="000000"/>
                <w:sz w:val="20"/>
                <w:szCs w:val="20"/>
                <w:lang w:val="sr-Latn-ME" w:eastAsia="en-US"/>
              </w:rPr>
              <w:t>a odabranih demerzalnih vrsta</w:t>
            </w:r>
          </w:p>
          <w:p w14:paraId="7B39A5AC" w14:textId="77777777" w:rsidR="002741F8" w:rsidRDefault="002741F8" w:rsidP="000413B6">
            <w:pPr>
              <w:autoSpaceDE w:val="0"/>
              <w:autoSpaceDN w:val="0"/>
              <w:adjustRightInd w:val="0"/>
              <w:spacing w:before="0" w:after="0"/>
              <w:contextualSpacing/>
              <w:jc w:val="left"/>
              <w:rPr>
                <w:rFonts w:cs="Calibri"/>
                <w:color w:val="000000"/>
                <w:sz w:val="20"/>
                <w:szCs w:val="20"/>
                <w:lang w:val="sr-Latn-ME" w:eastAsia="en-US"/>
              </w:rPr>
            </w:pPr>
            <w:r w:rsidRPr="00991F05">
              <w:rPr>
                <w:rFonts w:cs="Calibri"/>
                <w:b/>
                <w:color w:val="000000"/>
                <w:sz w:val="20"/>
                <w:szCs w:val="20"/>
                <w:lang w:val="sr-Latn-ME" w:eastAsia="en-US"/>
              </w:rPr>
              <w:t>D3C2.2:</w:t>
            </w:r>
            <w:r>
              <w:rPr>
                <w:rFonts w:cs="Calibri"/>
                <w:color w:val="000000"/>
                <w:sz w:val="20"/>
                <w:szCs w:val="20"/>
                <w:lang w:val="sr-Latn-ME" w:eastAsia="en-US"/>
              </w:rPr>
              <w:t xml:space="preserve"> Anundanca mrijestećeg stoka  </w:t>
            </w:r>
            <w:r w:rsidR="00991F05">
              <w:rPr>
                <w:rFonts w:cs="Calibri"/>
                <w:color w:val="000000"/>
                <w:sz w:val="20"/>
                <w:szCs w:val="20"/>
                <w:lang w:val="sr-Latn-ME" w:eastAsia="en-US"/>
              </w:rPr>
              <w:t>odabranih pelagičnih vrsta</w:t>
            </w:r>
          </w:p>
          <w:p w14:paraId="5B0499B8" w14:textId="77777777" w:rsidR="00991F05" w:rsidRDefault="00991F05" w:rsidP="000413B6">
            <w:pPr>
              <w:autoSpaceDE w:val="0"/>
              <w:autoSpaceDN w:val="0"/>
              <w:adjustRightInd w:val="0"/>
              <w:spacing w:before="0" w:after="0"/>
              <w:contextualSpacing/>
              <w:jc w:val="left"/>
              <w:rPr>
                <w:rFonts w:cs="Calibri"/>
                <w:color w:val="000000"/>
                <w:sz w:val="20"/>
                <w:szCs w:val="20"/>
                <w:lang w:val="sr-Latn-ME" w:eastAsia="en-US"/>
              </w:rPr>
            </w:pPr>
            <w:r w:rsidRPr="00991F05">
              <w:rPr>
                <w:rFonts w:cs="Calibri"/>
                <w:b/>
                <w:color w:val="000000"/>
                <w:sz w:val="20"/>
                <w:szCs w:val="20"/>
                <w:lang w:val="sr-Latn-ME" w:eastAsia="en-US"/>
              </w:rPr>
              <w:t>D3C3.1:</w:t>
            </w:r>
            <w:r>
              <w:rPr>
                <w:rFonts w:cs="Calibri"/>
                <w:color w:val="000000"/>
                <w:sz w:val="20"/>
                <w:szCs w:val="20"/>
                <w:lang w:val="sr-Latn-ME" w:eastAsia="en-US"/>
              </w:rPr>
              <w:t xml:space="preserve"> Starosna i veličinska struktura odabranih demerzalnih vrsta</w:t>
            </w:r>
          </w:p>
          <w:p w14:paraId="783A5835" w14:textId="66ACF011" w:rsidR="00991F05" w:rsidRPr="00D716F4" w:rsidRDefault="00991F05" w:rsidP="000413B6">
            <w:pPr>
              <w:autoSpaceDE w:val="0"/>
              <w:autoSpaceDN w:val="0"/>
              <w:adjustRightInd w:val="0"/>
              <w:spacing w:before="0" w:after="0"/>
              <w:contextualSpacing/>
              <w:jc w:val="left"/>
              <w:rPr>
                <w:rFonts w:cs="Calibri"/>
                <w:color w:val="000000"/>
                <w:sz w:val="20"/>
                <w:szCs w:val="20"/>
                <w:lang w:val="sr-Latn-ME" w:eastAsia="en-US"/>
              </w:rPr>
            </w:pPr>
            <w:r w:rsidRPr="00991F05">
              <w:rPr>
                <w:rFonts w:cs="Calibri"/>
                <w:b/>
                <w:color w:val="000000"/>
                <w:sz w:val="20"/>
                <w:szCs w:val="20"/>
                <w:lang w:val="sr-Latn-ME" w:eastAsia="en-US"/>
              </w:rPr>
              <w:t>D3C3.2:</w:t>
            </w:r>
            <w:r>
              <w:rPr>
                <w:rFonts w:cs="Calibri"/>
                <w:color w:val="000000"/>
                <w:sz w:val="20"/>
                <w:szCs w:val="20"/>
                <w:lang w:val="sr-Latn-ME" w:eastAsia="en-US"/>
              </w:rPr>
              <w:t xml:space="preserve"> Starosna i veličinska struktura odabranih pelafičnih vrsta</w:t>
            </w:r>
          </w:p>
        </w:tc>
      </w:tr>
    </w:tbl>
    <w:p w14:paraId="2DABC63C" w14:textId="77777777" w:rsidR="00971473" w:rsidRPr="00D716F4" w:rsidRDefault="00971473" w:rsidP="00971473">
      <w:pPr>
        <w:keepNext/>
        <w:keepLines/>
        <w:spacing w:before="40" w:after="0" w:line="240" w:lineRule="auto"/>
        <w:jc w:val="left"/>
        <w:outlineLvl w:val="2"/>
        <w:rPr>
          <w:rFonts w:cs="Calibri"/>
          <w:b/>
          <w:sz w:val="20"/>
          <w:szCs w:val="20"/>
          <w:highlight w:val="yellow"/>
          <w:lang w:val="sr-Latn-ME" w:eastAsia="en-US"/>
        </w:rPr>
      </w:pPr>
    </w:p>
    <w:p w14:paraId="0CFC4663" w14:textId="77777777" w:rsidR="00971473" w:rsidRPr="00971473" w:rsidRDefault="00971473" w:rsidP="00971473">
      <w:pPr>
        <w:pStyle w:val="Heading3"/>
        <w:rPr>
          <w:lang w:val="en-GB" w:eastAsia="en-US"/>
        </w:rPr>
      </w:pPr>
      <w:bookmarkStart w:id="125" w:name="_Toc83630910"/>
      <w:bookmarkEnd w:id="120"/>
      <w:bookmarkEnd w:id="121"/>
      <w:r w:rsidRPr="00971473">
        <w:rPr>
          <w:lang w:val="en-GB" w:eastAsia="en-US"/>
        </w:rPr>
        <w:t>Postojeće mjere za postizanje GES-a</w:t>
      </w:r>
      <w:bookmarkEnd w:id="125"/>
    </w:p>
    <w:p w14:paraId="01E74301" w14:textId="77777777" w:rsidR="00971473" w:rsidRDefault="00971473" w:rsidP="00971473">
      <w:pPr>
        <w:spacing w:before="0" w:after="160"/>
        <w:rPr>
          <w:rFonts w:cs="Calibri"/>
          <w:bCs/>
          <w:szCs w:val="22"/>
          <w:lang w:val="sr-Latn-ME" w:eastAsia="en-US"/>
        </w:rPr>
      </w:pPr>
      <w:bookmarkStart w:id="126" w:name="_Toc68078492"/>
      <w:bookmarkStart w:id="127" w:name="_Toc68180757"/>
      <w:r>
        <w:rPr>
          <w:rFonts w:cs="Calibri"/>
          <w:bCs/>
          <w:szCs w:val="22"/>
          <w:lang w:val="sr-Latn-ME" w:eastAsia="en-US"/>
        </w:rPr>
        <w:t>Status ribljih stokova</w:t>
      </w:r>
      <w:r w:rsidRPr="001062FC">
        <w:rPr>
          <w:rFonts w:cs="Calibri"/>
          <w:bCs/>
          <w:szCs w:val="22"/>
          <w:lang w:val="sr-Latn-ME" w:eastAsia="en-US"/>
        </w:rPr>
        <w:t xml:space="preserve"> na</w:t>
      </w:r>
      <w:r>
        <w:rPr>
          <w:rFonts w:cs="Calibri"/>
          <w:bCs/>
          <w:szCs w:val="22"/>
          <w:lang w:val="sr-Latn-ME" w:eastAsia="en-US"/>
        </w:rPr>
        <w:t xml:space="preserve"> Jadranu mogao bi se okarakterisati</w:t>
      </w:r>
      <w:r w:rsidRPr="001062FC">
        <w:rPr>
          <w:rFonts w:cs="Calibri"/>
          <w:bCs/>
          <w:szCs w:val="22"/>
          <w:lang w:val="sr-Latn-ME" w:eastAsia="en-US"/>
        </w:rPr>
        <w:t xml:space="preserve"> kao nepovoljan, što bi rezultiralo </w:t>
      </w:r>
      <w:r>
        <w:rPr>
          <w:rFonts w:cs="Calibri"/>
          <w:bCs/>
          <w:szCs w:val="22"/>
          <w:lang w:val="sr-Latn-ME" w:eastAsia="en-US"/>
        </w:rPr>
        <w:t>s</w:t>
      </w:r>
      <w:r w:rsidRPr="001062FC">
        <w:rPr>
          <w:rFonts w:cs="Calibri"/>
          <w:bCs/>
          <w:szCs w:val="22"/>
          <w:lang w:val="sr-Latn-ME" w:eastAsia="en-US"/>
        </w:rPr>
        <w:t xml:space="preserve">provođenjem određenih mjera na regionalnom nivou s ciljem očuvanja ribolovnih resursa. Na Jadranu su </w:t>
      </w:r>
      <w:r>
        <w:rPr>
          <w:rFonts w:cs="Calibri"/>
          <w:bCs/>
          <w:szCs w:val="22"/>
          <w:lang w:val="sr-Latn-ME" w:eastAsia="en-US"/>
        </w:rPr>
        <w:t>s</w:t>
      </w:r>
      <w:r w:rsidRPr="001062FC">
        <w:rPr>
          <w:rFonts w:cs="Calibri"/>
          <w:bCs/>
          <w:szCs w:val="22"/>
          <w:lang w:val="sr-Latn-ME" w:eastAsia="en-US"/>
        </w:rPr>
        <w:t>provedene mjere s ciljem zaštite važnih p</w:t>
      </w:r>
      <w:r>
        <w:rPr>
          <w:rFonts w:cs="Calibri"/>
          <w:bCs/>
          <w:szCs w:val="22"/>
          <w:lang w:val="sr-Latn-ME" w:eastAsia="en-US"/>
        </w:rPr>
        <w:t>odručja za mrijest i hranjenje demerzalnih</w:t>
      </w:r>
      <w:r w:rsidRPr="001062FC">
        <w:rPr>
          <w:rFonts w:cs="Calibri"/>
          <w:bCs/>
          <w:szCs w:val="22"/>
          <w:lang w:val="sr-Latn-ME" w:eastAsia="en-US"/>
        </w:rPr>
        <w:t xml:space="preserve"> riba i drugih morskih organizama. Jabučka kotlina, </w:t>
      </w:r>
      <w:r>
        <w:rPr>
          <w:rFonts w:cs="Calibri"/>
          <w:bCs/>
          <w:szCs w:val="22"/>
          <w:lang w:val="sr-Latn-ME" w:eastAsia="en-US"/>
        </w:rPr>
        <w:t>koja je značajno mrijestilište</w:t>
      </w:r>
      <w:r w:rsidRPr="001062FC">
        <w:rPr>
          <w:rFonts w:cs="Calibri"/>
          <w:bCs/>
          <w:szCs w:val="22"/>
          <w:lang w:val="sr-Latn-ME" w:eastAsia="en-US"/>
        </w:rPr>
        <w:t>, proglašena je zaštićenim ribolovnim područjem, odnosno koč</w:t>
      </w:r>
      <w:r>
        <w:rPr>
          <w:rFonts w:cs="Calibri"/>
          <w:bCs/>
          <w:szCs w:val="22"/>
          <w:lang w:val="sr-Latn-ME" w:eastAsia="en-US"/>
        </w:rPr>
        <w:t>ar</w:t>
      </w:r>
      <w:r w:rsidRPr="001062FC">
        <w:rPr>
          <w:rFonts w:cs="Calibri"/>
          <w:bCs/>
          <w:szCs w:val="22"/>
          <w:lang w:val="sr-Latn-ME" w:eastAsia="en-US"/>
        </w:rPr>
        <w:t xml:space="preserve">enje je zabranjeno na ovom području. Takođe, na snazi je Višegodišnji plan upravljanja </w:t>
      </w:r>
      <w:r>
        <w:rPr>
          <w:rFonts w:cs="Calibri"/>
          <w:bCs/>
          <w:szCs w:val="22"/>
          <w:lang w:val="sr-Latn-ME" w:eastAsia="en-US"/>
        </w:rPr>
        <w:t xml:space="preserve">malom plavom ribom </w:t>
      </w:r>
      <w:r w:rsidRPr="001062FC">
        <w:rPr>
          <w:rFonts w:cs="Calibri"/>
          <w:bCs/>
          <w:szCs w:val="22"/>
          <w:lang w:val="sr-Latn-ME" w:eastAsia="en-US"/>
        </w:rPr>
        <w:t xml:space="preserve">u Jadranskom moru, koji definiše maksimalnu količinu ulova na Jadranu, maksimalan broj ribolovnih dana i periode potpune zabrane ribolova tokom mrijesta (Preporuka GFCM / 42/2018/8 2019-2021 za </w:t>
      </w:r>
      <w:r>
        <w:rPr>
          <w:rFonts w:cs="Calibri"/>
          <w:bCs/>
          <w:szCs w:val="22"/>
          <w:lang w:val="sr-Latn-ME" w:eastAsia="en-US"/>
        </w:rPr>
        <w:t xml:space="preserve">stokove </w:t>
      </w:r>
      <w:r w:rsidRPr="001062FC">
        <w:rPr>
          <w:rFonts w:cs="Calibri"/>
          <w:bCs/>
          <w:szCs w:val="22"/>
          <w:lang w:val="sr-Latn-ME" w:eastAsia="en-US"/>
        </w:rPr>
        <w:t xml:space="preserve">male pelagične </w:t>
      </w:r>
      <w:r>
        <w:rPr>
          <w:rFonts w:cs="Calibri"/>
          <w:bCs/>
          <w:szCs w:val="22"/>
          <w:lang w:val="sr-Latn-ME" w:eastAsia="en-US"/>
        </w:rPr>
        <w:t xml:space="preserve">ribe </w:t>
      </w:r>
      <w:r w:rsidRPr="001062FC">
        <w:rPr>
          <w:rFonts w:cs="Calibri"/>
          <w:bCs/>
          <w:szCs w:val="22"/>
          <w:lang w:val="sr-Latn-ME" w:eastAsia="en-US"/>
        </w:rPr>
        <w:t>u Jadranskom moru (</w:t>
      </w:r>
      <w:r>
        <w:rPr>
          <w:rFonts w:cs="Calibri"/>
          <w:bCs/>
          <w:szCs w:val="22"/>
          <w:lang w:val="sr-Latn-ME" w:eastAsia="en-US"/>
        </w:rPr>
        <w:t xml:space="preserve">GSA </w:t>
      </w:r>
      <w:r w:rsidRPr="001062FC">
        <w:rPr>
          <w:rFonts w:cs="Calibri"/>
          <w:bCs/>
          <w:szCs w:val="22"/>
          <w:lang w:val="sr-Latn-ME" w:eastAsia="en-US"/>
        </w:rPr>
        <w:t>17 i 18). Kao članica GFCM-a, Crna Gora je ove preporuke ugradila u nacionalno zakonodavstvo, uvela 15-dnevnu za</w:t>
      </w:r>
      <w:r>
        <w:rPr>
          <w:rFonts w:cs="Calibri"/>
          <w:bCs/>
          <w:szCs w:val="22"/>
          <w:lang w:val="sr-Latn-ME" w:eastAsia="en-US"/>
        </w:rPr>
        <w:t>branu ribolova inćuna i sardele</w:t>
      </w:r>
      <w:r w:rsidRPr="001062FC">
        <w:rPr>
          <w:rFonts w:cs="Calibri"/>
          <w:bCs/>
          <w:szCs w:val="22"/>
          <w:lang w:val="sr-Latn-ME" w:eastAsia="en-US"/>
        </w:rPr>
        <w:t xml:space="preserve"> tokom mrijesta ovih vrsta i uvela maksimalan broj ribolovnih dana </w:t>
      </w:r>
      <w:r>
        <w:rPr>
          <w:rFonts w:cs="Calibri"/>
          <w:bCs/>
          <w:szCs w:val="22"/>
          <w:lang w:val="sr-Latn-ME" w:eastAsia="en-US"/>
        </w:rPr>
        <w:t xml:space="preserve">od </w:t>
      </w:r>
      <w:r w:rsidRPr="001062FC">
        <w:rPr>
          <w:rFonts w:cs="Calibri"/>
          <w:bCs/>
          <w:szCs w:val="22"/>
          <w:lang w:val="sr-Latn-ME" w:eastAsia="en-US"/>
        </w:rPr>
        <w:t>144</w:t>
      </w:r>
      <w:r>
        <w:rPr>
          <w:rFonts w:cs="Calibri"/>
          <w:bCs/>
          <w:szCs w:val="22"/>
          <w:lang w:val="sr-Latn-ME" w:eastAsia="en-US"/>
        </w:rPr>
        <w:t xml:space="preserve"> za inćuna. Budući status stokova</w:t>
      </w:r>
      <w:r w:rsidRPr="001062FC">
        <w:rPr>
          <w:rFonts w:cs="Calibri"/>
          <w:bCs/>
          <w:szCs w:val="22"/>
          <w:lang w:val="sr-Latn-ME" w:eastAsia="en-US"/>
        </w:rPr>
        <w:t xml:space="preserve"> je teško predvid</w:t>
      </w:r>
      <w:r>
        <w:rPr>
          <w:rFonts w:cs="Calibri"/>
          <w:bCs/>
          <w:szCs w:val="22"/>
          <w:lang w:val="sr-Latn-ME" w:eastAsia="en-US"/>
        </w:rPr>
        <w:t>j</w:t>
      </w:r>
      <w:r w:rsidRPr="001062FC">
        <w:rPr>
          <w:rFonts w:cs="Calibri"/>
          <w:bCs/>
          <w:szCs w:val="22"/>
          <w:lang w:val="sr-Latn-ME" w:eastAsia="en-US"/>
        </w:rPr>
        <w:t>eti zbog brojnih pritisaka uslovljenih antrop</w:t>
      </w:r>
      <w:r>
        <w:rPr>
          <w:rFonts w:cs="Calibri"/>
          <w:bCs/>
          <w:szCs w:val="22"/>
          <w:lang w:val="sr-Latn-ME" w:eastAsia="en-US"/>
        </w:rPr>
        <w:t>ogenim i prirodnim uticajem. Udi</w:t>
      </w:r>
      <w:r w:rsidRPr="001062FC">
        <w:rPr>
          <w:rFonts w:cs="Calibri"/>
          <w:bCs/>
          <w:szCs w:val="22"/>
          <w:lang w:val="sr-Latn-ME" w:eastAsia="en-US"/>
        </w:rPr>
        <w:t>o krupne ribe može se poboljšati ako se preduzmu odgovarajuće m</w:t>
      </w:r>
      <w:r>
        <w:rPr>
          <w:rFonts w:cs="Calibri"/>
          <w:bCs/>
          <w:szCs w:val="22"/>
          <w:lang w:val="sr-Latn-ME" w:eastAsia="en-US"/>
        </w:rPr>
        <w:t>j</w:t>
      </w:r>
      <w:r w:rsidRPr="001062FC">
        <w:rPr>
          <w:rFonts w:cs="Calibri"/>
          <w:bCs/>
          <w:szCs w:val="22"/>
          <w:lang w:val="sr-Latn-ME" w:eastAsia="en-US"/>
        </w:rPr>
        <w:t>ere, na prim</w:t>
      </w:r>
      <w:r>
        <w:rPr>
          <w:rFonts w:cs="Calibri"/>
          <w:bCs/>
          <w:szCs w:val="22"/>
          <w:lang w:val="sr-Latn-ME" w:eastAsia="en-US"/>
        </w:rPr>
        <w:t>j</w:t>
      </w:r>
      <w:r w:rsidRPr="001062FC">
        <w:rPr>
          <w:rFonts w:cs="Calibri"/>
          <w:bCs/>
          <w:szCs w:val="22"/>
          <w:lang w:val="sr-Latn-ME" w:eastAsia="en-US"/>
        </w:rPr>
        <w:t>er efikasnom prim</w:t>
      </w:r>
      <w:r>
        <w:rPr>
          <w:rFonts w:cs="Calibri"/>
          <w:bCs/>
          <w:szCs w:val="22"/>
          <w:lang w:val="sr-Latn-ME" w:eastAsia="en-US"/>
        </w:rPr>
        <w:t>j</w:t>
      </w:r>
      <w:r w:rsidRPr="001062FC">
        <w:rPr>
          <w:rFonts w:cs="Calibri"/>
          <w:bCs/>
          <w:szCs w:val="22"/>
          <w:lang w:val="sr-Latn-ME" w:eastAsia="en-US"/>
        </w:rPr>
        <w:t>enom m</w:t>
      </w:r>
      <w:r>
        <w:rPr>
          <w:rFonts w:cs="Calibri"/>
          <w:bCs/>
          <w:szCs w:val="22"/>
          <w:lang w:val="sr-Latn-ME" w:eastAsia="en-US"/>
        </w:rPr>
        <w:t>jera zaštite zasnovanih</w:t>
      </w:r>
      <w:r w:rsidRPr="001062FC">
        <w:rPr>
          <w:rFonts w:cs="Calibri"/>
          <w:bCs/>
          <w:szCs w:val="22"/>
          <w:lang w:val="sr-Latn-ME" w:eastAsia="en-US"/>
        </w:rPr>
        <w:t xml:space="preserve"> na </w:t>
      </w:r>
      <w:r>
        <w:rPr>
          <w:rFonts w:cs="Calibri"/>
          <w:bCs/>
          <w:szCs w:val="22"/>
          <w:lang w:val="sr-Latn-ME" w:eastAsia="en-US"/>
        </w:rPr>
        <w:t>zaštiti područja (npr. područja sa zabranom ribolova</w:t>
      </w:r>
      <w:r w:rsidRPr="001062FC">
        <w:rPr>
          <w:rFonts w:cs="Calibri"/>
          <w:bCs/>
          <w:szCs w:val="22"/>
          <w:lang w:val="sr-Latn-ME" w:eastAsia="en-US"/>
        </w:rPr>
        <w:t>,</w:t>
      </w:r>
      <w:r>
        <w:rPr>
          <w:rFonts w:cs="Calibri"/>
          <w:bCs/>
          <w:szCs w:val="22"/>
          <w:lang w:val="sr-Latn-ME" w:eastAsia="en-US"/>
        </w:rPr>
        <w:t xml:space="preserve"> zaštićena područja mora</w:t>
      </w:r>
      <w:r w:rsidRPr="001062FC">
        <w:rPr>
          <w:rFonts w:cs="Calibri"/>
          <w:bCs/>
          <w:szCs w:val="22"/>
          <w:lang w:val="sr-Latn-ME" w:eastAsia="en-US"/>
        </w:rPr>
        <w:t>), ali stopa poboljšanja zavisiće od</w:t>
      </w:r>
      <w:r>
        <w:rPr>
          <w:rFonts w:cs="Calibri"/>
          <w:bCs/>
          <w:szCs w:val="22"/>
          <w:lang w:val="sr-Latn-ME" w:eastAsia="en-US"/>
        </w:rPr>
        <w:t xml:space="preserve"> karakteristika životnih ciklusa vrsta</w:t>
      </w:r>
      <w:r w:rsidRPr="001062FC">
        <w:rPr>
          <w:rFonts w:cs="Calibri"/>
          <w:bCs/>
          <w:szCs w:val="22"/>
          <w:lang w:val="sr-Latn-ME" w:eastAsia="en-US"/>
        </w:rPr>
        <w:t>,</w:t>
      </w:r>
      <w:r>
        <w:rPr>
          <w:rFonts w:cs="Calibri"/>
          <w:bCs/>
          <w:szCs w:val="22"/>
          <w:lang w:val="sr-Latn-ME" w:eastAsia="en-US"/>
        </w:rPr>
        <w:t xml:space="preserve"> specifičnih za svaku od njih i moguće je da dođe do</w:t>
      </w:r>
      <w:r w:rsidRPr="001062FC">
        <w:rPr>
          <w:rFonts w:cs="Calibri"/>
          <w:bCs/>
          <w:szCs w:val="22"/>
          <w:lang w:val="sr-Latn-ME" w:eastAsia="en-US"/>
        </w:rPr>
        <w:t xml:space="preserve"> </w:t>
      </w:r>
      <w:r>
        <w:rPr>
          <w:rFonts w:cs="Calibri"/>
          <w:bCs/>
          <w:szCs w:val="22"/>
          <w:lang w:val="sr-Latn-ME" w:eastAsia="en-US"/>
        </w:rPr>
        <w:t>vremenskog zaostatka</w:t>
      </w:r>
      <w:r w:rsidRPr="001062FC">
        <w:rPr>
          <w:rFonts w:cs="Calibri"/>
          <w:bCs/>
          <w:szCs w:val="22"/>
          <w:lang w:val="sr-Latn-ME" w:eastAsia="en-US"/>
        </w:rPr>
        <w:t xml:space="preserve"> u odgovorima. Klimatske prom</w:t>
      </w:r>
      <w:r>
        <w:rPr>
          <w:rFonts w:cs="Calibri"/>
          <w:bCs/>
          <w:szCs w:val="22"/>
          <w:lang w:val="sr-Latn-ME" w:eastAsia="en-US"/>
        </w:rPr>
        <w:t>j</w:t>
      </w:r>
      <w:r w:rsidRPr="001062FC">
        <w:rPr>
          <w:rFonts w:cs="Calibri"/>
          <w:bCs/>
          <w:szCs w:val="22"/>
          <w:lang w:val="sr-Latn-ME" w:eastAsia="en-US"/>
        </w:rPr>
        <w:t>ene i opšte zagr</w:t>
      </w:r>
      <w:r>
        <w:rPr>
          <w:rFonts w:cs="Calibri"/>
          <w:bCs/>
          <w:szCs w:val="22"/>
          <w:lang w:val="sr-Latn-ME" w:eastAsia="en-US"/>
        </w:rPr>
        <w:t>ij</w:t>
      </w:r>
      <w:r w:rsidRPr="001062FC">
        <w:rPr>
          <w:rFonts w:cs="Calibri"/>
          <w:bCs/>
          <w:szCs w:val="22"/>
          <w:lang w:val="sr-Latn-ME" w:eastAsia="en-US"/>
        </w:rPr>
        <w:t xml:space="preserve">evanje morskog okruženja takođe će uticati na biološke karakteristike i </w:t>
      </w:r>
      <w:r>
        <w:rPr>
          <w:rFonts w:cs="Calibri"/>
          <w:bCs/>
          <w:szCs w:val="22"/>
          <w:lang w:val="sr-Latn-ME" w:eastAsia="en-US"/>
        </w:rPr>
        <w:t xml:space="preserve">podmladak </w:t>
      </w:r>
      <w:r w:rsidRPr="001062FC">
        <w:rPr>
          <w:rFonts w:cs="Calibri"/>
          <w:bCs/>
          <w:szCs w:val="22"/>
          <w:lang w:val="sr-Latn-ME" w:eastAsia="en-US"/>
        </w:rPr>
        <w:t>određenih vr</w:t>
      </w:r>
      <w:r>
        <w:rPr>
          <w:rFonts w:cs="Calibri"/>
          <w:bCs/>
          <w:szCs w:val="22"/>
          <w:lang w:val="sr-Latn-ME" w:eastAsia="en-US"/>
        </w:rPr>
        <w:t>sta. U cilju očuvanja populacija</w:t>
      </w:r>
      <w:r w:rsidRPr="001062FC">
        <w:rPr>
          <w:rFonts w:cs="Calibri"/>
          <w:bCs/>
          <w:szCs w:val="22"/>
          <w:lang w:val="sr-Latn-ME" w:eastAsia="en-US"/>
        </w:rPr>
        <w:t xml:space="preserve"> ribolovnih resursa, Crna Gora će pripremiti planove upravljanja za sve aktivne vrste ribolovnih alata (</w:t>
      </w:r>
      <w:r>
        <w:rPr>
          <w:rFonts w:cs="Calibri"/>
          <w:bCs/>
          <w:szCs w:val="22"/>
          <w:lang w:val="sr-Latn-ME" w:eastAsia="en-US"/>
        </w:rPr>
        <w:t>plivarice, pridnene koče</w:t>
      </w:r>
      <w:r w:rsidRPr="001062FC">
        <w:rPr>
          <w:rFonts w:cs="Calibri"/>
          <w:bCs/>
          <w:szCs w:val="22"/>
          <w:lang w:val="sr-Latn-ME" w:eastAsia="en-US"/>
        </w:rPr>
        <w:t>).</w:t>
      </w:r>
    </w:p>
    <w:p w14:paraId="0B73859E" w14:textId="5EF156E6" w:rsidR="00971473" w:rsidRPr="00971473" w:rsidRDefault="00971473" w:rsidP="00971473">
      <w:pPr>
        <w:pStyle w:val="Heading3"/>
        <w:rPr>
          <w:lang w:val="en-GB" w:eastAsia="en-US"/>
        </w:rPr>
      </w:pPr>
      <w:bookmarkStart w:id="128" w:name="_Toc83630911"/>
      <w:bookmarkEnd w:id="126"/>
      <w:bookmarkEnd w:id="127"/>
      <w:r w:rsidRPr="00971473">
        <w:rPr>
          <w:lang w:val="en-GB" w:eastAsia="en-US"/>
        </w:rPr>
        <w:t>Veze sa ostalim deskriptorima</w:t>
      </w:r>
      <w:bookmarkEnd w:id="128"/>
    </w:p>
    <w:p w14:paraId="039D2737" w14:textId="46117EE4" w:rsidR="00971473" w:rsidRPr="00F0197A" w:rsidRDefault="00971473" w:rsidP="00971473">
      <w:pPr>
        <w:spacing w:before="0" w:after="160"/>
        <w:rPr>
          <w:rFonts w:cs="Calibri"/>
          <w:bCs/>
          <w:szCs w:val="22"/>
          <w:lang w:val="sr-Latn-ME" w:eastAsia="en-US"/>
        </w:rPr>
      </w:pPr>
      <w:r w:rsidRPr="00F0197A">
        <w:rPr>
          <w:rFonts w:cs="Calibri"/>
          <w:bCs/>
          <w:szCs w:val="22"/>
          <w:lang w:val="sr-Latn-ME" w:eastAsia="en-US"/>
        </w:rPr>
        <w:t>Budući da je ribarstvo jedan od glavnih uticaja i pritisaka na morsk</w:t>
      </w:r>
      <w:r w:rsidR="000A3C9A">
        <w:rPr>
          <w:rFonts w:cs="Calibri"/>
          <w:bCs/>
          <w:szCs w:val="22"/>
          <w:lang w:val="sr-Latn-ME" w:eastAsia="en-US"/>
        </w:rPr>
        <w:t>u sredinu</w:t>
      </w:r>
      <w:r w:rsidRPr="00F0197A">
        <w:rPr>
          <w:rFonts w:cs="Calibri"/>
          <w:bCs/>
          <w:szCs w:val="22"/>
          <w:lang w:val="sr-Latn-ME" w:eastAsia="en-US"/>
        </w:rPr>
        <w:t>, postoji snažna veza između postizanja GES-a za Deskriptor 3 i postizanja GES-a za Deskriptore koji se od</w:t>
      </w:r>
      <w:r>
        <w:rPr>
          <w:rFonts w:cs="Calibri"/>
          <w:bCs/>
          <w:szCs w:val="22"/>
          <w:lang w:val="sr-Latn-ME" w:eastAsia="en-US"/>
        </w:rPr>
        <w:t>nose</w:t>
      </w:r>
      <w:r w:rsidRPr="00F0197A">
        <w:rPr>
          <w:rFonts w:cs="Calibri"/>
          <w:bCs/>
          <w:szCs w:val="22"/>
          <w:lang w:val="sr-Latn-ME" w:eastAsia="en-US"/>
        </w:rPr>
        <w:t xml:space="preserve"> na biodiverzitet i </w:t>
      </w:r>
      <w:r>
        <w:rPr>
          <w:rFonts w:cs="Calibri"/>
          <w:bCs/>
          <w:szCs w:val="22"/>
          <w:lang w:val="sr-Latn-ME" w:eastAsia="en-US"/>
        </w:rPr>
        <w:t xml:space="preserve">mreže ishrane </w:t>
      </w:r>
      <w:r w:rsidRPr="00F0197A">
        <w:rPr>
          <w:rFonts w:cs="Calibri"/>
          <w:bCs/>
          <w:szCs w:val="22"/>
          <w:lang w:val="sr-Latn-ME" w:eastAsia="en-US"/>
        </w:rPr>
        <w:t xml:space="preserve">(Deskriptori 1, 4 i 6). Pored toga, pojava nekih NIS-a može uticati na održivo ribarstvo i obrnuto. Brojne su veze </w:t>
      </w:r>
      <w:r>
        <w:rPr>
          <w:rFonts w:cs="Calibri"/>
          <w:bCs/>
          <w:szCs w:val="22"/>
          <w:lang w:val="sr-Latn-ME" w:eastAsia="en-US"/>
        </w:rPr>
        <w:t>između ovih</w:t>
      </w:r>
      <w:r w:rsidRPr="00F0197A">
        <w:rPr>
          <w:rFonts w:cs="Calibri"/>
          <w:bCs/>
          <w:szCs w:val="22"/>
          <w:lang w:val="sr-Latn-ME" w:eastAsia="en-US"/>
        </w:rPr>
        <w:t xml:space="preserve"> deskriptora: vađenje živih organiz</w:t>
      </w:r>
      <w:r>
        <w:rPr>
          <w:rFonts w:cs="Calibri"/>
          <w:bCs/>
          <w:szCs w:val="22"/>
          <w:lang w:val="sr-Latn-ME" w:eastAsia="en-US"/>
        </w:rPr>
        <w:t>ama može uticati na stabilnost</w:t>
      </w:r>
      <w:r w:rsidRPr="00F0197A">
        <w:rPr>
          <w:rFonts w:cs="Calibri"/>
          <w:bCs/>
          <w:szCs w:val="22"/>
          <w:lang w:val="sr-Latn-ME" w:eastAsia="en-US"/>
        </w:rPr>
        <w:t xml:space="preserve"> mreža</w:t>
      </w:r>
      <w:r>
        <w:rPr>
          <w:rFonts w:cs="Calibri"/>
          <w:bCs/>
          <w:szCs w:val="22"/>
          <w:lang w:val="sr-Latn-ME" w:eastAsia="en-US"/>
        </w:rPr>
        <w:t xml:space="preserve"> ishrane</w:t>
      </w:r>
      <w:r w:rsidRPr="00F0197A">
        <w:rPr>
          <w:rFonts w:cs="Calibri"/>
          <w:bCs/>
          <w:szCs w:val="22"/>
          <w:lang w:val="sr-Latn-ME" w:eastAsia="en-US"/>
        </w:rPr>
        <w:t>, poremećaj</w:t>
      </w:r>
      <w:r>
        <w:rPr>
          <w:rFonts w:cs="Calibri"/>
          <w:bCs/>
          <w:szCs w:val="22"/>
          <w:lang w:val="sr-Latn-ME" w:eastAsia="en-US"/>
        </w:rPr>
        <w:t>i</w:t>
      </w:r>
      <w:r w:rsidRPr="00F0197A">
        <w:rPr>
          <w:rFonts w:cs="Calibri"/>
          <w:bCs/>
          <w:szCs w:val="22"/>
          <w:lang w:val="sr-Latn-ME" w:eastAsia="en-US"/>
        </w:rPr>
        <w:t xml:space="preserve"> u odnosima </w:t>
      </w:r>
      <w:r w:rsidR="00D71066">
        <w:rPr>
          <w:rFonts w:cs="Calibri"/>
          <w:bCs/>
          <w:szCs w:val="22"/>
          <w:lang w:val="sr-Latn-ME" w:eastAsia="en-US"/>
        </w:rPr>
        <w:t>grabežljivca</w:t>
      </w:r>
      <w:r w:rsidRPr="00F0197A">
        <w:rPr>
          <w:rFonts w:cs="Calibri"/>
          <w:bCs/>
          <w:szCs w:val="22"/>
          <w:lang w:val="sr-Latn-ME" w:eastAsia="en-US"/>
        </w:rPr>
        <w:t xml:space="preserve"> i pl</w:t>
      </w:r>
      <w:r>
        <w:rPr>
          <w:rFonts w:cs="Calibri"/>
          <w:bCs/>
          <w:szCs w:val="22"/>
          <w:lang w:val="sr-Latn-ME" w:eastAsia="en-US"/>
        </w:rPr>
        <w:t>ij</w:t>
      </w:r>
      <w:r w:rsidRPr="00F0197A">
        <w:rPr>
          <w:rFonts w:cs="Calibri"/>
          <w:bCs/>
          <w:szCs w:val="22"/>
          <w:lang w:val="sr-Latn-ME" w:eastAsia="en-US"/>
        </w:rPr>
        <w:t>ena, neki ribolovni alati mogu imati značajan uticaj na bentoske zajednice i staništa. Zbog bliske korelacije u morskom okruženju, analizu koherentnosti i odnosa između ciljeva za Deskriptor 3 i ciljeva za indikatore predložene pod Deskriptorima 1, 4 i 6 trebalo bi dalje istražiti.</w:t>
      </w:r>
    </w:p>
    <w:p w14:paraId="5E43A545" w14:textId="77777777" w:rsidR="00643835" w:rsidRPr="001C6CCA" w:rsidRDefault="00643835" w:rsidP="00F65CFF">
      <w:pPr>
        <w:keepNext/>
        <w:keepLines/>
        <w:spacing w:before="40" w:after="0" w:line="240" w:lineRule="auto"/>
        <w:jc w:val="left"/>
        <w:outlineLvl w:val="1"/>
        <w:rPr>
          <w:rFonts w:cs="Calibri"/>
          <w:b/>
          <w:sz w:val="20"/>
          <w:szCs w:val="20"/>
          <w:highlight w:val="yellow"/>
          <w:lang w:val="en-GB" w:eastAsia="en-US"/>
        </w:rPr>
      </w:pPr>
    </w:p>
    <w:p w14:paraId="6980E8A2" w14:textId="30A22E93" w:rsidR="00971473" w:rsidRPr="00971473" w:rsidRDefault="00320800" w:rsidP="00971473">
      <w:pPr>
        <w:pStyle w:val="Heading3"/>
        <w:rPr>
          <w:lang w:val="en-GB" w:eastAsia="en-US"/>
        </w:rPr>
      </w:pPr>
      <w:r w:rsidRPr="001C6CCA">
        <w:rPr>
          <w:lang w:val="en-GB" w:eastAsia="en-US"/>
        </w:rPr>
        <w:t xml:space="preserve"> </w:t>
      </w:r>
      <w:bookmarkStart w:id="129" w:name="_Toc83630912"/>
      <w:r w:rsidR="00971473" w:rsidRPr="00971473">
        <w:rPr>
          <w:lang w:val="sr-Latn-ME" w:eastAsia="en-US"/>
        </w:rPr>
        <w:t>Nedostaci i potrebe</w:t>
      </w:r>
      <w:r w:rsidR="00E24841">
        <w:rPr>
          <w:lang w:val="sr-Latn-ME" w:eastAsia="en-US"/>
        </w:rPr>
        <w:t xml:space="preserve"> za unapređenjem</w:t>
      </w:r>
      <w:bookmarkEnd w:id="129"/>
    </w:p>
    <w:p w14:paraId="0A7CCCE5" w14:textId="77777777" w:rsidR="00971473" w:rsidRDefault="00971473" w:rsidP="00E800A8">
      <w:pPr>
        <w:pStyle w:val="ListParagraph"/>
        <w:numPr>
          <w:ilvl w:val="0"/>
          <w:numId w:val="52"/>
        </w:numPr>
        <w:spacing w:before="0" w:after="160"/>
        <w:ind w:left="426" w:hanging="284"/>
        <w:contextualSpacing w:val="0"/>
        <w:rPr>
          <w:rFonts w:eastAsia="Calibri" w:cs="Calibri"/>
          <w:szCs w:val="22"/>
          <w:lang w:val="sr-Latn-ME" w:eastAsia="en-US"/>
        </w:rPr>
      </w:pPr>
      <w:r>
        <w:rPr>
          <w:rFonts w:eastAsia="Calibri" w:cs="Calibri"/>
          <w:szCs w:val="22"/>
          <w:lang w:val="sr-Latn-ME" w:eastAsia="en-US"/>
        </w:rPr>
        <w:t>Dalja harmonizacija nacionalnog zakonodavstva Crne Gore sa ZRP će povećati nivo zaštite i očuvanja riba koje se komercijalno eksploatišu.</w:t>
      </w:r>
    </w:p>
    <w:p w14:paraId="70CD2FBA" w14:textId="77777777" w:rsidR="00971473" w:rsidRDefault="00971473" w:rsidP="00E800A8">
      <w:pPr>
        <w:pStyle w:val="ListParagraph"/>
        <w:numPr>
          <w:ilvl w:val="0"/>
          <w:numId w:val="52"/>
        </w:numPr>
        <w:spacing w:before="0" w:after="160"/>
        <w:ind w:left="426" w:hanging="284"/>
        <w:contextualSpacing w:val="0"/>
        <w:rPr>
          <w:rFonts w:eastAsia="Calibri" w:cs="Calibri"/>
          <w:szCs w:val="22"/>
          <w:lang w:val="sr-Latn-ME" w:eastAsia="en-US"/>
        </w:rPr>
      </w:pPr>
      <w:r>
        <w:rPr>
          <w:rFonts w:eastAsia="Calibri" w:cs="Calibri"/>
          <w:szCs w:val="22"/>
          <w:lang w:val="sr-Latn-ME" w:eastAsia="en-US"/>
        </w:rPr>
        <w:t xml:space="preserve">Dodatna istraživanja, zaštita i očuvanje mrijestilišta su veoma bitna u cilju povećanja podmlatka i biomase vrsta. </w:t>
      </w:r>
    </w:p>
    <w:p w14:paraId="0AACD7CD" w14:textId="77777777" w:rsidR="00971473" w:rsidRPr="00F0197A" w:rsidRDefault="00971473" w:rsidP="00E800A8">
      <w:pPr>
        <w:pStyle w:val="ListParagraph"/>
        <w:numPr>
          <w:ilvl w:val="0"/>
          <w:numId w:val="52"/>
        </w:numPr>
        <w:spacing w:before="0" w:after="160"/>
        <w:ind w:left="426" w:hanging="284"/>
        <w:contextualSpacing w:val="0"/>
        <w:rPr>
          <w:rFonts w:eastAsia="Calibri" w:cs="Calibri"/>
          <w:szCs w:val="22"/>
          <w:lang w:val="sr-Latn-ME" w:eastAsia="en-US"/>
        </w:rPr>
      </w:pPr>
      <w:r>
        <w:rPr>
          <w:rFonts w:eastAsia="Calibri" w:cs="Calibri"/>
          <w:szCs w:val="22"/>
          <w:lang w:val="sr-Latn-ME" w:eastAsia="en-US"/>
        </w:rPr>
        <w:t xml:space="preserve">Kako su svi resursi dijeljeni između različitih država, istraživanja, procjene i mjere upravljanja trebali bi biti fokusirani na šire regionalno područje, i broj procjenjenih stokova vrsta trebao bi se povećavati. </w:t>
      </w:r>
    </w:p>
    <w:p w14:paraId="3B19544D" w14:textId="13138A70" w:rsidR="0046315C" w:rsidRDefault="0046315C" w:rsidP="00E800A8">
      <w:pPr>
        <w:spacing w:before="0" w:after="160"/>
        <w:ind w:left="426" w:hanging="284"/>
        <w:rPr>
          <w:rFonts w:cs="Calibri"/>
          <w:szCs w:val="22"/>
          <w:lang w:val="en-GB" w:eastAsia="en-US"/>
        </w:rPr>
      </w:pPr>
    </w:p>
    <w:p w14:paraId="3130FBA7" w14:textId="77ADF14D" w:rsidR="0046315C" w:rsidRPr="00D419DD" w:rsidRDefault="00D419DD" w:rsidP="00E711AD">
      <w:pPr>
        <w:pStyle w:val="Heading2"/>
      </w:pPr>
      <w:bookmarkStart w:id="130" w:name="_Toc69678363"/>
      <w:bookmarkStart w:id="131" w:name="_Toc83630913"/>
      <w:r w:rsidRPr="0046315C">
        <w:rPr>
          <w:caps w:val="0"/>
        </w:rPr>
        <w:t>EUTROFIKACIJA KOJU UZROKUJE ČOVJEK (</w:t>
      </w:r>
      <w:r>
        <w:rPr>
          <w:caps w:val="0"/>
        </w:rPr>
        <w:t>DESKRIPTOR</w:t>
      </w:r>
      <w:r w:rsidRPr="0046315C">
        <w:rPr>
          <w:caps w:val="0"/>
        </w:rPr>
        <w:t xml:space="preserve"> 5)</w:t>
      </w:r>
      <w:bookmarkEnd w:id="130"/>
      <w:bookmarkEnd w:id="131"/>
    </w:p>
    <w:p w14:paraId="3F32FC40" w14:textId="77777777" w:rsidR="0046315C" w:rsidRPr="0046315C" w:rsidRDefault="0046315C" w:rsidP="0046315C">
      <w:pPr>
        <w:autoSpaceDE w:val="0"/>
        <w:autoSpaceDN w:val="0"/>
        <w:adjustRightInd w:val="0"/>
        <w:spacing w:before="0" w:after="240" w:line="240" w:lineRule="auto"/>
        <w:rPr>
          <w:rFonts w:eastAsia="Calibri" w:cs="Calibri"/>
          <w:b/>
          <w:color w:val="000000"/>
          <w:sz w:val="24"/>
          <w:lang w:eastAsia="en-US"/>
        </w:rPr>
      </w:pPr>
      <w:r w:rsidRPr="0046315C">
        <w:rPr>
          <w:rFonts w:eastAsia="Calibri" w:cs="Calibri"/>
          <w:b/>
          <w:color w:val="000000"/>
          <w:sz w:val="24"/>
          <w:lang w:eastAsia="en-US"/>
        </w:rPr>
        <w:t>Uvod</w:t>
      </w:r>
    </w:p>
    <w:p w14:paraId="22040123" w14:textId="77777777" w:rsidR="0046315C" w:rsidRPr="0046315C" w:rsidRDefault="0046315C" w:rsidP="0046315C">
      <w:pPr>
        <w:autoSpaceDE w:val="0"/>
        <w:autoSpaceDN w:val="0"/>
        <w:adjustRightInd w:val="0"/>
        <w:spacing w:before="0" w:after="0" w:line="240" w:lineRule="auto"/>
        <w:rPr>
          <w:rFonts w:eastAsia="Calibri" w:cs="Calibri"/>
          <w:color w:val="000000"/>
          <w:szCs w:val="22"/>
          <w:lang w:eastAsia="en-US"/>
        </w:rPr>
      </w:pPr>
      <w:r w:rsidRPr="0046315C">
        <w:rPr>
          <w:rFonts w:eastAsia="Calibri" w:cs="Calibri"/>
          <w:color w:val="000000"/>
          <w:szCs w:val="22"/>
          <w:lang w:eastAsia="en-US"/>
        </w:rPr>
        <w:t>Eutrofikacija je proces obogaćivanja vode hranljivim supstancama, naročito jedinjenjima azota i/ili fosfora, što dovodi do povećanja primarne proizvodnje i biomase algi, promjena u ravnoteži hranljivih soli uzrokujući promjene ravnoteže među organizmima i degradaciju kvaliteta vode. Direktne ili indirektne posljedice eutrofikacije su nepoželjne ako je značajno narušeno stanje ekosistema i/ili održivo iskorištavanje dobara i usluga, kao što je cvjetanje algi, nedostatak rastvorenog kiseonika, povlačenje morskih trava, mortalitet bentosnih organizama i/ili riba. Iako do ovih promjena može doći i usljed prirodnih procesa, problemi upravljanja nastaju kada su one posljedica antropogenih izvora.</w:t>
      </w:r>
    </w:p>
    <w:p w14:paraId="0EAC660C" w14:textId="77777777" w:rsidR="0046315C" w:rsidRPr="0046315C" w:rsidRDefault="0046315C" w:rsidP="0046315C">
      <w:pPr>
        <w:spacing w:before="0" w:after="0"/>
        <w:rPr>
          <w:rFonts w:eastAsia="Calibri"/>
          <w:b/>
          <w:bCs/>
          <w:szCs w:val="22"/>
          <w:lang w:eastAsia="en-US"/>
        </w:rPr>
      </w:pPr>
      <w:r w:rsidRPr="0046315C">
        <w:rPr>
          <w:rFonts w:eastAsia="Calibri"/>
          <w:noProof/>
          <w:szCs w:val="22"/>
          <w:lang w:eastAsia="en-US"/>
        </w:rPr>
        <mc:AlternateContent>
          <mc:Choice Requires="wps">
            <w:drawing>
              <wp:anchor distT="0" distB="0" distL="114300" distR="114300" simplePos="0" relativeHeight="251800576" behindDoc="0" locked="0" layoutInCell="1" allowOverlap="1" wp14:anchorId="105D91BC" wp14:editId="6306B9EE">
                <wp:simplePos x="0" y="0"/>
                <wp:positionH relativeFrom="column">
                  <wp:posOffset>0</wp:posOffset>
                </wp:positionH>
                <wp:positionV relativeFrom="paragraph">
                  <wp:posOffset>172085</wp:posOffset>
                </wp:positionV>
                <wp:extent cx="5760720" cy="769620"/>
                <wp:effectExtent l="0" t="0" r="0" b="0"/>
                <wp:wrapNone/>
                <wp:docPr id="71"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769620"/>
                        </a:xfrm>
                        <a:prstGeom prst="roundRect">
                          <a:avLst/>
                        </a:prstGeom>
                        <a:solidFill>
                          <a:srgbClr val="4F81BD">
                            <a:lumMod val="20000"/>
                            <a:lumOff val="80000"/>
                            <a:alpha val="84000"/>
                          </a:srgbClr>
                        </a:solidFill>
                        <a:ln w="25400" cap="flat" cmpd="sng" algn="ctr">
                          <a:noFill/>
                          <a:prstDash val="solid"/>
                        </a:ln>
                        <a:effectLst/>
                      </wps:spPr>
                      <wps:txbx>
                        <w:txbxContent>
                          <w:p w14:paraId="4DDBA369" w14:textId="6E161D65" w:rsidR="00515997" w:rsidRDefault="00515997" w:rsidP="0046315C">
                            <w:pPr>
                              <w:rPr>
                                <w:b/>
                                <w:i/>
                                <w:color w:val="000000" w:themeColor="text1"/>
                                <w:lang w:val="hr-HR"/>
                              </w:rPr>
                            </w:pPr>
                            <w:r>
                              <w:rPr>
                                <w:b/>
                                <w:color w:val="000000" w:themeColor="text1"/>
                                <w:lang w:val="hr-HR"/>
                              </w:rPr>
                              <w:t xml:space="preserve">Definicija DSO-a: </w:t>
                            </w:r>
                            <w:r>
                              <w:rPr>
                                <w:b/>
                                <w:i/>
                              </w:rPr>
                              <w:t>Eutrofikacija koju uzrokuje čovjek smanjena je na najmanju moguću mjeru, posebno njeni štetni uticaji, kao što su gubitak biološke raznovrsnost, propadanje ekosistema, štetno cvjetanje algi i smanjenje kiseonika u pridnenim vodama.</w:t>
                            </w:r>
                          </w:p>
                          <w:p w14:paraId="7E18E209" w14:textId="77777777" w:rsidR="00515997" w:rsidRDefault="00515997" w:rsidP="0046315C">
                            <w:pPr>
                              <w:rPr>
                                <w:b/>
                                <w:i/>
                                <w:color w:val="000000" w:themeColor="text1"/>
                                <w:lang w:val="hr-H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5D91BC" id="Rectangle: Rounded Corners 28" o:spid="_x0000_s1028" style="position:absolute;left:0;text-align:left;margin-left:0;margin-top:13.55pt;width:453.6pt;height:60.6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" fillcolor="#dce6f2" stroked="f" strokeweight="2pt">
                <v:fill opacity="54998f"/>
                <v:path arrowok="t"/>
                <v:textbox>
                  <w:txbxContent>
                    <w:p w14:paraId="4DDBA369" w14:textId="6E161D65" w:rsidR="00515997" w:rsidRDefault="00515997" w:rsidP="0046315C">
                      <w:pPr>
                        <w:rPr>
                          <w:b/>
                          <w:i/>
                          <w:color w:val="000000" w:themeColor="text1"/>
                          <w:lang w:val="hr-HR"/>
                        </w:rPr>
                      </w:pPr>
                      <w:r>
                        <w:rPr>
                          <w:b/>
                          <w:color w:val="000000" w:themeColor="text1"/>
                          <w:lang w:val="hr-HR"/>
                        </w:rPr>
                        <w:t xml:space="preserve">Definicija DSO-a: </w:t>
                      </w:r>
                      <w:r>
                        <w:rPr>
                          <w:b/>
                          <w:i/>
                        </w:rPr>
                        <w:t>Eutrofikacija koju uzrokuje čovjek smanjena je na najmanju moguću mjeru, posebno njeni štetni uticaji, kao što su gubitak biološke raznovrsnost, propadanje ekosistema, štetno cvjetanje algi i smanjenje kiseonika u pridnenim vodama.</w:t>
                      </w:r>
                    </w:p>
                    <w:p w14:paraId="7E18E209" w14:textId="77777777" w:rsidR="00515997" w:rsidRDefault="00515997" w:rsidP="0046315C">
                      <w:pPr>
                        <w:rPr>
                          <w:b/>
                          <w:i/>
                          <w:color w:val="000000" w:themeColor="text1"/>
                          <w:lang w:val="hr-HR"/>
                        </w:rPr>
                      </w:pPr>
                    </w:p>
                  </w:txbxContent>
                </v:textbox>
              </v:roundrect>
            </w:pict>
          </mc:Fallback>
        </mc:AlternateContent>
      </w:r>
    </w:p>
    <w:p w14:paraId="06D39508" w14:textId="77777777" w:rsidR="0046315C" w:rsidRPr="0046315C" w:rsidRDefault="0046315C" w:rsidP="0046315C">
      <w:pPr>
        <w:spacing w:before="0" w:after="0"/>
        <w:rPr>
          <w:rFonts w:eastAsia="Calibri"/>
          <w:b/>
          <w:bCs/>
          <w:szCs w:val="22"/>
          <w:lang w:eastAsia="en-US"/>
        </w:rPr>
      </w:pPr>
    </w:p>
    <w:p w14:paraId="7E090FFF" w14:textId="77777777" w:rsidR="0046315C" w:rsidRPr="0046315C" w:rsidRDefault="0046315C" w:rsidP="0046315C">
      <w:pPr>
        <w:spacing w:before="0" w:after="0"/>
        <w:rPr>
          <w:rFonts w:eastAsia="Calibri"/>
          <w:b/>
          <w:bCs/>
          <w:szCs w:val="22"/>
          <w:lang w:eastAsia="en-US"/>
        </w:rPr>
      </w:pPr>
    </w:p>
    <w:p w14:paraId="3CB79D67" w14:textId="77777777" w:rsidR="0046315C" w:rsidRPr="0046315C" w:rsidRDefault="0046315C" w:rsidP="0046315C">
      <w:pPr>
        <w:spacing w:before="0" w:after="0"/>
        <w:rPr>
          <w:rFonts w:eastAsia="Calibri"/>
          <w:b/>
          <w:bCs/>
          <w:szCs w:val="22"/>
          <w:lang w:eastAsia="en-US"/>
        </w:rPr>
      </w:pPr>
    </w:p>
    <w:p w14:paraId="6B1E4451" w14:textId="77777777" w:rsidR="0046315C" w:rsidRPr="0046315C" w:rsidRDefault="0046315C" w:rsidP="0046315C">
      <w:pPr>
        <w:spacing w:before="0" w:after="0"/>
        <w:rPr>
          <w:rFonts w:eastAsia="Calibri"/>
          <w:b/>
          <w:bCs/>
          <w:szCs w:val="22"/>
          <w:lang w:eastAsia="en-US"/>
        </w:rPr>
      </w:pPr>
    </w:p>
    <w:p w14:paraId="032FD7B5" w14:textId="77777777" w:rsidR="0046315C" w:rsidRPr="0046315C" w:rsidRDefault="0046315C" w:rsidP="0046315C">
      <w:pPr>
        <w:spacing w:before="0" w:after="0"/>
        <w:rPr>
          <w:rFonts w:eastAsia="Calibri"/>
          <w:szCs w:val="22"/>
          <w:highlight w:val="yellow"/>
          <w:lang w:eastAsia="en-US"/>
        </w:rPr>
      </w:pPr>
    </w:p>
    <w:p w14:paraId="5D72ED08" w14:textId="621CC180" w:rsidR="0046315C" w:rsidRPr="00CF7E4B" w:rsidRDefault="00534546" w:rsidP="00CF7E4B">
      <w:pPr>
        <w:pStyle w:val="Heading3"/>
        <w:rPr>
          <w:lang w:val="en-GB" w:eastAsia="en-US"/>
        </w:rPr>
      </w:pPr>
      <w:bookmarkStart w:id="132" w:name="_Toc83630914"/>
      <w:r>
        <w:rPr>
          <w:lang w:val="en-GB" w:eastAsia="en-US"/>
        </w:rPr>
        <w:t>Relevantni p</w:t>
      </w:r>
      <w:r w:rsidR="0046315C" w:rsidRPr="00CF7E4B">
        <w:rPr>
          <w:lang w:val="en-GB" w:eastAsia="en-US"/>
        </w:rPr>
        <w:t>ritisci i uticaji</w:t>
      </w:r>
      <w:bookmarkEnd w:id="132"/>
    </w:p>
    <w:p w14:paraId="1CFC212E" w14:textId="77777777" w:rsidR="0046315C" w:rsidRPr="0046315C" w:rsidRDefault="0046315C" w:rsidP="0046315C">
      <w:pPr>
        <w:spacing w:before="0" w:after="0"/>
        <w:rPr>
          <w:rFonts w:eastAsia="Calibri"/>
          <w:szCs w:val="22"/>
          <w:lang w:eastAsia="en-US"/>
        </w:rPr>
      </w:pPr>
      <w:r w:rsidRPr="0046315C">
        <w:rPr>
          <w:rFonts w:eastAsia="Calibri"/>
          <w:szCs w:val="22"/>
          <w:lang w:eastAsia="en-US"/>
        </w:rPr>
        <w:t>Relevantni pritisci koji uzrokuju antropogenu eutrofikaciju su unosi hranljivih soli koje u morsku sredinu dospijevaju iz različitih izvora (tačkastih, difuznih) povezanih s ljudskim aktivnostima (Tabela 2.11). Preovlađujući unosi hranljivih soli u priobalnom području Crne Gore potiču iz otpadnih voda i rijeke Bojane. Međutim, tokom poslednje dvije decenije, naročito poslije 2010. godine, uloženi su značajni napori u poboljšanje sistema sakupljanja, prečišćavanja i odvođenja otpadnih voda u obalnom području.</w:t>
      </w:r>
      <w:r w:rsidRPr="0046315C">
        <w:rPr>
          <w:rFonts w:eastAsia="Calibri"/>
          <w:szCs w:val="22"/>
          <w:vertAlign w:val="superscript"/>
          <w:lang w:eastAsia="en-US"/>
        </w:rPr>
        <w:footnoteReference w:id="21"/>
      </w:r>
    </w:p>
    <w:p w14:paraId="0F91A0F4" w14:textId="68EF4297" w:rsidR="0046315C" w:rsidRDefault="0046315C" w:rsidP="0046315C">
      <w:pPr>
        <w:spacing w:before="0" w:after="0"/>
        <w:rPr>
          <w:rFonts w:eastAsia="Calibri"/>
          <w:b/>
          <w:szCs w:val="22"/>
          <w:highlight w:val="yellow"/>
          <w:lang w:eastAsia="en-US"/>
        </w:rPr>
      </w:pPr>
    </w:p>
    <w:p w14:paraId="3DDA961D" w14:textId="77777777" w:rsidR="00710AC9" w:rsidRPr="0046315C" w:rsidRDefault="00710AC9" w:rsidP="0046315C">
      <w:pPr>
        <w:spacing w:before="0" w:after="0"/>
        <w:rPr>
          <w:rFonts w:eastAsia="Calibri"/>
          <w:b/>
          <w:szCs w:val="22"/>
          <w:highlight w:val="yellow"/>
          <w:lang w:eastAsia="en-US"/>
        </w:rPr>
      </w:pPr>
    </w:p>
    <w:p w14:paraId="1D58DC56" w14:textId="30186897" w:rsidR="00E11511" w:rsidRPr="0046315C" w:rsidRDefault="0046315C" w:rsidP="0046315C">
      <w:pPr>
        <w:spacing w:before="0" w:after="200"/>
        <w:rPr>
          <w:rFonts w:eastAsia="Calibri"/>
          <w:b/>
          <w:szCs w:val="22"/>
          <w:lang w:eastAsia="en-US"/>
        </w:rPr>
      </w:pPr>
      <w:r w:rsidRPr="0046315C">
        <w:rPr>
          <w:rFonts w:eastAsia="Calibri"/>
          <w:b/>
          <w:szCs w:val="22"/>
          <w:lang w:eastAsia="en-US"/>
        </w:rPr>
        <w:t xml:space="preserve">Table 2.11. </w:t>
      </w:r>
      <w:r w:rsidR="00534546">
        <w:rPr>
          <w:rFonts w:eastAsia="Calibri"/>
          <w:b/>
          <w:szCs w:val="22"/>
          <w:lang w:eastAsia="en-US"/>
        </w:rPr>
        <w:t xml:space="preserve">Postojeći i projektovani </w:t>
      </w:r>
      <w:r w:rsidRPr="0046315C">
        <w:rPr>
          <w:rFonts w:eastAsia="Calibri"/>
          <w:b/>
          <w:szCs w:val="22"/>
          <w:lang w:eastAsia="en-US"/>
        </w:rPr>
        <w:t xml:space="preserve">pritisci za Deskriptor 5 u crnogorskom dijelu Jadranskog mora prema podacima </w:t>
      </w:r>
      <w:r w:rsidR="00A0605E">
        <w:rPr>
          <w:rFonts w:eastAsia="Calibri"/>
          <w:b/>
          <w:szCs w:val="22"/>
          <w:lang w:eastAsia="en-US"/>
        </w:rPr>
        <w:t xml:space="preserve">iz </w:t>
      </w:r>
      <w:r w:rsidRPr="0046315C">
        <w:rPr>
          <w:rFonts w:eastAsia="Calibri"/>
          <w:b/>
          <w:szCs w:val="22"/>
          <w:lang w:eastAsia="en-US"/>
        </w:rPr>
        <w:t>početne procjene</w:t>
      </w:r>
      <w:r w:rsidR="00E11511">
        <w:rPr>
          <w:rFonts w:eastAsia="Calibri"/>
          <w:b/>
          <w:szCs w:val="22"/>
          <w:lang w:eastAsia="en-US"/>
        </w:rPr>
        <w:t>.</w:t>
      </w:r>
    </w:p>
    <w:tbl>
      <w:tblPr>
        <w:tblStyle w:val="GolderTable4"/>
        <w:tblW w:w="9449"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737"/>
        <w:gridCol w:w="2983"/>
        <w:gridCol w:w="2356"/>
        <w:gridCol w:w="149"/>
        <w:gridCol w:w="2224"/>
      </w:tblGrid>
      <w:tr w:rsidR="0046315C" w:rsidRPr="0046315C" w14:paraId="37EB722F" w14:textId="77777777" w:rsidTr="00B23467">
        <w:trPr>
          <w:trHeight w:val="518"/>
          <w:tblHeader/>
        </w:trPr>
        <w:tc>
          <w:tcPr>
            <w:tcW w:w="1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6A461065" w14:textId="49DE6B33" w:rsidR="0046315C" w:rsidRPr="0046315C" w:rsidRDefault="00534546" w:rsidP="0046315C">
            <w:pPr>
              <w:spacing w:before="0" w:after="0" w:line="256" w:lineRule="auto"/>
              <w:jc w:val="center"/>
              <w:rPr>
                <w:b/>
                <w:color w:val="FFFFFF"/>
                <w:sz w:val="20"/>
                <w:szCs w:val="20"/>
                <w:lang w:eastAsia="en-US"/>
              </w:rPr>
            </w:pPr>
            <w:r>
              <w:rPr>
                <w:rFonts w:cs="Calibri"/>
                <w:b/>
                <w:color w:val="FFFFFF"/>
                <w:sz w:val="20"/>
                <w:szCs w:val="20"/>
                <w:lang w:eastAsia="en-US"/>
              </w:rPr>
              <w:t>Postojeća</w:t>
            </w:r>
            <w:r w:rsidR="0046315C" w:rsidRPr="0046315C">
              <w:rPr>
                <w:rFonts w:cs="Calibri"/>
                <w:b/>
                <w:color w:val="FFFFFF"/>
                <w:sz w:val="20"/>
                <w:szCs w:val="20"/>
                <w:lang w:eastAsia="en-US"/>
              </w:rPr>
              <w:t xml:space="preserve"> upotreba vode</w:t>
            </w:r>
          </w:p>
        </w:tc>
        <w:tc>
          <w:tcPr>
            <w:tcW w:w="29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1CEFD560" w14:textId="4D984972" w:rsidR="0046315C" w:rsidRPr="0046315C" w:rsidRDefault="00534546" w:rsidP="0046315C">
            <w:pPr>
              <w:spacing w:before="0" w:after="0" w:line="256" w:lineRule="auto"/>
              <w:jc w:val="center"/>
              <w:rPr>
                <w:b/>
                <w:color w:val="FFFFFF"/>
                <w:sz w:val="20"/>
                <w:szCs w:val="20"/>
                <w:lang w:eastAsia="en-US"/>
              </w:rPr>
            </w:pPr>
            <w:r>
              <w:rPr>
                <w:rFonts w:cs="Calibri"/>
                <w:b/>
                <w:color w:val="FFFFFF"/>
                <w:sz w:val="20"/>
                <w:szCs w:val="20"/>
                <w:lang w:eastAsia="en-US"/>
              </w:rPr>
              <w:t>Postojeći</w:t>
            </w:r>
            <w:r w:rsidR="0046315C" w:rsidRPr="0046315C">
              <w:rPr>
                <w:rFonts w:cs="Calibri"/>
                <w:b/>
                <w:color w:val="FFFFFF"/>
                <w:sz w:val="20"/>
                <w:szCs w:val="20"/>
                <w:lang w:eastAsia="en-US"/>
              </w:rPr>
              <w:t xml:space="preserve"> pritisci</w:t>
            </w:r>
          </w:p>
        </w:tc>
        <w:tc>
          <w:tcPr>
            <w:tcW w:w="250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37D97FD2" w14:textId="4C8BE114" w:rsidR="0046315C" w:rsidRPr="0046315C" w:rsidRDefault="00534546" w:rsidP="0046315C">
            <w:pPr>
              <w:spacing w:before="0" w:after="0" w:line="256" w:lineRule="auto"/>
              <w:jc w:val="center"/>
              <w:rPr>
                <w:b/>
                <w:color w:val="FFFFFF"/>
                <w:sz w:val="20"/>
                <w:szCs w:val="20"/>
                <w:lang w:eastAsia="en-US"/>
              </w:rPr>
            </w:pPr>
            <w:r>
              <w:rPr>
                <w:rFonts w:cs="Calibri"/>
                <w:b/>
                <w:color w:val="FFFFFF"/>
                <w:sz w:val="20"/>
                <w:szCs w:val="20"/>
                <w:lang w:eastAsia="en-US"/>
              </w:rPr>
              <w:t>Projektovani</w:t>
            </w:r>
            <w:r w:rsidR="0046315C" w:rsidRPr="0046315C">
              <w:rPr>
                <w:rFonts w:cs="Calibri"/>
                <w:b/>
                <w:color w:val="FFFFFF"/>
                <w:sz w:val="20"/>
                <w:szCs w:val="20"/>
                <w:lang w:eastAsia="en-US"/>
              </w:rPr>
              <w:t xml:space="preserve"> pritisci do 2030.</w:t>
            </w:r>
          </w:p>
        </w:tc>
        <w:tc>
          <w:tcPr>
            <w:tcW w:w="22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2E095AC1" w14:textId="2C66533D" w:rsidR="0046315C" w:rsidRPr="0046315C" w:rsidRDefault="0046315C" w:rsidP="0046315C">
            <w:pPr>
              <w:spacing w:before="0" w:after="0" w:line="256" w:lineRule="auto"/>
              <w:jc w:val="center"/>
              <w:rPr>
                <w:b/>
                <w:color w:val="FFFFFF"/>
                <w:sz w:val="20"/>
                <w:szCs w:val="20"/>
                <w:lang w:eastAsia="en-US"/>
              </w:rPr>
            </w:pPr>
            <w:r w:rsidRPr="0046315C">
              <w:rPr>
                <w:b/>
                <w:color w:val="FFFFFF"/>
                <w:sz w:val="20"/>
                <w:szCs w:val="20"/>
                <w:lang w:eastAsia="en-US"/>
              </w:rPr>
              <w:t>Pr</w:t>
            </w:r>
            <w:r w:rsidR="00534546">
              <w:rPr>
                <w:b/>
                <w:color w:val="FFFFFF"/>
                <w:sz w:val="20"/>
                <w:szCs w:val="20"/>
                <w:lang w:eastAsia="en-US"/>
              </w:rPr>
              <w:t>ojektovano</w:t>
            </w:r>
            <w:r w:rsidRPr="0046315C">
              <w:rPr>
                <w:b/>
                <w:color w:val="FFFFFF"/>
                <w:sz w:val="20"/>
                <w:szCs w:val="20"/>
                <w:lang w:eastAsia="en-US"/>
              </w:rPr>
              <w:t xml:space="preserve"> stanje morske sredine</w:t>
            </w:r>
          </w:p>
        </w:tc>
      </w:tr>
      <w:tr w:rsidR="0046315C" w:rsidRPr="0046315C" w14:paraId="2FCE332F" w14:textId="77777777" w:rsidTr="00B23467">
        <w:trPr>
          <w:trHeight w:val="718"/>
        </w:trPr>
        <w:tc>
          <w:tcPr>
            <w:tcW w:w="1737" w:type="dxa"/>
            <w:tcBorders>
              <w:top w:val="single" w:sz="4" w:space="0" w:color="FFFFFF" w:themeColor="background1"/>
              <w:left w:val="single" w:sz="4" w:space="0" w:color="2F5496"/>
              <w:bottom w:val="single" w:sz="4" w:space="0" w:color="2F5496"/>
              <w:right w:val="single" w:sz="4" w:space="0" w:color="2F5496"/>
            </w:tcBorders>
            <w:hideMark/>
          </w:tcPr>
          <w:p w14:paraId="5E884745" w14:textId="77777777" w:rsidR="0046315C" w:rsidRPr="0046315C" w:rsidRDefault="0046315C" w:rsidP="0046315C">
            <w:pPr>
              <w:spacing w:before="0" w:after="0" w:line="256" w:lineRule="auto"/>
              <w:jc w:val="left"/>
              <w:rPr>
                <w:rFonts w:cs="Calibri"/>
                <w:sz w:val="20"/>
                <w:szCs w:val="20"/>
                <w:lang w:eastAsia="en-US"/>
              </w:rPr>
            </w:pPr>
            <w:r w:rsidRPr="0046315C">
              <w:rPr>
                <w:sz w:val="20"/>
                <w:szCs w:val="20"/>
                <w:lang w:eastAsia="en-US"/>
              </w:rPr>
              <w:t>Otpadne vode</w:t>
            </w:r>
          </w:p>
        </w:tc>
        <w:tc>
          <w:tcPr>
            <w:tcW w:w="2983" w:type="dxa"/>
            <w:tcBorders>
              <w:top w:val="single" w:sz="4" w:space="0" w:color="FFFFFF" w:themeColor="background1"/>
              <w:left w:val="single" w:sz="4" w:space="0" w:color="2F5496"/>
              <w:bottom w:val="single" w:sz="4" w:space="0" w:color="2F5496"/>
              <w:right w:val="single" w:sz="4" w:space="0" w:color="2F5496"/>
            </w:tcBorders>
            <w:hideMark/>
          </w:tcPr>
          <w:p w14:paraId="2D2305DF" w14:textId="77777777" w:rsidR="0046315C" w:rsidRPr="0046315C" w:rsidRDefault="0046315C" w:rsidP="0046315C">
            <w:pPr>
              <w:autoSpaceDE w:val="0"/>
              <w:autoSpaceDN w:val="0"/>
              <w:adjustRightInd w:val="0"/>
              <w:spacing w:before="0" w:after="0" w:line="23" w:lineRule="atLeast"/>
              <w:jc w:val="left"/>
              <w:rPr>
                <w:rFonts w:cs="Calibri"/>
                <w:sz w:val="20"/>
                <w:szCs w:val="20"/>
                <w:lang w:eastAsia="en-US"/>
              </w:rPr>
            </w:pPr>
            <w:r w:rsidRPr="0046315C">
              <w:rPr>
                <w:sz w:val="20"/>
                <w:szCs w:val="20"/>
                <w:lang w:eastAsia="en-US"/>
              </w:rPr>
              <w:t>Unos hranljivih soli i organske materije</w:t>
            </w:r>
          </w:p>
        </w:tc>
        <w:tc>
          <w:tcPr>
            <w:tcW w:w="2356" w:type="dxa"/>
            <w:tcBorders>
              <w:top w:val="single" w:sz="4" w:space="0" w:color="FFFFFF" w:themeColor="background1"/>
              <w:left w:val="single" w:sz="4" w:space="0" w:color="2F5496"/>
              <w:bottom w:val="single" w:sz="4" w:space="0" w:color="2F5496"/>
              <w:right w:val="single" w:sz="4" w:space="0" w:color="2F5496"/>
            </w:tcBorders>
            <w:hideMark/>
          </w:tcPr>
          <w:p w14:paraId="33A513C1" w14:textId="77777777" w:rsidR="0046315C" w:rsidRPr="0046315C" w:rsidRDefault="0046315C" w:rsidP="0046315C">
            <w:pPr>
              <w:autoSpaceDE w:val="0"/>
              <w:autoSpaceDN w:val="0"/>
              <w:adjustRightInd w:val="0"/>
              <w:spacing w:before="0" w:after="0" w:line="23" w:lineRule="atLeast"/>
              <w:jc w:val="left"/>
              <w:rPr>
                <w:rFonts w:cs="Calibri"/>
                <w:sz w:val="20"/>
                <w:szCs w:val="20"/>
                <w:lang w:eastAsia="en-US"/>
              </w:rPr>
            </w:pPr>
            <w:r w:rsidRPr="0046315C">
              <w:rPr>
                <w:rFonts w:cs="Calibri"/>
                <w:sz w:val="20"/>
                <w:szCs w:val="20"/>
                <w:lang w:eastAsia="en-US"/>
              </w:rPr>
              <w:t>Trend pritiska:</w:t>
            </w:r>
          </w:p>
          <w:p w14:paraId="5EF3A17D" w14:textId="77777777" w:rsidR="0046315C" w:rsidRPr="0046315C" w:rsidRDefault="0046315C" w:rsidP="0046315C">
            <w:pPr>
              <w:autoSpaceDE w:val="0"/>
              <w:autoSpaceDN w:val="0"/>
              <w:adjustRightInd w:val="0"/>
              <w:spacing w:before="0" w:after="0" w:line="23" w:lineRule="atLeast"/>
              <w:jc w:val="left"/>
              <w:rPr>
                <w:rFonts w:cs="Calibri"/>
                <w:sz w:val="20"/>
                <w:szCs w:val="20"/>
                <w:lang w:eastAsia="en-US"/>
              </w:rPr>
            </w:pPr>
            <w:r w:rsidRPr="0046315C">
              <w:rPr>
                <w:rFonts w:cs="Calibri"/>
                <w:sz w:val="20"/>
                <w:szCs w:val="20"/>
                <w:lang w:eastAsia="en-US"/>
              </w:rPr>
              <w:t>Unos hranljivih soli i organske materije (-)</w:t>
            </w:r>
          </w:p>
        </w:tc>
        <w:tc>
          <w:tcPr>
            <w:tcW w:w="2373" w:type="dxa"/>
            <w:gridSpan w:val="2"/>
            <w:tcBorders>
              <w:top w:val="single" w:sz="4" w:space="0" w:color="FFFFFF" w:themeColor="background1"/>
              <w:left w:val="single" w:sz="4" w:space="0" w:color="2F5496"/>
              <w:bottom w:val="single" w:sz="4" w:space="0" w:color="2F5496"/>
              <w:right w:val="single" w:sz="4" w:space="0" w:color="2F5496"/>
            </w:tcBorders>
            <w:hideMark/>
          </w:tcPr>
          <w:p w14:paraId="43871219" w14:textId="77777777" w:rsidR="0046315C" w:rsidRPr="0046315C" w:rsidRDefault="0046315C" w:rsidP="0046315C">
            <w:pPr>
              <w:spacing w:before="0" w:after="0" w:line="256" w:lineRule="auto"/>
              <w:jc w:val="center"/>
              <w:rPr>
                <w:sz w:val="20"/>
                <w:szCs w:val="20"/>
                <w:lang w:eastAsia="en-US"/>
              </w:rPr>
            </w:pPr>
            <w:r w:rsidRPr="0046315C">
              <w:rPr>
                <w:sz w:val="20"/>
                <w:szCs w:val="20"/>
                <w:lang w:eastAsia="en-US"/>
              </w:rPr>
              <w:t>Poboljšanje</w:t>
            </w:r>
          </w:p>
        </w:tc>
      </w:tr>
      <w:tr w:rsidR="0046315C" w:rsidRPr="0046315C" w14:paraId="5C8712CF" w14:textId="77777777" w:rsidTr="0046315C">
        <w:trPr>
          <w:trHeight w:val="707"/>
        </w:trPr>
        <w:tc>
          <w:tcPr>
            <w:tcW w:w="1737" w:type="dxa"/>
            <w:tcBorders>
              <w:top w:val="single" w:sz="4" w:space="0" w:color="2F5496"/>
              <w:left w:val="single" w:sz="4" w:space="0" w:color="2F5496"/>
              <w:bottom w:val="single" w:sz="4" w:space="0" w:color="2F5496"/>
              <w:right w:val="single" w:sz="4" w:space="0" w:color="2F5496"/>
            </w:tcBorders>
            <w:hideMark/>
          </w:tcPr>
          <w:p w14:paraId="148E4D58" w14:textId="77777777" w:rsidR="0046315C" w:rsidRPr="0046315C" w:rsidRDefault="0046315C" w:rsidP="0046315C">
            <w:pPr>
              <w:spacing w:before="0" w:after="0" w:line="256" w:lineRule="auto"/>
              <w:jc w:val="left"/>
              <w:rPr>
                <w:rFonts w:cs="Calibri"/>
                <w:sz w:val="20"/>
                <w:szCs w:val="20"/>
                <w:lang w:eastAsia="en-US"/>
              </w:rPr>
            </w:pPr>
            <w:r w:rsidRPr="0046315C">
              <w:rPr>
                <w:rFonts w:cs="Calibri"/>
                <w:sz w:val="20"/>
                <w:szCs w:val="20"/>
                <w:lang w:eastAsia="en-US"/>
              </w:rPr>
              <w:t>Primorski turizam</w:t>
            </w:r>
          </w:p>
        </w:tc>
        <w:tc>
          <w:tcPr>
            <w:tcW w:w="2983" w:type="dxa"/>
            <w:tcBorders>
              <w:top w:val="single" w:sz="4" w:space="0" w:color="2F5496"/>
              <w:left w:val="single" w:sz="4" w:space="0" w:color="2F5496"/>
              <w:bottom w:val="single" w:sz="4" w:space="0" w:color="2F5496"/>
              <w:right w:val="single" w:sz="4" w:space="0" w:color="2F5496"/>
            </w:tcBorders>
            <w:hideMark/>
          </w:tcPr>
          <w:p w14:paraId="3239F672" w14:textId="77777777" w:rsidR="0046315C" w:rsidRPr="0046315C" w:rsidRDefault="0046315C" w:rsidP="0046315C">
            <w:pPr>
              <w:autoSpaceDE w:val="0"/>
              <w:autoSpaceDN w:val="0"/>
              <w:adjustRightInd w:val="0"/>
              <w:spacing w:before="0" w:after="0" w:line="23" w:lineRule="atLeast"/>
              <w:jc w:val="left"/>
              <w:rPr>
                <w:rFonts w:cs="Calibri"/>
                <w:sz w:val="20"/>
                <w:szCs w:val="20"/>
                <w:lang w:eastAsia="en-US"/>
              </w:rPr>
            </w:pPr>
            <w:r w:rsidRPr="0046315C">
              <w:rPr>
                <w:sz w:val="20"/>
                <w:szCs w:val="20"/>
                <w:lang w:eastAsia="en-US"/>
              </w:rPr>
              <w:t>Unos hranljivih soli i organske materije</w:t>
            </w:r>
          </w:p>
        </w:tc>
        <w:tc>
          <w:tcPr>
            <w:tcW w:w="2356" w:type="dxa"/>
            <w:tcBorders>
              <w:top w:val="single" w:sz="4" w:space="0" w:color="2F5496"/>
              <w:left w:val="single" w:sz="4" w:space="0" w:color="2F5496"/>
              <w:bottom w:val="single" w:sz="4" w:space="0" w:color="2F5496"/>
              <w:right w:val="single" w:sz="4" w:space="0" w:color="2F5496"/>
            </w:tcBorders>
            <w:hideMark/>
          </w:tcPr>
          <w:p w14:paraId="74B04635" w14:textId="77777777" w:rsidR="0046315C" w:rsidRPr="0046315C" w:rsidRDefault="0046315C" w:rsidP="0046315C">
            <w:pPr>
              <w:autoSpaceDE w:val="0"/>
              <w:autoSpaceDN w:val="0"/>
              <w:adjustRightInd w:val="0"/>
              <w:spacing w:before="0" w:after="0" w:line="23" w:lineRule="atLeast"/>
              <w:jc w:val="left"/>
              <w:rPr>
                <w:rFonts w:cs="Calibri"/>
                <w:sz w:val="20"/>
                <w:szCs w:val="20"/>
                <w:lang w:eastAsia="en-US"/>
              </w:rPr>
            </w:pPr>
            <w:r w:rsidRPr="0046315C">
              <w:rPr>
                <w:rFonts w:cs="Calibri"/>
                <w:sz w:val="20"/>
                <w:szCs w:val="20"/>
                <w:lang w:eastAsia="en-US"/>
              </w:rPr>
              <w:t>Trend pritiska*:</w:t>
            </w:r>
          </w:p>
          <w:p w14:paraId="29825472" w14:textId="77777777" w:rsidR="0046315C" w:rsidRPr="0046315C" w:rsidRDefault="0046315C" w:rsidP="0046315C">
            <w:pPr>
              <w:autoSpaceDE w:val="0"/>
              <w:autoSpaceDN w:val="0"/>
              <w:adjustRightInd w:val="0"/>
              <w:spacing w:before="0" w:after="0" w:line="23" w:lineRule="atLeast"/>
              <w:jc w:val="left"/>
              <w:rPr>
                <w:rFonts w:cs="Calibri"/>
                <w:sz w:val="20"/>
                <w:szCs w:val="20"/>
                <w:lang w:eastAsia="en-US"/>
              </w:rPr>
            </w:pPr>
            <w:r w:rsidRPr="0046315C">
              <w:rPr>
                <w:rFonts w:cs="Calibri"/>
                <w:sz w:val="20"/>
                <w:szCs w:val="20"/>
                <w:lang w:eastAsia="en-US"/>
              </w:rPr>
              <w:t>Unos hranljivih soli i organske materije (0)</w:t>
            </w:r>
          </w:p>
        </w:tc>
        <w:tc>
          <w:tcPr>
            <w:tcW w:w="2373" w:type="dxa"/>
            <w:gridSpan w:val="2"/>
            <w:tcBorders>
              <w:top w:val="single" w:sz="4" w:space="0" w:color="2F5496"/>
              <w:left w:val="single" w:sz="4" w:space="0" w:color="2F5496"/>
              <w:bottom w:val="single" w:sz="4" w:space="0" w:color="2F5496"/>
              <w:right w:val="single" w:sz="4" w:space="0" w:color="2F5496"/>
            </w:tcBorders>
            <w:hideMark/>
          </w:tcPr>
          <w:p w14:paraId="07EE5031" w14:textId="77777777" w:rsidR="0046315C" w:rsidRPr="0046315C" w:rsidRDefault="0046315C" w:rsidP="0046315C">
            <w:pPr>
              <w:spacing w:before="0" w:after="0" w:line="256" w:lineRule="auto"/>
              <w:jc w:val="center"/>
              <w:rPr>
                <w:sz w:val="20"/>
                <w:szCs w:val="20"/>
                <w:lang w:eastAsia="en-US"/>
              </w:rPr>
            </w:pPr>
            <w:r w:rsidRPr="0046315C">
              <w:rPr>
                <w:sz w:val="20"/>
                <w:szCs w:val="20"/>
                <w:lang w:eastAsia="en-US"/>
              </w:rPr>
              <w:t>Bez promjene</w:t>
            </w:r>
          </w:p>
        </w:tc>
      </w:tr>
      <w:tr w:rsidR="0046315C" w:rsidRPr="0046315C" w14:paraId="0304FEEC" w14:textId="77777777" w:rsidTr="0046315C">
        <w:trPr>
          <w:trHeight w:val="718"/>
        </w:trPr>
        <w:tc>
          <w:tcPr>
            <w:tcW w:w="1737" w:type="dxa"/>
            <w:tcBorders>
              <w:top w:val="single" w:sz="4" w:space="0" w:color="2F5496"/>
              <w:left w:val="single" w:sz="4" w:space="0" w:color="2F5496"/>
              <w:bottom w:val="single" w:sz="4" w:space="0" w:color="2F5496"/>
              <w:right w:val="single" w:sz="4" w:space="0" w:color="2F5496"/>
            </w:tcBorders>
            <w:hideMark/>
          </w:tcPr>
          <w:p w14:paraId="44E97314" w14:textId="77777777" w:rsidR="0046315C" w:rsidRPr="0046315C" w:rsidRDefault="0046315C" w:rsidP="0046315C">
            <w:pPr>
              <w:spacing w:before="0" w:after="0" w:line="256" w:lineRule="auto"/>
              <w:jc w:val="left"/>
              <w:rPr>
                <w:sz w:val="20"/>
                <w:szCs w:val="20"/>
                <w:lang w:eastAsia="en-US"/>
              </w:rPr>
            </w:pPr>
            <w:r w:rsidRPr="0046315C">
              <w:rPr>
                <w:rFonts w:cs="Calibri"/>
                <w:sz w:val="20"/>
                <w:szCs w:val="20"/>
                <w:lang w:eastAsia="en-US"/>
              </w:rPr>
              <w:t>Nautički turizam</w:t>
            </w:r>
          </w:p>
        </w:tc>
        <w:tc>
          <w:tcPr>
            <w:tcW w:w="2983" w:type="dxa"/>
            <w:tcBorders>
              <w:top w:val="single" w:sz="4" w:space="0" w:color="2F5496"/>
              <w:left w:val="single" w:sz="4" w:space="0" w:color="2F5496"/>
              <w:bottom w:val="single" w:sz="4" w:space="0" w:color="2F5496"/>
              <w:right w:val="single" w:sz="4" w:space="0" w:color="2F5496"/>
            </w:tcBorders>
            <w:hideMark/>
          </w:tcPr>
          <w:p w14:paraId="4AF0A4FA" w14:textId="77777777" w:rsidR="0046315C" w:rsidRPr="0046315C" w:rsidRDefault="0046315C" w:rsidP="0046315C">
            <w:pPr>
              <w:spacing w:before="0" w:after="0" w:line="256" w:lineRule="auto"/>
              <w:jc w:val="left"/>
              <w:rPr>
                <w:sz w:val="20"/>
                <w:szCs w:val="20"/>
                <w:lang w:eastAsia="en-US"/>
              </w:rPr>
            </w:pPr>
            <w:r w:rsidRPr="0046315C">
              <w:rPr>
                <w:sz w:val="20"/>
                <w:szCs w:val="20"/>
                <w:lang w:eastAsia="en-US"/>
              </w:rPr>
              <w:t>Unos hranljivih soli i organske materije</w:t>
            </w:r>
          </w:p>
        </w:tc>
        <w:tc>
          <w:tcPr>
            <w:tcW w:w="2356" w:type="dxa"/>
            <w:tcBorders>
              <w:top w:val="single" w:sz="4" w:space="0" w:color="2F5496"/>
              <w:left w:val="single" w:sz="4" w:space="0" w:color="2F5496"/>
              <w:bottom w:val="single" w:sz="4" w:space="0" w:color="2F5496"/>
              <w:right w:val="single" w:sz="4" w:space="0" w:color="2F5496"/>
            </w:tcBorders>
            <w:hideMark/>
          </w:tcPr>
          <w:p w14:paraId="0CF5D514" w14:textId="77777777" w:rsidR="0046315C" w:rsidRPr="0046315C" w:rsidRDefault="0046315C" w:rsidP="0046315C">
            <w:pPr>
              <w:autoSpaceDE w:val="0"/>
              <w:autoSpaceDN w:val="0"/>
              <w:adjustRightInd w:val="0"/>
              <w:spacing w:before="0" w:after="0" w:line="23" w:lineRule="atLeast"/>
              <w:jc w:val="left"/>
              <w:rPr>
                <w:rFonts w:cs="Calibri"/>
                <w:sz w:val="20"/>
                <w:szCs w:val="20"/>
                <w:lang w:eastAsia="en-US"/>
              </w:rPr>
            </w:pPr>
            <w:r w:rsidRPr="0046315C">
              <w:rPr>
                <w:rFonts w:cs="Calibri"/>
                <w:sz w:val="20"/>
                <w:szCs w:val="20"/>
                <w:lang w:eastAsia="en-US"/>
              </w:rPr>
              <w:t>Trend pritiska*:</w:t>
            </w:r>
          </w:p>
          <w:p w14:paraId="4DFC13F7" w14:textId="77777777" w:rsidR="0046315C" w:rsidRPr="0046315C" w:rsidRDefault="0046315C" w:rsidP="0046315C">
            <w:pPr>
              <w:autoSpaceDE w:val="0"/>
              <w:autoSpaceDN w:val="0"/>
              <w:adjustRightInd w:val="0"/>
              <w:spacing w:before="0" w:after="0" w:line="23" w:lineRule="atLeast"/>
              <w:contextualSpacing/>
              <w:jc w:val="left"/>
              <w:rPr>
                <w:sz w:val="20"/>
                <w:szCs w:val="20"/>
                <w:lang w:eastAsia="en-US"/>
              </w:rPr>
            </w:pPr>
            <w:r w:rsidRPr="0046315C">
              <w:rPr>
                <w:rFonts w:cs="Calibri"/>
                <w:sz w:val="20"/>
                <w:szCs w:val="20"/>
                <w:lang w:eastAsia="en-US"/>
              </w:rPr>
              <w:t>Unos hranljivih soli i organske materije (0)</w:t>
            </w:r>
          </w:p>
        </w:tc>
        <w:tc>
          <w:tcPr>
            <w:tcW w:w="2373" w:type="dxa"/>
            <w:gridSpan w:val="2"/>
            <w:tcBorders>
              <w:top w:val="single" w:sz="4" w:space="0" w:color="2F5496"/>
              <w:left w:val="single" w:sz="4" w:space="0" w:color="2F5496"/>
              <w:bottom w:val="single" w:sz="4" w:space="0" w:color="2F5496"/>
              <w:right w:val="single" w:sz="4" w:space="0" w:color="2F5496"/>
            </w:tcBorders>
          </w:tcPr>
          <w:p w14:paraId="5A96D14E" w14:textId="77777777" w:rsidR="0046315C" w:rsidRPr="0046315C" w:rsidRDefault="0046315C" w:rsidP="0046315C">
            <w:pPr>
              <w:spacing w:before="0" w:after="0" w:line="256" w:lineRule="auto"/>
              <w:jc w:val="center"/>
              <w:rPr>
                <w:sz w:val="20"/>
                <w:szCs w:val="20"/>
                <w:lang w:eastAsia="en-US"/>
              </w:rPr>
            </w:pPr>
          </w:p>
          <w:p w14:paraId="66E890B9" w14:textId="77777777" w:rsidR="0046315C" w:rsidRPr="0046315C" w:rsidRDefault="0046315C" w:rsidP="0046315C">
            <w:pPr>
              <w:spacing w:before="0" w:after="0" w:line="256" w:lineRule="auto"/>
              <w:jc w:val="center"/>
              <w:rPr>
                <w:sz w:val="20"/>
                <w:szCs w:val="20"/>
                <w:lang w:eastAsia="en-US"/>
              </w:rPr>
            </w:pPr>
            <w:r w:rsidRPr="0046315C">
              <w:rPr>
                <w:sz w:val="20"/>
                <w:szCs w:val="20"/>
                <w:lang w:eastAsia="en-US"/>
              </w:rPr>
              <w:t>Bez promjene</w:t>
            </w:r>
          </w:p>
        </w:tc>
      </w:tr>
      <w:tr w:rsidR="0046315C" w:rsidRPr="0046315C" w14:paraId="43AE5C20" w14:textId="77777777" w:rsidTr="0046315C">
        <w:trPr>
          <w:trHeight w:val="718"/>
        </w:trPr>
        <w:tc>
          <w:tcPr>
            <w:tcW w:w="1737" w:type="dxa"/>
            <w:tcBorders>
              <w:top w:val="single" w:sz="4" w:space="0" w:color="2F5496"/>
              <w:left w:val="single" w:sz="4" w:space="0" w:color="2F5496"/>
              <w:bottom w:val="single" w:sz="4" w:space="0" w:color="2F5496"/>
              <w:right w:val="single" w:sz="4" w:space="0" w:color="2F5496"/>
            </w:tcBorders>
            <w:hideMark/>
          </w:tcPr>
          <w:p w14:paraId="71B464EB" w14:textId="77777777" w:rsidR="0046315C" w:rsidRPr="0046315C" w:rsidRDefault="0046315C" w:rsidP="0046315C">
            <w:pPr>
              <w:spacing w:before="0" w:after="0" w:line="256" w:lineRule="auto"/>
              <w:jc w:val="left"/>
              <w:rPr>
                <w:rFonts w:cs="Calibri"/>
                <w:sz w:val="20"/>
                <w:szCs w:val="20"/>
                <w:lang w:eastAsia="en-US"/>
              </w:rPr>
            </w:pPr>
            <w:r w:rsidRPr="0046315C">
              <w:rPr>
                <w:rFonts w:cs="Calibri"/>
                <w:sz w:val="20"/>
                <w:szCs w:val="20"/>
                <w:lang w:eastAsia="en-US"/>
              </w:rPr>
              <w:t>Akvakultura</w:t>
            </w:r>
          </w:p>
        </w:tc>
        <w:tc>
          <w:tcPr>
            <w:tcW w:w="2983" w:type="dxa"/>
            <w:tcBorders>
              <w:top w:val="single" w:sz="4" w:space="0" w:color="2F5496"/>
              <w:left w:val="single" w:sz="4" w:space="0" w:color="2F5496"/>
              <w:bottom w:val="single" w:sz="4" w:space="0" w:color="2F5496"/>
              <w:right w:val="single" w:sz="4" w:space="0" w:color="2F5496"/>
            </w:tcBorders>
            <w:hideMark/>
          </w:tcPr>
          <w:p w14:paraId="30908CA0" w14:textId="77777777" w:rsidR="0046315C" w:rsidRPr="0046315C" w:rsidRDefault="0046315C" w:rsidP="0046315C">
            <w:pPr>
              <w:autoSpaceDE w:val="0"/>
              <w:autoSpaceDN w:val="0"/>
              <w:adjustRightInd w:val="0"/>
              <w:spacing w:before="0" w:after="0" w:line="23" w:lineRule="atLeast"/>
              <w:jc w:val="left"/>
              <w:rPr>
                <w:rFonts w:cs="Calibri"/>
                <w:sz w:val="20"/>
                <w:szCs w:val="20"/>
                <w:lang w:eastAsia="en-US"/>
              </w:rPr>
            </w:pPr>
            <w:r w:rsidRPr="0046315C">
              <w:rPr>
                <w:sz w:val="20"/>
                <w:szCs w:val="20"/>
                <w:lang w:eastAsia="en-US"/>
              </w:rPr>
              <w:t>Unos hranljivih soli i organske materije</w:t>
            </w:r>
          </w:p>
        </w:tc>
        <w:tc>
          <w:tcPr>
            <w:tcW w:w="2356" w:type="dxa"/>
            <w:tcBorders>
              <w:top w:val="single" w:sz="4" w:space="0" w:color="2F5496"/>
              <w:left w:val="single" w:sz="4" w:space="0" w:color="2F5496"/>
              <w:bottom w:val="single" w:sz="4" w:space="0" w:color="2F5496"/>
              <w:right w:val="single" w:sz="4" w:space="0" w:color="2F5496"/>
            </w:tcBorders>
            <w:hideMark/>
          </w:tcPr>
          <w:p w14:paraId="346FAD45" w14:textId="77777777" w:rsidR="0046315C" w:rsidRPr="0046315C" w:rsidRDefault="0046315C" w:rsidP="0046315C">
            <w:pPr>
              <w:autoSpaceDE w:val="0"/>
              <w:autoSpaceDN w:val="0"/>
              <w:adjustRightInd w:val="0"/>
              <w:spacing w:before="0" w:after="0" w:line="23" w:lineRule="atLeast"/>
              <w:jc w:val="left"/>
              <w:rPr>
                <w:rFonts w:cs="Calibri"/>
                <w:sz w:val="20"/>
                <w:szCs w:val="20"/>
                <w:lang w:eastAsia="en-US"/>
              </w:rPr>
            </w:pPr>
            <w:r w:rsidRPr="0046315C">
              <w:rPr>
                <w:rFonts w:cs="Calibri"/>
                <w:sz w:val="20"/>
                <w:szCs w:val="20"/>
                <w:lang w:eastAsia="en-US"/>
              </w:rPr>
              <w:t>Trend pritiska:</w:t>
            </w:r>
          </w:p>
          <w:p w14:paraId="3B56ED0F" w14:textId="77777777" w:rsidR="0046315C" w:rsidRPr="0046315C" w:rsidRDefault="0046315C" w:rsidP="0046315C">
            <w:pPr>
              <w:autoSpaceDE w:val="0"/>
              <w:autoSpaceDN w:val="0"/>
              <w:adjustRightInd w:val="0"/>
              <w:spacing w:before="0" w:after="0" w:line="23" w:lineRule="atLeast"/>
              <w:jc w:val="left"/>
              <w:rPr>
                <w:rFonts w:cs="Calibri"/>
                <w:sz w:val="20"/>
                <w:szCs w:val="20"/>
                <w:lang w:eastAsia="en-US"/>
              </w:rPr>
            </w:pPr>
            <w:r w:rsidRPr="0046315C">
              <w:rPr>
                <w:rFonts w:cs="Calibri"/>
                <w:sz w:val="20"/>
                <w:szCs w:val="20"/>
                <w:lang w:eastAsia="en-US"/>
              </w:rPr>
              <w:t>Unos hranljivih soli i organske materije (+)</w:t>
            </w:r>
          </w:p>
        </w:tc>
        <w:tc>
          <w:tcPr>
            <w:tcW w:w="2373" w:type="dxa"/>
            <w:gridSpan w:val="2"/>
            <w:tcBorders>
              <w:top w:val="single" w:sz="4" w:space="0" w:color="2F5496"/>
              <w:left w:val="single" w:sz="4" w:space="0" w:color="2F5496"/>
              <w:bottom w:val="single" w:sz="4" w:space="0" w:color="2F5496"/>
              <w:right w:val="single" w:sz="4" w:space="0" w:color="2F5496"/>
            </w:tcBorders>
            <w:hideMark/>
          </w:tcPr>
          <w:p w14:paraId="10D12CBF" w14:textId="77777777" w:rsidR="0046315C" w:rsidRPr="0046315C" w:rsidRDefault="0046315C" w:rsidP="0046315C">
            <w:pPr>
              <w:spacing w:before="0" w:after="0" w:line="256" w:lineRule="auto"/>
              <w:jc w:val="center"/>
              <w:rPr>
                <w:sz w:val="20"/>
                <w:szCs w:val="20"/>
                <w:lang w:eastAsia="en-US"/>
              </w:rPr>
            </w:pPr>
            <w:r w:rsidRPr="0046315C">
              <w:rPr>
                <w:sz w:val="20"/>
                <w:szCs w:val="20"/>
                <w:lang w:eastAsia="en-US"/>
              </w:rPr>
              <w:t>Pogoršanje</w:t>
            </w:r>
          </w:p>
        </w:tc>
      </w:tr>
      <w:tr w:rsidR="0046315C" w:rsidRPr="0046315C" w14:paraId="1616272B" w14:textId="77777777" w:rsidTr="0046315C">
        <w:trPr>
          <w:trHeight w:val="754"/>
        </w:trPr>
        <w:tc>
          <w:tcPr>
            <w:tcW w:w="1737" w:type="dxa"/>
            <w:tcBorders>
              <w:top w:val="single" w:sz="4" w:space="0" w:color="2F5496"/>
              <w:left w:val="single" w:sz="4" w:space="0" w:color="2F5496"/>
              <w:bottom w:val="single" w:sz="4" w:space="0" w:color="2F5496"/>
              <w:right w:val="single" w:sz="4" w:space="0" w:color="2F5496"/>
            </w:tcBorders>
            <w:hideMark/>
          </w:tcPr>
          <w:p w14:paraId="13110F12" w14:textId="77777777" w:rsidR="0046315C" w:rsidRPr="0046315C" w:rsidRDefault="0046315C" w:rsidP="0046315C">
            <w:pPr>
              <w:spacing w:before="0" w:after="0" w:line="256" w:lineRule="auto"/>
              <w:jc w:val="left"/>
              <w:rPr>
                <w:sz w:val="20"/>
                <w:szCs w:val="20"/>
                <w:lang w:eastAsia="en-US"/>
              </w:rPr>
            </w:pPr>
            <w:r w:rsidRPr="0046315C">
              <w:rPr>
                <w:sz w:val="20"/>
                <w:szCs w:val="20"/>
                <w:lang w:eastAsia="en-US"/>
              </w:rPr>
              <w:t>Otpad</w:t>
            </w:r>
          </w:p>
        </w:tc>
        <w:tc>
          <w:tcPr>
            <w:tcW w:w="2983" w:type="dxa"/>
            <w:tcBorders>
              <w:top w:val="single" w:sz="4" w:space="0" w:color="2F5496"/>
              <w:left w:val="single" w:sz="4" w:space="0" w:color="2F5496"/>
              <w:bottom w:val="single" w:sz="4" w:space="0" w:color="2F5496"/>
              <w:right w:val="single" w:sz="4" w:space="0" w:color="2F5496"/>
            </w:tcBorders>
            <w:hideMark/>
          </w:tcPr>
          <w:p w14:paraId="107BD80B" w14:textId="77777777" w:rsidR="0046315C" w:rsidRPr="0046315C" w:rsidRDefault="0046315C" w:rsidP="0046315C">
            <w:pPr>
              <w:spacing w:before="0" w:after="0" w:line="256" w:lineRule="auto"/>
              <w:jc w:val="left"/>
              <w:rPr>
                <w:sz w:val="20"/>
                <w:szCs w:val="20"/>
                <w:lang w:eastAsia="en-US"/>
              </w:rPr>
            </w:pPr>
            <w:r w:rsidRPr="0046315C">
              <w:rPr>
                <w:sz w:val="20"/>
                <w:szCs w:val="20"/>
                <w:lang w:eastAsia="en-US"/>
              </w:rPr>
              <w:t>Unos hranljivih soli i organske materije</w:t>
            </w:r>
            <w:r w:rsidRPr="0046315C">
              <w:rPr>
                <w:rFonts w:cs="Calibri"/>
                <w:sz w:val="20"/>
                <w:szCs w:val="20"/>
                <w:lang w:eastAsia="en-US"/>
              </w:rPr>
              <w:t xml:space="preserve"> </w:t>
            </w:r>
          </w:p>
        </w:tc>
        <w:tc>
          <w:tcPr>
            <w:tcW w:w="2356" w:type="dxa"/>
            <w:tcBorders>
              <w:top w:val="single" w:sz="4" w:space="0" w:color="2F5496"/>
              <w:left w:val="single" w:sz="4" w:space="0" w:color="2F5496"/>
              <w:bottom w:val="single" w:sz="4" w:space="0" w:color="2F5496"/>
              <w:right w:val="single" w:sz="4" w:space="0" w:color="2F5496"/>
            </w:tcBorders>
            <w:hideMark/>
          </w:tcPr>
          <w:p w14:paraId="7A1BE1CE" w14:textId="77777777" w:rsidR="0046315C" w:rsidRPr="0046315C" w:rsidRDefault="0046315C" w:rsidP="0046315C">
            <w:pPr>
              <w:autoSpaceDE w:val="0"/>
              <w:autoSpaceDN w:val="0"/>
              <w:adjustRightInd w:val="0"/>
              <w:spacing w:before="0" w:after="0" w:line="23" w:lineRule="atLeast"/>
              <w:jc w:val="left"/>
              <w:rPr>
                <w:rFonts w:cs="Calibri"/>
                <w:sz w:val="20"/>
                <w:szCs w:val="20"/>
                <w:lang w:eastAsia="en-US"/>
              </w:rPr>
            </w:pPr>
            <w:r w:rsidRPr="0046315C">
              <w:rPr>
                <w:rFonts w:cs="Calibri"/>
                <w:sz w:val="20"/>
                <w:szCs w:val="20"/>
                <w:lang w:eastAsia="en-US"/>
              </w:rPr>
              <w:t>Trend pritiska:</w:t>
            </w:r>
          </w:p>
          <w:p w14:paraId="1AB28470" w14:textId="77777777" w:rsidR="0046315C" w:rsidRPr="0046315C" w:rsidRDefault="0046315C" w:rsidP="0046315C">
            <w:pPr>
              <w:autoSpaceDE w:val="0"/>
              <w:autoSpaceDN w:val="0"/>
              <w:adjustRightInd w:val="0"/>
              <w:spacing w:before="0" w:after="0" w:line="23" w:lineRule="atLeast"/>
              <w:jc w:val="left"/>
              <w:rPr>
                <w:sz w:val="20"/>
                <w:szCs w:val="20"/>
                <w:lang w:eastAsia="en-US"/>
              </w:rPr>
            </w:pPr>
            <w:r w:rsidRPr="0046315C">
              <w:rPr>
                <w:rFonts w:cs="Calibri"/>
                <w:sz w:val="20"/>
                <w:szCs w:val="20"/>
                <w:lang w:eastAsia="en-US"/>
              </w:rPr>
              <w:t>Unos hranljivih soli i organske materije (0)</w:t>
            </w:r>
          </w:p>
        </w:tc>
        <w:tc>
          <w:tcPr>
            <w:tcW w:w="2373" w:type="dxa"/>
            <w:gridSpan w:val="2"/>
            <w:tcBorders>
              <w:top w:val="single" w:sz="4" w:space="0" w:color="2F5496"/>
              <w:left w:val="single" w:sz="4" w:space="0" w:color="2F5496"/>
              <w:bottom w:val="single" w:sz="4" w:space="0" w:color="2F5496"/>
              <w:right w:val="single" w:sz="4" w:space="0" w:color="2F5496"/>
            </w:tcBorders>
            <w:hideMark/>
          </w:tcPr>
          <w:p w14:paraId="4D8F860B" w14:textId="77777777" w:rsidR="0046315C" w:rsidRPr="0046315C" w:rsidRDefault="0046315C" w:rsidP="0046315C">
            <w:pPr>
              <w:spacing w:before="0" w:after="0" w:line="256" w:lineRule="auto"/>
              <w:jc w:val="center"/>
              <w:rPr>
                <w:sz w:val="20"/>
                <w:szCs w:val="20"/>
                <w:lang w:eastAsia="en-US"/>
              </w:rPr>
            </w:pPr>
            <w:r w:rsidRPr="0046315C">
              <w:rPr>
                <w:sz w:val="20"/>
                <w:szCs w:val="20"/>
                <w:lang w:eastAsia="en-US"/>
              </w:rPr>
              <w:t>Bez promjene</w:t>
            </w:r>
          </w:p>
        </w:tc>
      </w:tr>
      <w:tr w:rsidR="0046315C" w:rsidRPr="0046315C" w14:paraId="1A76BBC1" w14:textId="77777777" w:rsidTr="0046315C">
        <w:trPr>
          <w:trHeight w:val="518"/>
        </w:trPr>
        <w:tc>
          <w:tcPr>
            <w:tcW w:w="1737" w:type="dxa"/>
            <w:tcBorders>
              <w:top w:val="single" w:sz="4" w:space="0" w:color="2F5496"/>
              <w:left w:val="single" w:sz="4" w:space="0" w:color="2F5496"/>
              <w:bottom w:val="single" w:sz="4" w:space="0" w:color="2F5496"/>
              <w:right w:val="single" w:sz="4" w:space="0" w:color="2F5496"/>
            </w:tcBorders>
            <w:hideMark/>
          </w:tcPr>
          <w:p w14:paraId="6AE967EC" w14:textId="77777777" w:rsidR="0046315C" w:rsidRPr="0046315C" w:rsidRDefault="0046315C" w:rsidP="0046315C">
            <w:pPr>
              <w:spacing w:before="0" w:after="0" w:line="256" w:lineRule="auto"/>
              <w:jc w:val="left"/>
              <w:rPr>
                <w:rFonts w:cs="Calibri"/>
                <w:sz w:val="20"/>
                <w:szCs w:val="20"/>
                <w:highlight w:val="yellow"/>
                <w:lang w:eastAsia="en-US"/>
              </w:rPr>
            </w:pPr>
            <w:r w:rsidRPr="0046315C">
              <w:rPr>
                <w:rFonts w:cs="Calibri"/>
                <w:sz w:val="20"/>
                <w:szCs w:val="20"/>
                <w:lang w:eastAsia="en-US"/>
              </w:rPr>
              <w:t>Poljoprivreda</w:t>
            </w:r>
          </w:p>
        </w:tc>
        <w:tc>
          <w:tcPr>
            <w:tcW w:w="2983" w:type="dxa"/>
            <w:tcBorders>
              <w:top w:val="single" w:sz="4" w:space="0" w:color="2F5496"/>
              <w:left w:val="single" w:sz="4" w:space="0" w:color="2F5496"/>
              <w:bottom w:val="single" w:sz="4" w:space="0" w:color="2F5496"/>
              <w:right w:val="single" w:sz="4" w:space="0" w:color="2F5496"/>
            </w:tcBorders>
            <w:hideMark/>
          </w:tcPr>
          <w:p w14:paraId="1744B7A2" w14:textId="77777777" w:rsidR="0046315C" w:rsidRPr="0046315C" w:rsidRDefault="0046315C" w:rsidP="0046315C">
            <w:pPr>
              <w:spacing w:before="0" w:after="0" w:line="256" w:lineRule="auto"/>
              <w:jc w:val="left"/>
              <w:rPr>
                <w:rFonts w:cs="Calibri"/>
                <w:sz w:val="20"/>
                <w:szCs w:val="20"/>
                <w:highlight w:val="yellow"/>
                <w:lang w:eastAsia="en-US"/>
              </w:rPr>
            </w:pPr>
            <w:r w:rsidRPr="0046315C">
              <w:rPr>
                <w:sz w:val="20"/>
                <w:szCs w:val="20"/>
                <w:lang w:eastAsia="en-US"/>
              </w:rPr>
              <w:t>Unos hranljivih soli i organske materije</w:t>
            </w:r>
          </w:p>
        </w:tc>
        <w:tc>
          <w:tcPr>
            <w:tcW w:w="2356" w:type="dxa"/>
            <w:tcBorders>
              <w:top w:val="single" w:sz="4" w:space="0" w:color="2F5496"/>
              <w:left w:val="single" w:sz="4" w:space="0" w:color="2F5496"/>
              <w:bottom w:val="single" w:sz="4" w:space="0" w:color="2F5496"/>
              <w:right w:val="single" w:sz="4" w:space="0" w:color="2F5496"/>
            </w:tcBorders>
          </w:tcPr>
          <w:p w14:paraId="42456EBC" w14:textId="77777777" w:rsidR="0046315C" w:rsidRPr="0046315C" w:rsidRDefault="0046315C" w:rsidP="0046315C">
            <w:pPr>
              <w:autoSpaceDE w:val="0"/>
              <w:autoSpaceDN w:val="0"/>
              <w:adjustRightInd w:val="0"/>
              <w:spacing w:before="0" w:after="0" w:line="23" w:lineRule="atLeast"/>
              <w:jc w:val="center"/>
              <w:rPr>
                <w:rFonts w:cs="Calibri"/>
                <w:sz w:val="20"/>
                <w:szCs w:val="20"/>
                <w:lang w:eastAsia="en-US"/>
              </w:rPr>
            </w:pPr>
          </w:p>
          <w:p w14:paraId="7CB5F491" w14:textId="77777777" w:rsidR="0046315C" w:rsidRPr="0046315C" w:rsidRDefault="0046315C" w:rsidP="0046315C">
            <w:pPr>
              <w:autoSpaceDE w:val="0"/>
              <w:autoSpaceDN w:val="0"/>
              <w:adjustRightInd w:val="0"/>
              <w:spacing w:before="0" w:after="0" w:line="23" w:lineRule="atLeast"/>
              <w:jc w:val="center"/>
              <w:rPr>
                <w:rFonts w:cs="Calibri"/>
                <w:sz w:val="20"/>
                <w:szCs w:val="20"/>
                <w:lang w:eastAsia="en-US"/>
              </w:rPr>
            </w:pPr>
            <w:r w:rsidRPr="0046315C">
              <w:rPr>
                <w:rFonts w:cs="Calibri"/>
                <w:sz w:val="20"/>
                <w:szCs w:val="20"/>
                <w:lang w:eastAsia="en-US"/>
              </w:rPr>
              <w:t>-</w:t>
            </w:r>
          </w:p>
        </w:tc>
        <w:tc>
          <w:tcPr>
            <w:tcW w:w="2373" w:type="dxa"/>
            <w:gridSpan w:val="2"/>
            <w:tcBorders>
              <w:top w:val="single" w:sz="4" w:space="0" w:color="2F5496"/>
              <w:left w:val="single" w:sz="4" w:space="0" w:color="2F5496"/>
              <w:bottom w:val="single" w:sz="4" w:space="0" w:color="2F5496"/>
              <w:right w:val="single" w:sz="4" w:space="0" w:color="2F5496"/>
            </w:tcBorders>
          </w:tcPr>
          <w:p w14:paraId="6B744972" w14:textId="77777777" w:rsidR="0046315C" w:rsidRPr="0046315C" w:rsidRDefault="0046315C" w:rsidP="0046315C">
            <w:pPr>
              <w:spacing w:before="0" w:after="0" w:line="256" w:lineRule="auto"/>
              <w:jc w:val="left"/>
              <w:rPr>
                <w:sz w:val="20"/>
                <w:szCs w:val="20"/>
                <w:lang w:eastAsia="en-US"/>
              </w:rPr>
            </w:pPr>
          </w:p>
          <w:p w14:paraId="67329478" w14:textId="77777777" w:rsidR="0046315C" w:rsidRPr="0046315C" w:rsidRDefault="0046315C" w:rsidP="0046315C">
            <w:pPr>
              <w:spacing w:before="0" w:after="0" w:line="256" w:lineRule="auto"/>
              <w:jc w:val="center"/>
              <w:rPr>
                <w:sz w:val="20"/>
                <w:szCs w:val="20"/>
                <w:lang w:eastAsia="en-US"/>
              </w:rPr>
            </w:pPr>
            <w:r w:rsidRPr="0046315C">
              <w:rPr>
                <w:sz w:val="20"/>
                <w:szCs w:val="20"/>
                <w:lang w:eastAsia="en-US"/>
              </w:rPr>
              <w:t>-</w:t>
            </w:r>
          </w:p>
        </w:tc>
      </w:tr>
      <w:tr w:rsidR="0046315C" w:rsidRPr="0046315C" w14:paraId="7BDCFAD3" w14:textId="77777777" w:rsidTr="0046315C">
        <w:trPr>
          <w:trHeight w:val="518"/>
        </w:trPr>
        <w:tc>
          <w:tcPr>
            <w:tcW w:w="1737" w:type="dxa"/>
            <w:tcBorders>
              <w:top w:val="single" w:sz="4" w:space="0" w:color="2F5496"/>
              <w:left w:val="single" w:sz="4" w:space="0" w:color="2F5496"/>
              <w:bottom w:val="single" w:sz="4" w:space="0" w:color="2F5496"/>
              <w:right w:val="single" w:sz="4" w:space="0" w:color="2F5496"/>
            </w:tcBorders>
            <w:hideMark/>
          </w:tcPr>
          <w:p w14:paraId="580D8DC3" w14:textId="77777777" w:rsidR="0046315C" w:rsidRPr="0046315C" w:rsidRDefault="0046315C" w:rsidP="0046315C">
            <w:pPr>
              <w:spacing w:before="0" w:after="0" w:line="256" w:lineRule="auto"/>
              <w:jc w:val="left"/>
              <w:rPr>
                <w:rFonts w:cs="Calibri"/>
                <w:sz w:val="20"/>
                <w:szCs w:val="20"/>
                <w:lang w:eastAsia="en-US"/>
              </w:rPr>
            </w:pPr>
            <w:r w:rsidRPr="0046315C">
              <w:rPr>
                <w:rFonts w:cs="Calibri"/>
                <w:sz w:val="20"/>
                <w:szCs w:val="20"/>
                <w:lang w:eastAsia="en-US"/>
              </w:rPr>
              <w:t xml:space="preserve">Riječne pritoke </w:t>
            </w:r>
          </w:p>
          <w:p w14:paraId="1B0469F4" w14:textId="77777777" w:rsidR="0046315C" w:rsidRPr="0046315C" w:rsidRDefault="0046315C" w:rsidP="0046315C">
            <w:pPr>
              <w:spacing w:before="0" w:after="0" w:line="256" w:lineRule="auto"/>
              <w:jc w:val="left"/>
              <w:rPr>
                <w:rFonts w:cs="Calibri"/>
                <w:sz w:val="20"/>
                <w:szCs w:val="20"/>
                <w:lang w:eastAsia="en-US"/>
              </w:rPr>
            </w:pPr>
            <w:r w:rsidRPr="0046315C">
              <w:rPr>
                <w:rFonts w:cs="Calibri"/>
                <w:sz w:val="20"/>
                <w:szCs w:val="20"/>
                <w:lang w:eastAsia="en-US"/>
              </w:rPr>
              <w:t>(Rijeka Bojana)</w:t>
            </w:r>
          </w:p>
        </w:tc>
        <w:tc>
          <w:tcPr>
            <w:tcW w:w="2983" w:type="dxa"/>
            <w:tcBorders>
              <w:top w:val="single" w:sz="4" w:space="0" w:color="2F5496"/>
              <w:left w:val="single" w:sz="4" w:space="0" w:color="2F5496"/>
              <w:bottom w:val="single" w:sz="4" w:space="0" w:color="2F5496"/>
              <w:right w:val="single" w:sz="4" w:space="0" w:color="2F5496"/>
            </w:tcBorders>
            <w:hideMark/>
          </w:tcPr>
          <w:p w14:paraId="13616FA3" w14:textId="77777777" w:rsidR="0046315C" w:rsidRPr="0046315C" w:rsidRDefault="0046315C" w:rsidP="0046315C">
            <w:pPr>
              <w:spacing w:before="0" w:after="0" w:line="256" w:lineRule="auto"/>
              <w:jc w:val="left"/>
              <w:rPr>
                <w:rFonts w:cs="Calibri"/>
                <w:sz w:val="20"/>
                <w:szCs w:val="20"/>
                <w:lang w:eastAsia="en-US"/>
              </w:rPr>
            </w:pPr>
            <w:r w:rsidRPr="0046315C">
              <w:rPr>
                <w:sz w:val="20"/>
                <w:szCs w:val="20"/>
                <w:lang w:eastAsia="en-US"/>
              </w:rPr>
              <w:t>Unos hranljivih soli i organske materije</w:t>
            </w:r>
            <w:r w:rsidRPr="0046315C">
              <w:rPr>
                <w:rFonts w:cs="Calibri"/>
                <w:sz w:val="20"/>
                <w:szCs w:val="20"/>
                <w:lang w:eastAsia="en-US"/>
              </w:rPr>
              <w:t xml:space="preserve"> </w:t>
            </w:r>
          </w:p>
        </w:tc>
        <w:tc>
          <w:tcPr>
            <w:tcW w:w="2356" w:type="dxa"/>
            <w:tcBorders>
              <w:top w:val="single" w:sz="4" w:space="0" w:color="2F5496"/>
              <w:left w:val="single" w:sz="4" w:space="0" w:color="2F5496"/>
              <w:bottom w:val="single" w:sz="4" w:space="0" w:color="2F5496"/>
              <w:right w:val="single" w:sz="4" w:space="0" w:color="2F5496"/>
            </w:tcBorders>
            <w:hideMark/>
          </w:tcPr>
          <w:p w14:paraId="1C048A52" w14:textId="77777777" w:rsidR="0046315C" w:rsidRPr="0046315C" w:rsidRDefault="0046315C" w:rsidP="0046315C">
            <w:pPr>
              <w:autoSpaceDE w:val="0"/>
              <w:autoSpaceDN w:val="0"/>
              <w:adjustRightInd w:val="0"/>
              <w:spacing w:before="0" w:after="0" w:line="23" w:lineRule="atLeast"/>
              <w:jc w:val="center"/>
              <w:rPr>
                <w:rFonts w:cs="Calibri"/>
                <w:sz w:val="20"/>
                <w:szCs w:val="20"/>
                <w:lang w:eastAsia="en-US"/>
              </w:rPr>
            </w:pPr>
            <w:r w:rsidRPr="0046315C">
              <w:rPr>
                <w:rFonts w:cs="Calibri"/>
                <w:sz w:val="20"/>
                <w:szCs w:val="20"/>
                <w:lang w:eastAsia="en-US"/>
              </w:rPr>
              <w:t>-</w:t>
            </w:r>
          </w:p>
        </w:tc>
        <w:tc>
          <w:tcPr>
            <w:tcW w:w="2373" w:type="dxa"/>
            <w:gridSpan w:val="2"/>
            <w:tcBorders>
              <w:top w:val="single" w:sz="4" w:space="0" w:color="2F5496"/>
              <w:left w:val="single" w:sz="4" w:space="0" w:color="2F5496"/>
              <w:bottom w:val="single" w:sz="4" w:space="0" w:color="2F5496"/>
              <w:right w:val="single" w:sz="4" w:space="0" w:color="2F5496"/>
            </w:tcBorders>
            <w:hideMark/>
          </w:tcPr>
          <w:p w14:paraId="753B37EA" w14:textId="77777777" w:rsidR="0046315C" w:rsidRPr="0046315C" w:rsidRDefault="0046315C" w:rsidP="0046315C">
            <w:pPr>
              <w:spacing w:before="0" w:after="0" w:line="256" w:lineRule="auto"/>
              <w:jc w:val="center"/>
              <w:rPr>
                <w:sz w:val="20"/>
                <w:szCs w:val="20"/>
                <w:lang w:eastAsia="en-US"/>
              </w:rPr>
            </w:pPr>
            <w:r w:rsidRPr="0046315C">
              <w:rPr>
                <w:sz w:val="20"/>
                <w:szCs w:val="20"/>
                <w:lang w:eastAsia="en-US"/>
              </w:rPr>
              <w:t>-</w:t>
            </w:r>
          </w:p>
        </w:tc>
      </w:tr>
    </w:tbl>
    <w:p w14:paraId="678F635E" w14:textId="77777777" w:rsidR="0046315C" w:rsidRPr="0046315C" w:rsidRDefault="0046315C" w:rsidP="0046315C">
      <w:pPr>
        <w:spacing w:before="0" w:after="200"/>
        <w:rPr>
          <w:rFonts w:eastAsia="Calibri" w:cs="Calibri"/>
          <w:b/>
          <w:sz w:val="24"/>
          <w:lang w:eastAsia="en-US"/>
        </w:rPr>
      </w:pPr>
    </w:p>
    <w:p w14:paraId="02E3EA97" w14:textId="5BCBCE5E" w:rsidR="0046315C" w:rsidRPr="00CF7E4B" w:rsidRDefault="0046315C" w:rsidP="00CF7E4B">
      <w:pPr>
        <w:pStyle w:val="Heading3"/>
        <w:rPr>
          <w:lang w:val="en-GB" w:eastAsia="en-US"/>
        </w:rPr>
      </w:pPr>
      <w:bookmarkStart w:id="133" w:name="_Toc83630915"/>
      <w:r w:rsidRPr="00CF7E4B">
        <w:rPr>
          <w:lang w:val="en-GB" w:eastAsia="en-US"/>
        </w:rPr>
        <w:t>Zakonodavni okvir – nacionalni i međunarodni</w:t>
      </w:r>
      <w:bookmarkEnd w:id="133"/>
    </w:p>
    <w:p w14:paraId="7CAB435F" w14:textId="77777777" w:rsidR="0046315C" w:rsidRPr="0046315C" w:rsidRDefault="0046315C" w:rsidP="0046315C">
      <w:pPr>
        <w:spacing w:before="0" w:after="0"/>
        <w:rPr>
          <w:rFonts w:eastAsia="Calibri" w:cs="Calibri"/>
          <w:b/>
          <w:szCs w:val="22"/>
          <w:lang w:eastAsia="en-US"/>
        </w:rPr>
      </w:pPr>
      <w:r w:rsidRPr="0046315C">
        <w:rPr>
          <w:rFonts w:eastAsia="Calibri" w:cs="Calibri"/>
          <w:b/>
          <w:szCs w:val="22"/>
          <w:lang w:eastAsia="en-US"/>
        </w:rPr>
        <w:t>Nacionalni nivo</w:t>
      </w:r>
    </w:p>
    <w:p w14:paraId="51448D46" w14:textId="77777777" w:rsidR="0046315C" w:rsidRPr="0046315C" w:rsidRDefault="0046315C" w:rsidP="00C52E6F">
      <w:pPr>
        <w:numPr>
          <w:ilvl w:val="0"/>
          <w:numId w:val="61"/>
        </w:numPr>
        <w:spacing w:before="0" w:after="0"/>
        <w:contextualSpacing/>
        <w:jc w:val="left"/>
        <w:rPr>
          <w:rFonts w:eastAsia="Calibri" w:cs="Calibri"/>
          <w:szCs w:val="22"/>
          <w:lang w:eastAsia="en-US"/>
        </w:rPr>
      </w:pPr>
      <w:r w:rsidRPr="0046315C">
        <w:rPr>
          <w:rFonts w:eastAsia="Calibri" w:cs="Calibri"/>
          <w:szCs w:val="22"/>
          <w:lang w:eastAsia="en-US"/>
        </w:rPr>
        <w:t>Pravilnik o načinu i rokovima utvrđivanja statusa površinskih voda (Službeni list Crne Gore br. 25/2019);</w:t>
      </w:r>
    </w:p>
    <w:p w14:paraId="4DEC8747" w14:textId="77777777" w:rsidR="0046315C" w:rsidRPr="0046315C" w:rsidRDefault="0046315C" w:rsidP="00C52E6F">
      <w:pPr>
        <w:numPr>
          <w:ilvl w:val="0"/>
          <w:numId w:val="61"/>
        </w:numPr>
        <w:spacing w:before="0" w:after="0"/>
        <w:contextualSpacing/>
        <w:jc w:val="left"/>
        <w:rPr>
          <w:rFonts w:eastAsia="Calibri" w:cs="Calibri"/>
          <w:szCs w:val="22"/>
          <w:lang w:eastAsia="en-US"/>
        </w:rPr>
      </w:pPr>
      <w:r w:rsidRPr="0046315C">
        <w:rPr>
          <w:rFonts w:eastAsia="Calibri" w:cs="Calibri"/>
          <w:bCs/>
          <w:szCs w:val="22"/>
          <w:lang w:eastAsia="en-US"/>
        </w:rPr>
        <w:t xml:space="preserve">Pravilnik o kriterijumima I metodološkim standardima za određivanje dobrog stanja i monitoring morske sredine (Službeni list Crne Gore br. 36/21);  </w:t>
      </w:r>
    </w:p>
    <w:p w14:paraId="060E8843" w14:textId="77777777" w:rsidR="0046315C" w:rsidRPr="0046315C" w:rsidRDefault="0046315C" w:rsidP="00C52E6F">
      <w:pPr>
        <w:numPr>
          <w:ilvl w:val="0"/>
          <w:numId w:val="62"/>
        </w:numPr>
        <w:autoSpaceDE w:val="0"/>
        <w:autoSpaceDN w:val="0"/>
        <w:adjustRightInd w:val="0"/>
        <w:spacing w:before="0" w:after="0"/>
        <w:contextualSpacing/>
        <w:jc w:val="left"/>
        <w:rPr>
          <w:rFonts w:ascii="Calibri-BoldItalic" w:hAnsi="Calibri-BoldItalic" w:cs="Calibri-BoldItalic"/>
          <w:iCs/>
          <w:color w:val="000000"/>
        </w:rPr>
      </w:pPr>
      <w:r w:rsidRPr="0046315C">
        <w:rPr>
          <w:rFonts w:ascii="Calibri-BoldItalic" w:hAnsi="Calibri-BoldItalic" w:cs="Calibri-BoldItalic"/>
          <w:iCs/>
          <w:color w:val="000000"/>
        </w:rPr>
        <w:t>Zakon o zaštiti morske sredine (Službeni list Crne Gore br. 73/19);</w:t>
      </w:r>
    </w:p>
    <w:p w14:paraId="768E212B" w14:textId="77777777" w:rsidR="0046315C" w:rsidRPr="0046315C" w:rsidRDefault="0046315C" w:rsidP="00C52E6F">
      <w:pPr>
        <w:numPr>
          <w:ilvl w:val="0"/>
          <w:numId w:val="62"/>
        </w:numPr>
        <w:autoSpaceDE w:val="0"/>
        <w:autoSpaceDN w:val="0"/>
        <w:adjustRightInd w:val="0"/>
        <w:spacing w:before="0" w:after="0"/>
        <w:contextualSpacing/>
        <w:jc w:val="left"/>
        <w:rPr>
          <w:rFonts w:ascii="Calibri-BoldItalic" w:hAnsi="Calibri-BoldItalic" w:cs="Calibri-BoldItalic"/>
          <w:iCs/>
          <w:color w:val="000000"/>
        </w:rPr>
      </w:pPr>
      <w:r w:rsidRPr="0046315C">
        <w:rPr>
          <w:rFonts w:ascii="Calibri-BoldItalic" w:hAnsi="Calibri-BoldItalic" w:cs="Calibri-BoldItalic"/>
          <w:iCs/>
          <w:color w:val="000000"/>
        </w:rPr>
        <w:t>Zakon o moru (Službeni list Crne Gore br. 17/07, 06/08 i 40/11);</w:t>
      </w:r>
    </w:p>
    <w:p w14:paraId="459B5C9E" w14:textId="77777777" w:rsidR="0046315C" w:rsidRPr="0046315C" w:rsidRDefault="0046315C" w:rsidP="00C52E6F">
      <w:pPr>
        <w:numPr>
          <w:ilvl w:val="0"/>
          <w:numId w:val="62"/>
        </w:numPr>
        <w:autoSpaceDE w:val="0"/>
        <w:autoSpaceDN w:val="0"/>
        <w:adjustRightInd w:val="0"/>
        <w:spacing w:before="0" w:after="0"/>
        <w:contextualSpacing/>
        <w:jc w:val="left"/>
        <w:rPr>
          <w:rFonts w:ascii="Calibri-BoldItalic" w:hAnsi="Calibri-BoldItalic" w:cs="Calibri-BoldItalic"/>
          <w:iCs/>
          <w:color w:val="000000"/>
        </w:rPr>
      </w:pPr>
      <w:r w:rsidRPr="0046315C">
        <w:rPr>
          <w:rFonts w:ascii="Calibri-BoldItalic" w:hAnsi="Calibri-BoldItalic" w:cs="Calibri-BoldItalic"/>
          <w:iCs/>
          <w:color w:val="000000"/>
        </w:rPr>
        <w:t>Zakon o životnoj sredini (Službeni list Crne Gore br. 52/16).</w:t>
      </w:r>
    </w:p>
    <w:p w14:paraId="743CE5BF" w14:textId="77777777" w:rsidR="0046315C" w:rsidRPr="0046315C" w:rsidRDefault="0046315C" w:rsidP="0046315C">
      <w:pPr>
        <w:spacing w:before="0" w:after="0"/>
        <w:rPr>
          <w:rFonts w:eastAsia="Calibri" w:cs="Calibri"/>
          <w:szCs w:val="22"/>
          <w:lang w:eastAsia="en-US"/>
        </w:rPr>
      </w:pPr>
    </w:p>
    <w:p w14:paraId="5F46D41C" w14:textId="77777777" w:rsidR="0046315C" w:rsidRDefault="0046315C" w:rsidP="0046315C">
      <w:pPr>
        <w:spacing w:before="0" w:after="0"/>
        <w:rPr>
          <w:rFonts w:eastAsia="Calibri" w:cs="Calibri"/>
          <w:b/>
          <w:szCs w:val="22"/>
          <w:lang w:eastAsia="en-US"/>
        </w:rPr>
      </w:pPr>
      <w:r w:rsidRPr="0046315C">
        <w:rPr>
          <w:rFonts w:eastAsia="Calibri" w:cs="Calibri"/>
          <w:b/>
          <w:szCs w:val="22"/>
          <w:lang w:eastAsia="en-US"/>
        </w:rPr>
        <w:t>Međunarodni nivo</w:t>
      </w:r>
    </w:p>
    <w:p w14:paraId="2E02AA3D" w14:textId="77777777" w:rsidR="00085C0E" w:rsidRPr="00816A1C" w:rsidRDefault="00085C0E" w:rsidP="00085C0E">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 xml:space="preserve">Okvirna direktiva </w:t>
      </w:r>
      <w:r>
        <w:rPr>
          <w:rFonts w:ascii="Calibri-BoldItalic" w:hAnsi="Calibri-BoldItalic" w:cs="Calibri-BoldItalic"/>
          <w:iCs/>
          <w:color w:val="000000"/>
          <w:szCs w:val="22"/>
          <w:lang w:val="en-GB"/>
        </w:rPr>
        <w:t>o morskoj strategiji (2008/56/</w:t>
      </w:r>
      <w:r w:rsidRPr="00816A1C">
        <w:rPr>
          <w:rFonts w:ascii="Calibri-BoldItalic" w:hAnsi="Calibri-BoldItalic" w:cs="Calibri-BoldItalic"/>
          <w:iCs/>
          <w:color w:val="000000"/>
          <w:szCs w:val="22"/>
          <w:lang w:val="en-GB"/>
        </w:rPr>
        <w:t>EC);</w:t>
      </w:r>
    </w:p>
    <w:p w14:paraId="3749B0CA" w14:textId="77777777" w:rsidR="00085C0E" w:rsidRPr="00816A1C" w:rsidRDefault="00085C0E" w:rsidP="00085C0E">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Komisije (EU) 2017/845 o izm</w:t>
      </w:r>
      <w:r>
        <w:rPr>
          <w:rFonts w:ascii="Calibri-BoldItalic" w:hAnsi="Calibri-BoldItalic" w:cs="Calibri-BoldItalic"/>
          <w:iCs/>
          <w:color w:val="000000"/>
          <w:szCs w:val="22"/>
          <w:lang w:val="en-GB"/>
        </w:rPr>
        <w:t>j</w:t>
      </w:r>
      <w:r w:rsidRPr="00816A1C">
        <w:rPr>
          <w:rFonts w:ascii="Calibri-BoldItalic" w:hAnsi="Calibri-BoldItalic" w:cs="Calibri-BoldItalic"/>
          <w:iCs/>
          <w:color w:val="000000"/>
          <w:szCs w:val="22"/>
          <w:lang w:val="en-GB"/>
        </w:rPr>
        <w:t>enama i dopunama Direktive 2008/56/ EC).</w:t>
      </w:r>
    </w:p>
    <w:p w14:paraId="21100BED" w14:textId="77777777" w:rsidR="00085C0E" w:rsidRDefault="00085C0E" w:rsidP="00085C0E">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Odluka Komisije (EU) 2017/848</w:t>
      </w:r>
    </w:p>
    <w:p w14:paraId="01C104DF" w14:textId="77777777" w:rsidR="00085C0E" w:rsidRPr="00816A1C" w:rsidRDefault="00085C0E" w:rsidP="00085C0E">
      <w:pPr>
        <w:pStyle w:val="ListParagraph"/>
        <w:numPr>
          <w:ilvl w:val="0"/>
          <w:numId w:val="54"/>
        </w:numPr>
        <w:spacing w:before="0" w:after="0"/>
        <w:rPr>
          <w:rFonts w:ascii="Calibri-BoldItalic" w:hAnsi="Calibri-BoldItalic" w:cs="Calibri-BoldItalic"/>
          <w:iCs/>
          <w:color w:val="000000"/>
          <w:szCs w:val="22"/>
          <w:lang w:val="en-GB"/>
        </w:rPr>
      </w:pPr>
      <w:r>
        <w:rPr>
          <w:rFonts w:ascii="Calibri-BoldItalic" w:hAnsi="Calibri-BoldItalic" w:cs="Calibri-BoldItalic"/>
          <w:iCs/>
          <w:color w:val="000000"/>
          <w:szCs w:val="22"/>
          <w:lang w:val="en-GB"/>
        </w:rPr>
        <w:t>O</w:t>
      </w:r>
      <w:r w:rsidRPr="00816A1C">
        <w:rPr>
          <w:rFonts w:ascii="Calibri-BoldItalic" w:hAnsi="Calibri-BoldItalic" w:cs="Calibri-BoldItalic"/>
          <w:iCs/>
          <w:color w:val="000000"/>
          <w:szCs w:val="22"/>
          <w:lang w:val="en-GB"/>
        </w:rPr>
        <w:t>kvirna direktiva o vodama (2000/60/EC);</w:t>
      </w:r>
    </w:p>
    <w:p w14:paraId="708036BE" w14:textId="65AD9659" w:rsidR="00085C0E" w:rsidRPr="00816A1C" w:rsidRDefault="00085C0E" w:rsidP="00085C0E">
      <w:pPr>
        <w:pStyle w:val="ListParagraph"/>
        <w:numPr>
          <w:ilvl w:val="0"/>
          <w:numId w:val="54"/>
        </w:numPr>
        <w:spacing w:before="0" w:after="0"/>
        <w:rPr>
          <w:rFonts w:ascii="Calibri-BoldItalic" w:hAnsi="Calibri-BoldItalic" w:cs="Calibri-BoldItalic"/>
          <w:iCs/>
          <w:color w:val="000000"/>
          <w:szCs w:val="22"/>
          <w:lang w:val="en-GB"/>
        </w:rPr>
      </w:pPr>
      <w:r>
        <w:rPr>
          <w:rFonts w:ascii="Calibri-BoldItalic" w:hAnsi="Calibri-BoldItalic" w:cs="Calibri-BoldItalic"/>
          <w:iCs/>
          <w:color w:val="000000"/>
          <w:szCs w:val="22"/>
          <w:lang w:val="en-GB"/>
        </w:rPr>
        <w:t xml:space="preserve">Direktiva o </w:t>
      </w:r>
      <w:r w:rsidRPr="00085C0E">
        <w:rPr>
          <w:rFonts w:ascii="Calibri-BoldItalic" w:hAnsi="Calibri-BoldItalic" w:cs="Calibri-BoldItalic"/>
          <w:iCs/>
          <w:szCs w:val="22"/>
          <w:lang w:val="en-GB"/>
        </w:rPr>
        <w:t xml:space="preserve">nitratima </w:t>
      </w:r>
      <w:r w:rsidRPr="00085C0E">
        <w:rPr>
          <w:rFonts w:eastAsia="Calibri" w:cs="Calibri"/>
          <w:szCs w:val="22"/>
          <w:lang w:eastAsia="en-US"/>
        </w:rPr>
        <w:t>(91/676/EEC);</w:t>
      </w:r>
    </w:p>
    <w:p w14:paraId="6ECF1AA9" w14:textId="7EA2705D" w:rsidR="00085C0E" w:rsidRPr="00085C0E" w:rsidRDefault="00085C0E" w:rsidP="00085C0E">
      <w:pPr>
        <w:numPr>
          <w:ilvl w:val="0"/>
          <w:numId w:val="63"/>
        </w:numPr>
        <w:spacing w:before="0" w:after="0"/>
        <w:contextualSpacing/>
        <w:jc w:val="left"/>
        <w:rPr>
          <w:rFonts w:eastAsia="Calibri" w:cs="Calibri"/>
          <w:szCs w:val="22"/>
          <w:lang w:eastAsia="en-US"/>
        </w:rPr>
      </w:pPr>
      <w:r w:rsidRPr="00085C0E">
        <w:rPr>
          <w:rFonts w:eastAsia="Calibri" w:cs="Calibri"/>
          <w:szCs w:val="22"/>
          <w:lang w:eastAsia="en-US"/>
        </w:rPr>
        <w:t>Direktiva o prečišćavanju gradskih otpadnih voda (91/271/ EEC);</w:t>
      </w:r>
    </w:p>
    <w:p w14:paraId="1A3EAFCC" w14:textId="2EFEB7B6" w:rsidR="00085C0E" w:rsidRPr="00085C0E" w:rsidRDefault="00085C0E" w:rsidP="00085C0E">
      <w:pPr>
        <w:numPr>
          <w:ilvl w:val="0"/>
          <w:numId w:val="63"/>
        </w:numPr>
        <w:spacing w:before="0" w:after="0"/>
        <w:contextualSpacing/>
        <w:jc w:val="left"/>
        <w:rPr>
          <w:rFonts w:eastAsia="Calibri" w:cs="Calibri"/>
          <w:szCs w:val="22"/>
          <w:lang w:eastAsia="en-US"/>
        </w:rPr>
      </w:pPr>
      <w:r w:rsidRPr="00085C0E">
        <w:rPr>
          <w:rFonts w:eastAsia="Calibri" w:cs="Calibri"/>
          <w:szCs w:val="22"/>
          <w:lang w:eastAsia="en-US"/>
        </w:rPr>
        <w:t>Direktiva o industrijskim emisijama (2010/75/EU);</w:t>
      </w:r>
    </w:p>
    <w:p w14:paraId="71EAD5E3" w14:textId="4DB06997" w:rsidR="00085C0E" w:rsidRPr="00085C0E" w:rsidRDefault="00085C0E" w:rsidP="00085C0E">
      <w:pPr>
        <w:numPr>
          <w:ilvl w:val="0"/>
          <w:numId w:val="63"/>
        </w:numPr>
        <w:spacing w:before="0" w:after="0"/>
        <w:contextualSpacing/>
        <w:jc w:val="left"/>
        <w:rPr>
          <w:rFonts w:eastAsia="Calibri" w:cs="Calibri"/>
          <w:szCs w:val="22"/>
          <w:lang w:eastAsia="en-US"/>
        </w:rPr>
      </w:pPr>
      <w:r w:rsidRPr="00085C0E">
        <w:rPr>
          <w:rFonts w:eastAsia="Calibri" w:cs="Calibri"/>
          <w:szCs w:val="22"/>
          <w:lang w:eastAsia="en-US"/>
        </w:rPr>
        <w:t>Direktiva o o nacionalnim gornjim granicama emisije (2001/81 / EC);</w:t>
      </w:r>
    </w:p>
    <w:p w14:paraId="6D7B1E15" w14:textId="338D717E" w:rsidR="0046315C" w:rsidRPr="00710AC9" w:rsidRDefault="00085C0E" w:rsidP="00710AC9">
      <w:pPr>
        <w:numPr>
          <w:ilvl w:val="0"/>
          <w:numId w:val="63"/>
        </w:numPr>
        <w:spacing w:before="0" w:after="0"/>
        <w:contextualSpacing/>
        <w:jc w:val="left"/>
        <w:rPr>
          <w:rFonts w:ascii="Calibri-BoldItalic" w:hAnsi="Calibri-BoldItalic" w:cs="Calibri-BoldItalic"/>
          <w:iCs/>
          <w:szCs w:val="22"/>
          <w:lang w:val="en-GB"/>
        </w:rPr>
      </w:pPr>
      <w:r w:rsidRPr="00085C0E">
        <w:rPr>
          <w:rFonts w:ascii="Calibri-BoldItalic" w:hAnsi="Calibri-BoldItalic" w:cs="Calibri-BoldItalic"/>
          <w:iCs/>
          <w:szCs w:val="22"/>
          <w:lang w:val="en-GB"/>
        </w:rPr>
        <w:t>Regulativa (EU) br. 1305/2013 Evropskog parlamenta i Savjeta od 17. decembra 2013 o podršci ruralnom razvoju od </w:t>
      </w:r>
      <w:r w:rsidRPr="00085C0E">
        <w:rPr>
          <w:rFonts w:ascii="Calibri-BoldItalic" w:hAnsi="Calibri-BoldItalic" w:cs="Calibri-BoldItalic"/>
          <w:szCs w:val="22"/>
          <w:lang w:val="en-GB"/>
        </w:rPr>
        <w:t>strane Evropskog poljoprivrednog fonda</w:t>
      </w:r>
      <w:r w:rsidRPr="00085C0E">
        <w:rPr>
          <w:rFonts w:ascii="Calibri-BoldItalic" w:hAnsi="Calibri-BoldItalic" w:cs="Calibri-BoldItalic"/>
          <w:iCs/>
          <w:szCs w:val="22"/>
          <w:lang w:val="en-GB"/>
        </w:rPr>
        <w:t> za </w:t>
      </w:r>
      <w:r w:rsidRPr="00085C0E">
        <w:rPr>
          <w:rFonts w:ascii="Calibri-BoldItalic" w:hAnsi="Calibri-BoldItalic" w:cs="Calibri-BoldItalic"/>
          <w:szCs w:val="22"/>
          <w:lang w:val="en-GB"/>
        </w:rPr>
        <w:t>ruralni razvoj</w:t>
      </w:r>
      <w:r w:rsidRPr="00085C0E">
        <w:rPr>
          <w:rFonts w:ascii="Calibri-BoldItalic" w:hAnsi="Calibri-BoldItalic" w:cs="Calibri-BoldItalic"/>
          <w:iCs/>
          <w:szCs w:val="22"/>
          <w:lang w:val="en-GB"/>
        </w:rPr>
        <w:t> (​</w:t>
      </w:r>
      <w:r w:rsidRPr="00085C0E">
        <w:rPr>
          <w:rFonts w:ascii="Calibri-BoldItalic" w:hAnsi="Calibri-BoldItalic" w:cs="Calibri-BoldItalic"/>
          <w:szCs w:val="22"/>
          <w:lang w:val="en-GB"/>
        </w:rPr>
        <w:t>EAFRD</w:t>
      </w:r>
      <w:r w:rsidRPr="00085C0E">
        <w:rPr>
          <w:rFonts w:ascii="Calibri-BoldItalic" w:hAnsi="Calibri-BoldItalic" w:cs="Calibri-BoldItalic"/>
          <w:iCs/>
          <w:szCs w:val="22"/>
          <w:lang w:val="en-GB"/>
        </w:rPr>
        <w:t>)</w:t>
      </w:r>
    </w:p>
    <w:p w14:paraId="273DFDF9" w14:textId="47FC5DDC" w:rsidR="0046315C" w:rsidRPr="00CF7E4B" w:rsidRDefault="0046315C" w:rsidP="00CF7E4B">
      <w:pPr>
        <w:pStyle w:val="Heading3"/>
        <w:rPr>
          <w:lang w:val="en-GB" w:eastAsia="en-US"/>
        </w:rPr>
      </w:pPr>
      <w:bookmarkStart w:id="134" w:name="_Toc83630916"/>
      <w:r w:rsidRPr="00CF7E4B">
        <w:rPr>
          <w:lang w:val="en-GB" w:eastAsia="en-US"/>
        </w:rPr>
        <w:t xml:space="preserve">Odabir kriterijuma za procjenu </w:t>
      </w:r>
      <w:r w:rsidR="00CF7E4B">
        <w:rPr>
          <w:lang w:val="en-GB" w:eastAsia="en-US"/>
        </w:rPr>
        <w:t>GES-a</w:t>
      </w:r>
      <w:bookmarkEnd w:id="134"/>
    </w:p>
    <w:p w14:paraId="1044F421" w14:textId="49BA45B8" w:rsidR="0046315C" w:rsidRPr="0046315C" w:rsidRDefault="0046315C" w:rsidP="0046315C">
      <w:pPr>
        <w:autoSpaceDE w:val="0"/>
        <w:autoSpaceDN w:val="0"/>
        <w:adjustRightInd w:val="0"/>
        <w:spacing w:before="0" w:after="0"/>
        <w:rPr>
          <w:szCs w:val="22"/>
          <w:lang w:eastAsia="en-US"/>
        </w:rPr>
      </w:pPr>
      <w:r w:rsidRPr="0046315C">
        <w:rPr>
          <w:rFonts w:eastAsia="Calibri"/>
          <w:szCs w:val="22"/>
          <w:lang w:eastAsia="en-US"/>
        </w:rPr>
        <w:t xml:space="preserve">Za procjenu dobrog stanja </w:t>
      </w:r>
      <w:r w:rsidR="00E11511">
        <w:rPr>
          <w:rFonts w:eastAsia="Calibri"/>
          <w:szCs w:val="22"/>
          <w:lang w:eastAsia="en-US"/>
        </w:rPr>
        <w:t xml:space="preserve">morske sredine </w:t>
      </w:r>
      <w:r w:rsidRPr="0046315C">
        <w:rPr>
          <w:rFonts w:eastAsia="Calibri"/>
          <w:szCs w:val="22"/>
          <w:lang w:eastAsia="en-US"/>
        </w:rPr>
        <w:t>(</w:t>
      </w:r>
      <w:r w:rsidR="00E11511">
        <w:rPr>
          <w:rFonts w:eastAsia="Calibri"/>
          <w:szCs w:val="22"/>
          <w:lang w:eastAsia="en-US"/>
        </w:rPr>
        <w:t>GES</w:t>
      </w:r>
      <w:r w:rsidRPr="0046315C">
        <w:rPr>
          <w:rFonts w:eastAsia="Calibri"/>
          <w:szCs w:val="22"/>
          <w:lang w:eastAsia="en-US"/>
        </w:rPr>
        <w:t>) u okviru Deskriptora 5 – Eutrofikacija, primijenjeni su svi primarni kriterijumi (D5C1 – koncentracija hranljivih soli, D5C2 – hlorofil a, D5C5 – rastvoreni kiseonik u pridnenom sloju vodenog stuba) i jedan sekundarni (D5C3 – štetno cvjetanje algi) (Tabela 2.12).</w:t>
      </w:r>
    </w:p>
    <w:p w14:paraId="40565215" w14:textId="77777777" w:rsidR="0046315C" w:rsidRPr="0046315C" w:rsidRDefault="0046315C" w:rsidP="0046315C">
      <w:pPr>
        <w:autoSpaceDE w:val="0"/>
        <w:autoSpaceDN w:val="0"/>
        <w:adjustRightInd w:val="0"/>
        <w:spacing w:before="0" w:after="0"/>
        <w:rPr>
          <w:szCs w:val="22"/>
          <w:lang w:eastAsia="en-US"/>
        </w:rPr>
      </w:pPr>
    </w:p>
    <w:p w14:paraId="4A97BD08" w14:textId="71968E89" w:rsidR="0046315C" w:rsidRPr="0046315C" w:rsidRDefault="0046315C" w:rsidP="0046315C">
      <w:pPr>
        <w:spacing w:before="0" w:after="200"/>
        <w:rPr>
          <w:rFonts w:eastAsia="Calibri"/>
          <w:b/>
          <w:szCs w:val="22"/>
          <w:lang w:eastAsia="en-US"/>
        </w:rPr>
      </w:pPr>
      <w:r w:rsidRPr="0046315C">
        <w:rPr>
          <w:rFonts w:eastAsia="Calibri"/>
          <w:b/>
          <w:szCs w:val="22"/>
          <w:lang w:eastAsia="en-US"/>
        </w:rPr>
        <w:t xml:space="preserve">Tabela 2.12. Pregled odabranih kriterijuma za procjenu </w:t>
      </w:r>
      <w:r w:rsidR="00E11511">
        <w:rPr>
          <w:rFonts w:eastAsia="Calibri"/>
          <w:b/>
          <w:szCs w:val="22"/>
          <w:lang w:eastAsia="en-US"/>
        </w:rPr>
        <w:t>GES-a</w:t>
      </w:r>
      <w:r w:rsidRPr="0046315C">
        <w:rPr>
          <w:rFonts w:eastAsia="Calibri"/>
          <w:b/>
          <w:szCs w:val="22"/>
          <w:lang w:eastAsia="en-US"/>
        </w:rPr>
        <w:t xml:space="preserve"> za Deskriptor 5 prema Odluci Komisije 2017/848/EU</w:t>
      </w:r>
    </w:p>
    <w:tbl>
      <w:tblPr>
        <w:tblStyle w:val="TableGrid"/>
        <w:tblW w:w="0" w:type="auto"/>
        <w:tblInd w:w="108" w:type="dxa"/>
        <w:tblLook w:val="04A0" w:firstRow="1" w:lastRow="0" w:firstColumn="1" w:lastColumn="0" w:noHBand="0" w:noVBand="1"/>
      </w:tblPr>
      <w:tblGrid>
        <w:gridCol w:w="3051"/>
        <w:gridCol w:w="4208"/>
        <w:gridCol w:w="1654"/>
      </w:tblGrid>
      <w:tr w:rsidR="0046315C" w:rsidRPr="0046315C" w14:paraId="591636B4" w14:textId="77777777" w:rsidTr="006E7A44">
        <w:trPr>
          <w:tblHeader/>
        </w:trPr>
        <w:tc>
          <w:tcPr>
            <w:tcW w:w="3261" w:type="dxa"/>
            <w:tcBorders>
              <w:top w:val="single" w:sz="4" w:space="0" w:color="auto"/>
              <w:left w:val="single" w:sz="4" w:space="0" w:color="auto"/>
              <w:bottom w:val="single" w:sz="4" w:space="0" w:color="FFFFFF" w:themeColor="background1"/>
              <w:right w:val="single" w:sz="4" w:space="0" w:color="FFFFFF" w:themeColor="background1"/>
            </w:tcBorders>
            <w:shd w:val="clear" w:color="auto" w:fill="365F91" w:themeFill="accent1" w:themeFillShade="BF"/>
          </w:tcPr>
          <w:p w14:paraId="3A3BA7BC" w14:textId="77777777" w:rsidR="0046315C" w:rsidRPr="008C78A2" w:rsidRDefault="0046315C" w:rsidP="0046315C">
            <w:pPr>
              <w:autoSpaceDE w:val="0"/>
              <w:autoSpaceDN w:val="0"/>
              <w:adjustRightInd w:val="0"/>
              <w:spacing w:before="0" w:after="0" w:line="240" w:lineRule="auto"/>
              <w:rPr>
                <w:rFonts w:cs="Calibri"/>
                <w:b/>
                <w:color w:val="FFFFFF" w:themeColor="background1"/>
                <w:sz w:val="20"/>
                <w:szCs w:val="20"/>
                <w:lang w:eastAsia="en-US"/>
              </w:rPr>
            </w:pPr>
            <w:r w:rsidRPr="008C78A2">
              <w:rPr>
                <w:rFonts w:cs="Calibri"/>
                <w:b/>
                <w:color w:val="FFFFFF" w:themeColor="background1"/>
                <w:sz w:val="20"/>
                <w:szCs w:val="20"/>
                <w:lang w:eastAsia="en-US"/>
              </w:rPr>
              <w:t xml:space="preserve">Elementi kriterijuma </w:t>
            </w:r>
          </w:p>
          <w:p w14:paraId="1D9EAA3F" w14:textId="77777777" w:rsidR="0046315C" w:rsidRPr="008C78A2" w:rsidRDefault="0046315C" w:rsidP="0046315C">
            <w:pPr>
              <w:spacing w:before="0" w:after="0" w:line="240" w:lineRule="auto"/>
              <w:rPr>
                <w:b/>
                <w:color w:val="FFFFFF" w:themeColor="background1"/>
                <w:lang w:eastAsia="en-US"/>
              </w:rPr>
            </w:pPr>
          </w:p>
        </w:tc>
        <w:tc>
          <w:tcPr>
            <w:tcW w:w="4536"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hideMark/>
          </w:tcPr>
          <w:p w14:paraId="6AF5E948" w14:textId="77777777" w:rsidR="0046315C" w:rsidRPr="008C78A2" w:rsidRDefault="0046315C" w:rsidP="0046315C">
            <w:pPr>
              <w:autoSpaceDE w:val="0"/>
              <w:autoSpaceDN w:val="0"/>
              <w:adjustRightInd w:val="0"/>
              <w:spacing w:before="0" w:after="0" w:line="240" w:lineRule="auto"/>
              <w:jc w:val="left"/>
              <w:rPr>
                <w:rFonts w:cs="Calibri"/>
                <w:b/>
                <w:color w:val="FFFFFF" w:themeColor="background1"/>
                <w:sz w:val="20"/>
                <w:szCs w:val="20"/>
                <w:lang w:eastAsia="en-US"/>
              </w:rPr>
            </w:pPr>
            <w:r w:rsidRPr="008C78A2">
              <w:rPr>
                <w:rFonts w:cs="Calibri"/>
                <w:b/>
                <w:color w:val="FFFFFF" w:themeColor="background1"/>
                <w:sz w:val="20"/>
                <w:szCs w:val="20"/>
                <w:lang w:eastAsia="en-US"/>
              </w:rPr>
              <w:t>Kriterijumi</w:t>
            </w:r>
          </w:p>
        </w:tc>
        <w:tc>
          <w:tcPr>
            <w:tcW w:w="1671" w:type="dxa"/>
            <w:tcBorders>
              <w:top w:val="single" w:sz="4" w:space="0" w:color="auto"/>
              <w:left w:val="single" w:sz="4" w:space="0" w:color="FFFFFF" w:themeColor="background1"/>
              <w:bottom w:val="single" w:sz="4" w:space="0" w:color="FFFFFF" w:themeColor="background1"/>
              <w:right w:val="single" w:sz="4" w:space="0" w:color="auto"/>
            </w:tcBorders>
            <w:shd w:val="clear" w:color="auto" w:fill="365F91" w:themeFill="accent1" w:themeFillShade="BF"/>
            <w:hideMark/>
          </w:tcPr>
          <w:p w14:paraId="77036A69" w14:textId="30363FBB" w:rsidR="0046315C" w:rsidRPr="008C78A2" w:rsidRDefault="0046315C" w:rsidP="0046315C">
            <w:pPr>
              <w:autoSpaceDE w:val="0"/>
              <w:autoSpaceDN w:val="0"/>
              <w:adjustRightInd w:val="0"/>
              <w:spacing w:before="0" w:after="0" w:line="240" w:lineRule="auto"/>
              <w:jc w:val="center"/>
              <w:rPr>
                <w:rFonts w:cs="Calibri"/>
                <w:b/>
                <w:color w:val="FFFFFF" w:themeColor="background1"/>
                <w:sz w:val="20"/>
                <w:szCs w:val="20"/>
                <w:lang w:eastAsia="en-US"/>
              </w:rPr>
            </w:pPr>
            <w:r w:rsidRPr="008C78A2">
              <w:rPr>
                <w:rFonts w:cs="Calibri"/>
                <w:b/>
                <w:color w:val="FFFFFF" w:themeColor="background1"/>
                <w:sz w:val="20"/>
                <w:szCs w:val="20"/>
                <w:lang w:eastAsia="en-US"/>
              </w:rPr>
              <w:t xml:space="preserve">CG </w:t>
            </w:r>
            <w:r w:rsidR="00E11511" w:rsidRPr="008C78A2">
              <w:rPr>
                <w:rFonts w:cs="Calibri"/>
                <w:b/>
                <w:color w:val="FFFFFF" w:themeColor="background1"/>
                <w:sz w:val="20"/>
                <w:szCs w:val="20"/>
                <w:lang w:eastAsia="en-US"/>
              </w:rPr>
              <w:t>GES</w:t>
            </w:r>
            <w:r w:rsidRPr="008C78A2">
              <w:rPr>
                <w:rFonts w:cs="Calibri"/>
                <w:b/>
                <w:color w:val="FFFFFF" w:themeColor="background1"/>
                <w:sz w:val="20"/>
                <w:szCs w:val="20"/>
                <w:lang w:eastAsia="en-US"/>
              </w:rPr>
              <w:t xml:space="preserve"> obuhvaćenost</w:t>
            </w:r>
            <w:r w:rsidRPr="008C78A2">
              <w:rPr>
                <w:rFonts w:cs="Calibri"/>
                <w:b/>
                <w:color w:val="FFFFFF" w:themeColor="background1"/>
                <w:sz w:val="20"/>
                <w:szCs w:val="20"/>
                <w:vertAlign w:val="superscript"/>
                <w:lang w:eastAsia="en-US"/>
              </w:rPr>
              <w:footnoteReference w:id="22"/>
            </w:r>
          </w:p>
        </w:tc>
      </w:tr>
      <w:tr w:rsidR="0046315C" w:rsidRPr="0046315C" w14:paraId="0006222B" w14:textId="77777777" w:rsidTr="00C44CA3">
        <w:tc>
          <w:tcPr>
            <w:tcW w:w="3261" w:type="dxa"/>
            <w:tcBorders>
              <w:top w:val="single" w:sz="4" w:space="0" w:color="FFFFFF" w:themeColor="background1"/>
              <w:left w:val="single" w:sz="4" w:space="0" w:color="auto"/>
              <w:bottom w:val="single" w:sz="4" w:space="0" w:color="auto"/>
              <w:right w:val="single" w:sz="4" w:space="0" w:color="auto"/>
            </w:tcBorders>
            <w:hideMark/>
          </w:tcPr>
          <w:p w14:paraId="443D7B45" w14:textId="77777777" w:rsidR="0046315C" w:rsidRPr="0046315C" w:rsidRDefault="0046315C" w:rsidP="0046315C">
            <w:pPr>
              <w:autoSpaceDE w:val="0"/>
              <w:autoSpaceDN w:val="0"/>
              <w:adjustRightInd w:val="0"/>
              <w:spacing w:before="0" w:after="0" w:line="240" w:lineRule="auto"/>
              <w:rPr>
                <w:rFonts w:cs="Calibri"/>
                <w:color w:val="000000"/>
                <w:sz w:val="20"/>
                <w:szCs w:val="20"/>
                <w:lang w:eastAsia="en-US"/>
              </w:rPr>
            </w:pPr>
            <w:r w:rsidRPr="0046315C">
              <w:rPr>
                <w:rFonts w:cs="Calibri"/>
                <w:bCs/>
                <w:color w:val="000000"/>
                <w:sz w:val="20"/>
                <w:szCs w:val="20"/>
                <w:lang w:eastAsia="en-US"/>
              </w:rPr>
              <w:t xml:space="preserve">Hranljive soli u vodenom stubu: </w:t>
            </w:r>
            <w:r w:rsidRPr="0046315C">
              <w:rPr>
                <w:rFonts w:cs="Calibri"/>
                <w:color w:val="000000"/>
                <w:sz w:val="20"/>
                <w:szCs w:val="20"/>
                <w:lang w:eastAsia="en-US"/>
              </w:rPr>
              <w:t xml:space="preserve">rastvoreni neorganski azot (DIN), ukupni azot (TN), rastvoreni neorganski fosfor (DIP), ukupni fosfor (TP). </w:t>
            </w:r>
          </w:p>
        </w:tc>
        <w:tc>
          <w:tcPr>
            <w:tcW w:w="4536" w:type="dxa"/>
            <w:tcBorders>
              <w:top w:val="single" w:sz="4" w:space="0" w:color="FFFFFF" w:themeColor="background1"/>
              <w:left w:val="single" w:sz="4" w:space="0" w:color="auto"/>
              <w:bottom w:val="single" w:sz="4" w:space="0" w:color="auto"/>
              <w:right w:val="single" w:sz="4" w:space="0" w:color="auto"/>
            </w:tcBorders>
          </w:tcPr>
          <w:p w14:paraId="05AEE4C8" w14:textId="77777777" w:rsidR="0046315C" w:rsidRPr="0046315C" w:rsidRDefault="0046315C" w:rsidP="0046315C">
            <w:pPr>
              <w:autoSpaceDE w:val="0"/>
              <w:autoSpaceDN w:val="0"/>
              <w:adjustRightInd w:val="0"/>
              <w:spacing w:before="0" w:after="0" w:line="240" w:lineRule="auto"/>
              <w:rPr>
                <w:rFonts w:cs="Calibri"/>
                <w:color w:val="000000"/>
                <w:sz w:val="20"/>
                <w:szCs w:val="20"/>
                <w:lang w:eastAsia="en-US"/>
              </w:rPr>
            </w:pPr>
            <w:r w:rsidRPr="0046315C">
              <w:rPr>
                <w:rFonts w:cs="Calibri"/>
                <w:b/>
                <w:bCs/>
                <w:color w:val="000000"/>
                <w:sz w:val="20"/>
                <w:szCs w:val="20"/>
                <w:lang w:eastAsia="en-US"/>
              </w:rPr>
              <w:t>D5C1 – Primarni</w:t>
            </w:r>
            <w:r w:rsidRPr="0046315C">
              <w:rPr>
                <w:rFonts w:cs="Calibri"/>
                <w:color w:val="000000"/>
                <w:sz w:val="20"/>
                <w:szCs w:val="20"/>
                <w:lang w:eastAsia="en-US"/>
              </w:rPr>
              <w:t xml:space="preserve">: </w:t>
            </w:r>
          </w:p>
          <w:p w14:paraId="218B708D" w14:textId="77777777" w:rsidR="0046315C" w:rsidRPr="0046315C" w:rsidRDefault="0046315C" w:rsidP="0046315C">
            <w:pPr>
              <w:autoSpaceDE w:val="0"/>
              <w:autoSpaceDN w:val="0"/>
              <w:adjustRightInd w:val="0"/>
              <w:spacing w:before="0" w:after="0" w:line="240" w:lineRule="auto"/>
              <w:rPr>
                <w:rFonts w:cs="Calibri"/>
                <w:color w:val="000000"/>
                <w:sz w:val="20"/>
                <w:szCs w:val="20"/>
                <w:lang w:eastAsia="en-US"/>
              </w:rPr>
            </w:pPr>
            <w:r w:rsidRPr="0046315C">
              <w:rPr>
                <w:rFonts w:cs="Calibri"/>
                <w:color w:val="000000"/>
                <w:sz w:val="20"/>
                <w:szCs w:val="20"/>
                <w:lang w:eastAsia="en-US"/>
              </w:rPr>
              <w:t xml:space="preserve">Koncentracije hranljivih soli nisu na nivou koji ukazuje na štetne efekte eutrofikacije. </w:t>
            </w:r>
          </w:p>
          <w:p w14:paraId="7D6984EB" w14:textId="77777777" w:rsidR="0046315C" w:rsidRPr="0046315C" w:rsidRDefault="0046315C" w:rsidP="0046315C">
            <w:pPr>
              <w:spacing w:before="0" w:after="0" w:line="240" w:lineRule="auto"/>
              <w:rPr>
                <w:lang w:eastAsia="en-US"/>
              </w:rPr>
            </w:pPr>
          </w:p>
        </w:tc>
        <w:tc>
          <w:tcPr>
            <w:tcW w:w="1671" w:type="dxa"/>
            <w:tcBorders>
              <w:top w:val="single" w:sz="4" w:space="0" w:color="FFFFFF" w:themeColor="background1"/>
              <w:left w:val="single" w:sz="4" w:space="0" w:color="auto"/>
              <w:bottom w:val="single" w:sz="4" w:space="0" w:color="auto"/>
              <w:right w:val="single" w:sz="4" w:space="0" w:color="auto"/>
            </w:tcBorders>
            <w:hideMark/>
          </w:tcPr>
          <w:p w14:paraId="541D384F" w14:textId="77777777" w:rsidR="0046315C" w:rsidRPr="0046315C" w:rsidRDefault="0046315C" w:rsidP="0046315C">
            <w:pPr>
              <w:autoSpaceDE w:val="0"/>
              <w:autoSpaceDN w:val="0"/>
              <w:adjustRightInd w:val="0"/>
              <w:spacing w:before="0" w:after="0" w:line="240" w:lineRule="auto"/>
              <w:jc w:val="center"/>
              <w:rPr>
                <w:rFonts w:cs="Calibri"/>
                <w:color w:val="000000"/>
                <w:sz w:val="20"/>
                <w:szCs w:val="20"/>
                <w:lang w:eastAsia="en-US"/>
              </w:rPr>
            </w:pPr>
            <w:r w:rsidRPr="0046315C">
              <w:rPr>
                <w:rFonts w:cs="Calibri"/>
                <w:color w:val="000000"/>
                <w:sz w:val="20"/>
                <w:szCs w:val="20"/>
                <w:lang w:eastAsia="en-US"/>
              </w:rPr>
              <w:t>Obuhvaćeno</w:t>
            </w:r>
          </w:p>
        </w:tc>
      </w:tr>
      <w:tr w:rsidR="0046315C" w:rsidRPr="0046315C" w14:paraId="464CF0C5" w14:textId="77777777" w:rsidTr="0046315C">
        <w:tc>
          <w:tcPr>
            <w:tcW w:w="3261" w:type="dxa"/>
            <w:tcBorders>
              <w:top w:val="single" w:sz="4" w:space="0" w:color="auto"/>
              <w:left w:val="single" w:sz="4" w:space="0" w:color="auto"/>
              <w:bottom w:val="single" w:sz="4" w:space="0" w:color="auto"/>
              <w:right w:val="single" w:sz="4" w:space="0" w:color="auto"/>
            </w:tcBorders>
          </w:tcPr>
          <w:p w14:paraId="06597B94" w14:textId="77777777" w:rsidR="0046315C" w:rsidRPr="0046315C" w:rsidRDefault="0046315C" w:rsidP="0046315C">
            <w:pPr>
              <w:autoSpaceDE w:val="0"/>
              <w:autoSpaceDN w:val="0"/>
              <w:adjustRightInd w:val="0"/>
              <w:spacing w:before="0" w:after="0" w:line="240" w:lineRule="auto"/>
              <w:rPr>
                <w:rFonts w:cs="Calibri"/>
                <w:color w:val="000000"/>
                <w:sz w:val="20"/>
                <w:szCs w:val="20"/>
                <w:lang w:eastAsia="en-US"/>
              </w:rPr>
            </w:pPr>
            <w:r w:rsidRPr="0046315C">
              <w:rPr>
                <w:rFonts w:cs="Calibri"/>
                <w:bCs/>
                <w:i/>
                <w:color w:val="000000"/>
                <w:sz w:val="20"/>
                <w:szCs w:val="20"/>
                <w:lang w:eastAsia="en-US"/>
              </w:rPr>
              <w:t>Hlorofil a</w:t>
            </w:r>
            <w:r w:rsidRPr="0046315C">
              <w:rPr>
                <w:rFonts w:cs="Calibri"/>
                <w:bCs/>
                <w:color w:val="000000"/>
                <w:sz w:val="20"/>
                <w:szCs w:val="20"/>
                <w:lang w:eastAsia="en-US"/>
              </w:rPr>
              <w:t xml:space="preserve"> u vodenom stubu </w:t>
            </w:r>
          </w:p>
          <w:p w14:paraId="31E699D6" w14:textId="77777777" w:rsidR="0046315C" w:rsidRPr="0046315C" w:rsidRDefault="0046315C" w:rsidP="0046315C">
            <w:pPr>
              <w:spacing w:before="0" w:after="0" w:line="240" w:lineRule="auto"/>
              <w:rPr>
                <w:lang w:eastAsia="en-US"/>
              </w:rPr>
            </w:pPr>
          </w:p>
        </w:tc>
        <w:tc>
          <w:tcPr>
            <w:tcW w:w="4536" w:type="dxa"/>
            <w:tcBorders>
              <w:top w:val="single" w:sz="4" w:space="0" w:color="auto"/>
              <w:left w:val="single" w:sz="4" w:space="0" w:color="auto"/>
              <w:bottom w:val="single" w:sz="4" w:space="0" w:color="auto"/>
              <w:right w:val="single" w:sz="4" w:space="0" w:color="auto"/>
            </w:tcBorders>
            <w:hideMark/>
          </w:tcPr>
          <w:p w14:paraId="76A8694B" w14:textId="77777777" w:rsidR="0046315C" w:rsidRPr="0046315C" w:rsidRDefault="0046315C" w:rsidP="0046315C">
            <w:pPr>
              <w:autoSpaceDE w:val="0"/>
              <w:autoSpaceDN w:val="0"/>
              <w:adjustRightInd w:val="0"/>
              <w:spacing w:before="0" w:after="0" w:line="240" w:lineRule="auto"/>
              <w:rPr>
                <w:rFonts w:cs="Calibri"/>
                <w:color w:val="000000"/>
                <w:sz w:val="20"/>
                <w:szCs w:val="20"/>
                <w:lang w:eastAsia="en-US"/>
              </w:rPr>
            </w:pPr>
            <w:r w:rsidRPr="0046315C">
              <w:rPr>
                <w:rFonts w:cs="Calibri"/>
                <w:b/>
                <w:bCs/>
                <w:color w:val="000000"/>
                <w:sz w:val="20"/>
                <w:szCs w:val="20"/>
                <w:lang w:eastAsia="en-US"/>
              </w:rPr>
              <w:t>D5C2 – Primarni</w:t>
            </w:r>
            <w:r w:rsidRPr="0046315C">
              <w:rPr>
                <w:rFonts w:cs="Calibri"/>
                <w:color w:val="000000"/>
                <w:sz w:val="20"/>
                <w:szCs w:val="20"/>
                <w:lang w:eastAsia="en-US"/>
              </w:rPr>
              <w:t xml:space="preserve">: </w:t>
            </w:r>
          </w:p>
          <w:p w14:paraId="35DC65F9" w14:textId="77777777" w:rsidR="0046315C" w:rsidRPr="0046315C" w:rsidRDefault="0046315C" w:rsidP="0046315C">
            <w:pPr>
              <w:spacing w:before="0" w:after="0" w:line="240" w:lineRule="auto"/>
              <w:rPr>
                <w:lang w:eastAsia="en-US"/>
              </w:rPr>
            </w:pPr>
            <w:r w:rsidRPr="0046315C">
              <w:rPr>
                <w:sz w:val="20"/>
                <w:szCs w:val="20"/>
                <w:lang w:eastAsia="en-US"/>
              </w:rPr>
              <w:t xml:space="preserve">Koncentracije </w:t>
            </w:r>
            <w:r w:rsidRPr="0046315C">
              <w:rPr>
                <w:i/>
                <w:sz w:val="20"/>
                <w:szCs w:val="20"/>
                <w:lang w:eastAsia="en-US"/>
              </w:rPr>
              <w:t>hlorofila a</w:t>
            </w:r>
            <w:r w:rsidRPr="0046315C">
              <w:rPr>
                <w:sz w:val="20"/>
                <w:szCs w:val="20"/>
                <w:lang w:eastAsia="en-US"/>
              </w:rPr>
              <w:t xml:space="preserve"> nisu na nivou koji ukazuje na štetne efekte obogaćivanja hranljivim solima.</w:t>
            </w:r>
          </w:p>
        </w:tc>
        <w:tc>
          <w:tcPr>
            <w:tcW w:w="1671" w:type="dxa"/>
            <w:tcBorders>
              <w:top w:val="single" w:sz="4" w:space="0" w:color="auto"/>
              <w:left w:val="single" w:sz="4" w:space="0" w:color="auto"/>
              <w:bottom w:val="single" w:sz="4" w:space="0" w:color="auto"/>
              <w:right w:val="single" w:sz="4" w:space="0" w:color="auto"/>
            </w:tcBorders>
            <w:hideMark/>
          </w:tcPr>
          <w:p w14:paraId="6340C185" w14:textId="77777777" w:rsidR="0046315C" w:rsidRPr="0046315C" w:rsidRDefault="0046315C" w:rsidP="0046315C">
            <w:pPr>
              <w:autoSpaceDE w:val="0"/>
              <w:autoSpaceDN w:val="0"/>
              <w:adjustRightInd w:val="0"/>
              <w:spacing w:before="0" w:after="0" w:line="240" w:lineRule="auto"/>
              <w:jc w:val="center"/>
              <w:rPr>
                <w:rFonts w:cs="Calibri"/>
                <w:color w:val="000000"/>
                <w:lang w:eastAsia="en-US"/>
              </w:rPr>
            </w:pPr>
            <w:r w:rsidRPr="0046315C">
              <w:rPr>
                <w:rFonts w:cs="Calibri"/>
                <w:color w:val="000000"/>
                <w:sz w:val="20"/>
                <w:szCs w:val="20"/>
                <w:lang w:eastAsia="en-US"/>
              </w:rPr>
              <w:t>Obuhvaćeno</w:t>
            </w:r>
          </w:p>
        </w:tc>
      </w:tr>
      <w:tr w:rsidR="0046315C" w:rsidRPr="0046315C" w14:paraId="29EFFD89" w14:textId="77777777" w:rsidTr="0046315C">
        <w:tc>
          <w:tcPr>
            <w:tcW w:w="3261" w:type="dxa"/>
            <w:tcBorders>
              <w:top w:val="single" w:sz="4" w:space="0" w:color="auto"/>
              <w:left w:val="single" w:sz="4" w:space="0" w:color="auto"/>
              <w:bottom w:val="single" w:sz="4" w:space="0" w:color="auto"/>
              <w:right w:val="single" w:sz="4" w:space="0" w:color="auto"/>
            </w:tcBorders>
            <w:hideMark/>
          </w:tcPr>
          <w:p w14:paraId="10BD8D29" w14:textId="77777777" w:rsidR="0046315C" w:rsidRPr="0046315C" w:rsidRDefault="0046315C" w:rsidP="0046315C">
            <w:pPr>
              <w:autoSpaceDE w:val="0"/>
              <w:autoSpaceDN w:val="0"/>
              <w:adjustRightInd w:val="0"/>
              <w:spacing w:before="0" w:after="0" w:line="240" w:lineRule="auto"/>
              <w:rPr>
                <w:rFonts w:cs="Calibri"/>
                <w:bCs/>
                <w:color w:val="000000"/>
                <w:sz w:val="20"/>
                <w:szCs w:val="20"/>
                <w:lang w:eastAsia="en-US"/>
              </w:rPr>
            </w:pPr>
            <w:r w:rsidRPr="0046315C">
              <w:rPr>
                <w:rFonts w:cs="Calibri"/>
                <w:bCs/>
                <w:color w:val="000000"/>
                <w:sz w:val="20"/>
                <w:szCs w:val="20"/>
                <w:lang w:eastAsia="en-US"/>
              </w:rPr>
              <w:t>Štetno cvjetanje algi u vodenom stubu</w:t>
            </w:r>
          </w:p>
        </w:tc>
        <w:tc>
          <w:tcPr>
            <w:tcW w:w="4536" w:type="dxa"/>
            <w:tcBorders>
              <w:top w:val="single" w:sz="4" w:space="0" w:color="auto"/>
              <w:left w:val="single" w:sz="4" w:space="0" w:color="auto"/>
              <w:bottom w:val="single" w:sz="4" w:space="0" w:color="auto"/>
              <w:right w:val="single" w:sz="4" w:space="0" w:color="auto"/>
            </w:tcBorders>
            <w:hideMark/>
          </w:tcPr>
          <w:p w14:paraId="52DD1E55" w14:textId="77777777" w:rsidR="0046315C" w:rsidRPr="0046315C" w:rsidRDefault="0046315C" w:rsidP="0046315C">
            <w:pPr>
              <w:autoSpaceDE w:val="0"/>
              <w:autoSpaceDN w:val="0"/>
              <w:adjustRightInd w:val="0"/>
              <w:spacing w:before="0" w:after="0" w:line="240" w:lineRule="auto"/>
              <w:rPr>
                <w:rFonts w:cs="Calibri"/>
                <w:b/>
                <w:bCs/>
                <w:color w:val="000000"/>
                <w:sz w:val="20"/>
                <w:szCs w:val="20"/>
                <w:lang w:eastAsia="en-US"/>
              </w:rPr>
            </w:pPr>
            <w:r w:rsidRPr="0046315C">
              <w:rPr>
                <w:rFonts w:cs="Calibri"/>
                <w:b/>
                <w:bCs/>
                <w:color w:val="000000"/>
                <w:sz w:val="20"/>
                <w:szCs w:val="20"/>
                <w:lang w:eastAsia="en-US"/>
              </w:rPr>
              <w:t>D5C3 – Sekundarni</w:t>
            </w:r>
          </w:p>
          <w:p w14:paraId="07E184D0" w14:textId="77777777" w:rsidR="0046315C" w:rsidRPr="0046315C" w:rsidRDefault="0046315C" w:rsidP="0046315C">
            <w:pPr>
              <w:autoSpaceDE w:val="0"/>
              <w:autoSpaceDN w:val="0"/>
              <w:adjustRightInd w:val="0"/>
              <w:spacing w:before="0" w:after="0" w:line="240" w:lineRule="auto"/>
              <w:rPr>
                <w:rFonts w:cs="Calibri"/>
                <w:bCs/>
                <w:color w:val="000000"/>
                <w:sz w:val="20"/>
                <w:szCs w:val="20"/>
                <w:lang w:eastAsia="en-US"/>
              </w:rPr>
            </w:pPr>
            <w:r w:rsidRPr="0046315C">
              <w:rPr>
                <w:rFonts w:cs="Calibri"/>
                <w:bCs/>
                <w:color w:val="000000"/>
                <w:sz w:val="20"/>
                <w:szCs w:val="20"/>
                <w:lang w:eastAsia="en-US"/>
              </w:rPr>
              <w:t>Broj, površina i trajanje pojave štetnog cvjetanja algi nisu na nivoima koji ukazuju na štetne efekte obogaćivanja hranljivim solima.</w:t>
            </w:r>
          </w:p>
        </w:tc>
        <w:tc>
          <w:tcPr>
            <w:tcW w:w="1671" w:type="dxa"/>
            <w:tcBorders>
              <w:top w:val="single" w:sz="4" w:space="0" w:color="auto"/>
              <w:left w:val="single" w:sz="4" w:space="0" w:color="auto"/>
              <w:bottom w:val="single" w:sz="4" w:space="0" w:color="auto"/>
              <w:right w:val="single" w:sz="4" w:space="0" w:color="auto"/>
            </w:tcBorders>
            <w:hideMark/>
          </w:tcPr>
          <w:p w14:paraId="71B0E28C" w14:textId="77777777" w:rsidR="0046315C" w:rsidRPr="0046315C" w:rsidRDefault="0046315C" w:rsidP="0046315C">
            <w:pPr>
              <w:autoSpaceDE w:val="0"/>
              <w:autoSpaceDN w:val="0"/>
              <w:adjustRightInd w:val="0"/>
              <w:spacing w:before="0" w:after="0" w:line="240" w:lineRule="auto"/>
              <w:jc w:val="center"/>
              <w:rPr>
                <w:rFonts w:cs="Calibri"/>
                <w:color w:val="000000"/>
                <w:sz w:val="20"/>
                <w:szCs w:val="20"/>
                <w:lang w:eastAsia="en-US"/>
              </w:rPr>
            </w:pPr>
            <w:r w:rsidRPr="0046315C">
              <w:rPr>
                <w:rFonts w:cs="Calibri"/>
                <w:color w:val="000000"/>
                <w:sz w:val="20"/>
                <w:szCs w:val="20"/>
                <w:lang w:eastAsia="en-US"/>
              </w:rPr>
              <w:t>Obuhvaćeno</w:t>
            </w:r>
          </w:p>
        </w:tc>
      </w:tr>
      <w:tr w:rsidR="0046315C" w:rsidRPr="0046315C" w14:paraId="57A4A937" w14:textId="77777777" w:rsidTr="0046315C">
        <w:tc>
          <w:tcPr>
            <w:tcW w:w="3261" w:type="dxa"/>
            <w:tcBorders>
              <w:top w:val="single" w:sz="4" w:space="0" w:color="auto"/>
              <w:left w:val="single" w:sz="4" w:space="0" w:color="auto"/>
              <w:bottom w:val="single" w:sz="4" w:space="0" w:color="auto"/>
              <w:right w:val="single" w:sz="4" w:space="0" w:color="auto"/>
            </w:tcBorders>
          </w:tcPr>
          <w:p w14:paraId="76DE412A" w14:textId="77777777" w:rsidR="0046315C" w:rsidRPr="0046315C" w:rsidRDefault="0046315C" w:rsidP="0046315C">
            <w:pPr>
              <w:autoSpaceDE w:val="0"/>
              <w:autoSpaceDN w:val="0"/>
              <w:adjustRightInd w:val="0"/>
              <w:spacing w:before="0" w:after="0" w:line="240" w:lineRule="auto"/>
              <w:rPr>
                <w:rFonts w:cs="Calibri"/>
                <w:color w:val="000000"/>
                <w:sz w:val="20"/>
                <w:szCs w:val="20"/>
                <w:lang w:eastAsia="en-US"/>
              </w:rPr>
            </w:pPr>
            <w:r w:rsidRPr="0046315C">
              <w:rPr>
                <w:rFonts w:cs="Calibri"/>
                <w:bCs/>
                <w:color w:val="000000"/>
                <w:sz w:val="20"/>
                <w:szCs w:val="20"/>
                <w:lang w:eastAsia="en-US"/>
              </w:rPr>
              <w:t xml:space="preserve">Rastvoreni kiseonik pri dnu vodenog stuba </w:t>
            </w:r>
          </w:p>
          <w:p w14:paraId="4776E4A3" w14:textId="77777777" w:rsidR="0046315C" w:rsidRPr="0046315C" w:rsidRDefault="0046315C" w:rsidP="0046315C">
            <w:pPr>
              <w:autoSpaceDE w:val="0"/>
              <w:autoSpaceDN w:val="0"/>
              <w:adjustRightInd w:val="0"/>
              <w:spacing w:before="0" w:after="0" w:line="240" w:lineRule="auto"/>
              <w:rPr>
                <w:rFonts w:cs="Calibri"/>
                <w:bCs/>
                <w:color w:val="000000"/>
                <w:sz w:val="20"/>
                <w:szCs w:val="20"/>
                <w:lang w:eastAsia="en-US"/>
              </w:rPr>
            </w:pPr>
          </w:p>
        </w:tc>
        <w:tc>
          <w:tcPr>
            <w:tcW w:w="4536" w:type="dxa"/>
            <w:tcBorders>
              <w:top w:val="single" w:sz="4" w:space="0" w:color="auto"/>
              <w:left w:val="single" w:sz="4" w:space="0" w:color="auto"/>
              <w:bottom w:val="single" w:sz="4" w:space="0" w:color="auto"/>
              <w:right w:val="single" w:sz="4" w:space="0" w:color="auto"/>
            </w:tcBorders>
            <w:hideMark/>
          </w:tcPr>
          <w:p w14:paraId="372E2F23" w14:textId="77777777" w:rsidR="0046315C" w:rsidRPr="0046315C" w:rsidRDefault="0046315C" w:rsidP="0046315C">
            <w:pPr>
              <w:autoSpaceDE w:val="0"/>
              <w:autoSpaceDN w:val="0"/>
              <w:adjustRightInd w:val="0"/>
              <w:spacing w:before="0" w:after="0" w:line="240" w:lineRule="auto"/>
              <w:rPr>
                <w:rFonts w:cs="Calibri"/>
                <w:color w:val="000000"/>
                <w:sz w:val="20"/>
                <w:szCs w:val="20"/>
                <w:lang w:eastAsia="en-US"/>
              </w:rPr>
            </w:pPr>
            <w:r w:rsidRPr="0046315C">
              <w:rPr>
                <w:rFonts w:cs="Calibri"/>
                <w:b/>
                <w:bCs/>
                <w:color w:val="000000"/>
                <w:sz w:val="20"/>
                <w:szCs w:val="20"/>
                <w:lang w:eastAsia="en-US"/>
              </w:rPr>
              <w:t xml:space="preserve">D5C5 – Primarni: </w:t>
            </w:r>
          </w:p>
          <w:p w14:paraId="01D3171A" w14:textId="77777777" w:rsidR="0046315C" w:rsidRPr="0046315C" w:rsidRDefault="0046315C" w:rsidP="0046315C">
            <w:pPr>
              <w:autoSpaceDE w:val="0"/>
              <w:autoSpaceDN w:val="0"/>
              <w:adjustRightInd w:val="0"/>
              <w:spacing w:before="0" w:after="0" w:line="240" w:lineRule="auto"/>
              <w:rPr>
                <w:rFonts w:cs="Calibri"/>
                <w:color w:val="000000"/>
                <w:sz w:val="20"/>
                <w:szCs w:val="20"/>
                <w:lang w:eastAsia="en-US"/>
              </w:rPr>
            </w:pPr>
            <w:r w:rsidRPr="0046315C">
              <w:rPr>
                <w:rFonts w:cs="Calibri"/>
                <w:color w:val="000000"/>
                <w:sz w:val="20"/>
                <w:szCs w:val="20"/>
                <w:lang w:eastAsia="en-US"/>
              </w:rPr>
              <w:t xml:space="preserve">Koncentracija rastvorenog kiseonika zbog obogaćivanja hranljivim solima nije smanjena na nivo koji ukazuje na štetne efekte na bentosna staništa (uključujući i sesilne organizme i mobilne vrste) ili druge efekte eutrofikacije. </w:t>
            </w:r>
          </w:p>
        </w:tc>
        <w:tc>
          <w:tcPr>
            <w:tcW w:w="1671" w:type="dxa"/>
            <w:tcBorders>
              <w:top w:val="single" w:sz="4" w:space="0" w:color="auto"/>
              <w:left w:val="single" w:sz="4" w:space="0" w:color="auto"/>
              <w:bottom w:val="single" w:sz="4" w:space="0" w:color="auto"/>
              <w:right w:val="single" w:sz="4" w:space="0" w:color="auto"/>
            </w:tcBorders>
            <w:hideMark/>
          </w:tcPr>
          <w:p w14:paraId="1A29FB91" w14:textId="77777777" w:rsidR="0046315C" w:rsidRPr="0046315C" w:rsidRDefault="0046315C" w:rsidP="0046315C">
            <w:pPr>
              <w:autoSpaceDE w:val="0"/>
              <w:autoSpaceDN w:val="0"/>
              <w:adjustRightInd w:val="0"/>
              <w:spacing w:before="0" w:after="0" w:line="240" w:lineRule="auto"/>
              <w:jc w:val="center"/>
              <w:rPr>
                <w:rFonts w:cs="Calibri"/>
                <w:color w:val="000000"/>
                <w:sz w:val="20"/>
                <w:szCs w:val="20"/>
                <w:lang w:eastAsia="en-US"/>
              </w:rPr>
            </w:pPr>
            <w:r w:rsidRPr="0046315C">
              <w:rPr>
                <w:rFonts w:cs="Calibri"/>
                <w:color w:val="000000"/>
                <w:sz w:val="20"/>
                <w:szCs w:val="20"/>
                <w:lang w:eastAsia="en-US"/>
              </w:rPr>
              <w:t>Obuhvaćeno</w:t>
            </w:r>
          </w:p>
        </w:tc>
      </w:tr>
      <w:tr w:rsidR="0046315C" w:rsidRPr="0046315C" w14:paraId="16DE7055" w14:textId="77777777" w:rsidTr="0046315C">
        <w:tc>
          <w:tcPr>
            <w:tcW w:w="3261" w:type="dxa"/>
            <w:tcBorders>
              <w:top w:val="single" w:sz="4" w:space="0" w:color="auto"/>
              <w:left w:val="single" w:sz="4" w:space="0" w:color="auto"/>
              <w:bottom w:val="single" w:sz="4" w:space="0" w:color="auto"/>
              <w:right w:val="single" w:sz="4" w:space="0" w:color="auto"/>
            </w:tcBorders>
            <w:hideMark/>
          </w:tcPr>
          <w:p w14:paraId="62FC9505" w14:textId="77777777" w:rsidR="0046315C" w:rsidRPr="0046315C" w:rsidRDefault="0046315C" w:rsidP="0046315C">
            <w:pPr>
              <w:autoSpaceDE w:val="0"/>
              <w:autoSpaceDN w:val="0"/>
              <w:adjustRightInd w:val="0"/>
              <w:spacing w:before="0" w:after="0" w:line="240" w:lineRule="auto"/>
              <w:jc w:val="left"/>
              <w:rPr>
                <w:rFonts w:cs="Calibri"/>
                <w:b/>
                <w:bCs/>
                <w:color w:val="000000"/>
                <w:sz w:val="20"/>
                <w:szCs w:val="20"/>
                <w:lang w:eastAsia="en-US"/>
              </w:rPr>
            </w:pPr>
            <w:r w:rsidRPr="0046315C">
              <w:rPr>
                <w:sz w:val="20"/>
                <w:szCs w:val="20"/>
                <w:lang w:eastAsia="en-US"/>
              </w:rPr>
              <w:t>Oportunističke makroalge bentosnih staništa</w:t>
            </w:r>
          </w:p>
        </w:tc>
        <w:tc>
          <w:tcPr>
            <w:tcW w:w="4536" w:type="dxa"/>
            <w:tcBorders>
              <w:top w:val="single" w:sz="4" w:space="0" w:color="auto"/>
              <w:left w:val="single" w:sz="4" w:space="0" w:color="auto"/>
              <w:bottom w:val="single" w:sz="4" w:space="0" w:color="auto"/>
              <w:right w:val="single" w:sz="4" w:space="0" w:color="auto"/>
            </w:tcBorders>
            <w:hideMark/>
          </w:tcPr>
          <w:p w14:paraId="0EEDCC31" w14:textId="77777777" w:rsidR="0046315C" w:rsidRPr="0046315C" w:rsidRDefault="0046315C" w:rsidP="0046315C">
            <w:pPr>
              <w:autoSpaceDE w:val="0"/>
              <w:autoSpaceDN w:val="0"/>
              <w:adjustRightInd w:val="0"/>
              <w:spacing w:before="0" w:after="0" w:line="240" w:lineRule="auto"/>
              <w:jc w:val="left"/>
              <w:rPr>
                <w:sz w:val="20"/>
                <w:szCs w:val="20"/>
                <w:lang w:eastAsia="en-US"/>
              </w:rPr>
            </w:pPr>
            <w:r w:rsidRPr="0046315C">
              <w:rPr>
                <w:b/>
                <w:sz w:val="20"/>
                <w:szCs w:val="20"/>
                <w:lang w:eastAsia="en-US"/>
              </w:rPr>
              <w:t>D5C6 — Sekundarni:</w:t>
            </w:r>
            <w:r w:rsidRPr="0046315C">
              <w:rPr>
                <w:sz w:val="20"/>
                <w:szCs w:val="20"/>
                <w:lang w:eastAsia="en-US"/>
              </w:rPr>
              <w:t xml:space="preserve"> </w:t>
            </w:r>
          </w:p>
          <w:p w14:paraId="53BF3271" w14:textId="77777777" w:rsidR="0046315C" w:rsidRPr="0046315C" w:rsidRDefault="0046315C" w:rsidP="0046315C">
            <w:pPr>
              <w:autoSpaceDE w:val="0"/>
              <w:autoSpaceDN w:val="0"/>
              <w:adjustRightInd w:val="0"/>
              <w:spacing w:before="0" w:after="0" w:line="240" w:lineRule="auto"/>
              <w:jc w:val="left"/>
              <w:rPr>
                <w:rFonts w:cs="Calibri"/>
                <w:b/>
                <w:color w:val="000000"/>
                <w:sz w:val="20"/>
                <w:szCs w:val="20"/>
                <w:lang w:eastAsia="en-US"/>
              </w:rPr>
            </w:pPr>
            <w:r w:rsidRPr="0046315C">
              <w:rPr>
                <w:sz w:val="20"/>
                <w:szCs w:val="20"/>
                <w:lang w:eastAsia="en-US"/>
              </w:rPr>
              <w:t>Brojnost oportunističkih makroalgi nije na nivoima koji ukazuju na štetne efekte obogaćivanja hranljivim solima.</w:t>
            </w:r>
          </w:p>
        </w:tc>
        <w:tc>
          <w:tcPr>
            <w:tcW w:w="1671" w:type="dxa"/>
            <w:tcBorders>
              <w:top w:val="single" w:sz="4" w:space="0" w:color="auto"/>
              <w:left w:val="single" w:sz="4" w:space="0" w:color="auto"/>
              <w:bottom w:val="single" w:sz="4" w:space="0" w:color="auto"/>
              <w:right w:val="single" w:sz="4" w:space="0" w:color="auto"/>
            </w:tcBorders>
            <w:hideMark/>
          </w:tcPr>
          <w:p w14:paraId="68FEED31" w14:textId="77777777" w:rsidR="0046315C" w:rsidRPr="0046315C" w:rsidRDefault="0046315C" w:rsidP="0046315C">
            <w:pPr>
              <w:autoSpaceDE w:val="0"/>
              <w:autoSpaceDN w:val="0"/>
              <w:adjustRightInd w:val="0"/>
              <w:spacing w:before="0" w:after="0" w:line="240" w:lineRule="auto"/>
              <w:jc w:val="center"/>
              <w:rPr>
                <w:rFonts w:cs="Calibri"/>
                <w:color w:val="000000"/>
                <w:sz w:val="20"/>
                <w:szCs w:val="20"/>
                <w:lang w:eastAsia="en-US"/>
              </w:rPr>
            </w:pPr>
            <w:r w:rsidRPr="0046315C">
              <w:rPr>
                <w:rFonts w:cs="Calibri"/>
                <w:color w:val="000000"/>
                <w:sz w:val="20"/>
                <w:szCs w:val="20"/>
                <w:lang w:eastAsia="en-US"/>
              </w:rPr>
              <w:t>Nije obuhvaćeno</w:t>
            </w:r>
          </w:p>
        </w:tc>
      </w:tr>
      <w:tr w:rsidR="0046315C" w:rsidRPr="0046315C" w14:paraId="685FD4A4" w14:textId="77777777" w:rsidTr="0046315C">
        <w:tc>
          <w:tcPr>
            <w:tcW w:w="3261" w:type="dxa"/>
            <w:tcBorders>
              <w:top w:val="single" w:sz="4" w:space="0" w:color="auto"/>
              <w:left w:val="single" w:sz="4" w:space="0" w:color="auto"/>
              <w:bottom w:val="single" w:sz="4" w:space="0" w:color="auto"/>
              <w:right w:val="single" w:sz="4" w:space="0" w:color="auto"/>
            </w:tcBorders>
            <w:hideMark/>
          </w:tcPr>
          <w:p w14:paraId="6E882632" w14:textId="77777777" w:rsidR="0046315C" w:rsidRPr="0046315C" w:rsidRDefault="0046315C" w:rsidP="0046315C">
            <w:pPr>
              <w:autoSpaceDE w:val="0"/>
              <w:autoSpaceDN w:val="0"/>
              <w:adjustRightInd w:val="0"/>
              <w:spacing w:before="0" w:after="0" w:line="240" w:lineRule="auto"/>
              <w:jc w:val="left"/>
              <w:rPr>
                <w:rFonts w:cs="Calibri"/>
                <w:b/>
                <w:bCs/>
                <w:color w:val="000000"/>
                <w:sz w:val="20"/>
                <w:szCs w:val="20"/>
                <w:lang w:eastAsia="en-US"/>
              </w:rPr>
            </w:pPr>
            <w:r w:rsidRPr="0046315C">
              <w:rPr>
                <w:sz w:val="20"/>
                <w:szCs w:val="20"/>
                <w:lang w:eastAsia="en-US"/>
              </w:rPr>
              <w:t xml:space="preserve">Makrofitske zajednice (višegodišnje morske alge i morske trave, npr. alge iz reda </w:t>
            </w:r>
            <w:r w:rsidRPr="0046315C">
              <w:rPr>
                <w:i/>
                <w:sz w:val="20"/>
                <w:szCs w:val="20"/>
                <w:lang w:eastAsia="en-US"/>
              </w:rPr>
              <w:t>Fucales</w:t>
            </w:r>
            <w:r w:rsidRPr="0046315C">
              <w:rPr>
                <w:sz w:val="20"/>
                <w:szCs w:val="20"/>
                <w:lang w:eastAsia="en-US"/>
              </w:rPr>
              <w:t>, morska svilina i Neptunova trava) bentosnih staništa</w:t>
            </w:r>
          </w:p>
        </w:tc>
        <w:tc>
          <w:tcPr>
            <w:tcW w:w="4536" w:type="dxa"/>
            <w:tcBorders>
              <w:top w:val="single" w:sz="4" w:space="0" w:color="auto"/>
              <w:left w:val="single" w:sz="4" w:space="0" w:color="auto"/>
              <w:bottom w:val="single" w:sz="4" w:space="0" w:color="auto"/>
              <w:right w:val="single" w:sz="4" w:space="0" w:color="auto"/>
            </w:tcBorders>
            <w:hideMark/>
          </w:tcPr>
          <w:p w14:paraId="782E4AA4" w14:textId="77777777" w:rsidR="0046315C" w:rsidRPr="0046315C" w:rsidRDefault="0046315C" w:rsidP="0046315C">
            <w:pPr>
              <w:autoSpaceDE w:val="0"/>
              <w:autoSpaceDN w:val="0"/>
              <w:adjustRightInd w:val="0"/>
              <w:spacing w:before="0" w:after="0" w:line="240" w:lineRule="auto"/>
              <w:jc w:val="left"/>
              <w:rPr>
                <w:sz w:val="20"/>
                <w:szCs w:val="20"/>
                <w:lang w:eastAsia="en-US"/>
              </w:rPr>
            </w:pPr>
            <w:r w:rsidRPr="0046315C">
              <w:rPr>
                <w:b/>
                <w:sz w:val="20"/>
                <w:szCs w:val="20"/>
                <w:lang w:eastAsia="en-US"/>
              </w:rPr>
              <w:t>D5C7 — Sekunadrni</w:t>
            </w:r>
            <w:r w:rsidRPr="0046315C">
              <w:rPr>
                <w:sz w:val="20"/>
                <w:szCs w:val="20"/>
                <w:lang w:eastAsia="en-US"/>
              </w:rPr>
              <w:t>:</w:t>
            </w:r>
          </w:p>
          <w:p w14:paraId="22F266CC" w14:textId="77777777" w:rsidR="0046315C" w:rsidRPr="0046315C" w:rsidRDefault="0046315C" w:rsidP="0046315C">
            <w:pPr>
              <w:autoSpaceDE w:val="0"/>
              <w:autoSpaceDN w:val="0"/>
              <w:adjustRightInd w:val="0"/>
              <w:spacing w:before="0" w:after="0" w:line="240" w:lineRule="auto"/>
              <w:jc w:val="left"/>
              <w:rPr>
                <w:rFonts w:cs="Calibri"/>
                <w:b/>
                <w:color w:val="000000"/>
                <w:sz w:val="20"/>
                <w:szCs w:val="20"/>
                <w:lang w:eastAsia="en-US"/>
              </w:rPr>
            </w:pPr>
            <w:r w:rsidRPr="0046315C">
              <w:rPr>
                <w:sz w:val="20"/>
                <w:szCs w:val="20"/>
                <w:lang w:eastAsia="en-US"/>
              </w:rPr>
              <w:t>Sastav vrsta i relativna brojnost ili rasprostranjenost makrofitskih zajednica u dubinu dostiže vrijednosti koje ukazuju na to da zbog obogaćivanja hranljivim solima nema štetnog efekta, uključujući u obliku smanjenja prozirnosti vode.</w:t>
            </w:r>
          </w:p>
        </w:tc>
        <w:tc>
          <w:tcPr>
            <w:tcW w:w="1671" w:type="dxa"/>
            <w:tcBorders>
              <w:top w:val="single" w:sz="4" w:space="0" w:color="auto"/>
              <w:left w:val="single" w:sz="4" w:space="0" w:color="auto"/>
              <w:bottom w:val="single" w:sz="4" w:space="0" w:color="auto"/>
              <w:right w:val="single" w:sz="4" w:space="0" w:color="auto"/>
            </w:tcBorders>
            <w:hideMark/>
          </w:tcPr>
          <w:p w14:paraId="485E6545" w14:textId="77777777" w:rsidR="0046315C" w:rsidRPr="0046315C" w:rsidRDefault="0046315C" w:rsidP="0046315C">
            <w:pPr>
              <w:autoSpaceDE w:val="0"/>
              <w:autoSpaceDN w:val="0"/>
              <w:adjustRightInd w:val="0"/>
              <w:spacing w:before="0" w:after="0" w:line="240" w:lineRule="auto"/>
              <w:jc w:val="center"/>
              <w:rPr>
                <w:rFonts w:cs="Calibri"/>
                <w:color w:val="000000"/>
                <w:sz w:val="20"/>
                <w:szCs w:val="20"/>
                <w:lang w:eastAsia="en-US"/>
              </w:rPr>
            </w:pPr>
            <w:r w:rsidRPr="0046315C">
              <w:rPr>
                <w:rFonts w:cs="Calibri"/>
                <w:color w:val="000000"/>
                <w:sz w:val="20"/>
                <w:szCs w:val="20"/>
                <w:lang w:eastAsia="en-US"/>
              </w:rPr>
              <w:t>Nije obuhvaćeno</w:t>
            </w:r>
          </w:p>
        </w:tc>
      </w:tr>
    </w:tbl>
    <w:p w14:paraId="684DFD61" w14:textId="0B378A0F" w:rsidR="0046315C" w:rsidRPr="00CF7E4B" w:rsidRDefault="00534546" w:rsidP="00D133D9">
      <w:pPr>
        <w:pStyle w:val="Heading3"/>
        <w:ind w:left="1276" w:hanging="709"/>
        <w:rPr>
          <w:lang w:val="en-GB" w:eastAsia="en-US"/>
        </w:rPr>
      </w:pPr>
      <w:bookmarkStart w:id="135" w:name="_Toc83630917"/>
      <w:bookmarkStart w:id="136" w:name="_Toc69678367"/>
      <w:r>
        <w:rPr>
          <w:lang w:val="en-GB" w:eastAsia="en-US"/>
        </w:rPr>
        <w:t xml:space="preserve">Rezime </w:t>
      </w:r>
      <w:r w:rsidR="0046315C" w:rsidRPr="00CF7E4B">
        <w:rPr>
          <w:lang w:val="en-GB" w:eastAsia="en-US"/>
        </w:rPr>
        <w:t xml:space="preserve">stanja </w:t>
      </w:r>
      <w:r w:rsidR="00B23467">
        <w:rPr>
          <w:lang w:val="en-GB" w:eastAsia="en-US"/>
        </w:rPr>
        <w:t xml:space="preserve">D5 </w:t>
      </w:r>
      <w:r w:rsidR="0046315C" w:rsidRPr="00CF7E4B">
        <w:rPr>
          <w:lang w:val="en-GB" w:eastAsia="en-US"/>
        </w:rPr>
        <w:t>na osnovu Početne procjene</w:t>
      </w:r>
      <w:bookmarkEnd w:id="135"/>
      <w:r w:rsidR="0046315C" w:rsidRPr="00CF7E4B">
        <w:rPr>
          <w:lang w:val="en-GB" w:eastAsia="en-US"/>
        </w:rPr>
        <w:t xml:space="preserve"> </w:t>
      </w:r>
      <w:bookmarkEnd w:id="136"/>
    </w:p>
    <w:p w14:paraId="12FE713F" w14:textId="77777777" w:rsidR="0046315C" w:rsidRPr="0046315C" w:rsidRDefault="0046315C" w:rsidP="0046315C">
      <w:pPr>
        <w:spacing w:before="0" w:after="200"/>
        <w:rPr>
          <w:rFonts w:eastAsia="Calibri"/>
          <w:szCs w:val="22"/>
          <w:lang w:eastAsia="en-US"/>
        </w:rPr>
      </w:pPr>
      <w:r w:rsidRPr="0046315C">
        <w:rPr>
          <w:rFonts w:eastAsia="Calibri"/>
          <w:szCs w:val="22"/>
          <w:lang w:eastAsia="en-US"/>
        </w:rPr>
        <w:t>Koncentracije i distribucija hranljivih soli (nutrijenata), hlorofila a, kiseonika i sastav fitoplanktona, na osnovu kojih se procjenjuje proces eutrofikacije detaljno su opisane u Početnoj procjeni stanja morske sredine Crne Gore (2020).</w:t>
      </w:r>
    </w:p>
    <w:p w14:paraId="464B2CCB" w14:textId="35480127" w:rsidR="0046315C" w:rsidRPr="0046315C" w:rsidRDefault="0046315C" w:rsidP="0046315C">
      <w:pPr>
        <w:spacing w:before="0" w:after="200"/>
        <w:rPr>
          <w:rFonts w:eastAsia="Calibri"/>
          <w:szCs w:val="22"/>
          <w:lang w:eastAsia="en-US"/>
        </w:rPr>
      </w:pPr>
      <w:r w:rsidRPr="0046315C">
        <w:rPr>
          <w:rFonts w:eastAsia="Calibri"/>
          <w:szCs w:val="22"/>
          <w:lang w:eastAsia="en-US"/>
        </w:rPr>
        <w:t xml:space="preserve"> U ovom poglavlju predstavljen je pregled trenutnog stanja gore navedenih pokazatelja u odnosu na zahtjeve kriterijuma za procjenu dobrog stanja </w:t>
      </w:r>
      <w:r w:rsidR="006E7A44">
        <w:rPr>
          <w:rFonts w:eastAsia="Calibri"/>
          <w:szCs w:val="22"/>
          <w:lang w:eastAsia="en-US"/>
        </w:rPr>
        <w:t xml:space="preserve">morske sredine u vezi sa </w:t>
      </w:r>
      <w:r w:rsidRPr="0046315C">
        <w:rPr>
          <w:rFonts w:eastAsia="Calibri"/>
          <w:szCs w:val="22"/>
          <w:lang w:eastAsia="en-US"/>
        </w:rPr>
        <w:t>eutrofikacij</w:t>
      </w:r>
      <w:r w:rsidR="006E7A44">
        <w:rPr>
          <w:rFonts w:eastAsia="Calibri"/>
          <w:szCs w:val="22"/>
          <w:lang w:eastAsia="en-US"/>
        </w:rPr>
        <w:t>om</w:t>
      </w:r>
      <w:r w:rsidRPr="0046315C">
        <w:rPr>
          <w:rFonts w:eastAsia="Calibri"/>
          <w:szCs w:val="22"/>
          <w:lang w:eastAsia="en-US"/>
        </w:rPr>
        <w:t xml:space="preserve">, imajući u vidu granice i dozvoljene vrijednosti koje su korišćene za procjenu </w:t>
      </w:r>
      <w:r w:rsidR="00E11511">
        <w:rPr>
          <w:rFonts w:eastAsia="Calibri"/>
          <w:szCs w:val="22"/>
          <w:lang w:eastAsia="en-US"/>
        </w:rPr>
        <w:t>GES-a</w:t>
      </w:r>
      <w:r w:rsidRPr="0046315C">
        <w:rPr>
          <w:rFonts w:eastAsia="Calibri"/>
          <w:szCs w:val="22"/>
          <w:lang w:eastAsia="en-US"/>
        </w:rPr>
        <w:t xml:space="preserve"> u odnosu na D5, za svaki kriterijum za Bokokotorski zaliv i obalno područje otvorenog mora (Slika 2.13).</w:t>
      </w:r>
    </w:p>
    <w:p w14:paraId="4D023658" w14:textId="77777777" w:rsidR="0046315C" w:rsidRPr="0046315C" w:rsidRDefault="0046315C" w:rsidP="0046315C">
      <w:pPr>
        <w:spacing w:before="0" w:after="0" w:line="240" w:lineRule="auto"/>
        <w:jc w:val="center"/>
        <w:rPr>
          <w:rFonts w:eastAsia="Calibri"/>
          <w:szCs w:val="22"/>
          <w:lang w:eastAsia="en-US"/>
        </w:rPr>
      </w:pPr>
      <w:r w:rsidRPr="0046315C">
        <w:rPr>
          <w:rFonts w:eastAsia="Calibri"/>
          <w:noProof/>
          <w:szCs w:val="22"/>
          <w:lang w:eastAsia="en-US"/>
        </w:rPr>
        <w:drawing>
          <wp:inline distT="0" distB="0" distL="0" distR="0" wp14:anchorId="2559A859" wp14:editId="7B9C1ACC">
            <wp:extent cx="4853940" cy="3939540"/>
            <wp:effectExtent l="0" t="0" r="3810" b="3810"/>
            <wp:docPr id="4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53940" cy="3939540"/>
                    </a:xfrm>
                    <a:prstGeom prst="rect">
                      <a:avLst/>
                    </a:prstGeom>
                    <a:noFill/>
                    <a:ln>
                      <a:noFill/>
                    </a:ln>
                  </pic:spPr>
                </pic:pic>
              </a:graphicData>
            </a:graphic>
          </wp:inline>
        </w:drawing>
      </w:r>
    </w:p>
    <w:p w14:paraId="68EBBC90" w14:textId="77777777" w:rsidR="0046315C" w:rsidRPr="0046315C" w:rsidRDefault="0046315C" w:rsidP="0046315C">
      <w:pPr>
        <w:spacing w:before="0" w:after="0" w:line="240" w:lineRule="auto"/>
        <w:jc w:val="center"/>
        <w:rPr>
          <w:rFonts w:eastAsia="Calibri"/>
          <w:b/>
          <w:sz w:val="20"/>
          <w:szCs w:val="20"/>
          <w:lang w:eastAsia="en-US"/>
        </w:rPr>
      </w:pPr>
      <w:bookmarkStart w:id="137" w:name="_Toc83636908"/>
      <w:r w:rsidRPr="0046315C">
        <w:rPr>
          <w:rFonts w:eastAsia="Calibri"/>
          <w:b/>
          <w:szCs w:val="22"/>
          <w:lang w:eastAsia="en-US"/>
        </w:rPr>
        <w:t>Slika</w:t>
      </w:r>
      <w:r w:rsidRPr="0046315C">
        <w:rPr>
          <w:rFonts w:eastAsia="Calibri" w:cs="Calibri"/>
          <w:b/>
          <w:bCs/>
          <w:szCs w:val="22"/>
          <w:lang w:eastAsia="en-US"/>
        </w:rPr>
        <w:t xml:space="preserve"> </w:t>
      </w:r>
      <w:r w:rsidRPr="0046315C">
        <w:rPr>
          <w:rFonts w:eastAsia="Calibri"/>
          <w:szCs w:val="22"/>
          <w:lang w:eastAsia="en-US"/>
        </w:rPr>
        <w:fldChar w:fldCharType="begin"/>
      </w:r>
      <w:r w:rsidRPr="0046315C">
        <w:rPr>
          <w:rFonts w:eastAsia="Calibri" w:cs="Calibri"/>
          <w:b/>
          <w:iCs/>
          <w:szCs w:val="22"/>
          <w:lang w:eastAsia="en-US"/>
        </w:rPr>
        <w:instrText xml:space="preserve"> STYLEREF 1 \s </w:instrText>
      </w:r>
      <w:r w:rsidRPr="0046315C">
        <w:rPr>
          <w:rFonts w:eastAsia="Calibri"/>
          <w:szCs w:val="22"/>
          <w:lang w:eastAsia="en-US"/>
        </w:rPr>
        <w:fldChar w:fldCharType="separate"/>
      </w:r>
      <w:r w:rsidR="000D1E20">
        <w:rPr>
          <w:rFonts w:eastAsia="Calibri" w:cs="Calibri"/>
          <w:b/>
          <w:iCs/>
          <w:noProof/>
          <w:szCs w:val="22"/>
          <w:lang w:eastAsia="en-US"/>
        </w:rPr>
        <w:t>2</w:t>
      </w:r>
      <w:r w:rsidRPr="0046315C">
        <w:rPr>
          <w:rFonts w:eastAsia="Calibri"/>
          <w:szCs w:val="22"/>
          <w:lang w:eastAsia="en-US"/>
        </w:rPr>
        <w:fldChar w:fldCharType="end"/>
      </w:r>
      <w:r w:rsidRPr="0046315C">
        <w:rPr>
          <w:rFonts w:eastAsia="Calibri" w:cs="Calibri"/>
          <w:b/>
          <w:iCs/>
          <w:szCs w:val="22"/>
          <w:lang w:eastAsia="en-US"/>
        </w:rPr>
        <w:t>.</w:t>
      </w:r>
      <w:r w:rsidRPr="0046315C">
        <w:rPr>
          <w:rFonts w:eastAsia="Calibri"/>
          <w:szCs w:val="22"/>
          <w:lang w:eastAsia="en-US"/>
        </w:rPr>
        <w:fldChar w:fldCharType="begin"/>
      </w:r>
      <w:r w:rsidRPr="0046315C">
        <w:rPr>
          <w:rFonts w:eastAsia="Calibri" w:cs="Calibri"/>
          <w:b/>
          <w:iCs/>
          <w:szCs w:val="22"/>
          <w:lang w:eastAsia="en-US"/>
        </w:rPr>
        <w:instrText xml:space="preserve"> SEQ Figure \* ARABIC \s 1 </w:instrText>
      </w:r>
      <w:r w:rsidRPr="0046315C">
        <w:rPr>
          <w:rFonts w:eastAsia="Calibri"/>
          <w:szCs w:val="22"/>
          <w:lang w:eastAsia="en-US"/>
        </w:rPr>
        <w:fldChar w:fldCharType="separate"/>
      </w:r>
      <w:r w:rsidR="000D1E20">
        <w:rPr>
          <w:rFonts w:eastAsia="Calibri" w:cs="Calibri"/>
          <w:b/>
          <w:iCs/>
          <w:noProof/>
          <w:szCs w:val="22"/>
          <w:lang w:eastAsia="en-US"/>
        </w:rPr>
        <w:t>13</w:t>
      </w:r>
      <w:r w:rsidRPr="0046315C">
        <w:rPr>
          <w:rFonts w:eastAsia="Calibri"/>
          <w:szCs w:val="22"/>
          <w:lang w:eastAsia="en-US"/>
        </w:rPr>
        <w:fldChar w:fldCharType="end"/>
      </w:r>
      <w:r w:rsidRPr="0046315C">
        <w:rPr>
          <w:szCs w:val="22"/>
        </w:rPr>
        <w:t>.</w:t>
      </w:r>
      <w:r w:rsidRPr="0046315C">
        <w:rPr>
          <w:rFonts w:eastAsia="Calibri" w:cs="Calibri"/>
          <w:szCs w:val="22"/>
          <w:lang w:eastAsia="en-US"/>
        </w:rPr>
        <w:t xml:space="preserve">  </w:t>
      </w:r>
      <w:r w:rsidRPr="0046315C">
        <w:rPr>
          <w:rFonts w:eastAsia="Calibri"/>
          <w:b/>
          <w:szCs w:val="22"/>
          <w:lang w:eastAsia="en-US"/>
        </w:rPr>
        <w:t>Mapa sa istraživanim lokacijama</w:t>
      </w:r>
      <w:bookmarkEnd w:id="137"/>
    </w:p>
    <w:p w14:paraId="36ADBE0C" w14:textId="77777777" w:rsidR="0046315C" w:rsidRDefault="0046315C" w:rsidP="0046315C">
      <w:pPr>
        <w:spacing w:before="0" w:after="200"/>
        <w:rPr>
          <w:rFonts w:eastAsia="Calibri"/>
          <w:szCs w:val="22"/>
          <w:lang w:eastAsia="en-US"/>
        </w:rPr>
      </w:pPr>
    </w:p>
    <w:p w14:paraId="6277A1D8" w14:textId="77777777" w:rsidR="00842661" w:rsidRPr="0046315C" w:rsidRDefault="00842661" w:rsidP="0046315C">
      <w:pPr>
        <w:spacing w:before="0" w:after="200"/>
        <w:rPr>
          <w:rFonts w:eastAsia="Calibri"/>
          <w:szCs w:val="22"/>
          <w:lang w:eastAsia="en-US"/>
        </w:rPr>
      </w:pPr>
    </w:p>
    <w:p w14:paraId="4260B51D" w14:textId="77777777" w:rsidR="0046315C" w:rsidRPr="0046315C" w:rsidRDefault="0046315C" w:rsidP="0046315C">
      <w:pPr>
        <w:autoSpaceDE w:val="0"/>
        <w:autoSpaceDN w:val="0"/>
        <w:adjustRightInd w:val="0"/>
        <w:spacing w:before="0" w:after="240" w:line="240" w:lineRule="auto"/>
        <w:jc w:val="left"/>
        <w:rPr>
          <w:rFonts w:eastAsia="Calibri" w:cs="Calibri"/>
          <w:b/>
          <w:bCs/>
          <w:iCs/>
          <w:color w:val="000000"/>
          <w:szCs w:val="22"/>
          <w:u w:val="single"/>
          <w:lang w:eastAsia="en-US"/>
        </w:rPr>
      </w:pPr>
      <w:r w:rsidRPr="0046315C">
        <w:rPr>
          <w:rFonts w:eastAsia="Calibri" w:cs="Calibri"/>
          <w:b/>
          <w:bCs/>
          <w:iCs/>
          <w:color w:val="000000"/>
          <w:szCs w:val="22"/>
          <w:u w:val="single"/>
          <w:lang w:eastAsia="en-US"/>
        </w:rPr>
        <w:t xml:space="preserve">D5C1 – Primarni kriterijum: Hranljive soli u vodenom stubu </w:t>
      </w:r>
    </w:p>
    <w:p w14:paraId="131102D0" w14:textId="77777777" w:rsidR="0046315C" w:rsidRPr="0046315C" w:rsidRDefault="0046315C" w:rsidP="0046315C">
      <w:pPr>
        <w:autoSpaceDE w:val="0"/>
        <w:autoSpaceDN w:val="0"/>
        <w:adjustRightInd w:val="0"/>
        <w:spacing w:before="0" w:after="0"/>
        <w:rPr>
          <w:rFonts w:eastAsia="Calibri"/>
          <w:szCs w:val="22"/>
          <w:lang w:eastAsia="en-US"/>
        </w:rPr>
      </w:pPr>
      <w:r w:rsidRPr="0046315C">
        <w:rPr>
          <w:rFonts w:eastAsia="Calibri"/>
          <w:szCs w:val="22"/>
          <w:lang w:eastAsia="en-US"/>
        </w:rPr>
        <w:t xml:space="preserve">Parametri koji su se pratili u okviru ovog kriterijuma su: koncentracija ukupnog </w:t>
      </w:r>
      <w:r w:rsidRPr="0046315C">
        <w:rPr>
          <w:rFonts w:eastAsia="Calibri" w:cs="Calibri"/>
          <w:szCs w:val="22"/>
          <w:lang w:eastAsia="en-US"/>
        </w:rPr>
        <w:t xml:space="preserve">rastvorenog neorganskog azota </w:t>
      </w:r>
      <w:r w:rsidRPr="0046315C">
        <w:rPr>
          <w:rFonts w:eastAsia="Calibri"/>
          <w:szCs w:val="22"/>
          <w:lang w:eastAsia="en-US"/>
        </w:rPr>
        <w:t>(zbir N-NO</w:t>
      </w:r>
      <w:r w:rsidRPr="0046315C">
        <w:rPr>
          <w:rFonts w:eastAsia="Calibri"/>
          <w:szCs w:val="22"/>
          <w:vertAlign w:val="subscript"/>
          <w:lang w:eastAsia="en-US"/>
        </w:rPr>
        <w:t>3</w:t>
      </w:r>
      <w:r w:rsidRPr="0046315C">
        <w:rPr>
          <w:rFonts w:eastAsia="Calibri"/>
          <w:szCs w:val="22"/>
          <w:vertAlign w:val="superscript"/>
          <w:lang w:eastAsia="en-US"/>
        </w:rPr>
        <w:t xml:space="preserve">- </w:t>
      </w:r>
      <w:r w:rsidRPr="0046315C">
        <w:rPr>
          <w:rFonts w:eastAsia="Calibri"/>
          <w:szCs w:val="22"/>
          <w:lang w:eastAsia="en-US"/>
        </w:rPr>
        <w:t>+ N-NO</w:t>
      </w:r>
      <w:r w:rsidRPr="0046315C">
        <w:rPr>
          <w:rFonts w:eastAsia="Calibri"/>
          <w:szCs w:val="22"/>
          <w:vertAlign w:val="subscript"/>
          <w:lang w:eastAsia="en-US"/>
        </w:rPr>
        <w:t>2</w:t>
      </w:r>
      <w:r w:rsidRPr="0046315C">
        <w:rPr>
          <w:rFonts w:eastAsia="Calibri"/>
          <w:szCs w:val="22"/>
          <w:vertAlign w:val="superscript"/>
          <w:lang w:eastAsia="en-US"/>
        </w:rPr>
        <w:t xml:space="preserve">- </w:t>
      </w:r>
      <w:r w:rsidRPr="0046315C">
        <w:rPr>
          <w:rFonts w:eastAsia="Calibri"/>
          <w:szCs w:val="22"/>
          <w:lang w:eastAsia="en-US"/>
        </w:rPr>
        <w:t>+ N-NH</w:t>
      </w:r>
      <w:r w:rsidRPr="0046315C">
        <w:rPr>
          <w:rFonts w:eastAsia="Calibri"/>
          <w:szCs w:val="22"/>
          <w:vertAlign w:val="subscript"/>
          <w:lang w:eastAsia="en-US"/>
        </w:rPr>
        <w:t>4</w:t>
      </w:r>
      <w:r w:rsidRPr="0046315C">
        <w:rPr>
          <w:rFonts w:eastAsia="Calibri"/>
          <w:szCs w:val="22"/>
          <w:vertAlign w:val="superscript"/>
          <w:lang w:eastAsia="en-US"/>
        </w:rPr>
        <w:t>+</w:t>
      </w:r>
      <w:r w:rsidRPr="0046315C">
        <w:rPr>
          <w:rFonts w:eastAsia="Calibri"/>
          <w:szCs w:val="22"/>
          <w:lang w:eastAsia="en-US"/>
        </w:rPr>
        <w:t>), ukupnog fosfora (TP) i rastvorenog neorganskog fosfora (DIP). Granične vrijednosti na nivou regije ili subregije još nisu dogovorene, te se prema Odluci 2017/848/EU</w:t>
      </w:r>
      <w:r w:rsidRPr="0046315C">
        <w:rPr>
          <w:rFonts w:eastAsia="Calibri"/>
          <w:szCs w:val="22"/>
          <w:vertAlign w:val="superscript"/>
          <w:lang w:eastAsia="en-US"/>
        </w:rPr>
        <w:footnoteReference w:id="23"/>
      </w:r>
      <w:r w:rsidRPr="0046315C">
        <w:rPr>
          <w:rFonts w:eastAsia="Calibri"/>
          <w:szCs w:val="22"/>
          <w:lang w:eastAsia="en-US"/>
        </w:rPr>
        <w:t xml:space="preserve"> mogu primijeniti postojeće granične vrijednosti na nacionalnom nivou. Za crnogorski dio Jadranske obale su za vodna tijela definisane granične vrijednosti između pojedinih kategorija stanja okoline za osnovne fizičko-hemijske parametre, uključujući i koncentracije neorganskog azota, fosfata i ukupnog fosfora (</w:t>
      </w:r>
      <w:r w:rsidRPr="0046315C">
        <w:rPr>
          <w:rFonts w:eastAsia="Calibri" w:cs="Calibri"/>
          <w:szCs w:val="22"/>
          <w:lang w:eastAsia="en-US"/>
        </w:rPr>
        <w:t>Pravilnik o načinu i rokovima utvrđivanja statusa površinskih voda – Službeni list CG 25/19</w:t>
      </w:r>
      <w:r w:rsidRPr="0046315C">
        <w:rPr>
          <w:rFonts w:eastAsia="Calibri"/>
          <w:szCs w:val="22"/>
          <w:lang w:eastAsia="en-US"/>
        </w:rPr>
        <w:t xml:space="preserve">) (Tabela 2.13). </w:t>
      </w:r>
    </w:p>
    <w:p w14:paraId="332D863F" w14:textId="77777777" w:rsidR="0046315C" w:rsidRPr="0046315C" w:rsidRDefault="0046315C" w:rsidP="0046315C">
      <w:pPr>
        <w:autoSpaceDE w:val="0"/>
        <w:autoSpaceDN w:val="0"/>
        <w:adjustRightInd w:val="0"/>
        <w:spacing w:before="0" w:after="0"/>
        <w:rPr>
          <w:rFonts w:eastAsia="Calibri"/>
          <w:szCs w:val="22"/>
          <w:lang w:eastAsia="en-US"/>
        </w:rPr>
      </w:pPr>
    </w:p>
    <w:p w14:paraId="7483EE16" w14:textId="05B2D967" w:rsidR="0046315C" w:rsidRPr="0046315C" w:rsidRDefault="0046315C" w:rsidP="0046315C">
      <w:pPr>
        <w:spacing w:before="0" w:after="200" w:line="240" w:lineRule="auto"/>
        <w:rPr>
          <w:rFonts w:eastAsia="Calibri"/>
          <w:szCs w:val="22"/>
          <w:lang w:eastAsia="en-US"/>
        </w:rPr>
      </w:pPr>
      <w:r w:rsidRPr="0046315C">
        <w:rPr>
          <w:rFonts w:eastAsia="Calibri"/>
          <w:b/>
          <w:szCs w:val="22"/>
          <w:lang w:eastAsia="en-US"/>
        </w:rPr>
        <w:t xml:space="preserve">Tabela 2.13. Granične vrijednosti kategorija stanja </w:t>
      </w:r>
      <w:r w:rsidR="00534546">
        <w:rPr>
          <w:rFonts w:eastAsia="Calibri"/>
          <w:b/>
          <w:szCs w:val="22"/>
          <w:lang w:eastAsia="en-US"/>
        </w:rPr>
        <w:t>sredine</w:t>
      </w:r>
      <w:r w:rsidRPr="0046315C">
        <w:rPr>
          <w:rFonts w:eastAsia="Calibri"/>
          <w:b/>
          <w:szCs w:val="22"/>
          <w:lang w:eastAsia="en-US"/>
        </w:rPr>
        <w:t xml:space="preserve"> za nutrijente u priobalnim vodama Crne Gore </w:t>
      </w:r>
      <w:r w:rsidRPr="0046315C">
        <w:rPr>
          <w:rFonts w:eastAsia="Calibri" w:cs="Arial"/>
          <w:szCs w:val="22"/>
          <w:lang w:eastAsia="en-US"/>
        </w:rPr>
        <w:t>(Izvod iz Pravilnika</w:t>
      </w:r>
      <w:r w:rsidRPr="0046315C">
        <w:rPr>
          <w:rFonts w:eastAsia="Calibri" w:cs="Calibri"/>
          <w:szCs w:val="22"/>
          <w:lang w:eastAsia="en-US"/>
        </w:rPr>
        <w:t xml:space="preserve"> o načinu i rokovima utvrđivanja statusa površinskih voda, Sl.list CG 25/19)</w:t>
      </w:r>
      <w:r w:rsidRPr="0046315C">
        <w:rPr>
          <w:rFonts w:eastAsia="Calibri" w:cs="Calibri"/>
          <w:szCs w:val="22"/>
          <w:vertAlign w:val="superscript"/>
          <w:lang w:eastAsia="en-US"/>
        </w:rPr>
        <w:footnoteReference w:id="24"/>
      </w:r>
      <w:r w:rsidRPr="0046315C">
        <w:rPr>
          <w:rFonts w:eastAsia="Calibri" w:cs="Arial"/>
          <w:szCs w:val="22"/>
          <w:lang w:eastAsia="en-US"/>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551"/>
        <w:gridCol w:w="1134"/>
        <w:gridCol w:w="1701"/>
        <w:gridCol w:w="2268"/>
      </w:tblGrid>
      <w:tr w:rsidR="0046315C" w:rsidRPr="0046315C" w14:paraId="3C134AF8" w14:textId="77777777" w:rsidTr="006E7A44">
        <w:trPr>
          <w:trHeight w:val="582"/>
        </w:trPr>
        <w:tc>
          <w:tcPr>
            <w:tcW w:w="1418" w:type="dxa"/>
            <w:tcBorders>
              <w:top w:val="single" w:sz="4" w:space="0" w:color="auto"/>
              <w:left w:val="single" w:sz="4" w:space="0" w:color="auto"/>
              <w:bottom w:val="single" w:sz="4" w:space="0" w:color="FFFFFF" w:themeColor="background1"/>
              <w:right w:val="single" w:sz="4" w:space="0" w:color="FFFFFF" w:themeColor="background1"/>
            </w:tcBorders>
            <w:shd w:val="clear" w:color="auto" w:fill="1F497D" w:themeFill="text2"/>
            <w:noWrap/>
            <w:vAlign w:val="bottom"/>
            <w:hideMark/>
          </w:tcPr>
          <w:p w14:paraId="0451B29D" w14:textId="77777777" w:rsidR="0046315C" w:rsidRPr="00821043" w:rsidRDefault="0046315C" w:rsidP="0046315C">
            <w:pPr>
              <w:spacing w:before="0" w:after="0" w:line="240" w:lineRule="auto"/>
              <w:jc w:val="left"/>
              <w:rPr>
                <w:b/>
                <w:color w:val="FFFFFF" w:themeColor="background1"/>
                <w:szCs w:val="22"/>
                <w:lang w:eastAsia="en-US"/>
              </w:rPr>
            </w:pPr>
            <w:r w:rsidRPr="00821043">
              <w:rPr>
                <w:b/>
                <w:color w:val="FFFFFF" w:themeColor="background1"/>
                <w:szCs w:val="22"/>
                <w:lang w:eastAsia="en-US"/>
              </w:rPr>
              <w:t>Element kvaliteta</w:t>
            </w:r>
          </w:p>
        </w:tc>
        <w:tc>
          <w:tcPr>
            <w:tcW w:w="2551"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1F497D" w:themeFill="text2"/>
            <w:vAlign w:val="bottom"/>
            <w:hideMark/>
          </w:tcPr>
          <w:p w14:paraId="4D3DE4CF" w14:textId="77777777" w:rsidR="0046315C" w:rsidRPr="00821043" w:rsidRDefault="0046315C" w:rsidP="0046315C">
            <w:pPr>
              <w:spacing w:before="0" w:after="0" w:line="240" w:lineRule="auto"/>
              <w:jc w:val="left"/>
              <w:rPr>
                <w:b/>
                <w:color w:val="FFFFFF" w:themeColor="background1"/>
                <w:szCs w:val="22"/>
                <w:lang w:eastAsia="en-US"/>
              </w:rPr>
            </w:pPr>
            <w:r w:rsidRPr="00821043">
              <w:rPr>
                <w:b/>
                <w:color w:val="FFFFFF" w:themeColor="background1"/>
                <w:szCs w:val="22"/>
                <w:lang w:eastAsia="en-US"/>
              </w:rPr>
              <w:t>Parametri</w:t>
            </w:r>
          </w:p>
        </w:tc>
        <w:tc>
          <w:tcPr>
            <w:tcW w:w="1134"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1F497D" w:themeFill="text2"/>
            <w:noWrap/>
            <w:vAlign w:val="bottom"/>
            <w:hideMark/>
          </w:tcPr>
          <w:p w14:paraId="5A7FC6BE" w14:textId="77777777" w:rsidR="0046315C" w:rsidRPr="00821043" w:rsidRDefault="0046315C" w:rsidP="0046315C">
            <w:pPr>
              <w:spacing w:before="0" w:after="0" w:line="240" w:lineRule="auto"/>
              <w:jc w:val="left"/>
              <w:rPr>
                <w:b/>
                <w:color w:val="FFFFFF" w:themeColor="background1"/>
                <w:szCs w:val="22"/>
                <w:lang w:eastAsia="en-US"/>
              </w:rPr>
            </w:pPr>
            <w:r w:rsidRPr="00821043">
              <w:rPr>
                <w:b/>
                <w:color w:val="FFFFFF" w:themeColor="background1"/>
                <w:szCs w:val="22"/>
                <w:lang w:eastAsia="en-US"/>
              </w:rPr>
              <w:t>Jedinica</w:t>
            </w:r>
          </w:p>
        </w:tc>
        <w:tc>
          <w:tcPr>
            <w:tcW w:w="3969" w:type="dxa"/>
            <w:gridSpan w:val="2"/>
            <w:tcBorders>
              <w:top w:val="single" w:sz="4" w:space="0" w:color="auto"/>
              <w:left w:val="single" w:sz="4" w:space="0" w:color="FFFFFF" w:themeColor="background1"/>
              <w:bottom w:val="single" w:sz="4" w:space="0" w:color="FFFFFF" w:themeColor="background1"/>
              <w:right w:val="single" w:sz="4" w:space="0" w:color="auto"/>
            </w:tcBorders>
            <w:shd w:val="clear" w:color="auto" w:fill="1F497D" w:themeFill="text2"/>
            <w:vAlign w:val="bottom"/>
            <w:hideMark/>
          </w:tcPr>
          <w:p w14:paraId="72F8564A" w14:textId="07AD00C5" w:rsidR="0046315C" w:rsidRPr="00821043" w:rsidRDefault="0046315C" w:rsidP="0046315C">
            <w:pPr>
              <w:spacing w:before="0" w:after="0" w:line="240" w:lineRule="auto"/>
              <w:jc w:val="center"/>
              <w:rPr>
                <w:b/>
                <w:color w:val="FFFFFF" w:themeColor="background1"/>
                <w:szCs w:val="22"/>
                <w:lang w:eastAsia="en-US"/>
              </w:rPr>
            </w:pPr>
            <w:r w:rsidRPr="00821043">
              <w:rPr>
                <w:b/>
                <w:color w:val="FFFFFF" w:themeColor="background1"/>
                <w:szCs w:val="22"/>
                <w:lang w:eastAsia="en-US"/>
              </w:rPr>
              <w:t xml:space="preserve">Granične vrijednosti za ekološki status </w:t>
            </w:r>
            <w:r w:rsidR="00821043">
              <w:rPr>
                <w:b/>
                <w:color w:val="FFFFFF" w:themeColor="background1"/>
                <w:szCs w:val="22"/>
                <w:lang w:eastAsia="en-US"/>
              </w:rPr>
              <w:t>-</w:t>
            </w:r>
            <w:r w:rsidRPr="00821043">
              <w:rPr>
                <w:b/>
                <w:color w:val="FFFFFF" w:themeColor="background1"/>
                <w:szCs w:val="22"/>
                <w:lang w:eastAsia="en-US"/>
              </w:rPr>
              <w:t xml:space="preserve">  donja granica kategorije</w:t>
            </w:r>
          </w:p>
        </w:tc>
      </w:tr>
      <w:tr w:rsidR="0046315C" w:rsidRPr="0046315C" w14:paraId="1354E28C" w14:textId="77777777" w:rsidTr="00C428F5">
        <w:trPr>
          <w:trHeight w:val="291"/>
        </w:trPr>
        <w:tc>
          <w:tcPr>
            <w:tcW w:w="1418" w:type="dxa"/>
            <w:tcBorders>
              <w:top w:val="single" w:sz="4" w:space="0" w:color="FFFFFF" w:themeColor="background1"/>
              <w:left w:val="single" w:sz="4" w:space="0" w:color="auto"/>
              <w:bottom w:val="single" w:sz="4" w:space="0" w:color="auto"/>
              <w:right w:val="single" w:sz="4" w:space="0" w:color="auto"/>
            </w:tcBorders>
            <w:noWrap/>
            <w:vAlign w:val="bottom"/>
            <w:hideMark/>
          </w:tcPr>
          <w:p w14:paraId="4B2FF01F" w14:textId="77777777" w:rsidR="0046315C" w:rsidRPr="0046315C" w:rsidRDefault="0046315C" w:rsidP="0046315C">
            <w:pPr>
              <w:spacing w:before="0" w:after="200"/>
              <w:jc w:val="left"/>
              <w:rPr>
                <w:b/>
                <w:color w:val="000000"/>
                <w:szCs w:val="22"/>
                <w:lang w:eastAsia="en-US"/>
              </w:rPr>
            </w:pPr>
          </w:p>
        </w:tc>
        <w:tc>
          <w:tcPr>
            <w:tcW w:w="2551" w:type="dxa"/>
            <w:tcBorders>
              <w:top w:val="single" w:sz="4" w:space="0" w:color="FFFFFF" w:themeColor="background1"/>
              <w:left w:val="single" w:sz="4" w:space="0" w:color="auto"/>
              <w:bottom w:val="single" w:sz="4" w:space="0" w:color="auto"/>
              <w:right w:val="single" w:sz="4" w:space="0" w:color="auto"/>
            </w:tcBorders>
            <w:vAlign w:val="bottom"/>
            <w:hideMark/>
          </w:tcPr>
          <w:p w14:paraId="091BC1E9" w14:textId="77777777" w:rsidR="0046315C" w:rsidRPr="0046315C" w:rsidRDefault="0046315C" w:rsidP="0046315C">
            <w:pPr>
              <w:spacing w:before="0" w:after="0"/>
              <w:jc w:val="left"/>
              <w:rPr>
                <w:rFonts w:eastAsia="Calibri"/>
                <w:sz w:val="20"/>
                <w:szCs w:val="20"/>
                <w:lang w:val="hr-HR" w:eastAsia="hr-HR"/>
              </w:rPr>
            </w:pPr>
          </w:p>
        </w:tc>
        <w:tc>
          <w:tcPr>
            <w:tcW w:w="1134" w:type="dxa"/>
            <w:tcBorders>
              <w:top w:val="single" w:sz="4" w:space="0" w:color="FFFFFF" w:themeColor="background1"/>
              <w:left w:val="single" w:sz="4" w:space="0" w:color="auto"/>
              <w:bottom w:val="single" w:sz="4" w:space="0" w:color="auto"/>
              <w:right w:val="single" w:sz="4" w:space="0" w:color="auto"/>
            </w:tcBorders>
            <w:noWrap/>
            <w:vAlign w:val="bottom"/>
            <w:hideMark/>
          </w:tcPr>
          <w:p w14:paraId="08EAC9A9" w14:textId="77777777" w:rsidR="0046315C" w:rsidRPr="0046315C" w:rsidRDefault="0046315C" w:rsidP="0046315C">
            <w:pPr>
              <w:spacing w:before="0" w:after="0"/>
              <w:jc w:val="left"/>
              <w:rPr>
                <w:rFonts w:eastAsia="Calibri"/>
                <w:sz w:val="20"/>
                <w:szCs w:val="20"/>
                <w:lang w:val="hr-HR" w:eastAsia="hr-HR"/>
              </w:rPr>
            </w:pPr>
          </w:p>
        </w:tc>
        <w:tc>
          <w:tcPr>
            <w:tcW w:w="1701" w:type="dxa"/>
            <w:tcBorders>
              <w:top w:val="single" w:sz="4" w:space="0" w:color="FFFFFF" w:themeColor="background1"/>
              <w:left w:val="single" w:sz="4" w:space="0" w:color="auto"/>
              <w:bottom w:val="single" w:sz="4" w:space="0" w:color="auto"/>
              <w:right w:val="single" w:sz="4" w:space="0" w:color="auto"/>
            </w:tcBorders>
            <w:noWrap/>
            <w:vAlign w:val="bottom"/>
            <w:hideMark/>
          </w:tcPr>
          <w:p w14:paraId="32470CD8" w14:textId="77777777" w:rsidR="0046315C" w:rsidRPr="0046315C" w:rsidRDefault="0046315C" w:rsidP="0046315C">
            <w:pPr>
              <w:spacing w:before="0" w:after="0" w:line="240" w:lineRule="auto"/>
              <w:jc w:val="center"/>
              <w:rPr>
                <w:rFonts w:cs="Calibri"/>
                <w:color w:val="000000"/>
                <w:sz w:val="20"/>
                <w:szCs w:val="20"/>
                <w:lang w:eastAsia="en-US"/>
              </w:rPr>
            </w:pPr>
            <w:r w:rsidRPr="0046315C">
              <w:rPr>
                <w:rFonts w:cs="Calibri"/>
                <w:color w:val="000000"/>
                <w:sz w:val="20"/>
                <w:szCs w:val="20"/>
                <w:lang w:eastAsia="en-US"/>
              </w:rPr>
              <w:t>VRLO DOBAR</w:t>
            </w:r>
          </w:p>
        </w:tc>
        <w:tc>
          <w:tcPr>
            <w:tcW w:w="2268" w:type="dxa"/>
            <w:tcBorders>
              <w:top w:val="single" w:sz="4" w:space="0" w:color="FFFFFF" w:themeColor="background1"/>
              <w:left w:val="single" w:sz="4" w:space="0" w:color="auto"/>
              <w:bottom w:val="single" w:sz="4" w:space="0" w:color="auto"/>
              <w:right w:val="single" w:sz="4" w:space="0" w:color="auto"/>
            </w:tcBorders>
            <w:noWrap/>
            <w:vAlign w:val="bottom"/>
            <w:hideMark/>
          </w:tcPr>
          <w:p w14:paraId="6AC49A00" w14:textId="77777777" w:rsidR="0046315C" w:rsidRPr="0046315C" w:rsidRDefault="0046315C" w:rsidP="0046315C">
            <w:pPr>
              <w:spacing w:before="0" w:after="0" w:line="240" w:lineRule="auto"/>
              <w:jc w:val="center"/>
              <w:rPr>
                <w:rFonts w:cs="Calibri"/>
                <w:color w:val="000000"/>
                <w:sz w:val="20"/>
                <w:szCs w:val="20"/>
                <w:lang w:eastAsia="en-US"/>
              </w:rPr>
            </w:pPr>
            <w:r w:rsidRPr="0046315C">
              <w:rPr>
                <w:rFonts w:cs="Calibri"/>
                <w:color w:val="000000"/>
                <w:sz w:val="20"/>
                <w:szCs w:val="20"/>
                <w:lang w:eastAsia="en-US"/>
              </w:rPr>
              <w:t>DOBAR</w:t>
            </w:r>
          </w:p>
        </w:tc>
      </w:tr>
      <w:tr w:rsidR="0046315C" w:rsidRPr="0046315C" w14:paraId="4B4558E1" w14:textId="77777777" w:rsidTr="00C428F5">
        <w:trPr>
          <w:trHeight w:val="291"/>
        </w:trPr>
        <w:tc>
          <w:tcPr>
            <w:tcW w:w="1418" w:type="dxa"/>
            <w:vMerge w:val="restart"/>
            <w:tcBorders>
              <w:top w:val="single" w:sz="4" w:space="0" w:color="auto"/>
              <w:left w:val="single" w:sz="4" w:space="0" w:color="auto"/>
              <w:bottom w:val="single" w:sz="4" w:space="0" w:color="auto"/>
              <w:right w:val="single" w:sz="4" w:space="0" w:color="auto"/>
            </w:tcBorders>
            <w:noWrap/>
            <w:vAlign w:val="center"/>
            <w:hideMark/>
          </w:tcPr>
          <w:p w14:paraId="3A83C198" w14:textId="77777777" w:rsidR="0046315C" w:rsidRPr="0046315C" w:rsidRDefault="0046315C" w:rsidP="0046315C">
            <w:pPr>
              <w:spacing w:before="0" w:after="0" w:line="240" w:lineRule="auto"/>
              <w:jc w:val="left"/>
              <w:rPr>
                <w:rFonts w:cs="Calibri"/>
                <w:color w:val="000000"/>
                <w:sz w:val="20"/>
                <w:szCs w:val="20"/>
                <w:lang w:eastAsia="en-US"/>
              </w:rPr>
            </w:pPr>
            <w:r w:rsidRPr="0046315C">
              <w:rPr>
                <w:rFonts w:cs="Calibri"/>
                <w:color w:val="000000"/>
                <w:sz w:val="20"/>
                <w:szCs w:val="20"/>
                <w:lang w:eastAsia="en-US"/>
              </w:rPr>
              <w:t>Stanje nutrijenata</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6BA6A88D" w14:textId="77777777" w:rsidR="0046315C" w:rsidRPr="0046315C" w:rsidRDefault="0046315C" w:rsidP="0046315C">
            <w:pPr>
              <w:spacing w:before="0" w:after="0" w:line="240" w:lineRule="auto"/>
              <w:jc w:val="left"/>
              <w:rPr>
                <w:rFonts w:cs="Calibri"/>
                <w:color w:val="000000"/>
                <w:sz w:val="20"/>
                <w:szCs w:val="20"/>
                <w:lang w:eastAsia="en-US"/>
              </w:rPr>
            </w:pPr>
            <w:r w:rsidRPr="0046315C">
              <w:rPr>
                <w:rFonts w:cs="Calibri"/>
                <w:color w:val="000000"/>
                <w:sz w:val="20"/>
                <w:szCs w:val="20"/>
                <w:lang w:eastAsia="en-US"/>
              </w:rPr>
              <w:t>rastvoreni neorganski azot (DIN)</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739D1C3C" w14:textId="77777777" w:rsidR="0046315C" w:rsidRPr="0046315C" w:rsidRDefault="0046315C" w:rsidP="0046315C">
            <w:pPr>
              <w:spacing w:before="0" w:after="0" w:line="240" w:lineRule="auto"/>
              <w:jc w:val="left"/>
              <w:rPr>
                <w:rFonts w:cs="Calibri"/>
                <w:color w:val="000000"/>
                <w:sz w:val="20"/>
                <w:szCs w:val="20"/>
                <w:vertAlign w:val="superscript"/>
                <w:lang w:eastAsia="en-US"/>
              </w:rPr>
            </w:pPr>
            <w:r w:rsidRPr="0046315C">
              <w:rPr>
                <w:rFonts w:cs="Calibri"/>
                <w:color w:val="000000"/>
                <w:sz w:val="20"/>
                <w:szCs w:val="20"/>
                <w:lang w:eastAsia="en-US"/>
              </w:rPr>
              <w:t>µmol L</w:t>
            </w:r>
            <w:r w:rsidRPr="0046315C">
              <w:rPr>
                <w:rFonts w:cs="Calibri"/>
                <w:color w:val="000000"/>
                <w:sz w:val="20"/>
                <w:szCs w:val="20"/>
                <w:vertAlign w:val="superscript"/>
                <w:lang w:eastAsia="en-US"/>
              </w:rPr>
              <w:t>-1</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D51231A" w14:textId="77777777" w:rsidR="0046315C" w:rsidRPr="0046315C" w:rsidRDefault="0046315C" w:rsidP="0046315C">
            <w:pPr>
              <w:spacing w:before="0" w:after="0" w:line="240" w:lineRule="auto"/>
              <w:jc w:val="center"/>
              <w:rPr>
                <w:rFonts w:cs="Calibri"/>
                <w:color w:val="000000"/>
                <w:sz w:val="20"/>
                <w:szCs w:val="20"/>
                <w:lang w:eastAsia="en-US"/>
              </w:rPr>
            </w:pPr>
            <w:r w:rsidRPr="0046315C">
              <w:rPr>
                <w:rFonts w:cs="Calibri"/>
                <w:color w:val="000000"/>
                <w:sz w:val="20"/>
                <w:szCs w:val="20"/>
                <w:lang w:eastAsia="en-US"/>
              </w:rPr>
              <w:t>35.2</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5CBC9FA5" w14:textId="77777777" w:rsidR="0046315C" w:rsidRPr="0046315C" w:rsidRDefault="0046315C" w:rsidP="0046315C">
            <w:pPr>
              <w:spacing w:before="0" w:after="0" w:line="240" w:lineRule="auto"/>
              <w:jc w:val="center"/>
              <w:rPr>
                <w:rFonts w:cs="Calibri"/>
                <w:color w:val="000000"/>
                <w:sz w:val="20"/>
                <w:szCs w:val="20"/>
                <w:lang w:eastAsia="en-US"/>
              </w:rPr>
            </w:pPr>
            <w:r w:rsidRPr="0046315C">
              <w:rPr>
                <w:rFonts w:cs="Calibri"/>
                <w:color w:val="000000"/>
                <w:sz w:val="20"/>
                <w:szCs w:val="20"/>
                <w:lang w:eastAsia="en-US"/>
              </w:rPr>
              <w:t>70.8</w:t>
            </w:r>
          </w:p>
        </w:tc>
      </w:tr>
      <w:tr w:rsidR="0046315C" w:rsidRPr="0046315C" w14:paraId="4848061A" w14:textId="77777777" w:rsidTr="00C428F5">
        <w:trPr>
          <w:trHeight w:val="291"/>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3E6F84B5" w14:textId="77777777" w:rsidR="0046315C" w:rsidRPr="0046315C" w:rsidRDefault="0046315C" w:rsidP="0046315C">
            <w:pPr>
              <w:spacing w:before="0" w:after="0"/>
              <w:jc w:val="left"/>
              <w:rPr>
                <w:rFonts w:cs="Calibri"/>
                <w:color w:val="000000"/>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5742ECD8" w14:textId="77777777" w:rsidR="0046315C" w:rsidRPr="0046315C" w:rsidRDefault="0046315C" w:rsidP="0046315C">
            <w:pPr>
              <w:spacing w:before="0" w:after="0" w:line="240" w:lineRule="auto"/>
              <w:jc w:val="left"/>
              <w:rPr>
                <w:rFonts w:cs="Calibri"/>
                <w:color w:val="000000"/>
                <w:sz w:val="20"/>
                <w:szCs w:val="20"/>
                <w:lang w:eastAsia="en-US"/>
              </w:rPr>
            </w:pPr>
            <w:r w:rsidRPr="0046315C">
              <w:rPr>
                <w:rFonts w:cs="Calibri"/>
                <w:color w:val="000000"/>
                <w:sz w:val="20"/>
                <w:szCs w:val="20"/>
                <w:lang w:eastAsia="en-US"/>
              </w:rPr>
              <w:t>fosfati (P-PO</w:t>
            </w:r>
            <w:r w:rsidRPr="0046315C">
              <w:rPr>
                <w:rFonts w:cs="Calibri"/>
                <w:color w:val="000000"/>
                <w:sz w:val="20"/>
                <w:szCs w:val="20"/>
                <w:vertAlign w:val="subscript"/>
                <w:lang w:eastAsia="en-US"/>
              </w:rPr>
              <w:t>4</w:t>
            </w:r>
            <w:r w:rsidRPr="0046315C">
              <w:rPr>
                <w:rFonts w:cs="Calibri"/>
                <w:color w:val="000000"/>
                <w:sz w:val="20"/>
                <w:szCs w:val="20"/>
                <w:vertAlign w:val="superscript"/>
                <w:lang w:eastAsia="en-US"/>
              </w:rPr>
              <w:t>3-</w:t>
            </w:r>
            <w:r w:rsidRPr="0046315C">
              <w:rPr>
                <w:rFonts w:cs="Calibri"/>
                <w:color w:val="000000"/>
                <w:sz w:val="20"/>
                <w:szCs w:val="20"/>
                <w:lang w:eastAsia="en-US"/>
              </w:rPr>
              <w:t>)</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D84F32F" w14:textId="77777777" w:rsidR="0046315C" w:rsidRPr="0046315C" w:rsidRDefault="0046315C" w:rsidP="0046315C">
            <w:pPr>
              <w:spacing w:before="0" w:after="0" w:line="240" w:lineRule="auto"/>
              <w:jc w:val="left"/>
              <w:rPr>
                <w:rFonts w:cs="Calibri"/>
                <w:color w:val="000000"/>
                <w:sz w:val="20"/>
                <w:szCs w:val="20"/>
                <w:vertAlign w:val="superscript"/>
                <w:lang w:eastAsia="en-US"/>
              </w:rPr>
            </w:pPr>
            <w:r w:rsidRPr="0046315C">
              <w:rPr>
                <w:rFonts w:cs="Calibri"/>
                <w:color w:val="000000"/>
                <w:sz w:val="20"/>
                <w:szCs w:val="20"/>
                <w:lang w:eastAsia="en-US"/>
              </w:rPr>
              <w:t>µmol L</w:t>
            </w:r>
            <w:r w:rsidRPr="0046315C">
              <w:rPr>
                <w:rFonts w:cs="Calibri"/>
                <w:color w:val="000000"/>
                <w:sz w:val="20"/>
                <w:szCs w:val="20"/>
                <w:vertAlign w:val="superscript"/>
                <w:lang w:eastAsia="en-US"/>
              </w:rPr>
              <w:t>-1</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0722E50" w14:textId="77777777" w:rsidR="0046315C" w:rsidRPr="0046315C" w:rsidRDefault="0046315C" w:rsidP="0046315C">
            <w:pPr>
              <w:spacing w:before="0" w:after="0" w:line="240" w:lineRule="auto"/>
              <w:jc w:val="center"/>
              <w:rPr>
                <w:rFonts w:cs="Calibri"/>
                <w:color w:val="000000"/>
                <w:sz w:val="20"/>
                <w:szCs w:val="20"/>
                <w:lang w:eastAsia="en-US"/>
              </w:rPr>
            </w:pPr>
            <w:r w:rsidRPr="0046315C">
              <w:rPr>
                <w:rFonts w:cs="Calibri"/>
                <w:color w:val="000000"/>
                <w:sz w:val="20"/>
                <w:szCs w:val="20"/>
                <w:lang w:eastAsia="en-US"/>
              </w:rPr>
              <w:t>0.42</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27677D8B" w14:textId="77777777" w:rsidR="0046315C" w:rsidRPr="0046315C" w:rsidRDefault="0046315C" w:rsidP="0046315C">
            <w:pPr>
              <w:spacing w:before="0" w:after="0" w:line="240" w:lineRule="auto"/>
              <w:jc w:val="center"/>
              <w:rPr>
                <w:rFonts w:cs="Calibri"/>
                <w:color w:val="000000"/>
                <w:sz w:val="20"/>
                <w:szCs w:val="20"/>
                <w:lang w:eastAsia="en-US"/>
              </w:rPr>
            </w:pPr>
            <w:r w:rsidRPr="0046315C">
              <w:rPr>
                <w:rFonts w:cs="Calibri"/>
                <w:color w:val="000000"/>
                <w:sz w:val="20"/>
                <w:szCs w:val="20"/>
                <w:lang w:eastAsia="en-US"/>
              </w:rPr>
              <w:t>1.26</w:t>
            </w:r>
          </w:p>
        </w:tc>
      </w:tr>
      <w:tr w:rsidR="0046315C" w:rsidRPr="0046315C" w14:paraId="60DC8C1E" w14:textId="77777777" w:rsidTr="00C428F5">
        <w:trPr>
          <w:trHeight w:val="291"/>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0E1EEDAA" w14:textId="77777777" w:rsidR="0046315C" w:rsidRPr="0046315C" w:rsidRDefault="0046315C" w:rsidP="0046315C">
            <w:pPr>
              <w:spacing w:before="0" w:after="0"/>
              <w:jc w:val="left"/>
              <w:rPr>
                <w:rFonts w:cs="Calibri"/>
                <w:color w:val="000000"/>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53903A8B" w14:textId="77777777" w:rsidR="0046315C" w:rsidRPr="0046315C" w:rsidRDefault="0046315C" w:rsidP="0046315C">
            <w:pPr>
              <w:spacing w:before="0" w:after="0" w:line="240" w:lineRule="auto"/>
              <w:jc w:val="left"/>
              <w:rPr>
                <w:rFonts w:cs="Calibri"/>
                <w:color w:val="000000"/>
                <w:sz w:val="20"/>
                <w:szCs w:val="20"/>
                <w:lang w:eastAsia="en-US"/>
              </w:rPr>
            </w:pPr>
            <w:r w:rsidRPr="0046315C">
              <w:rPr>
                <w:rFonts w:cs="Calibri"/>
                <w:color w:val="000000"/>
                <w:sz w:val="20"/>
                <w:szCs w:val="20"/>
                <w:lang w:eastAsia="en-US"/>
              </w:rPr>
              <w:t>ukupan fosfor (TP)</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F22D1A4" w14:textId="77777777" w:rsidR="0046315C" w:rsidRPr="0046315C" w:rsidRDefault="0046315C" w:rsidP="0046315C">
            <w:pPr>
              <w:spacing w:before="0" w:after="0" w:line="240" w:lineRule="auto"/>
              <w:jc w:val="left"/>
              <w:rPr>
                <w:rFonts w:cs="Calibri"/>
                <w:color w:val="000000"/>
                <w:sz w:val="20"/>
                <w:szCs w:val="20"/>
                <w:vertAlign w:val="superscript"/>
                <w:lang w:eastAsia="en-US"/>
              </w:rPr>
            </w:pPr>
            <w:r w:rsidRPr="0046315C">
              <w:rPr>
                <w:rFonts w:cs="Calibri"/>
                <w:color w:val="000000"/>
                <w:sz w:val="20"/>
                <w:szCs w:val="20"/>
                <w:lang w:eastAsia="en-US"/>
              </w:rPr>
              <w:t>µmol L</w:t>
            </w:r>
            <w:r w:rsidRPr="0046315C">
              <w:rPr>
                <w:rFonts w:cs="Calibri"/>
                <w:color w:val="000000"/>
                <w:sz w:val="20"/>
                <w:szCs w:val="20"/>
                <w:vertAlign w:val="superscript"/>
                <w:lang w:eastAsia="en-US"/>
              </w:rPr>
              <w:t>-1</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5D1770A" w14:textId="77777777" w:rsidR="0046315C" w:rsidRPr="0046315C" w:rsidRDefault="0046315C" w:rsidP="0046315C">
            <w:pPr>
              <w:spacing w:before="0" w:after="0" w:line="240" w:lineRule="auto"/>
              <w:jc w:val="center"/>
              <w:rPr>
                <w:rFonts w:cs="Calibri"/>
                <w:color w:val="000000"/>
                <w:sz w:val="20"/>
                <w:szCs w:val="20"/>
                <w:lang w:eastAsia="en-US"/>
              </w:rPr>
            </w:pPr>
            <w:r w:rsidRPr="0046315C">
              <w:rPr>
                <w:rFonts w:cs="Calibri"/>
                <w:color w:val="000000"/>
                <w:sz w:val="20"/>
                <w:szCs w:val="20"/>
                <w:lang w:eastAsia="en-US"/>
              </w:rPr>
              <w:t>0.65</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5FD09B24" w14:textId="77777777" w:rsidR="0046315C" w:rsidRPr="0046315C" w:rsidRDefault="0046315C" w:rsidP="0046315C">
            <w:pPr>
              <w:spacing w:before="0" w:after="0" w:line="240" w:lineRule="auto"/>
              <w:jc w:val="center"/>
              <w:rPr>
                <w:rFonts w:cs="Calibri"/>
                <w:color w:val="000000"/>
                <w:sz w:val="20"/>
                <w:szCs w:val="20"/>
                <w:lang w:eastAsia="en-US"/>
              </w:rPr>
            </w:pPr>
            <w:r w:rsidRPr="0046315C">
              <w:rPr>
                <w:rFonts w:cs="Calibri"/>
                <w:color w:val="000000"/>
                <w:sz w:val="20"/>
                <w:szCs w:val="20"/>
                <w:lang w:eastAsia="en-US"/>
              </w:rPr>
              <w:t>1.94</w:t>
            </w:r>
          </w:p>
        </w:tc>
      </w:tr>
      <w:tr w:rsidR="0046315C" w:rsidRPr="0046315C" w14:paraId="49D0D07D" w14:textId="77777777" w:rsidTr="00C428F5">
        <w:trPr>
          <w:trHeight w:val="291"/>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07F84527" w14:textId="77777777" w:rsidR="0046315C" w:rsidRPr="0046315C" w:rsidRDefault="0046315C" w:rsidP="0046315C">
            <w:pPr>
              <w:spacing w:before="0" w:after="0"/>
              <w:jc w:val="left"/>
              <w:rPr>
                <w:rFonts w:cs="Calibri"/>
                <w:color w:val="000000"/>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5A818C02" w14:textId="77777777" w:rsidR="0046315C" w:rsidRPr="0046315C" w:rsidRDefault="0046315C" w:rsidP="0046315C">
            <w:pPr>
              <w:spacing w:before="0" w:after="0" w:line="240" w:lineRule="auto"/>
              <w:jc w:val="left"/>
              <w:rPr>
                <w:rFonts w:cs="Calibri"/>
                <w:color w:val="000000"/>
                <w:sz w:val="20"/>
                <w:szCs w:val="20"/>
                <w:lang w:eastAsia="en-US"/>
              </w:rPr>
            </w:pPr>
            <w:r w:rsidRPr="0046315C">
              <w:rPr>
                <w:rFonts w:cs="Calibri"/>
                <w:color w:val="000000"/>
                <w:sz w:val="20"/>
                <w:szCs w:val="20"/>
                <w:lang w:eastAsia="en-US"/>
              </w:rPr>
              <w:t>ukupan azot (TN)</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6E51453" w14:textId="77777777" w:rsidR="0046315C" w:rsidRPr="0046315C" w:rsidRDefault="0046315C" w:rsidP="0046315C">
            <w:pPr>
              <w:spacing w:before="0" w:after="0" w:line="240" w:lineRule="auto"/>
              <w:jc w:val="left"/>
              <w:rPr>
                <w:rFonts w:cs="Calibri"/>
                <w:color w:val="000000"/>
                <w:sz w:val="20"/>
                <w:szCs w:val="20"/>
                <w:vertAlign w:val="superscript"/>
                <w:lang w:eastAsia="en-US"/>
              </w:rPr>
            </w:pPr>
            <w:r w:rsidRPr="0046315C">
              <w:rPr>
                <w:rFonts w:cs="Calibri"/>
                <w:color w:val="000000"/>
                <w:sz w:val="20"/>
                <w:szCs w:val="20"/>
                <w:lang w:eastAsia="en-US"/>
              </w:rPr>
              <w:t>µmol L</w:t>
            </w:r>
            <w:r w:rsidRPr="0046315C">
              <w:rPr>
                <w:rFonts w:cs="Calibri"/>
                <w:color w:val="000000"/>
                <w:sz w:val="20"/>
                <w:szCs w:val="20"/>
                <w:vertAlign w:val="superscript"/>
                <w:lang w:eastAsia="en-US"/>
              </w:rPr>
              <w:t>-1</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D4987B3" w14:textId="77777777" w:rsidR="0046315C" w:rsidRPr="0046315C" w:rsidRDefault="0046315C" w:rsidP="0046315C">
            <w:pPr>
              <w:spacing w:before="0" w:after="0" w:line="240" w:lineRule="auto"/>
              <w:jc w:val="center"/>
              <w:rPr>
                <w:rFonts w:cs="Calibri"/>
                <w:color w:val="000000"/>
                <w:sz w:val="20"/>
                <w:szCs w:val="20"/>
                <w:lang w:eastAsia="en-US"/>
              </w:rPr>
            </w:pPr>
            <w:r w:rsidRPr="0046315C">
              <w:rPr>
                <w:rFonts w:cs="Calibri"/>
                <w:color w:val="000000"/>
                <w:sz w:val="20"/>
                <w:szCs w:val="20"/>
                <w:lang w:eastAsia="en-US"/>
              </w:rPr>
              <w:t>50.0</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58E7A5CF" w14:textId="77777777" w:rsidR="0046315C" w:rsidRPr="0046315C" w:rsidRDefault="0046315C" w:rsidP="0046315C">
            <w:pPr>
              <w:spacing w:before="0" w:after="0" w:line="240" w:lineRule="auto"/>
              <w:jc w:val="center"/>
              <w:rPr>
                <w:rFonts w:cs="Calibri"/>
                <w:color w:val="000000"/>
                <w:sz w:val="20"/>
                <w:szCs w:val="20"/>
                <w:lang w:eastAsia="en-US"/>
              </w:rPr>
            </w:pPr>
            <w:r w:rsidRPr="0046315C">
              <w:rPr>
                <w:rFonts w:cs="Calibri"/>
                <w:color w:val="000000"/>
                <w:sz w:val="20"/>
                <w:szCs w:val="20"/>
                <w:lang w:eastAsia="en-US"/>
              </w:rPr>
              <w:t>71.4</w:t>
            </w:r>
          </w:p>
        </w:tc>
      </w:tr>
      <w:tr w:rsidR="0046315C" w:rsidRPr="0046315C" w14:paraId="6B83941C" w14:textId="77777777" w:rsidTr="00C428F5">
        <w:trPr>
          <w:trHeight w:val="291"/>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6ADB2087" w14:textId="77777777" w:rsidR="0046315C" w:rsidRPr="0046315C" w:rsidRDefault="0046315C" w:rsidP="0046315C">
            <w:pPr>
              <w:spacing w:before="0" w:after="0"/>
              <w:jc w:val="left"/>
              <w:rPr>
                <w:rFonts w:cs="Calibri"/>
                <w:color w:val="000000"/>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737BC211" w14:textId="77777777" w:rsidR="0046315C" w:rsidRPr="0046315C" w:rsidRDefault="0046315C" w:rsidP="0046315C">
            <w:pPr>
              <w:spacing w:before="0" w:after="0" w:line="240" w:lineRule="auto"/>
              <w:jc w:val="left"/>
              <w:rPr>
                <w:rFonts w:cs="Calibri"/>
                <w:color w:val="000000"/>
                <w:sz w:val="20"/>
                <w:szCs w:val="20"/>
                <w:lang w:eastAsia="en-US"/>
              </w:rPr>
            </w:pPr>
            <w:r w:rsidRPr="0046315C">
              <w:rPr>
                <w:rFonts w:cs="Calibri"/>
                <w:color w:val="000000"/>
                <w:sz w:val="20"/>
                <w:szCs w:val="20"/>
                <w:lang w:eastAsia="en-US"/>
              </w:rPr>
              <w:t>silikati (Si-SiO</w:t>
            </w:r>
            <w:r w:rsidRPr="0046315C">
              <w:rPr>
                <w:rFonts w:cs="Calibri"/>
                <w:color w:val="000000"/>
                <w:sz w:val="20"/>
                <w:szCs w:val="20"/>
                <w:vertAlign w:val="subscript"/>
                <w:lang w:eastAsia="en-US"/>
              </w:rPr>
              <w:t>4</w:t>
            </w:r>
            <w:r w:rsidRPr="0046315C">
              <w:rPr>
                <w:rFonts w:cs="Calibri"/>
                <w:color w:val="000000"/>
                <w:sz w:val="20"/>
                <w:szCs w:val="20"/>
                <w:vertAlign w:val="superscript"/>
                <w:lang w:eastAsia="en-US"/>
              </w:rPr>
              <w:t>4-</w:t>
            </w:r>
            <w:r w:rsidRPr="0046315C">
              <w:rPr>
                <w:rFonts w:cs="Calibri"/>
                <w:color w:val="000000"/>
                <w:sz w:val="20"/>
                <w:szCs w:val="20"/>
                <w:lang w:eastAsia="en-US"/>
              </w:rPr>
              <w:t>)</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DD0FD16" w14:textId="77777777" w:rsidR="0046315C" w:rsidRPr="0046315C" w:rsidRDefault="0046315C" w:rsidP="0046315C">
            <w:pPr>
              <w:spacing w:before="0" w:after="0" w:line="240" w:lineRule="auto"/>
              <w:jc w:val="left"/>
              <w:rPr>
                <w:rFonts w:cs="Calibri"/>
                <w:color w:val="000000"/>
                <w:sz w:val="20"/>
                <w:szCs w:val="20"/>
                <w:vertAlign w:val="superscript"/>
                <w:lang w:eastAsia="en-US"/>
              </w:rPr>
            </w:pPr>
            <w:r w:rsidRPr="0046315C">
              <w:rPr>
                <w:rFonts w:cs="Calibri"/>
                <w:color w:val="000000"/>
                <w:sz w:val="20"/>
                <w:szCs w:val="20"/>
                <w:lang w:eastAsia="en-US"/>
              </w:rPr>
              <w:t>µmol L</w:t>
            </w:r>
            <w:r w:rsidRPr="0046315C">
              <w:rPr>
                <w:rFonts w:cs="Calibri"/>
                <w:color w:val="000000"/>
                <w:sz w:val="20"/>
                <w:szCs w:val="20"/>
                <w:vertAlign w:val="superscript"/>
                <w:lang w:eastAsia="en-US"/>
              </w:rPr>
              <w:t>-1</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58A1906" w14:textId="77777777" w:rsidR="0046315C" w:rsidRPr="0046315C" w:rsidRDefault="0046315C" w:rsidP="0046315C">
            <w:pPr>
              <w:spacing w:before="0" w:after="0" w:line="240" w:lineRule="auto"/>
              <w:jc w:val="center"/>
              <w:rPr>
                <w:rFonts w:cs="Calibri"/>
                <w:color w:val="000000"/>
                <w:sz w:val="20"/>
                <w:szCs w:val="20"/>
                <w:lang w:eastAsia="en-US"/>
              </w:rPr>
            </w:pPr>
            <w:r w:rsidRPr="0046315C">
              <w:rPr>
                <w:rFonts w:cs="Calibri"/>
                <w:color w:val="000000"/>
                <w:sz w:val="20"/>
                <w:szCs w:val="20"/>
                <w:lang w:eastAsia="en-US"/>
              </w:rPr>
              <w:t>217</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1DEEC18A" w14:textId="77777777" w:rsidR="0046315C" w:rsidRPr="0046315C" w:rsidRDefault="0046315C" w:rsidP="0046315C">
            <w:pPr>
              <w:spacing w:before="0" w:after="0" w:line="240" w:lineRule="auto"/>
              <w:jc w:val="center"/>
              <w:rPr>
                <w:rFonts w:cs="Calibri"/>
                <w:color w:val="000000"/>
                <w:sz w:val="20"/>
                <w:szCs w:val="20"/>
                <w:lang w:eastAsia="en-US"/>
              </w:rPr>
            </w:pPr>
            <w:r w:rsidRPr="0046315C">
              <w:rPr>
                <w:rFonts w:cs="Calibri"/>
                <w:color w:val="000000"/>
                <w:sz w:val="20"/>
                <w:szCs w:val="20"/>
                <w:lang w:eastAsia="en-US"/>
              </w:rPr>
              <w:t>543</w:t>
            </w:r>
          </w:p>
        </w:tc>
      </w:tr>
    </w:tbl>
    <w:p w14:paraId="31D5F33A" w14:textId="77777777" w:rsidR="0046315C" w:rsidRPr="0046315C" w:rsidRDefault="0046315C" w:rsidP="0046315C">
      <w:pPr>
        <w:autoSpaceDE w:val="0"/>
        <w:autoSpaceDN w:val="0"/>
        <w:adjustRightInd w:val="0"/>
        <w:spacing w:before="0" w:after="0" w:line="240" w:lineRule="auto"/>
        <w:jc w:val="left"/>
        <w:rPr>
          <w:rFonts w:eastAsia="Calibri" w:cs="Calibri"/>
          <w:b/>
          <w:sz w:val="24"/>
          <w:lang w:eastAsia="en-US"/>
        </w:rPr>
      </w:pPr>
    </w:p>
    <w:p w14:paraId="77E0D80D" w14:textId="77777777" w:rsidR="0046315C" w:rsidRPr="0046315C" w:rsidRDefault="0046315C" w:rsidP="0046315C">
      <w:pPr>
        <w:autoSpaceDE w:val="0"/>
        <w:autoSpaceDN w:val="0"/>
        <w:adjustRightInd w:val="0"/>
        <w:spacing w:before="0" w:after="0" w:line="240" w:lineRule="auto"/>
        <w:jc w:val="left"/>
        <w:rPr>
          <w:rFonts w:eastAsia="Calibri" w:cs="Calibri"/>
          <w:b/>
          <w:szCs w:val="22"/>
          <w:lang w:eastAsia="en-US"/>
        </w:rPr>
      </w:pPr>
    </w:p>
    <w:p w14:paraId="07CD5EB7" w14:textId="77777777" w:rsidR="0046315C" w:rsidRPr="0046315C" w:rsidRDefault="0046315C" w:rsidP="0046315C">
      <w:pPr>
        <w:spacing w:before="0" w:after="200"/>
        <w:jc w:val="left"/>
        <w:rPr>
          <w:rFonts w:eastAsia="Calibri" w:cs="Calibri"/>
          <w:b/>
          <w:szCs w:val="22"/>
          <w:lang w:eastAsia="en-US"/>
        </w:rPr>
      </w:pPr>
      <w:r w:rsidRPr="0046315C">
        <w:rPr>
          <w:rFonts w:eastAsia="Calibri" w:cs="Calibri"/>
          <w:b/>
          <w:szCs w:val="22"/>
          <w:lang w:eastAsia="en-US"/>
        </w:rPr>
        <w:t>Ukupan rastvoreni neorganski azot (DIN)</w:t>
      </w:r>
      <w:r w:rsidRPr="0046315C">
        <w:rPr>
          <w:rFonts w:eastAsia="Calibri" w:cs="Arial"/>
          <w:szCs w:val="22"/>
          <w:lang w:eastAsia="en-US"/>
        </w:rPr>
        <w:tab/>
      </w:r>
    </w:p>
    <w:p w14:paraId="6CB74CD9" w14:textId="77777777" w:rsidR="0046315C" w:rsidRDefault="0046315C" w:rsidP="006E7A44">
      <w:pPr>
        <w:spacing w:before="0" w:after="0"/>
        <w:rPr>
          <w:rFonts w:cs="Calibri"/>
          <w:szCs w:val="22"/>
          <w:lang w:eastAsia="en-US"/>
        </w:rPr>
      </w:pPr>
      <w:r w:rsidRPr="0046315C">
        <w:rPr>
          <w:rFonts w:eastAsia="Calibri" w:cs="Calibri"/>
          <w:szCs w:val="22"/>
          <w:lang w:eastAsia="en-US"/>
        </w:rPr>
        <w:t xml:space="preserve">U odnosu na granične vrijednosti (Tabela 2.13) na Slici 2.14 su prikazane vrijednosti koncentracije DIN-a </w:t>
      </w:r>
      <w:r w:rsidRPr="0046315C">
        <w:rPr>
          <w:rFonts w:cs="Calibri"/>
          <w:szCs w:val="22"/>
          <w:lang w:eastAsia="en-US"/>
        </w:rPr>
        <w:t xml:space="preserve">u površinskom sloju vodenog stuba na ispitivanim lokacijama Bokokotorskog zaliva i obalnog područja otvorenog mora. </w:t>
      </w:r>
      <w:r w:rsidRPr="0046315C">
        <w:rPr>
          <w:rFonts w:eastAsia="Calibri" w:cs="Calibri"/>
          <w:szCs w:val="22"/>
          <w:lang w:eastAsia="en-US"/>
        </w:rPr>
        <w:t>S</w:t>
      </w:r>
      <w:r w:rsidRPr="0046315C">
        <w:rPr>
          <w:rFonts w:cs="Calibri"/>
          <w:szCs w:val="22"/>
          <w:lang w:eastAsia="en-US"/>
        </w:rPr>
        <w:t xml:space="preserve">ve izmjerene vrijednosti koncentracija DIN-a su bile niže od granične vrijednosti koja odvaja vrlo dobro od dobrog stanja (35.2 </w:t>
      </w:r>
      <w:r w:rsidRPr="0046315C">
        <w:rPr>
          <w:rFonts w:eastAsia="Calibri"/>
          <w:szCs w:val="22"/>
          <w:lang w:eastAsia="en-US"/>
        </w:rPr>
        <w:t>μmol L</w:t>
      </w:r>
      <w:r w:rsidRPr="0046315C">
        <w:rPr>
          <w:rFonts w:eastAsia="Calibri"/>
          <w:szCs w:val="22"/>
          <w:vertAlign w:val="superscript"/>
          <w:lang w:eastAsia="en-US"/>
        </w:rPr>
        <w:t>-1</w:t>
      </w:r>
      <w:r w:rsidRPr="0046315C">
        <w:rPr>
          <w:rFonts w:eastAsia="Calibri"/>
          <w:szCs w:val="22"/>
          <w:lang w:eastAsia="en-US"/>
        </w:rPr>
        <w:t xml:space="preserve">) što ukazuje </w:t>
      </w:r>
      <w:r w:rsidRPr="0046315C">
        <w:rPr>
          <w:rFonts w:cs="Calibri"/>
          <w:szCs w:val="22"/>
          <w:lang w:eastAsia="en-US"/>
        </w:rPr>
        <w:t>na postignuto dobro stanje morske sredine u odnosu na ovaj parametar elementa kriterijuma D5C1.</w:t>
      </w:r>
    </w:p>
    <w:p w14:paraId="76A895EF" w14:textId="77777777" w:rsidR="00615E5F" w:rsidRDefault="00615E5F" w:rsidP="006E7A44">
      <w:pPr>
        <w:spacing w:before="0" w:after="0"/>
        <w:rPr>
          <w:rFonts w:cs="Calibri"/>
          <w:szCs w:val="22"/>
          <w:lang w:eastAsia="en-US"/>
        </w:rPr>
      </w:pPr>
    </w:p>
    <w:p w14:paraId="3C8CF22D" w14:textId="77777777" w:rsidR="00615E5F" w:rsidRDefault="00615E5F" w:rsidP="006E7A44">
      <w:pPr>
        <w:spacing w:before="0" w:after="0"/>
        <w:rPr>
          <w:rFonts w:cs="Calibri"/>
          <w:szCs w:val="22"/>
          <w:lang w:eastAsia="en-US"/>
        </w:rPr>
      </w:pPr>
    </w:p>
    <w:p w14:paraId="06338809" w14:textId="77777777" w:rsidR="00615E5F" w:rsidRDefault="00615E5F" w:rsidP="006E7A44">
      <w:pPr>
        <w:spacing w:before="0" w:after="0"/>
        <w:rPr>
          <w:rFonts w:cs="Calibri"/>
          <w:szCs w:val="22"/>
          <w:lang w:eastAsia="en-US"/>
        </w:rPr>
      </w:pPr>
    </w:p>
    <w:p w14:paraId="01F67307" w14:textId="77777777" w:rsidR="00615E5F" w:rsidRDefault="00615E5F" w:rsidP="006E7A44">
      <w:pPr>
        <w:spacing w:before="0" w:after="0"/>
        <w:rPr>
          <w:rFonts w:cs="Calibri"/>
          <w:szCs w:val="22"/>
          <w:lang w:eastAsia="en-US"/>
        </w:rPr>
      </w:pPr>
    </w:p>
    <w:p w14:paraId="66A77808" w14:textId="77777777" w:rsidR="00615E5F" w:rsidRDefault="00615E5F" w:rsidP="006E7A44">
      <w:pPr>
        <w:spacing w:before="0" w:after="0"/>
        <w:rPr>
          <w:rFonts w:cs="Calibri"/>
          <w:szCs w:val="22"/>
          <w:lang w:eastAsia="en-US"/>
        </w:rPr>
      </w:pPr>
    </w:p>
    <w:p w14:paraId="41B4B65B" w14:textId="77777777" w:rsidR="00615E5F" w:rsidRDefault="00615E5F" w:rsidP="006E7A44">
      <w:pPr>
        <w:spacing w:before="0" w:after="0"/>
        <w:rPr>
          <w:rFonts w:cs="Calibri"/>
          <w:szCs w:val="22"/>
          <w:lang w:eastAsia="en-US"/>
        </w:rPr>
      </w:pPr>
    </w:p>
    <w:p w14:paraId="4CC49DAB" w14:textId="77777777" w:rsidR="00615E5F" w:rsidRDefault="00615E5F" w:rsidP="006E7A44">
      <w:pPr>
        <w:spacing w:before="0" w:after="0"/>
        <w:rPr>
          <w:rFonts w:cs="Calibri"/>
          <w:szCs w:val="22"/>
          <w:lang w:eastAsia="en-US"/>
        </w:rPr>
      </w:pPr>
    </w:p>
    <w:p w14:paraId="2DE19671" w14:textId="77777777" w:rsidR="00615E5F" w:rsidRDefault="00615E5F" w:rsidP="006E7A44">
      <w:pPr>
        <w:spacing w:before="0" w:after="0"/>
        <w:rPr>
          <w:rFonts w:cs="Calibri"/>
          <w:szCs w:val="22"/>
          <w:lang w:eastAsia="en-US"/>
        </w:rPr>
      </w:pPr>
    </w:p>
    <w:p w14:paraId="0E943873" w14:textId="77777777" w:rsidR="0046315C" w:rsidRPr="0046315C" w:rsidRDefault="0046315C" w:rsidP="0046315C">
      <w:pPr>
        <w:spacing w:before="0" w:after="200"/>
        <w:jc w:val="left"/>
        <w:rPr>
          <w:rFonts w:eastAsia="Calibri"/>
          <w:sz w:val="20"/>
          <w:szCs w:val="20"/>
          <w:lang w:eastAsia="en-US"/>
        </w:rPr>
      </w:pPr>
      <w:r w:rsidRPr="0046315C">
        <w:rPr>
          <w:rFonts w:eastAsia="Calibri"/>
          <w:noProof/>
          <w:szCs w:val="22"/>
          <w:lang w:eastAsia="en-US"/>
        </w:rPr>
        <mc:AlternateContent>
          <mc:Choice Requires="wpg">
            <w:drawing>
              <wp:anchor distT="0" distB="0" distL="114300" distR="114300" simplePos="0" relativeHeight="251798528" behindDoc="0" locked="0" layoutInCell="1" allowOverlap="1" wp14:anchorId="2EBCF45A" wp14:editId="21F6FE6F">
                <wp:simplePos x="0" y="0"/>
                <wp:positionH relativeFrom="column">
                  <wp:posOffset>-30480</wp:posOffset>
                </wp:positionH>
                <wp:positionV relativeFrom="paragraph">
                  <wp:posOffset>-55245</wp:posOffset>
                </wp:positionV>
                <wp:extent cx="6080760" cy="2377440"/>
                <wp:effectExtent l="0" t="0" r="0" b="3810"/>
                <wp:wrapNone/>
                <wp:docPr id="76" name="Group 1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0760" cy="2377440"/>
                          <a:chOff x="0" y="0"/>
                          <a:chExt cx="8153400" cy="3657600"/>
                        </a:xfrm>
                      </wpg:grpSpPr>
                      <wpg:grpSp>
                        <wpg:cNvPr id="77" name="Group 36">
                          <a:extLst/>
                        </wpg:cNvPr>
                        <wpg:cNvGrpSpPr/>
                        <wpg:grpSpPr>
                          <a:xfrm>
                            <a:off x="0" y="0"/>
                            <a:ext cx="8153400" cy="3657600"/>
                            <a:chOff x="0" y="0"/>
                            <a:chExt cx="8153400" cy="3657600"/>
                          </a:xfrm>
                        </wpg:grpSpPr>
                        <wpg:grpSp>
                          <wpg:cNvPr id="78" name="Group 39">
                            <a:extLst/>
                          </wpg:cNvPr>
                          <wpg:cNvGrpSpPr/>
                          <wpg:grpSpPr>
                            <a:xfrm>
                              <a:off x="0" y="0"/>
                              <a:ext cx="8153400" cy="3657600"/>
                              <a:chOff x="0" y="0"/>
                              <a:chExt cx="8153400" cy="3657600"/>
                            </a:xfrm>
                          </wpg:grpSpPr>
                          <pic:pic xmlns:pic="http://schemas.openxmlformats.org/drawingml/2006/picture">
                            <pic:nvPicPr>
                              <pic:cNvPr id="79" name="Picture 40">
                                <a:extLst/>
                              </pic:cNvPr>
                              <pic:cNvPicPr>
                                <a:picLocks noChangeAspect="1"/>
                              </pic:cNvPicPr>
                            </pic:nvPicPr>
                            <pic:blipFill>
                              <a:blip r:embed="rId44"/>
                              <a:stretch>
                                <a:fillRect/>
                              </a:stretch>
                            </pic:blipFill>
                            <pic:spPr>
                              <a:xfrm>
                                <a:off x="0" y="0"/>
                                <a:ext cx="8153400" cy="3657600"/>
                              </a:xfrm>
                              <a:prstGeom prst="rect">
                                <a:avLst/>
                              </a:prstGeom>
                            </pic:spPr>
                          </pic:pic>
                          <wps:wsp>
                            <wps:cNvPr id="81" name="Straight Connector 41">
                              <a:extLst/>
                            </wps:cNvPr>
                            <wps:cNvCnPr/>
                            <wps:spPr>
                              <a:xfrm>
                                <a:off x="409864" y="1669473"/>
                                <a:ext cx="3186545" cy="0"/>
                              </a:xfrm>
                              <a:prstGeom prst="line">
                                <a:avLst/>
                              </a:prstGeom>
                              <a:noFill/>
                              <a:ln w="12700" cap="flat" cmpd="sng" algn="ctr">
                                <a:solidFill>
                                  <a:srgbClr val="00B050"/>
                                </a:solidFill>
                                <a:prstDash val="solid"/>
                                <a:miter lim="800000"/>
                              </a:ln>
                              <a:effectLst/>
                            </wps:spPr>
                            <wps:bodyPr/>
                          </wps:wsp>
                          <wps:wsp>
                            <wps:cNvPr id="82" name="Straight Connector 42">
                              <a:extLst/>
                            </wps:cNvPr>
                            <wps:cNvCnPr/>
                            <wps:spPr>
                              <a:xfrm>
                                <a:off x="4076700" y="1669473"/>
                                <a:ext cx="3223491" cy="0"/>
                              </a:xfrm>
                              <a:prstGeom prst="line">
                                <a:avLst/>
                              </a:prstGeom>
                              <a:noFill/>
                              <a:ln w="12700" cap="flat" cmpd="sng" algn="ctr">
                                <a:solidFill>
                                  <a:srgbClr val="00B050"/>
                                </a:solidFill>
                                <a:prstDash val="solid"/>
                                <a:miter lim="800000"/>
                              </a:ln>
                              <a:effectLst/>
                            </wps:spPr>
                            <wps:bodyPr/>
                          </wps:wsp>
                          <wps:wsp>
                            <wps:cNvPr id="385" name="Straight Connector 43">
                              <a:extLst/>
                            </wps:cNvPr>
                            <wps:cNvCnPr/>
                            <wps:spPr>
                              <a:xfrm>
                                <a:off x="409864" y="256309"/>
                                <a:ext cx="3186545" cy="0"/>
                              </a:xfrm>
                              <a:prstGeom prst="line">
                                <a:avLst/>
                              </a:prstGeom>
                              <a:noFill/>
                              <a:ln w="12700" cap="flat" cmpd="sng" algn="ctr">
                                <a:solidFill>
                                  <a:srgbClr val="FF0000"/>
                                </a:solidFill>
                                <a:prstDash val="solid"/>
                                <a:miter lim="800000"/>
                              </a:ln>
                              <a:effectLst/>
                            </wps:spPr>
                            <wps:bodyPr/>
                          </wps:wsp>
                          <wps:wsp>
                            <wps:cNvPr id="386" name="Straight Connector 44">
                              <a:extLst/>
                            </wps:cNvPr>
                            <wps:cNvCnPr/>
                            <wps:spPr>
                              <a:xfrm>
                                <a:off x="4076700" y="256309"/>
                                <a:ext cx="3223491" cy="0"/>
                              </a:xfrm>
                              <a:prstGeom prst="line">
                                <a:avLst/>
                              </a:prstGeom>
                              <a:noFill/>
                              <a:ln w="12700" cap="flat" cmpd="sng" algn="ctr">
                                <a:solidFill>
                                  <a:srgbClr val="FF0000"/>
                                </a:solidFill>
                                <a:prstDash val="solid"/>
                                <a:miter lim="800000"/>
                              </a:ln>
                              <a:effectLst/>
                            </wps:spPr>
                            <wps:bodyPr/>
                          </wps:wsp>
                        </wpg:grpSp>
                        <wps:wsp>
                          <wps:cNvPr id="387" name="TextBox 13">
                            <a:extLst/>
                          </wps:cNvPr>
                          <wps:cNvSpPr txBox="1"/>
                          <wps:spPr>
                            <a:xfrm>
                              <a:off x="409864" y="256310"/>
                              <a:ext cx="550562" cy="842540"/>
                            </a:xfrm>
                            <a:prstGeom prst="rect">
                              <a:avLst/>
                            </a:prstGeom>
                            <a:noFill/>
                          </wps:spPr>
                          <wps:txbx>
                            <w:txbxContent>
                              <w:p w14:paraId="1BA46CE1" w14:textId="77777777" w:rsidR="00515997" w:rsidRDefault="00515997" w:rsidP="0046315C">
                                <w:pPr>
                                  <w:pStyle w:val="NormalWeb"/>
                                  <w:rPr>
                                    <w:sz w:val="24"/>
                                  </w:rPr>
                                </w:pPr>
                                <w:r>
                                  <w:rPr>
                                    <w:bCs w:val="0"/>
                                    <w:color w:val="000000" w:themeColor="text1"/>
                                    <w:kern w:val="24"/>
                                    <w:sz w:val="24"/>
                                  </w:rPr>
                                  <w:t>a)</w:t>
                                </w:r>
                              </w:p>
                            </w:txbxContent>
                          </wps:txbx>
                          <wps:bodyPr wrap="square" rtlCol="0">
                            <a:noAutofit/>
                          </wps:bodyPr>
                        </wps:wsp>
                      </wpg:grpSp>
                      <wps:wsp>
                        <wps:cNvPr id="388" name="TextBox 14">
                          <a:extLst/>
                        </wps:cNvPr>
                        <wps:cNvSpPr txBox="1"/>
                        <wps:spPr>
                          <a:xfrm>
                            <a:off x="4076700" y="256310"/>
                            <a:ext cx="592603" cy="842540"/>
                          </a:xfrm>
                          <a:prstGeom prst="rect">
                            <a:avLst/>
                          </a:prstGeom>
                          <a:noFill/>
                        </wps:spPr>
                        <wps:txbx>
                          <w:txbxContent>
                            <w:p w14:paraId="0F490560" w14:textId="77777777" w:rsidR="00515997" w:rsidRDefault="00515997" w:rsidP="0046315C">
                              <w:pPr>
                                <w:pStyle w:val="NormalWeb"/>
                                <w:rPr>
                                  <w:sz w:val="24"/>
                                </w:rPr>
                              </w:pPr>
                              <w:r>
                                <w:rPr>
                                  <w:bCs w:val="0"/>
                                  <w:color w:val="000000" w:themeColor="text1"/>
                                  <w:kern w:val="24"/>
                                  <w:sz w:val="24"/>
                                </w:rPr>
                                <w:t>b)</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2EBCF45A" id="Group 16" o:spid="_x0000_s1029" style="position:absolute;margin-left:-2.4pt;margin-top:-4.35pt;width:478.8pt;height:187.2pt;z-index:251798528;mso-width-relative:margin;mso-height-relative:margin" coordsize="81534,36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">
                <v:group id="Group 36" o:spid="_x0000_s1030" style="position:absolute;width:81534;height:36576" coordsize="81534,36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group id="Group 39" o:spid="_x0000_s1031" style="position:absolute;width:81534;height:36576" coordsize="81534,36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32" type="#_x0000_t75" style="position:absolute;width:81534;height:36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0JKHDAAAA2wAAAA8AAABkcnMvZG93bnJldi54bWxEj0GLwjAUhO+C/yE8wZumeli1GkWWXVgQ&#10;EdtF2NujebbF5qU02bb+eyMIHoeZ+YbZ7HpTiZYaV1pWMJtGIIgzq0vOFfym35MlCOeRNVaWScGd&#10;HOy2w8EGY207PlOb+FwECLsYFRTe17GULivIoJvamjh4V9sY9EE2udQNdgFuKjmPog9psOSwUGBN&#10;nwVlt+TfKPDH9kDd/c/hKU3plnxd+tNlrtR41O/XIDz1/h1+tX+0gsUKnl/CD5Db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LQkocMAAADbAAAADwAAAAAAAAAAAAAAAACf&#10;AgAAZHJzL2Rvd25yZXYueG1sUEsFBgAAAAAEAAQA9wAAAI8DAAAAAA==&#10;">
                      <v:imagedata r:id="rId46" o:title=""/>
                      <v:path arrowok="t"/>
                    </v:shape>
                    <v:line id="Straight Connector 41" o:spid="_x0000_s1033" style="position:absolute;visibility:visible;mso-wrap-style:square" from="4098,16694" to="35964,16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7xv8MAAADbAAAADwAAAGRycy9kb3ducmV2LnhtbESPT4vCMBTE74LfIbwFb5rqwZWuUZaC&#10;IB4U/7DnR/OaljYvpYlt/fabBWGPw8z8htnuR9uInjpfOVawXCQgiHOnKzYKHvfDfAPCB2SNjWNS&#10;8CIP+910ssVUu4Gv1N+CERHCPkUFZQhtKqXPS7LoF64ljl7hOoshys5I3eEQ4baRqyRZS4sVx4US&#10;W8pKyuvb0yow5vJj11mRJffT+aTrz9ehvlRKzT7G7y8QgcbwH363j1rBZgl/X+IPkL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u8b/DAAAA2wAAAA8AAAAAAAAAAAAA&#10;AAAAoQIAAGRycy9kb3ducmV2LnhtbFBLBQYAAAAABAAEAPkAAACRAwAAAAA=&#10;" strokecolor="#00b050" strokeweight="1pt">
                      <v:stroke joinstyle="miter"/>
                    </v:line>
                    <v:line id="Straight Connector 42" o:spid="_x0000_s1034" style="position:absolute;visibility:visible;mso-wrap-style:square" from="40767,16694" to="73001,16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xvyMMAAADbAAAADwAAAGRycy9kb3ducmV2LnhtbESPQWvCQBSE74X+h+UVvNVNPcQQXaUE&#10;BPFgaBTPj+xzE5J9G7Krxn/fLRQ8DjPzDbPeTrYXdxp961jB1zwBQVw73bJRcD7tPjMQPiBr7B2T&#10;gid52G7e39aYa/fgH7pXwYgIYZ+jgiaEIZfS1w1Z9HM3EEfv6kaLIcrRSD3iI8JtLxdJkkqLLceF&#10;BgcqGqq76mYVGFNebFpci+R0OB50t3zuurJVavYxfa9ABJrCK/zf3msF2QL+vsQf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8b8jDAAAA2wAAAA8AAAAAAAAAAAAA&#10;AAAAoQIAAGRycy9kb3ducmV2LnhtbFBLBQYAAAAABAAEAPkAAACRAwAAAAA=&#10;" strokecolor="#00b050" strokeweight="1pt">
                      <v:stroke joinstyle="miter"/>
                    </v:line>
                    <v:line id="Straight Connector 43" o:spid="_x0000_s1035" style="position:absolute;visibility:visible;mso-wrap-style:square" from="4098,2563" to="35964,2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TyZsMAAADcAAAADwAAAGRycy9kb3ducmV2LnhtbESPQWvCQBSE74X+h+UVeqtvq7RI6ipB&#10;FEtv2oIeH9lnEsy+jdnVpP++Kwg9DjPzDTNbDK5RV+5C7cXA60iDYim8raU08PO9fpmCCpHEUuOF&#10;DfxygMX88WFGmfW9bPm6i6VKEAkZGahibDPEUFTsKIx8y5K8o+8cxSS7Em1HfYK7Bsdav6OjWtJC&#10;RS0vKy5Ou4szoAvK+yMeVnqbf50jtbg57dGY56ch/wAVeYj/4Xv70xqYTN/gdiYdAZ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U8mbDAAAA3AAAAA8AAAAAAAAAAAAA&#10;AAAAoQIAAGRycy9kb3ducmV2LnhtbFBLBQYAAAAABAAEAPkAAACRAwAAAAA=&#10;" strokecolor="red" strokeweight="1pt">
                      <v:stroke joinstyle="miter"/>
                    </v:line>
                    <v:line id="Straight Connector 44" o:spid="_x0000_s1036" style="position:absolute;visibility:visible;mso-wrap-style:square" from="40767,2563" to="73001,2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ZsEcMAAADcAAAADwAAAGRycy9kb3ducmV2LnhtbESPQWvCQBSE7wX/w/KE3urbWhBJXSUU&#10;xeJNW2iPj+wzCWbfxuxq0n/vCkKPw8x8wyxWg2vUlbtQezHwOtGgWApvaykNfH9tXuagQiSx1Hhh&#10;A38cYLUcPS0os76XPV8PsVQJIiEjA1WMbYYYioodhYlvWZJ39J2jmGRXou2oT3DX4FTrGTqqJS1U&#10;1PJHxcXpcHEGdEF5f8Tftd7nu3OkFrenHzTmeTzk76AiD/E//Gh/WgNv8xncz6Qjg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GbBHDAAAA3AAAAA8AAAAAAAAAAAAA&#10;AAAAoQIAAGRycy9kb3ducmV2LnhtbFBLBQYAAAAABAAEAPkAAACRAwAAAAA=&#10;" strokecolor="red" strokeweight="1pt">
                      <v:stroke joinstyle="miter"/>
                    </v:line>
                  </v:group>
                  <v:shapetype id="_x0000_t202" coordsize="21600,21600" o:spt="202" path="m,l,21600r21600,l21600,xe">
                    <v:stroke joinstyle="miter"/>
                    <v:path gradientshapeok="t" o:connecttype="rect"/>
                  </v:shapetype>
                  <v:shape id="TextBox 13" o:spid="_x0000_s1037" type="#_x0000_t202" style="position:absolute;left:4098;top:2563;width:5506;height:8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7qL8QA&#10;AADcAAAADwAAAGRycy9kb3ducmV2LnhtbESPQWsCMRSE7wX/Q3iCt5qobbWrUUQpeFK0KvT22Dx3&#10;Fzcvyya66783hUKPw8x8w8wWrS3FnWpfONYw6CsQxKkzBWcajt9frxMQPiAbLB2Thgd5WMw7LzNM&#10;jGt4T/dDyESEsE9QQx5ClUjp05ws+r6riKN3cbXFEGWdSVNjE+G2lEOlPqTFguNCjhWtckqvh5vV&#10;cNpefs5vapet7XvVuFZJtp9S6163XU5BBGrDf/ivvTEaRpMx/J6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u6i/EAAAA3AAAAA8AAAAAAAAAAAAAAAAAmAIAAGRycy9k&#10;b3ducmV2LnhtbFBLBQYAAAAABAAEAPUAAACJAwAAAAA=&#10;" filled="f" stroked="f">
                    <v:textbox>
                      <w:txbxContent>
                        <w:p w14:paraId="1BA46CE1" w14:textId="77777777" w:rsidR="00515997" w:rsidRDefault="00515997" w:rsidP="0046315C">
                          <w:pPr>
                            <w:pStyle w:val="NormalWeb"/>
                            <w:rPr>
                              <w:sz w:val="24"/>
                            </w:rPr>
                          </w:pPr>
                          <w:r>
                            <w:rPr>
                              <w:bCs w:val="0"/>
                              <w:color w:val="000000" w:themeColor="text1"/>
                              <w:kern w:val="24"/>
                              <w:sz w:val="24"/>
                            </w:rPr>
                            <w:t>a)</w:t>
                          </w:r>
                        </w:p>
                      </w:txbxContent>
                    </v:textbox>
                  </v:shape>
                </v:group>
                <v:shape id="TextBox 14" o:spid="_x0000_s1038" type="#_x0000_t202" style="position:absolute;left:40767;top:2563;width:5926;height:8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F+XcAA&#10;AADcAAAADwAAAGRycy9kb3ducmV2LnhtbERPy4rCMBTdC/5DuII7TdRRnGoUUQRXIz5mYHaX5toW&#10;m5vSRNv5+8lCcHk47+W6taV4Uu0LxxpGQwWCOHWm4EzD9bIfzEH4gGywdEwa/sjDetXtLDExruET&#10;Pc8hEzGEfYIa8hCqREqf5mTRD11FHLmbqy2GCOtMmhqbGG5LOVZqJi0WHBtyrGibU3o/P6yG76/b&#10;78+HOmY7O60a1yrJ9lNq3e+1mwWIQG14i1/ug9Ewmce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jF+XcAAAADcAAAADwAAAAAAAAAAAAAAAACYAgAAZHJzL2Rvd25y&#10;ZXYueG1sUEsFBgAAAAAEAAQA9QAAAIUDAAAAAA==&#10;" filled="f" stroked="f">
                  <v:textbox>
                    <w:txbxContent>
                      <w:p w14:paraId="0F490560" w14:textId="77777777" w:rsidR="00515997" w:rsidRDefault="00515997" w:rsidP="0046315C">
                        <w:pPr>
                          <w:pStyle w:val="NormalWeb"/>
                          <w:rPr>
                            <w:sz w:val="24"/>
                          </w:rPr>
                        </w:pPr>
                        <w:r>
                          <w:rPr>
                            <w:bCs w:val="0"/>
                            <w:color w:val="000000" w:themeColor="text1"/>
                            <w:kern w:val="24"/>
                            <w:sz w:val="24"/>
                          </w:rPr>
                          <w:t>b)</w:t>
                        </w:r>
                      </w:p>
                    </w:txbxContent>
                  </v:textbox>
                </v:shape>
              </v:group>
            </w:pict>
          </mc:Fallback>
        </mc:AlternateContent>
      </w:r>
    </w:p>
    <w:p w14:paraId="674650B1" w14:textId="77777777" w:rsidR="0046315C" w:rsidRPr="0046315C" w:rsidRDefault="0046315C" w:rsidP="0046315C">
      <w:pPr>
        <w:spacing w:before="0" w:after="0"/>
        <w:rPr>
          <w:rFonts w:cs="Calibri"/>
          <w:szCs w:val="22"/>
          <w:lang w:eastAsia="en-US"/>
        </w:rPr>
      </w:pPr>
    </w:p>
    <w:p w14:paraId="5CA18998" w14:textId="77777777" w:rsidR="00615E5F" w:rsidRDefault="000413B6" w:rsidP="000413B6">
      <w:pPr>
        <w:spacing w:before="0" w:after="0" w:line="240" w:lineRule="auto"/>
        <w:rPr>
          <w:rFonts w:eastAsia="Calibri" w:cs="Calibri"/>
          <w:b/>
          <w:szCs w:val="22"/>
          <w:lang w:eastAsia="en-US"/>
        </w:rPr>
      </w:pPr>
      <w:r w:rsidRPr="0046315C">
        <w:rPr>
          <w:rFonts w:eastAsia="Calibri" w:cs="Calibri"/>
          <w:b/>
          <w:szCs w:val="22"/>
          <w:lang w:eastAsia="en-US"/>
        </w:rPr>
        <w:t xml:space="preserve">Slika 2.14. Box-wisker plotovi koncentracije DIN-a u površinskom sloju na istraživanim lokacijama u </w:t>
      </w:r>
    </w:p>
    <w:p w14:paraId="763BEF78" w14:textId="77777777" w:rsidR="00615E5F" w:rsidRDefault="00615E5F" w:rsidP="000413B6">
      <w:pPr>
        <w:spacing w:before="0" w:after="0" w:line="240" w:lineRule="auto"/>
        <w:rPr>
          <w:rFonts w:eastAsia="Calibri" w:cs="Calibri"/>
          <w:b/>
          <w:szCs w:val="22"/>
          <w:lang w:eastAsia="en-US"/>
        </w:rPr>
      </w:pPr>
    </w:p>
    <w:p w14:paraId="745ECE6B" w14:textId="77777777" w:rsidR="00615E5F" w:rsidRDefault="00615E5F" w:rsidP="000413B6">
      <w:pPr>
        <w:spacing w:before="0" w:after="0" w:line="240" w:lineRule="auto"/>
        <w:rPr>
          <w:rFonts w:eastAsia="Calibri" w:cs="Calibri"/>
          <w:b/>
          <w:szCs w:val="22"/>
          <w:lang w:eastAsia="en-US"/>
        </w:rPr>
      </w:pPr>
    </w:p>
    <w:p w14:paraId="7421DA93" w14:textId="77777777" w:rsidR="00615E5F" w:rsidRDefault="00615E5F" w:rsidP="000413B6">
      <w:pPr>
        <w:spacing w:before="0" w:after="0" w:line="240" w:lineRule="auto"/>
        <w:rPr>
          <w:rFonts w:eastAsia="Calibri" w:cs="Calibri"/>
          <w:b/>
          <w:szCs w:val="22"/>
          <w:lang w:eastAsia="en-US"/>
        </w:rPr>
      </w:pPr>
    </w:p>
    <w:p w14:paraId="51CB3568" w14:textId="77777777" w:rsidR="00615E5F" w:rsidRDefault="00615E5F" w:rsidP="000413B6">
      <w:pPr>
        <w:spacing w:before="0" w:after="0" w:line="240" w:lineRule="auto"/>
        <w:rPr>
          <w:rFonts w:eastAsia="Calibri" w:cs="Calibri"/>
          <w:b/>
          <w:szCs w:val="22"/>
          <w:lang w:eastAsia="en-US"/>
        </w:rPr>
      </w:pPr>
    </w:p>
    <w:p w14:paraId="189FA5D1" w14:textId="3C286F20" w:rsidR="00D133D9" w:rsidRDefault="000413B6" w:rsidP="000413B6">
      <w:pPr>
        <w:spacing w:before="0" w:after="0" w:line="240" w:lineRule="auto"/>
        <w:rPr>
          <w:rFonts w:eastAsia="Calibri" w:cs="Calibri"/>
          <w:i/>
          <w:szCs w:val="22"/>
          <w:lang w:eastAsia="en-US"/>
        </w:rPr>
      </w:pPr>
      <w:r w:rsidRPr="0046315C">
        <w:rPr>
          <w:rFonts w:eastAsia="Calibri" w:cs="Calibri"/>
          <w:b/>
          <w:szCs w:val="22"/>
          <w:lang w:eastAsia="en-US"/>
        </w:rPr>
        <w:t xml:space="preserve">zalivu (a) i lokacijama obalnog područja otvorenog mora (b) za period 2009-2019. godine </w:t>
      </w:r>
      <w:r w:rsidRPr="0046315C">
        <w:rPr>
          <w:rFonts w:eastAsia="Calibri" w:cs="Calibri"/>
          <w:szCs w:val="22"/>
          <w:lang w:eastAsia="en-US"/>
        </w:rPr>
        <w:t>(</w:t>
      </w:r>
      <w:r w:rsidRPr="0046315C">
        <w:rPr>
          <w:rFonts w:eastAsia="Calibri" w:cs="Calibri"/>
          <w:i/>
          <w:szCs w:val="22"/>
          <w:lang w:eastAsia="en-US"/>
        </w:rPr>
        <w:t xml:space="preserve">crvena linija predstavlja graničnu vrijednost koncentracije između dobrog i umjerenog stanja, a donja linija je </w:t>
      </w:r>
    </w:p>
    <w:p w14:paraId="507D3987" w14:textId="77777777" w:rsidR="00D133D9" w:rsidRDefault="00D133D9" w:rsidP="000413B6">
      <w:pPr>
        <w:spacing w:before="0" w:after="0" w:line="240" w:lineRule="auto"/>
        <w:rPr>
          <w:rFonts w:eastAsia="Calibri" w:cs="Calibri"/>
          <w:i/>
          <w:szCs w:val="22"/>
          <w:lang w:eastAsia="en-US"/>
        </w:rPr>
      </w:pPr>
    </w:p>
    <w:p w14:paraId="12675B70" w14:textId="3FA8F9A0" w:rsidR="000413B6" w:rsidRPr="0046315C" w:rsidRDefault="000413B6" w:rsidP="000413B6">
      <w:pPr>
        <w:spacing w:before="0" w:after="0" w:line="240" w:lineRule="auto"/>
        <w:rPr>
          <w:rFonts w:eastAsia="Calibri"/>
          <w:szCs w:val="22"/>
          <w:lang w:eastAsia="en-US"/>
        </w:rPr>
      </w:pPr>
      <w:r w:rsidRPr="0046315C">
        <w:rPr>
          <w:rFonts w:eastAsia="Calibri" w:cs="Calibri"/>
          <w:i/>
          <w:szCs w:val="22"/>
          <w:lang w:eastAsia="en-US"/>
        </w:rPr>
        <w:t>granična vrijednost između vrlo dobrog i dobrog stanja</w:t>
      </w:r>
      <w:r w:rsidRPr="0046315C">
        <w:rPr>
          <w:rFonts w:eastAsia="Calibri" w:cs="Calibri"/>
          <w:szCs w:val="22"/>
          <w:lang w:eastAsia="en-US"/>
        </w:rPr>
        <w:t xml:space="preserve"> – Sl. list CG 25/19).</w:t>
      </w:r>
    </w:p>
    <w:p w14:paraId="7DE8310C" w14:textId="77777777" w:rsidR="0046315C" w:rsidRPr="0046315C" w:rsidRDefault="0046315C" w:rsidP="0046315C">
      <w:pPr>
        <w:spacing w:before="0" w:after="200"/>
        <w:jc w:val="left"/>
        <w:rPr>
          <w:rFonts w:eastAsia="Calibri" w:cs="Calibri"/>
          <w:b/>
          <w:i/>
          <w:szCs w:val="22"/>
          <w:lang w:eastAsia="en-US"/>
        </w:rPr>
      </w:pPr>
      <w:bookmarkStart w:id="138" w:name="_Hlk64648856"/>
    </w:p>
    <w:p w14:paraId="02F8CE19" w14:textId="77777777" w:rsidR="00D133D9" w:rsidRPr="00D133D9" w:rsidRDefault="00D133D9" w:rsidP="00D133D9">
      <w:pPr>
        <w:spacing w:before="120" w:after="0" w:line="240" w:lineRule="auto"/>
        <w:rPr>
          <w:rFonts w:cs="Calibri"/>
          <w:sz w:val="18"/>
          <w:szCs w:val="18"/>
        </w:rPr>
      </w:pPr>
      <w:r w:rsidRPr="0046315C">
        <w:rPr>
          <w:rFonts w:eastAsia="Calibri" w:cs="Calibri"/>
          <w:b/>
          <w:szCs w:val="22"/>
          <w:lang w:eastAsia="en-US"/>
        </w:rPr>
        <w:t xml:space="preserve">Slika 2.14. Box-wisker plotovi koncentracije DIN-a u površinskom sloju na istraživanim lokacijama u zalivu (a) i lokacijama obalnog područja otvorenog mora (b) za period 2009-2019. godine </w:t>
      </w:r>
      <w:r w:rsidRPr="0046315C">
        <w:rPr>
          <w:rFonts w:eastAsia="Calibri" w:cs="Calibri"/>
          <w:szCs w:val="22"/>
          <w:lang w:eastAsia="en-US"/>
        </w:rPr>
        <w:t>(</w:t>
      </w:r>
      <w:r w:rsidRPr="0046315C">
        <w:rPr>
          <w:rFonts w:eastAsia="Calibri" w:cs="Calibri"/>
          <w:i/>
          <w:szCs w:val="22"/>
          <w:lang w:eastAsia="en-US"/>
        </w:rPr>
        <w:t>crvena linija predstavlja graničnu vrijednost koncentracije između dobrog i umjerenog stanja, a donja linija je granična vrijednost između vrlo dobrog i dobrog stanja</w:t>
      </w:r>
      <w:r w:rsidRPr="0046315C">
        <w:rPr>
          <w:rFonts w:eastAsia="Calibri" w:cs="Calibri"/>
          <w:szCs w:val="22"/>
          <w:lang w:eastAsia="en-US"/>
        </w:rPr>
        <w:t xml:space="preserve"> – Sl. list CG 25/19).</w:t>
      </w:r>
    </w:p>
    <w:p w14:paraId="729A1C39" w14:textId="77777777" w:rsidR="00D133D9" w:rsidRDefault="00D133D9" w:rsidP="0046315C">
      <w:pPr>
        <w:spacing w:before="0" w:after="200"/>
        <w:jc w:val="left"/>
        <w:rPr>
          <w:rFonts w:eastAsia="Calibri" w:cs="Calibri"/>
          <w:b/>
          <w:szCs w:val="22"/>
          <w:lang w:eastAsia="en-US"/>
        </w:rPr>
      </w:pPr>
    </w:p>
    <w:p w14:paraId="4FAE86D4" w14:textId="1D39AE72" w:rsidR="0046315C" w:rsidRPr="0046315C" w:rsidRDefault="0046315C" w:rsidP="0046315C">
      <w:pPr>
        <w:spacing w:before="0" w:after="200"/>
        <w:jc w:val="left"/>
        <w:rPr>
          <w:rFonts w:eastAsia="Calibri" w:cs="Calibri"/>
          <w:b/>
          <w:szCs w:val="22"/>
          <w:lang w:eastAsia="en-US"/>
        </w:rPr>
      </w:pPr>
      <w:r w:rsidRPr="0046315C">
        <w:rPr>
          <w:rFonts w:eastAsia="Calibri" w:cs="Calibri"/>
          <w:b/>
          <w:szCs w:val="22"/>
          <w:lang w:eastAsia="en-US"/>
        </w:rPr>
        <w:t>Ukupan rastvoreni neorganski fosfor (DIP)</w:t>
      </w:r>
    </w:p>
    <w:p w14:paraId="75775B63" w14:textId="77777777" w:rsidR="0046315C" w:rsidRPr="0046315C" w:rsidRDefault="0046315C" w:rsidP="0046315C">
      <w:pPr>
        <w:spacing w:before="0" w:after="0"/>
        <w:rPr>
          <w:rFonts w:eastAsia="Calibri" w:cs="Calibri"/>
          <w:szCs w:val="22"/>
          <w:lang w:eastAsia="en-US"/>
        </w:rPr>
      </w:pPr>
      <w:bookmarkStart w:id="139" w:name="_Hlk64648905"/>
      <w:bookmarkEnd w:id="138"/>
      <w:r w:rsidRPr="0046315C">
        <w:rPr>
          <w:rFonts w:eastAsia="Calibri"/>
          <w:szCs w:val="22"/>
          <w:lang w:eastAsia="en-US"/>
        </w:rPr>
        <w:t>Za procjenu stanja koncentracije DIP-a kao jednog od elemenata kriterijuma D5C1 koristile su se granične vrijednosti između kategorija vrlo dobrog i dobrog, kao i dobrog i umjerenog stanja za fosfate, što za priobalne vode iznosi 0.42</w:t>
      </w:r>
      <w:r w:rsidRPr="0046315C">
        <w:rPr>
          <w:rFonts w:eastAsia="Calibri" w:cs="Calibri"/>
          <w:szCs w:val="22"/>
          <w:lang w:eastAsia="en-US"/>
        </w:rPr>
        <w:t xml:space="preserve"> </w:t>
      </w:r>
      <w:r w:rsidRPr="0046315C">
        <w:rPr>
          <w:rFonts w:eastAsia="Calibri"/>
          <w:szCs w:val="22"/>
          <w:lang w:eastAsia="en-US"/>
        </w:rPr>
        <w:t>μmol L</w:t>
      </w:r>
      <w:r w:rsidRPr="0046315C">
        <w:rPr>
          <w:rFonts w:eastAsia="Calibri"/>
          <w:szCs w:val="22"/>
          <w:vertAlign w:val="superscript"/>
          <w:lang w:eastAsia="en-US"/>
        </w:rPr>
        <w:t>-1</w:t>
      </w:r>
      <w:r w:rsidRPr="0046315C">
        <w:rPr>
          <w:rFonts w:eastAsia="Calibri"/>
          <w:szCs w:val="22"/>
          <w:lang w:eastAsia="en-US"/>
        </w:rPr>
        <w:t xml:space="preserve"> odnosno 1.26 μmol L</w:t>
      </w:r>
      <w:r w:rsidRPr="0046315C">
        <w:rPr>
          <w:rFonts w:eastAsia="Calibri"/>
          <w:szCs w:val="22"/>
          <w:vertAlign w:val="superscript"/>
          <w:lang w:eastAsia="en-US"/>
        </w:rPr>
        <w:t>-1</w:t>
      </w:r>
      <w:r w:rsidRPr="0046315C">
        <w:rPr>
          <w:rFonts w:eastAsia="Calibri" w:cs="Calibri"/>
          <w:szCs w:val="22"/>
          <w:lang w:eastAsia="en-US"/>
        </w:rPr>
        <w:t>, respektivno (Tabela 2.</w:t>
      </w:r>
      <w:bookmarkEnd w:id="139"/>
      <w:r w:rsidRPr="0046315C">
        <w:rPr>
          <w:rFonts w:eastAsia="Calibri" w:cs="Calibri"/>
          <w:szCs w:val="22"/>
          <w:lang w:eastAsia="en-US"/>
        </w:rPr>
        <w:t>13). U odnosu na te granice, Slika 2.15 prikazuje vrijednosti koncentracije fosfata u površinskom sloju vodenog stuba na istraživanim lokacijama Bokokotorskog zaliva i priobalnog područja otvorenog mora.</w:t>
      </w:r>
    </w:p>
    <w:p w14:paraId="7EF9E623" w14:textId="77777777" w:rsidR="0046315C" w:rsidRPr="0046315C" w:rsidRDefault="0046315C" w:rsidP="0046315C">
      <w:pPr>
        <w:spacing w:before="0" w:after="0" w:line="240" w:lineRule="auto"/>
        <w:rPr>
          <w:rFonts w:eastAsia="Calibri"/>
          <w:b/>
          <w:szCs w:val="22"/>
          <w:lang w:eastAsia="en-US"/>
        </w:rPr>
      </w:pPr>
    </w:p>
    <w:p w14:paraId="71E29B49" w14:textId="77777777" w:rsidR="0046315C" w:rsidRPr="0046315C" w:rsidRDefault="0046315C" w:rsidP="0046315C">
      <w:pPr>
        <w:spacing w:before="0" w:after="288"/>
        <w:rPr>
          <w:rFonts w:eastAsia="Calibri" w:cs="Calibri"/>
          <w:szCs w:val="22"/>
          <w:lang w:eastAsia="en-US"/>
        </w:rPr>
      </w:pPr>
      <w:r w:rsidRPr="0046315C">
        <w:rPr>
          <w:rFonts w:eastAsia="Calibri"/>
          <w:noProof/>
          <w:szCs w:val="22"/>
          <w:lang w:eastAsia="en-US"/>
        </w:rPr>
        <mc:AlternateContent>
          <mc:Choice Requires="wpg">
            <w:drawing>
              <wp:anchor distT="0" distB="0" distL="114300" distR="114300" simplePos="0" relativeHeight="251801600" behindDoc="0" locked="0" layoutInCell="1" allowOverlap="1" wp14:anchorId="1B8BA4B8" wp14:editId="573AE9C1">
                <wp:simplePos x="0" y="0"/>
                <wp:positionH relativeFrom="margin">
                  <wp:posOffset>116205</wp:posOffset>
                </wp:positionH>
                <wp:positionV relativeFrom="paragraph">
                  <wp:posOffset>50800</wp:posOffset>
                </wp:positionV>
                <wp:extent cx="5880735" cy="2628900"/>
                <wp:effectExtent l="0" t="0" r="5715" b="0"/>
                <wp:wrapNone/>
                <wp:docPr id="389"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0735" cy="2628900"/>
                          <a:chOff x="0" y="0"/>
                          <a:chExt cx="5880735" cy="2628900"/>
                        </a:xfrm>
                      </wpg:grpSpPr>
                      <wpg:grpSp>
                        <wpg:cNvPr id="390" name="Group 60"/>
                        <wpg:cNvGrpSpPr>
                          <a:grpSpLocks/>
                        </wpg:cNvGrpSpPr>
                        <wpg:grpSpPr>
                          <a:xfrm>
                            <a:off x="0" y="0"/>
                            <a:ext cx="5880735" cy="2628900"/>
                            <a:chOff x="0" y="0"/>
                            <a:chExt cx="6744928" cy="2888839"/>
                          </a:xfrm>
                        </wpg:grpSpPr>
                        <wpg:grpSp>
                          <wpg:cNvPr id="391" name="Group 61"/>
                          <wpg:cNvGrpSpPr/>
                          <wpg:grpSpPr>
                            <a:xfrm>
                              <a:off x="0" y="0"/>
                              <a:ext cx="6744928" cy="2888839"/>
                              <a:chOff x="0" y="0"/>
                              <a:chExt cx="6744928" cy="2888839"/>
                            </a:xfrm>
                          </wpg:grpSpPr>
                          <pic:pic xmlns:pic="http://schemas.openxmlformats.org/drawingml/2006/picture">
                            <pic:nvPicPr>
                              <pic:cNvPr id="392" name="Picture 62" descr="PO4 zaliv.jpg"/>
                              <pic:cNvPicPr/>
                            </pic:nvPicPr>
                            <pic:blipFill>
                              <a:blip r:embed="rId47" cstate="print"/>
                              <a:stretch>
                                <a:fillRect/>
                              </a:stretch>
                            </pic:blipFill>
                            <pic:spPr>
                              <a:xfrm>
                                <a:off x="0" y="0"/>
                                <a:ext cx="3657271" cy="2888839"/>
                              </a:xfrm>
                              <a:prstGeom prst="rect">
                                <a:avLst/>
                              </a:prstGeom>
                            </pic:spPr>
                          </pic:pic>
                          <pic:pic xmlns:pic="http://schemas.openxmlformats.org/drawingml/2006/picture">
                            <pic:nvPicPr>
                              <pic:cNvPr id="393" name="Picture 63" descr="PO4Otvoreno.jpg"/>
                              <pic:cNvPicPr/>
                            </pic:nvPicPr>
                            <pic:blipFill>
                              <a:blip r:embed="rId48" cstate="print"/>
                              <a:stretch>
                                <a:fillRect/>
                              </a:stretch>
                            </pic:blipFill>
                            <pic:spPr>
                              <a:xfrm>
                                <a:off x="2969341" y="0"/>
                                <a:ext cx="3775587" cy="2888839"/>
                              </a:xfrm>
                              <a:prstGeom prst="rect">
                                <a:avLst/>
                              </a:prstGeom>
                            </pic:spPr>
                          </pic:pic>
                          <wps:wsp>
                            <wps:cNvPr id="394" name="TextBox 9"/>
                            <wps:cNvSpPr txBox="1"/>
                            <wps:spPr>
                              <a:xfrm>
                                <a:off x="648484" y="299366"/>
                                <a:ext cx="511175" cy="404512"/>
                              </a:xfrm>
                              <a:prstGeom prst="rect">
                                <a:avLst/>
                              </a:prstGeom>
                              <a:noFill/>
                            </wps:spPr>
                            <wps:txbx>
                              <w:txbxContent>
                                <w:p w14:paraId="1BAE8B37" w14:textId="77777777" w:rsidR="00515997" w:rsidRDefault="00515997" w:rsidP="0046315C">
                                  <w:pPr>
                                    <w:pStyle w:val="NormalWeb"/>
                                    <w:rPr>
                                      <w:sz w:val="24"/>
                                    </w:rPr>
                                  </w:pPr>
                                  <w:r>
                                    <w:rPr>
                                      <w:b w:val="0"/>
                                      <w:bCs w:val="0"/>
                                      <w:color w:val="000000"/>
                                      <w:kern w:val="24"/>
                                    </w:rPr>
                                    <w:t>a)</w:t>
                                  </w:r>
                                </w:p>
                              </w:txbxContent>
                            </wps:txbx>
                            <wps:bodyPr wrap="square" rtlCol="0">
                              <a:noAutofit/>
                            </wps:bodyPr>
                          </wps:wsp>
                          <wps:wsp>
                            <wps:cNvPr id="395" name="TextBox 10"/>
                            <wps:cNvSpPr txBox="1"/>
                            <wps:spPr>
                              <a:xfrm>
                                <a:off x="3656949" y="299390"/>
                                <a:ext cx="511175" cy="340995"/>
                              </a:xfrm>
                              <a:prstGeom prst="rect">
                                <a:avLst/>
                              </a:prstGeom>
                              <a:noFill/>
                            </wps:spPr>
                            <wps:txbx>
                              <w:txbxContent>
                                <w:p w14:paraId="5FD5D460" w14:textId="77777777" w:rsidR="00515997" w:rsidRDefault="00515997" w:rsidP="0046315C">
                                  <w:pPr>
                                    <w:pStyle w:val="NormalWeb"/>
                                    <w:rPr>
                                      <w:sz w:val="24"/>
                                    </w:rPr>
                                  </w:pPr>
                                  <w:r>
                                    <w:rPr>
                                      <w:b w:val="0"/>
                                      <w:bCs w:val="0"/>
                                      <w:color w:val="000000"/>
                                      <w:kern w:val="24"/>
                                    </w:rPr>
                                    <w:t>b)</w:t>
                                  </w:r>
                                </w:p>
                              </w:txbxContent>
                            </wps:txbx>
                            <wps:bodyPr wrap="square" rtlCol="0">
                              <a:noAutofit/>
                            </wps:bodyPr>
                          </wps:wsp>
                        </wpg:grpSp>
                        <wps:wsp>
                          <wps:cNvPr id="396" name="Straight Connector 124"/>
                          <wps:cNvCnPr/>
                          <wps:spPr>
                            <a:xfrm>
                              <a:off x="619432" y="1522157"/>
                              <a:ext cx="2349909" cy="0"/>
                            </a:xfrm>
                            <a:prstGeom prst="line">
                              <a:avLst/>
                            </a:prstGeom>
                            <a:noFill/>
                            <a:ln w="6350" cap="flat" cmpd="sng" algn="ctr">
                              <a:solidFill>
                                <a:srgbClr val="00B050"/>
                              </a:solidFill>
                              <a:prstDash val="solid"/>
                              <a:miter lim="800000"/>
                            </a:ln>
                            <a:effectLst/>
                          </wps:spPr>
                          <wps:bodyPr/>
                        </wps:wsp>
                        <wps:wsp>
                          <wps:cNvPr id="397" name="Straight Connector 125"/>
                          <wps:cNvCnPr/>
                          <wps:spPr>
                            <a:xfrm>
                              <a:off x="3578942" y="1522157"/>
                              <a:ext cx="2399071" cy="0"/>
                            </a:xfrm>
                            <a:prstGeom prst="line">
                              <a:avLst/>
                            </a:prstGeom>
                            <a:noFill/>
                            <a:ln w="6350" cap="flat" cmpd="sng" algn="ctr">
                              <a:solidFill>
                                <a:srgbClr val="00B050"/>
                              </a:solidFill>
                              <a:prstDash val="solid"/>
                              <a:miter lim="800000"/>
                            </a:ln>
                            <a:effectLst/>
                          </wps:spPr>
                          <wps:bodyPr/>
                        </wps:wsp>
                      </wpg:grpSp>
                      <wps:wsp>
                        <wps:cNvPr id="398" name="Straight Connector 126"/>
                        <wps:cNvCnPr/>
                        <wps:spPr>
                          <a:xfrm>
                            <a:off x="520441" y="166832"/>
                            <a:ext cx="2013527" cy="0"/>
                          </a:xfrm>
                          <a:prstGeom prst="line">
                            <a:avLst/>
                          </a:prstGeom>
                          <a:noFill/>
                          <a:ln w="6350" cap="flat" cmpd="sng" algn="ctr">
                            <a:solidFill>
                              <a:srgbClr val="FF0000"/>
                            </a:solidFill>
                            <a:prstDash val="solid"/>
                            <a:miter lim="800000"/>
                          </a:ln>
                          <a:effectLst/>
                        </wps:spPr>
                        <wps:bodyPr/>
                      </wps:wsp>
                      <wps:wsp>
                        <wps:cNvPr id="399" name="Straight Connector 127"/>
                        <wps:cNvCnPr/>
                        <wps:spPr>
                          <a:xfrm>
                            <a:off x="3188403" y="166832"/>
                            <a:ext cx="2023678" cy="0"/>
                          </a:xfrm>
                          <a:prstGeom prst="line">
                            <a:avLst/>
                          </a:prstGeom>
                          <a:noFill/>
                          <a:ln w="6350" cap="flat" cmpd="sng" algn="ctr">
                            <a:solidFill>
                              <a:srgbClr val="FF000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w14:anchorId="1B8BA4B8" id="Group 23" o:spid="_x0000_s1039" style="position:absolute;left:0;text-align:left;margin-left:9.15pt;margin-top:4pt;width:463.05pt;height:207pt;z-index:251801600;mso-position-horizontal-relative:margin" coordsize="58807,262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">
                <v:group id="Group 60" o:spid="_x0000_s1040" style="position:absolute;width:58807;height:26289" coordsize="67449,28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phOsIAAADcAAAADwAAAGRycy9kb3ducmV2LnhtbERPTYvCMBC9C/sfwizs&#10;TdOuKG7XKCKueBDBuiDehmZsi82kNLGt/94cBI+P9z1f9qYSLTWutKwgHkUgiDOrS84V/J/+hjMQ&#10;ziNrrCyTggc5WC4+BnNMtO34SG3qcxFC2CWooPC+TqR0WUEG3cjWxIG72sagD7DJpW6wC+Gmkt9R&#10;NJUGSw4NBda0Lii7pXejYNthtxrHm3Z/u64fl9PkcN7HpNTXZ7/6BeGp92/xy73TCsY/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4KYTrCAAAA3AAAAA8A&#10;AAAAAAAAAAAAAAAAqgIAAGRycy9kb3ducmV2LnhtbFBLBQYAAAAABAAEAPoAAACZAwAAAAA=&#10;">
                  <v:group id="Group 61" o:spid="_x0000_s1041" style="position:absolute;width:67449;height:28888" coordsize="67449,28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bEocYAAADcAAAADwAAAGRycy9kb3ducmV2LnhtbESPT2vCQBTE70K/w/IK&#10;vZlNGiptmlVEaulBCmqh9PbIPpNg9m3Irvnz7V2h4HGYmd8w+Wo0jeipc7VlBUkUgyAurK65VPBz&#10;3M5fQTiPrLGxTAomcrBaPsxyzLQdeE/9wZciQNhlqKDyvs2kdEVFBl1kW+LgnWxn0AfZlVJ3OAS4&#10;aeRzHC+kwZrDQoUtbSoqzoeLUfA54LBOk49+dz5tpr/jy/fvLiGlnh7H9TsIT6O/h//bX1pB+pb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RsShxgAAANwA&#10;AAAPAAAAAAAAAAAAAAAAAKoCAABkcnMvZG93bnJldi54bWxQSwUGAAAAAAQABAD6AAAAnQMAAAAA&#10;">
                    <v:shape id="Picture 62" o:spid="_x0000_s1042" type="#_x0000_t75" alt="PO4 zaliv.jpg" style="position:absolute;width:36572;height:28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9VzTFAAAA3AAAAA8AAABkcnMvZG93bnJldi54bWxEj0FrwkAUhO+C/2F5Qm/NRgXR1FXaSiBW&#10;EEza+yP7TNJm34bsNqb/vlsoeBxm5htmux9NKwbqXWNZwTyKQRCXVjdcKXgv0sc1COeRNbaWScEP&#10;OdjvppMtJtre+EJD7isRIOwSVFB73yVSurImgy6yHXHwrrY36IPsK6l7vAW4aeUijlfSYMNhocaO&#10;Xmsqv/Jvo+DaFOlw0hm9tPxWzI/d54c5H5R6mI3PTyA8jf4e/m9nWsFys4C/M+EIyN0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PVc0xQAAANwAAAAPAAAAAAAAAAAAAAAA&#10;AJ8CAABkcnMvZG93bnJldi54bWxQSwUGAAAAAAQABAD3AAAAkQMAAAAA&#10;">
                      <v:imagedata r:id="rId49" o:title="PO4 zaliv"/>
                    </v:shape>
                    <v:shape id="Picture 63" o:spid="_x0000_s1043" type="#_x0000_t75" alt="PO4Otvoreno.jpg" style="position:absolute;left:29693;width:37756;height:28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h93nGAAAA3AAAAA8AAABkcnMvZG93bnJldi54bWxEj91qwkAUhO+FvsNyBO/qxgZtTd0E8acU&#10;BGltH+CQPU2C2bNxd9X07btCwcthZr5hFkVvWnEh5xvLCibjBARxaXXDlYLvr+3jCwgfkDW2lknB&#10;L3ko8ofBAjNtr/xJl0OoRISwz1BBHUKXSenLmgz6se2Io/djncEQpaukdniNcNPKpySZSYMNx4Ua&#10;O1rVVB4PZ6Pg/PHs0lO7nu7kcr4+buXmbT9NlBoN++UriEB9uIf/2+9aQTpP4XYmHgGZ/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6H3ecYAAADcAAAADwAAAAAAAAAAAAAA&#10;AACfAgAAZHJzL2Rvd25yZXYueG1sUEsFBgAAAAAEAAQA9wAAAJIDAAAAAA==&#10;">
                      <v:imagedata r:id="rId50" o:title="PO4Otvoreno"/>
                    </v:shape>
                    <v:shape id="TextBox 9" o:spid="_x0000_s1044" type="#_x0000_t202" style="position:absolute;left:6484;top:2993;width:5112;height:4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XihcQA&#10;AADcAAAADwAAAGRycy9kb3ducmV2LnhtbESPT4vCMBTE7wt+h/AEb5r4ZxetRhFF8LTLuqvg7dE8&#10;22LzUppo67c3C8Ieh5n5DbNYtbYUd6p94VjDcKBAEKfOFJxp+P3Z9acgfEA2WDomDQ/ysFp23haY&#10;GNfwN90PIRMRwj5BDXkIVSKlT3Oy6AeuIo7exdUWQ5R1Jk2NTYTbUo6U+pAWC44LOVa0ySm9Hm5W&#10;w/Hzcj5N1Fe2te9V41ol2c6k1r1uu56DCNSG//CrvTcaxrMJ/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l4oXEAAAA3AAAAA8AAAAAAAAAAAAAAAAAmAIAAGRycy9k&#10;b3ducmV2LnhtbFBLBQYAAAAABAAEAPUAAACJAwAAAAA=&#10;" filled="f" stroked="f">
                      <v:textbox>
                        <w:txbxContent>
                          <w:p w14:paraId="1BAE8B37" w14:textId="77777777" w:rsidR="00515997" w:rsidRDefault="00515997" w:rsidP="0046315C">
                            <w:pPr>
                              <w:pStyle w:val="NormalWeb"/>
                              <w:rPr>
                                <w:sz w:val="24"/>
                              </w:rPr>
                            </w:pPr>
                            <w:r>
                              <w:rPr>
                                <w:b w:val="0"/>
                                <w:bCs w:val="0"/>
                                <w:color w:val="000000"/>
                                <w:kern w:val="24"/>
                              </w:rPr>
                              <w:t>a)</w:t>
                            </w:r>
                          </w:p>
                        </w:txbxContent>
                      </v:textbox>
                    </v:shape>
                    <v:shape id="TextBox 10" o:spid="_x0000_s1045" type="#_x0000_t202" style="position:absolute;left:36569;top:2993;width:5112;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lHHsQA&#10;AADcAAAADwAAAGRycy9kb3ducmV2LnhtbESPQWvCQBSE74L/YXmCN93VqmjqKmIp9FQxrYXeHtln&#10;Epp9G7Krif++Kwgeh5n5hllvO1uJKzW+dKxhMlYgiDNnSs41fH+9j5YgfEA2WDkmDTfysN30e2tM&#10;jGv5SNc05CJC2CeooQihTqT0WUEW/djVxNE7u8ZiiLLJpWmwjXBbyalSC2mx5LhQYE37grK/9GI1&#10;nD7Pvz8zdcjf7LxuXack25XUejjodq8gAnXhGX60P4yGl9Uc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pRx7EAAAA3AAAAA8AAAAAAAAAAAAAAAAAmAIAAGRycy9k&#10;b3ducmV2LnhtbFBLBQYAAAAABAAEAPUAAACJAwAAAAA=&#10;" filled="f" stroked="f">
                      <v:textbox>
                        <w:txbxContent>
                          <w:p w14:paraId="5FD5D460" w14:textId="77777777" w:rsidR="00515997" w:rsidRDefault="00515997" w:rsidP="0046315C">
                            <w:pPr>
                              <w:pStyle w:val="NormalWeb"/>
                              <w:rPr>
                                <w:sz w:val="24"/>
                              </w:rPr>
                            </w:pPr>
                            <w:r>
                              <w:rPr>
                                <w:b w:val="0"/>
                                <w:bCs w:val="0"/>
                                <w:color w:val="000000"/>
                                <w:kern w:val="24"/>
                              </w:rPr>
                              <w:t>b)</w:t>
                            </w:r>
                          </w:p>
                        </w:txbxContent>
                      </v:textbox>
                    </v:shape>
                  </v:group>
                  <v:line id="Straight Connector 124" o:spid="_x0000_s1046" style="position:absolute;visibility:visible;mso-wrap-style:square" from="6194,15221" to="29693,15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wmD8YAAADcAAAADwAAAGRycy9kb3ducmV2LnhtbESPT2vCQBTE70K/w/IK3symkUqNrtI/&#10;tCg9mYrg7Zl9TYK7b0N2q/Hbu4LQ4zAzv2Hmy94acaLON44VPCUpCOLS6YYrBdufz9ELCB+QNRrH&#10;pOBCHpaLh8Ecc+3OvKFTESoRIexzVFCH0OZS+rImiz5xLXH0fl1nMUTZVVJ3eI5wa2SWphNpseG4&#10;UGNL7zWVx+LPKiie3/bZxmyL9e7w7czHITtW7ZdSw8f+dQYiUB/+w/f2SisYTydwOxOPgFx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gMJg/GAAAA3AAAAA8AAAAAAAAA&#10;AAAAAAAAoQIAAGRycy9kb3ducmV2LnhtbFBLBQYAAAAABAAEAPkAAACUAwAAAAA=&#10;" strokecolor="#00b050" strokeweight=".5pt">
                    <v:stroke joinstyle="miter"/>
                  </v:line>
                  <v:line id="Straight Connector 125" o:spid="_x0000_s1047" style="position:absolute;visibility:visible;mso-wrap-style:square" from="35789,15221" to="59780,15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CDlMYAAADcAAAADwAAAGRycy9kb3ducmV2LnhtbESPQWvCQBSE7wX/w/IEb3VjpNVGV7GV&#10;iqUnUyn09sw+k+Du25BdNf57t1DocZiZb5j5srNGXKj1tWMFo2ECgrhwuuZSwf7r/XEKwgdkjcYx&#10;KbiRh+Wi9zDHTLsr7+iSh1JECPsMFVQhNJmUvqjIoh+6hjh6R9daDFG2pdQtXiPcGpkmybO0WHNc&#10;qLCht4qKU362CvKn1590Z/b5x/fh05n1IT2VzUapQb9bzUAE6sJ/+K+91QrGLxP4PROPgFz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dAg5TGAAAA3AAAAA8AAAAAAAAA&#10;AAAAAAAAoQIAAGRycy9kb3ducmV2LnhtbFBLBQYAAAAABAAEAPkAAACUAwAAAAA=&#10;" strokecolor="#00b050" strokeweight=".5pt">
                    <v:stroke joinstyle="miter"/>
                  </v:line>
                </v:group>
                <v:line id="Straight Connector 126" o:spid="_x0000_s1048" style="position:absolute;visibility:visible;mso-wrap-style:square" from="5204,1668" to="25339,1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cYAr4AAADcAAAADwAAAGRycy9kb3ducmV2LnhtbERPzQ7BQBC+S7zDZiQuwhaJUJYgkbg4&#10;UA8wuqNtdGeb7tLy9PYgcfzy/a82rSnFi2pXWFYwHkUgiFOrC84UXJPDcA7CeWSNpWVS8CYHm3W3&#10;s8JY24bP9Lr4TIQQdjEqyL2vYildmpNBN7IVceDutjboA6wzqWtsQrgp5SSKZtJgwaEhx4r2OaWP&#10;y9MomEh9mqdnO0jc7bMrBtftwy8apfq9drsE4an1f/HPfdQKpouwNpwJR0Cuv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HNxgCvgAAANwAAAAPAAAAAAAAAAAAAAAAAKEC&#10;AABkcnMvZG93bnJldi54bWxQSwUGAAAAAAQABAD5AAAAjAMAAAAA&#10;" strokecolor="red" strokeweight=".5pt">
                  <v:stroke joinstyle="miter"/>
                </v:line>
                <v:line id="Straight Connector 127" o:spid="_x0000_s1049" style="position:absolute;visibility:visible;mso-wrap-style:square" from="31884,1668" to="52120,1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u9mcUAAADcAAAADwAAAGRycy9kb3ducmV2LnhtbESPQWvCQBSE7wX/w/KEXsRstFBMzCoq&#10;CL30kMQf8Mw+k2D2bciuJu2v7xYKPQ4z8w2T7SfTiScNrrWsYBXFIIgrq1uuFVzK83IDwnlkjZ1l&#10;UvBFDva72UuGqbYj5/QsfC0ChF2KChrv+1RKVzVk0EW2Jw7ezQ4GfZBDLfWAY4CbTq7j+F0abDks&#10;NNjTqaHqXjyMgrXUn5sqt4vSXb+P7eJyuPtkVOp1Ph22IDxN/j/81/7QCt6SBH7PhCMgd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Hu9mcUAAADcAAAADwAAAAAAAAAA&#10;AAAAAAChAgAAZHJzL2Rvd25yZXYueG1sUEsFBgAAAAAEAAQA+QAAAJMDAAAAAA==&#10;" strokecolor="red" strokeweight=".5pt">
                  <v:stroke joinstyle="miter"/>
                </v:line>
                <w10:wrap anchorx="margin"/>
              </v:group>
            </w:pict>
          </mc:Fallback>
        </mc:AlternateContent>
      </w:r>
      <w:r w:rsidRPr="0046315C">
        <w:rPr>
          <w:rFonts w:eastAsia="Calibri" w:cs="Calibri"/>
          <w:szCs w:val="22"/>
          <w:lang w:eastAsia="en-US"/>
        </w:rPr>
        <w:t xml:space="preserve"> </w:t>
      </w:r>
    </w:p>
    <w:p w14:paraId="1D6C3FF3" w14:textId="77777777" w:rsidR="0046315C" w:rsidRPr="0046315C" w:rsidRDefault="0046315C" w:rsidP="0046315C">
      <w:pPr>
        <w:spacing w:before="0" w:after="288"/>
        <w:rPr>
          <w:rFonts w:eastAsia="Calibri" w:cs="Calibri"/>
          <w:szCs w:val="22"/>
          <w:lang w:eastAsia="en-US"/>
        </w:rPr>
      </w:pPr>
    </w:p>
    <w:p w14:paraId="5CDE0DA4" w14:textId="77777777" w:rsidR="0046315C" w:rsidRPr="0046315C" w:rsidRDefault="0046315C" w:rsidP="0046315C">
      <w:pPr>
        <w:spacing w:before="0" w:after="288"/>
        <w:rPr>
          <w:rFonts w:eastAsia="Calibri" w:cs="Calibri"/>
          <w:szCs w:val="22"/>
          <w:lang w:eastAsia="en-US"/>
        </w:rPr>
      </w:pPr>
    </w:p>
    <w:p w14:paraId="4DBE278A" w14:textId="77777777" w:rsidR="0046315C" w:rsidRPr="0046315C" w:rsidRDefault="0046315C" w:rsidP="0046315C">
      <w:pPr>
        <w:spacing w:before="0" w:after="288"/>
        <w:rPr>
          <w:rFonts w:eastAsia="Calibri" w:cs="Calibri"/>
          <w:szCs w:val="22"/>
          <w:lang w:eastAsia="en-US"/>
        </w:rPr>
      </w:pPr>
    </w:p>
    <w:p w14:paraId="12FFC69B" w14:textId="77777777" w:rsidR="0046315C" w:rsidRPr="0046315C" w:rsidRDefault="0046315C" w:rsidP="0046315C">
      <w:pPr>
        <w:spacing w:before="0" w:after="288"/>
        <w:rPr>
          <w:rFonts w:eastAsia="Calibri" w:cs="Calibri"/>
          <w:szCs w:val="22"/>
          <w:lang w:eastAsia="en-US"/>
        </w:rPr>
      </w:pPr>
    </w:p>
    <w:p w14:paraId="7972EA3E" w14:textId="77777777" w:rsidR="0046315C" w:rsidRPr="0046315C" w:rsidRDefault="0046315C" w:rsidP="0046315C">
      <w:pPr>
        <w:spacing w:before="0" w:after="288"/>
        <w:rPr>
          <w:rFonts w:eastAsia="Calibri" w:cs="Calibri"/>
          <w:szCs w:val="22"/>
          <w:lang w:eastAsia="en-US"/>
        </w:rPr>
      </w:pPr>
    </w:p>
    <w:p w14:paraId="085357AB" w14:textId="77777777" w:rsidR="0046315C" w:rsidRPr="0046315C" w:rsidRDefault="0046315C" w:rsidP="0046315C">
      <w:pPr>
        <w:spacing w:before="0" w:after="120" w:line="240" w:lineRule="auto"/>
        <w:rPr>
          <w:szCs w:val="22"/>
          <w:lang w:eastAsia="en-US"/>
        </w:rPr>
      </w:pPr>
    </w:p>
    <w:p w14:paraId="0DB0FC56" w14:textId="77777777" w:rsidR="00D133D9" w:rsidRDefault="00D133D9" w:rsidP="000413B6">
      <w:pPr>
        <w:spacing w:before="0" w:after="120" w:line="240" w:lineRule="auto"/>
        <w:rPr>
          <w:rFonts w:eastAsia="Calibri"/>
          <w:b/>
          <w:szCs w:val="22"/>
          <w:lang w:eastAsia="en-US"/>
        </w:rPr>
      </w:pPr>
    </w:p>
    <w:p w14:paraId="79F59339" w14:textId="6F14D80A" w:rsidR="000413B6" w:rsidRDefault="000413B6" w:rsidP="000413B6">
      <w:pPr>
        <w:spacing w:before="0" w:after="120" w:line="240" w:lineRule="auto"/>
        <w:rPr>
          <w:rFonts w:eastAsia="Calibri"/>
          <w:szCs w:val="22"/>
          <w:lang w:eastAsia="en-US"/>
        </w:rPr>
      </w:pPr>
      <w:r w:rsidRPr="0046315C">
        <w:rPr>
          <w:rFonts w:eastAsia="Calibri"/>
          <w:b/>
          <w:szCs w:val="22"/>
          <w:lang w:eastAsia="en-US"/>
        </w:rPr>
        <w:t>Slika 2.15. Box-wisker plotovi koncentracije fosfata u površinskom sloju na istraživanim lokacijama u zalivu (a) i lokacijama obalnog područja otvorenog mora (b) za period 2009-2019. godine</w:t>
      </w:r>
      <w:r w:rsidRPr="0046315C">
        <w:rPr>
          <w:rFonts w:eastAsia="Calibri"/>
          <w:szCs w:val="22"/>
          <w:lang w:eastAsia="en-US"/>
        </w:rPr>
        <w:t xml:space="preserve"> (</w:t>
      </w:r>
      <w:r w:rsidRPr="0046315C">
        <w:rPr>
          <w:rFonts w:eastAsia="Calibri"/>
          <w:i/>
          <w:szCs w:val="22"/>
          <w:lang w:eastAsia="en-US"/>
        </w:rPr>
        <w:t>gornja crvena linija predstavlja graničnu vrijednost koncentracije između dobrog i umjerenog  stanja, a donja linija je granična vrijednost između vrlo dobrog i dobrog stanja</w:t>
      </w:r>
      <w:r w:rsidRPr="0046315C">
        <w:rPr>
          <w:rFonts w:eastAsia="Calibri"/>
          <w:szCs w:val="22"/>
          <w:lang w:eastAsia="en-US"/>
        </w:rPr>
        <w:t xml:space="preserve"> – Sl. list CG 25/19)</w:t>
      </w:r>
    </w:p>
    <w:p w14:paraId="43DEEB61" w14:textId="77777777" w:rsidR="000413B6" w:rsidRPr="000413B6" w:rsidRDefault="000413B6" w:rsidP="000413B6">
      <w:pPr>
        <w:spacing w:before="0" w:after="120" w:line="240" w:lineRule="auto"/>
        <w:rPr>
          <w:rFonts w:eastAsia="Calibri"/>
          <w:szCs w:val="22"/>
          <w:lang w:eastAsia="en-US"/>
        </w:rPr>
      </w:pPr>
    </w:p>
    <w:p w14:paraId="0056E589" w14:textId="12F91DB6" w:rsidR="0046315C" w:rsidRPr="0046315C" w:rsidRDefault="0046315C" w:rsidP="0046315C">
      <w:pPr>
        <w:spacing w:before="0" w:after="120"/>
        <w:rPr>
          <w:szCs w:val="22"/>
          <w:lang w:eastAsia="en-US"/>
        </w:rPr>
      </w:pPr>
      <w:r w:rsidRPr="0046315C">
        <w:rPr>
          <w:szCs w:val="22"/>
          <w:lang w:eastAsia="en-US"/>
        </w:rPr>
        <w:t xml:space="preserve">Medijane koncentracija fosfata u površinskom sloju vodenog stuba na svim ispitivanim lokacijama bile su niže od granične vrijednosti koja odvaja vrlo dobro od dobrog stanja (0.42 </w:t>
      </w:r>
      <w:r w:rsidRPr="0046315C">
        <w:rPr>
          <w:rFonts w:eastAsia="Calibri"/>
          <w:szCs w:val="22"/>
          <w:lang w:eastAsia="en-US"/>
        </w:rPr>
        <w:t>μmol L</w:t>
      </w:r>
      <w:r w:rsidRPr="0046315C">
        <w:rPr>
          <w:rFonts w:eastAsia="Calibri"/>
          <w:szCs w:val="22"/>
          <w:vertAlign w:val="superscript"/>
          <w:lang w:eastAsia="en-US"/>
        </w:rPr>
        <w:t xml:space="preserve">-1 </w:t>
      </w:r>
      <w:r w:rsidRPr="0046315C">
        <w:rPr>
          <w:rFonts w:eastAsia="Calibri"/>
          <w:szCs w:val="22"/>
          <w:lang w:eastAsia="en-US"/>
        </w:rPr>
        <w:t>– Sl.list CG 25/19</w:t>
      </w:r>
      <w:r w:rsidRPr="0046315C">
        <w:rPr>
          <w:szCs w:val="22"/>
          <w:lang w:eastAsia="en-US"/>
        </w:rPr>
        <w:t xml:space="preserve">). Samo u rijetkim slučajevima su izmjerene vrijednosti prelazile ovu graničnu vrijednost, dok nijedna pojedinačna koncentracija nije prelazila graničnu vrijednost koja odvaja dobro od umjerenog stanja (1.26 </w:t>
      </w:r>
      <w:r w:rsidRPr="0046315C">
        <w:rPr>
          <w:rFonts w:eastAsia="Calibri"/>
          <w:szCs w:val="22"/>
          <w:lang w:eastAsia="en-US"/>
        </w:rPr>
        <w:t>μmol L</w:t>
      </w:r>
      <w:r w:rsidRPr="0046315C">
        <w:rPr>
          <w:rFonts w:eastAsia="Calibri"/>
          <w:szCs w:val="22"/>
          <w:vertAlign w:val="superscript"/>
          <w:lang w:eastAsia="en-US"/>
        </w:rPr>
        <w:t xml:space="preserve">-1 </w:t>
      </w:r>
      <w:r w:rsidRPr="0046315C">
        <w:rPr>
          <w:rFonts w:eastAsia="Calibri"/>
          <w:szCs w:val="22"/>
          <w:lang w:eastAsia="en-US"/>
        </w:rPr>
        <w:t>- Sl. list CG 25/19</w:t>
      </w:r>
      <w:r w:rsidRPr="0046315C">
        <w:rPr>
          <w:szCs w:val="22"/>
          <w:lang w:eastAsia="en-US"/>
        </w:rPr>
        <w:t>), što ukazuje na postignuto dobro stanje morske sredine u odnosu na ovaj parametar kriterijuma D5C1.</w:t>
      </w:r>
    </w:p>
    <w:p w14:paraId="259C74F7" w14:textId="77777777" w:rsidR="00C428F5" w:rsidRDefault="00C428F5" w:rsidP="0046315C">
      <w:pPr>
        <w:spacing w:before="0" w:after="200"/>
        <w:jc w:val="left"/>
        <w:rPr>
          <w:rFonts w:eastAsia="Calibri" w:cs="Calibri"/>
          <w:b/>
          <w:szCs w:val="22"/>
          <w:lang w:eastAsia="en-US"/>
        </w:rPr>
      </w:pPr>
    </w:p>
    <w:p w14:paraId="2A1BCB3C" w14:textId="77777777" w:rsidR="0046315C" w:rsidRPr="0046315C" w:rsidRDefault="0046315C" w:rsidP="0046315C">
      <w:pPr>
        <w:spacing w:before="0" w:after="200"/>
        <w:jc w:val="left"/>
        <w:rPr>
          <w:rFonts w:eastAsia="Calibri" w:cs="Calibri"/>
          <w:b/>
          <w:szCs w:val="22"/>
          <w:lang w:eastAsia="en-US"/>
        </w:rPr>
      </w:pPr>
      <w:r w:rsidRPr="0046315C">
        <w:rPr>
          <w:rFonts w:eastAsia="Calibri" w:cs="Calibri"/>
          <w:b/>
          <w:szCs w:val="22"/>
          <w:lang w:eastAsia="en-US"/>
        </w:rPr>
        <w:t>Ukupan rastvoreni fosfor (TP)</w:t>
      </w:r>
    </w:p>
    <w:p w14:paraId="07509272" w14:textId="77777777" w:rsidR="0046315C" w:rsidRPr="0046315C" w:rsidRDefault="0046315C" w:rsidP="0046315C">
      <w:pPr>
        <w:spacing w:before="240" w:after="200"/>
        <w:rPr>
          <w:rFonts w:eastAsia="Calibri" w:cs="Calibri"/>
          <w:szCs w:val="22"/>
          <w:lang w:eastAsia="en-US"/>
        </w:rPr>
      </w:pPr>
      <w:r w:rsidRPr="0046315C">
        <w:rPr>
          <w:rFonts w:eastAsia="Calibri" w:cs="Calibri"/>
          <w:szCs w:val="22"/>
          <w:lang w:eastAsia="en-US"/>
        </w:rPr>
        <w:t xml:space="preserve">Koncentracija TP u odnosu na granične vrijednosti koncentracija između kategorija vrlo dobrog i dobrog, kao i dobrog i umjerenog stanja morske sredine istraživanog područja prikazana je na Slici 2.16. </w:t>
      </w:r>
    </w:p>
    <w:p w14:paraId="0416F96F" w14:textId="37096D23" w:rsidR="0046315C" w:rsidRPr="000413B6" w:rsidRDefault="0046315C" w:rsidP="000413B6">
      <w:pPr>
        <w:spacing w:before="0" w:after="288"/>
        <w:rPr>
          <w:rFonts w:cs="Calibri"/>
          <w:szCs w:val="22"/>
          <w:lang w:eastAsia="en-US"/>
        </w:rPr>
      </w:pPr>
      <w:r w:rsidRPr="0046315C">
        <w:rPr>
          <w:rFonts w:cs="Calibri"/>
          <w:szCs w:val="22"/>
          <w:lang w:eastAsia="en-US"/>
        </w:rPr>
        <w:t xml:space="preserve">Medijane koncentracija TP u površinskom sloju vodenog stuba na ispitivanim lokacijama u zalivu i na obalnom području otvorenog mora bile su niže od granične vrijednosti koja odvaja vrlo dobro od dobrog stanja (0.65 </w:t>
      </w:r>
      <w:r w:rsidRPr="0046315C">
        <w:rPr>
          <w:rFonts w:eastAsia="Calibri"/>
          <w:szCs w:val="22"/>
          <w:lang w:eastAsia="en-US"/>
        </w:rPr>
        <w:t>μmol L</w:t>
      </w:r>
      <w:r w:rsidRPr="0046315C">
        <w:rPr>
          <w:rFonts w:eastAsia="Calibri"/>
          <w:szCs w:val="22"/>
          <w:vertAlign w:val="superscript"/>
          <w:lang w:eastAsia="en-US"/>
        </w:rPr>
        <w:t xml:space="preserve">-1 </w:t>
      </w:r>
      <w:r w:rsidRPr="0046315C">
        <w:rPr>
          <w:rFonts w:eastAsia="Calibri" w:cs="Calibri"/>
          <w:szCs w:val="22"/>
          <w:lang w:eastAsia="en-US"/>
        </w:rPr>
        <w:t>– Sl. list CG 25/19</w:t>
      </w:r>
      <w:r w:rsidRPr="0046315C">
        <w:rPr>
          <w:rFonts w:cs="Calibri"/>
          <w:szCs w:val="22"/>
          <w:lang w:eastAsia="en-US"/>
        </w:rPr>
        <w:t>). Pojedinačne vrijednosti su sporadično prelazile tu graničnu vrijednosti, dok je samo nekoliko vrijednosti bilo iznad granične vrijednosti koja odvaja dobro od umjerenog stanja. To ukazuje na postignuto dobro stanje morske sredine crnogorskog dijela Jadrana u odnosu na koncentraciju TP, kao jednog od parametara elementa kriterijuma D5C1.</w:t>
      </w:r>
    </w:p>
    <w:p w14:paraId="006BC21D" w14:textId="77777777" w:rsidR="0046315C" w:rsidRPr="0046315C" w:rsidRDefault="0046315C" w:rsidP="0046315C">
      <w:pPr>
        <w:spacing w:before="240" w:after="0"/>
        <w:jc w:val="center"/>
        <w:rPr>
          <w:rFonts w:eastAsia="Calibri"/>
          <w:noProof/>
          <w:szCs w:val="22"/>
          <w:lang w:eastAsia="en-US"/>
        </w:rPr>
      </w:pPr>
      <w:r w:rsidRPr="0046315C">
        <w:rPr>
          <w:rFonts w:eastAsia="Calibri"/>
          <w:noProof/>
          <w:szCs w:val="22"/>
          <w:lang w:eastAsia="en-US"/>
        </w:rPr>
        <mc:AlternateContent>
          <mc:Choice Requires="wpg">
            <w:drawing>
              <wp:anchor distT="0" distB="0" distL="114300" distR="114300" simplePos="0" relativeHeight="251802624" behindDoc="0" locked="0" layoutInCell="1" allowOverlap="1" wp14:anchorId="0A2672D3" wp14:editId="000FB6BD">
                <wp:simplePos x="0" y="0"/>
                <wp:positionH relativeFrom="margin">
                  <wp:posOffset>85725</wp:posOffset>
                </wp:positionH>
                <wp:positionV relativeFrom="paragraph">
                  <wp:posOffset>92075</wp:posOffset>
                </wp:positionV>
                <wp:extent cx="5829300" cy="2095500"/>
                <wp:effectExtent l="0" t="0" r="0" b="0"/>
                <wp:wrapNone/>
                <wp:docPr id="40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9300" cy="2095500"/>
                          <a:chOff x="0" y="0"/>
                          <a:chExt cx="5951220" cy="2215515"/>
                        </a:xfrm>
                      </wpg:grpSpPr>
                      <pic:pic xmlns:pic="http://schemas.openxmlformats.org/drawingml/2006/picture">
                        <pic:nvPicPr>
                          <pic:cNvPr id="401" name="Picture 3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51220" cy="2215515"/>
                          </a:xfrm>
                          <a:prstGeom prst="rect">
                            <a:avLst/>
                          </a:prstGeom>
                          <a:noFill/>
                          <a:ln>
                            <a:noFill/>
                          </a:ln>
                        </pic:spPr>
                      </pic:pic>
                      <wps:wsp>
                        <wps:cNvPr id="402" name="Straight Connector 32"/>
                        <wps:cNvCnPr/>
                        <wps:spPr>
                          <a:xfrm>
                            <a:off x="278592" y="1225522"/>
                            <a:ext cx="2281382" cy="0"/>
                          </a:xfrm>
                          <a:prstGeom prst="line">
                            <a:avLst/>
                          </a:prstGeom>
                          <a:noFill/>
                          <a:ln w="6350" cap="flat" cmpd="sng" algn="ctr">
                            <a:solidFill>
                              <a:srgbClr val="FF0000"/>
                            </a:solidFill>
                            <a:prstDash val="solid"/>
                            <a:miter lim="800000"/>
                          </a:ln>
                          <a:effectLst/>
                        </wps:spPr>
                        <wps:bodyPr/>
                      </wps:wsp>
                      <wps:wsp>
                        <wps:cNvPr id="403" name="Straight Connector 57"/>
                        <wps:cNvCnPr/>
                        <wps:spPr>
                          <a:xfrm>
                            <a:off x="2975610" y="680576"/>
                            <a:ext cx="2410691" cy="0"/>
                          </a:xfrm>
                          <a:prstGeom prst="line">
                            <a:avLst/>
                          </a:prstGeom>
                          <a:noFill/>
                          <a:ln w="6350" cap="flat" cmpd="sng" algn="ctr">
                            <a:solidFill>
                              <a:srgbClr val="FF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9481664" id="Group 10" o:spid="_x0000_s1026" style="position:absolute;margin-left:6.75pt;margin-top:7.25pt;width:459pt;height:165pt;z-index:251802624;mso-position-horizontal-relative:margin;mso-width-relative:margin;mso-height-relative:margin" coordsize="59512,22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">
                <v:shape id="Picture 31" o:spid="_x0000_s1027" type="#_x0000_t75" style="position:absolute;width:59512;height:22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">
                  <v:imagedata r:id="rId56" o:title=""/>
                </v:shape>
                <v:line id="Straight Connector 32" o:spid="_x0000_s1028" style="position:absolute;visibility:visible;mso-wrap-style:square" from="2785,12255" to="25599,1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" strokecolor="red" strokeweight=".5pt">
                  <v:stroke joinstyle="miter"/>
                </v:line>
                <v:line id="Straight Connector 57" o:spid="_x0000_s1029" style="position:absolute;visibility:visible;mso-wrap-style:square" from="29756,6805" to="53863,6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" strokecolor="red" strokeweight=".5pt">
                  <v:stroke joinstyle="miter"/>
                </v:line>
                <w10:wrap anchorx="margin"/>
              </v:group>
            </w:pict>
          </mc:Fallback>
        </mc:AlternateContent>
      </w:r>
    </w:p>
    <w:p w14:paraId="41027B26" w14:textId="77777777" w:rsidR="0046315C" w:rsidRPr="0046315C" w:rsidRDefault="0046315C" w:rsidP="0046315C">
      <w:pPr>
        <w:spacing w:before="240" w:after="0"/>
        <w:jc w:val="center"/>
        <w:rPr>
          <w:rFonts w:eastAsia="Calibri"/>
          <w:noProof/>
          <w:szCs w:val="22"/>
          <w:lang w:eastAsia="en-US"/>
        </w:rPr>
      </w:pPr>
    </w:p>
    <w:p w14:paraId="173B2585" w14:textId="77777777" w:rsidR="0046315C" w:rsidRPr="0046315C" w:rsidRDefault="0046315C" w:rsidP="0046315C">
      <w:pPr>
        <w:spacing w:before="240" w:after="0"/>
        <w:jc w:val="center"/>
        <w:rPr>
          <w:rFonts w:eastAsia="Calibri"/>
          <w:noProof/>
          <w:szCs w:val="22"/>
          <w:lang w:eastAsia="en-US"/>
        </w:rPr>
      </w:pPr>
    </w:p>
    <w:p w14:paraId="531B0D8C" w14:textId="77777777" w:rsidR="0046315C" w:rsidRPr="0046315C" w:rsidRDefault="0046315C" w:rsidP="0046315C">
      <w:pPr>
        <w:spacing w:before="240" w:after="0"/>
        <w:jc w:val="center"/>
        <w:rPr>
          <w:rFonts w:eastAsia="Calibri"/>
          <w:noProof/>
          <w:szCs w:val="22"/>
          <w:lang w:eastAsia="en-US"/>
        </w:rPr>
      </w:pPr>
    </w:p>
    <w:p w14:paraId="4FE39078" w14:textId="77777777" w:rsidR="0046315C" w:rsidRPr="0046315C" w:rsidRDefault="0046315C" w:rsidP="0046315C">
      <w:pPr>
        <w:spacing w:before="240" w:after="0"/>
        <w:jc w:val="center"/>
        <w:rPr>
          <w:rFonts w:eastAsia="Calibri"/>
          <w:szCs w:val="22"/>
          <w:lang w:eastAsia="en-US"/>
        </w:rPr>
      </w:pPr>
    </w:p>
    <w:p w14:paraId="682A38E9" w14:textId="77777777" w:rsidR="0046315C" w:rsidRPr="0046315C" w:rsidRDefault="0046315C" w:rsidP="0046315C">
      <w:pPr>
        <w:spacing w:before="240" w:after="0" w:line="240" w:lineRule="auto"/>
        <w:rPr>
          <w:rFonts w:eastAsia="Calibri" w:cs="Calibri"/>
          <w:b/>
          <w:szCs w:val="22"/>
          <w:lang w:eastAsia="en-US"/>
        </w:rPr>
      </w:pPr>
    </w:p>
    <w:p w14:paraId="7E3FDE33" w14:textId="77777777" w:rsidR="00C428F5" w:rsidRDefault="00C428F5" w:rsidP="000413B6">
      <w:pPr>
        <w:spacing w:before="240" w:after="0" w:line="240" w:lineRule="auto"/>
        <w:rPr>
          <w:rFonts w:eastAsia="Calibri" w:cs="Calibri"/>
          <w:b/>
          <w:szCs w:val="22"/>
          <w:lang w:eastAsia="en-US"/>
        </w:rPr>
      </w:pPr>
    </w:p>
    <w:p w14:paraId="7FACAA6F" w14:textId="77777777" w:rsidR="000413B6" w:rsidRPr="0046315C" w:rsidRDefault="000413B6" w:rsidP="000413B6">
      <w:pPr>
        <w:spacing w:before="240" w:after="0" w:line="240" w:lineRule="auto"/>
        <w:rPr>
          <w:rFonts w:eastAsia="Calibri" w:cs="Calibri"/>
          <w:szCs w:val="22"/>
          <w:lang w:eastAsia="en-US"/>
        </w:rPr>
      </w:pPr>
      <w:r w:rsidRPr="0046315C">
        <w:rPr>
          <w:rFonts w:eastAsia="Calibri" w:cs="Calibri"/>
          <w:b/>
          <w:szCs w:val="22"/>
          <w:lang w:eastAsia="en-US"/>
        </w:rPr>
        <w:t>Slika 2.16.  Box-wisker plotovi koncentracije TP-a u površinskom sloju na istraživanim lokacijama u zalivu (a) i lokacijama obalnog područja otvorenog mora (b) za period 2009-2019. godine</w:t>
      </w:r>
      <w:r w:rsidRPr="0046315C">
        <w:rPr>
          <w:rFonts w:eastAsia="Calibri" w:cs="Calibri"/>
          <w:szCs w:val="22"/>
          <w:lang w:eastAsia="en-US"/>
        </w:rPr>
        <w:t xml:space="preserve"> (</w:t>
      </w:r>
      <w:r w:rsidRPr="0046315C">
        <w:rPr>
          <w:rFonts w:eastAsia="Calibri" w:cs="Calibri"/>
          <w:i/>
          <w:szCs w:val="22"/>
          <w:lang w:eastAsia="en-US"/>
        </w:rPr>
        <w:t>gornja crvena linija predstavlja graničnu vrijednost koncentracije između dobrog i umjerenog stanja okoline, a donja linija je granična vrijednost između vrlo dobrog i dobrog stanja</w:t>
      </w:r>
      <w:r w:rsidRPr="0046315C">
        <w:rPr>
          <w:rFonts w:eastAsia="Calibri" w:cs="Calibri"/>
          <w:szCs w:val="22"/>
          <w:lang w:eastAsia="en-US"/>
        </w:rPr>
        <w:t xml:space="preserve"> – Sl. list CG 25/19)</w:t>
      </w:r>
    </w:p>
    <w:p w14:paraId="2BEDD336" w14:textId="77777777" w:rsidR="00D133D9" w:rsidRDefault="00D133D9" w:rsidP="0046315C">
      <w:pPr>
        <w:autoSpaceDE w:val="0"/>
        <w:autoSpaceDN w:val="0"/>
        <w:adjustRightInd w:val="0"/>
        <w:spacing w:before="240" w:after="200" w:line="240" w:lineRule="auto"/>
        <w:jc w:val="left"/>
        <w:rPr>
          <w:rFonts w:eastAsia="Calibri" w:cs="Calibri"/>
          <w:b/>
          <w:szCs w:val="22"/>
          <w:lang w:eastAsia="en-US"/>
        </w:rPr>
      </w:pPr>
    </w:p>
    <w:p w14:paraId="343D237D" w14:textId="59CD16BA" w:rsidR="0046315C" w:rsidRPr="0046315C" w:rsidRDefault="0046315C" w:rsidP="0046315C">
      <w:pPr>
        <w:autoSpaceDE w:val="0"/>
        <w:autoSpaceDN w:val="0"/>
        <w:adjustRightInd w:val="0"/>
        <w:spacing w:before="240" w:after="200" w:line="240" w:lineRule="auto"/>
        <w:jc w:val="left"/>
        <w:rPr>
          <w:rFonts w:eastAsia="Calibri" w:cs="Calibri"/>
          <w:color w:val="000000"/>
          <w:szCs w:val="22"/>
          <w:u w:val="single"/>
          <w:lang w:eastAsia="en-US"/>
        </w:rPr>
      </w:pPr>
      <w:r w:rsidRPr="0046315C">
        <w:rPr>
          <w:rFonts w:eastAsia="Calibri" w:cs="Calibri"/>
          <w:b/>
          <w:bCs/>
          <w:color w:val="000000"/>
          <w:szCs w:val="22"/>
          <w:u w:val="single"/>
          <w:lang w:eastAsia="en-US"/>
        </w:rPr>
        <w:t xml:space="preserve">D5C2 – Primarni kriterijum: Koncentracije </w:t>
      </w:r>
      <w:r w:rsidR="00821043">
        <w:rPr>
          <w:rFonts w:eastAsia="Calibri" w:cs="Calibri"/>
          <w:b/>
          <w:bCs/>
          <w:color w:val="000000"/>
          <w:szCs w:val="22"/>
          <w:u w:val="single"/>
          <w:lang w:eastAsia="en-US"/>
        </w:rPr>
        <w:t>h</w:t>
      </w:r>
      <w:r w:rsidRPr="0046315C">
        <w:rPr>
          <w:rFonts w:eastAsia="Calibri" w:cs="Calibri"/>
          <w:b/>
          <w:bCs/>
          <w:color w:val="000000"/>
          <w:szCs w:val="22"/>
          <w:u w:val="single"/>
          <w:lang w:eastAsia="en-US"/>
        </w:rPr>
        <w:t xml:space="preserve">lorofila </w:t>
      </w:r>
      <w:r w:rsidRPr="0046315C">
        <w:rPr>
          <w:rFonts w:eastAsia="Calibri" w:cs="Calibri"/>
          <w:b/>
          <w:bCs/>
          <w:i/>
          <w:color w:val="000000"/>
          <w:szCs w:val="22"/>
          <w:u w:val="single"/>
          <w:lang w:eastAsia="en-US"/>
        </w:rPr>
        <w:t>a</w:t>
      </w:r>
      <w:r w:rsidRPr="0046315C">
        <w:rPr>
          <w:rFonts w:eastAsia="Calibri" w:cs="Calibri"/>
          <w:b/>
          <w:bCs/>
          <w:color w:val="000000"/>
          <w:szCs w:val="22"/>
          <w:u w:val="single"/>
          <w:lang w:eastAsia="en-US"/>
        </w:rPr>
        <w:t xml:space="preserve"> </w:t>
      </w:r>
    </w:p>
    <w:p w14:paraId="682C1470" w14:textId="733C4CC0" w:rsidR="0046315C" w:rsidRPr="00C428F5" w:rsidRDefault="0046315C" w:rsidP="00C428F5">
      <w:pPr>
        <w:spacing w:before="0" w:after="200"/>
        <w:rPr>
          <w:rFonts w:eastAsia="Calibri"/>
          <w:b/>
          <w:szCs w:val="22"/>
          <w:lang w:eastAsia="en-US"/>
        </w:rPr>
      </w:pPr>
      <w:r w:rsidRPr="0046315C">
        <w:rPr>
          <w:rFonts w:eastAsia="Calibri" w:cs="Calibri"/>
          <w:color w:val="000000"/>
          <w:szCs w:val="22"/>
          <w:lang w:eastAsia="en-US"/>
        </w:rPr>
        <w:t xml:space="preserve">Fitoplanktonska zajednica vrlo brzo reaguje na porast koncentracije hranjivih soli povećanjem biomase koja se najčešće određuje preko koncentracije fotosintetskog pigmenta hlorofila </w:t>
      </w:r>
      <w:r w:rsidRPr="0046315C">
        <w:rPr>
          <w:rFonts w:eastAsia="Calibri" w:cs="Calibri"/>
          <w:i/>
          <w:iCs/>
          <w:color w:val="000000"/>
          <w:szCs w:val="22"/>
          <w:lang w:eastAsia="en-US"/>
        </w:rPr>
        <w:t>a</w:t>
      </w:r>
      <w:r w:rsidRPr="0046315C">
        <w:rPr>
          <w:rFonts w:eastAsia="Calibri" w:cs="Calibri"/>
          <w:color w:val="000000"/>
          <w:szCs w:val="22"/>
          <w:lang w:eastAsia="en-US"/>
        </w:rPr>
        <w:t xml:space="preserve">. Zbog toga se koncentracija hlorofila </w:t>
      </w:r>
      <w:r w:rsidRPr="0046315C">
        <w:rPr>
          <w:rFonts w:eastAsia="Calibri" w:cs="Calibri"/>
          <w:i/>
          <w:color w:val="000000"/>
          <w:szCs w:val="22"/>
          <w:lang w:eastAsia="en-US"/>
        </w:rPr>
        <w:t>a</w:t>
      </w:r>
      <w:r w:rsidRPr="0046315C">
        <w:rPr>
          <w:rFonts w:eastAsia="Calibri" w:cs="Calibri"/>
          <w:color w:val="000000"/>
          <w:szCs w:val="22"/>
          <w:lang w:eastAsia="en-US"/>
        </w:rPr>
        <w:t xml:space="preserve"> koristi za određivanje kvalitete vode s obzirom na eutrofikaciju prema Okvirnoj direktivi o vodama (2000/60/EZ) i prema Okvirnoj direktivi o morskoj strategiji (2008/56/EZ).</w:t>
      </w:r>
    </w:p>
    <w:p w14:paraId="7E19083E" w14:textId="77777777" w:rsidR="0046315C" w:rsidRPr="0046315C" w:rsidRDefault="0046315C" w:rsidP="0046315C">
      <w:pPr>
        <w:autoSpaceDE w:val="0"/>
        <w:autoSpaceDN w:val="0"/>
        <w:adjustRightInd w:val="0"/>
        <w:spacing w:before="0" w:after="0"/>
        <w:rPr>
          <w:rFonts w:eastAsia="Calibri" w:cs="Calibri"/>
          <w:szCs w:val="22"/>
          <w:lang w:eastAsia="en-US"/>
        </w:rPr>
      </w:pPr>
      <w:r w:rsidRPr="0046315C">
        <w:rPr>
          <w:rFonts w:eastAsia="Calibri" w:cs="Calibri"/>
          <w:szCs w:val="22"/>
          <w:lang w:eastAsia="en-US"/>
        </w:rPr>
        <w:t>Predlaže se da za područje Sredozemnog mora granične vrijednosti između "dobrih" (GES) i "umjerenih" (nije GES) za obalne vode, budu utvrđene na osnovu postignuća radne grupe MED-GIG interkalibracijskog postupka prema Okvirnoj direktivi EU o vodama (Direktiva, 2000/60/EZ). Ugovorenim strankama preporučuje se oslanjanje na shemu klasifikacije koncentracije hlorofila a (μg/L) u obalnim vodama kao parametra koji je primjenjiv u svim zemljama Sredozemnog mora na osnovu indikativnih i referentnih vrijednosti hlorofila a u obalnim vodama (prema Odluci Komisije 2018/480/EU), pozivajući se na referentne vrijednosti i granice dobrog/umjerenog stanja (D/U). U tom kontekstu tipologija vode vrlo je važan faktor za dalji razvoj sistema klasifikacija na određenom području s obzirom na definisanje subregionalnih pragova koncentracije hlorofila a.</w:t>
      </w:r>
    </w:p>
    <w:p w14:paraId="215E2085" w14:textId="77777777" w:rsidR="0046315C" w:rsidRPr="0046315C" w:rsidRDefault="0046315C" w:rsidP="0046315C">
      <w:pPr>
        <w:autoSpaceDE w:val="0"/>
        <w:autoSpaceDN w:val="0"/>
        <w:adjustRightInd w:val="0"/>
        <w:spacing w:before="0" w:after="0" w:line="240" w:lineRule="auto"/>
        <w:jc w:val="left"/>
        <w:rPr>
          <w:rFonts w:eastAsia="Calibri" w:cs="Calibri"/>
          <w:szCs w:val="22"/>
          <w:highlight w:val="cyan"/>
          <w:lang w:eastAsia="en-US"/>
        </w:rPr>
      </w:pPr>
    </w:p>
    <w:p w14:paraId="6FAEBACD" w14:textId="6B595643" w:rsidR="00D133D9" w:rsidRDefault="0046315C" w:rsidP="0046315C">
      <w:pPr>
        <w:spacing w:before="0" w:after="200"/>
        <w:rPr>
          <w:rFonts w:eastAsia="Calibri"/>
          <w:color w:val="000000"/>
          <w:szCs w:val="22"/>
          <w:lang w:val="hr-HR" w:eastAsia="en-US"/>
        </w:rPr>
      </w:pPr>
      <w:r w:rsidRPr="0046315C">
        <w:rPr>
          <w:rFonts w:eastAsia="Calibri"/>
          <w:color w:val="000000"/>
          <w:szCs w:val="22"/>
          <w:lang w:val="hr-HR" w:eastAsia="en-US"/>
        </w:rPr>
        <w:t xml:space="preserve">Procjena eutrofikacije zasniva se na osnovu tipova voda u odnosu na hidrološke parametre, površinske gustine i saliniteta koji karakterišu određenu dinamiku i cirkulaciju područja. Na osnovu vrijednosti gustine i saliniteta definisani su glavni tipovi obalnih voda (Tabela 2.4.4). </w:t>
      </w:r>
    </w:p>
    <w:p w14:paraId="622D2F7B" w14:textId="2AA504AF" w:rsidR="0046315C" w:rsidRPr="00D133D9" w:rsidRDefault="0046315C" w:rsidP="00D133D9">
      <w:pPr>
        <w:spacing w:before="0" w:after="200" w:line="240" w:lineRule="auto"/>
        <w:rPr>
          <w:rFonts w:eastAsia="Calibri"/>
          <w:b/>
          <w:szCs w:val="22"/>
          <w:lang w:eastAsia="en-US"/>
        </w:rPr>
      </w:pPr>
      <w:r w:rsidRPr="00D133D9">
        <w:rPr>
          <w:rFonts w:eastAsia="Calibri"/>
          <w:b/>
          <w:color w:val="000000"/>
          <w:szCs w:val="22"/>
          <w:lang w:val="hr-HR" w:eastAsia="en-US"/>
        </w:rPr>
        <w:t>Tabela 2.4.4</w:t>
      </w:r>
      <w:r w:rsidR="00D133D9">
        <w:rPr>
          <w:rFonts w:eastAsia="Calibri"/>
          <w:b/>
          <w:color w:val="000000"/>
          <w:szCs w:val="22"/>
          <w:lang w:val="hr-HR" w:eastAsia="en-US"/>
        </w:rPr>
        <w:t>.</w:t>
      </w:r>
      <w:r w:rsidRPr="00D133D9">
        <w:rPr>
          <w:rFonts w:eastAsia="Calibri"/>
          <w:b/>
          <w:color w:val="000000"/>
          <w:szCs w:val="22"/>
          <w:lang w:val="hr-HR" w:eastAsia="en-US"/>
        </w:rPr>
        <w:t xml:space="preserve"> Definicija glavnih tipova obalnih voda u Sredozemnom moru koji su interkalibrisani (primjenjuje se samo za fitoplankton) na osnovu Odluke Komisije 2018/229/UE.</w:t>
      </w:r>
      <w:r w:rsidRPr="00D133D9">
        <w:rPr>
          <w:rFonts w:eastAsia="Calibri"/>
          <w:b/>
          <w:color w:val="000000"/>
          <w:szCs w:val="22"/>
          <w:lang w:eastAsia="en-US"/>
        </w:rPr>
        <w:t xml:space="preserve"> </w:t>
      </w:r>
    </w:p>
    <w:tbl>
      <w:tblPr>
        <w:tblStyle w:val="GridTable4-Accent51"/>
        <w:tblW w:w="0" w:type="auto"/>
        <w:tblLook w:val="04A0" w:firstRow="1" w:lastRow="0" w:firstColumn="1" w:lastColumn="0" w:noHBand="0" w:noVBand="1"/>
      </w:tblPr>
      <w:tblGrid>
        <w:gridCol w:w="1382"/>
        <w:gridCol w:w="1498"/>
        <w:gridCol w:w="1502"/>
        <w:gridCol w:w="1288"/>
        <w:gridCol w:w="1276"/>
        <w:gridCol w:w="1701"/>
      </w:tblGrid>
      <w:tr w:rsidR="0046315C" w:rsidRPr="0046315C" w14:paraId="551F2AB5" w14:textId="77777777" w:rsidTr="006525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2" w:type="dxa"/>
            <w:shd w:val="clear" w:color="auto" w:fill="1F497D" w:themeFill="text2"/>
          </w:tcPr>
          <w:p w14:paraId="7A8367F5" w14:textId="77777777" w:rsidR="0046315C" w:rsidRPr="00821043" w:rsidRDefault="0046315C" w:rsidP="0046315C">
            <w:pPr>
              <w:kinsoku w:val="0"/>
              <w:overflowPunct w:val="0"/>
              <w:autoSpaceDE w:val="0"/>
              <w:autoSpaceDN w:val="0"/>
              <w:adjustRightInd w:val="0"/>
              <w:spacing w:before="0" w:after="0" w:line="240" w:lineRule="auto"/>
              <w:rPr>
                <w:rFonts w:cs="Calibri"/>
                <w:lang w:eastAsia="en-US"/>
              </w:rPr>
            </w:pPr>
          </w:p>
        </w:tc>
        <w:tc>
          <w:tcPr>
            <w:tcW w:w="1498" w:type="dxa"/>
            <w:shd w:val="clear" w:color="auto" w:fill="1F497D" w:themeFill="text2"/>
            <w:hideMark/>
          </w:tcPr>
          <w:p w14:paraId="1E381FE3" w14:textId="77777777" w:rsidR="0046315C" w:rsidRPr="00821043" w:rsidRDefault="0046315C" w:rsidP="0046315C">
            <w:pPr>
              <w:kinsoku w:val="0"/>
              <w:overflowPunct w:val="0"/>
              <w:autoSpaceDE w:val="0"/>
              <w:autoSpaceDN w:val="0"/>
              <w:adjustRightInd w:val="0"/>
              <w:spacing w:before="0" w:after="0" w:line="240" w:lineRule="auto"/>
              <w:cnfStyle w:val="100000000000" w:firstRow="1" w:lastRow="0" w:firstColumn="0" w:lastColumn="0" w:oddVBand="0" w:evenVBand="0" w:oddHBand="0" w:evenHBand="0" w:firstRowFirstColumn="0" w:firstRowLastColumn="0" w:lastRowFirstColumn="0" w:lastRowLastColumn="0"/>
              <w:rPr>
                <w:rFonts w:cs="Calibri"/>
                <w:lang w:eastAsia="en-US"/>
              </w:rPr>
            </w:pPr>
            <w:r w:rsidRPr="00821043">
              <w:rPr>
                <w:rFonts w:cs="Calibri"/>
                <w:lang w:eastAsia="en-US"/>
              </w:rPr>
              <w:t>Tip I</w:t>
            </w:r>
          </w:p>
        </w:tc>
        <w:tc>
          <w:tcPr>
            <w:tcW w:w="1502" w:type="dxa"/>
            <w:shd w:val="clear" w:color="auto" w:fill="1F497D" w:themeFill="text2"/>
            <w:hideMark/>
          </w:tcPr>
          <w:p w14:paraId="6A2C00EF" w14:textId="77777777" w:rsidR="0046315C" w:rsidRPr="00821043" w:rsidRDefault="0046315C" w:rsidP="0046315C">
            <w:pPr>
              <w:kinsoku w:val="0"/>
              <w:overflowPunct w:val="0"/>
              <w:autoSpaceDE w:val="0"/>
              <w:autoSpaceDN w:val="0"/>
              <w:adjustRightInd w:val="0"/>
              <w:spacing w:before="0" w:after="0" w:line="240" w:lineRule="auto"/>
              <w:cnfStyle w:val="100000000000" w:firstRow="1" w:lastRow="0" w:firstColumn="0" w:lastColumn="0" w:oddVBand="0" w:evenVBand="0" w:oddHBand="0" w:evenHBand="0" w:firstRowFirstColumn="0" w:firstRowLastColumn="0" w:lastRowFirstColumn="0" w:lastRowLastColumn="0"/>
              <w:rPr>
                <w:rFonts w:cs="Calibri"/>
                <w:lang w:eastAsia="en-US"/>
              </w:rPr>
            </w:pPr>
            <w:r w:rsidRPr="00821043">
              <w:rPr>
                <w:rFonts w:cs="Calibri"/>
                <w:lang w:eastAsia="en-US"/>
              </w:rPr>
              <w:t>Tip IIA</w:t>
            </w:r>
          </w:p>
          <w:p w14:paraId="352CB6E1" w14:textId="77777777" w:rsidR="0046315C" w:rsidRPr="00821043" w:rsidRDefault="0046315C" w:rsidP="0046315C">
            <w:pPr>
              <w:kinsoku w:val="0"/>
              <w:overflowPunct w:val="0"/>
              <w:autoSpaceDE w:val="0"/>
              <w:autoSpaceDN w:val="0"/>
              <w:adjustRightInd w:val="0"/>
              <w:spacing w:before="0" w:after="0" w:line="240" w:lineRule="auto"/>
              <w:cnfStyle w:val="100000000000" w:firstRow="1" w:lastRow="0" w:firstColumn="0" w:lastColumn="0" w:oddVBand="0" w:evenVBand="0" w:oddHBand="0" w:evenHBand="0" w:firstRowFirstColumn="0" w:firstRowLastColumn="0" w:lastRowFirstColumn="0" w:lastRowLastColumn="0"/>
              <w:rPr>
                <w:rFonts w:cs="Calibri"/>
                <w:lang w:eastAsia="en-US"/>
              </w:rPr>
            </w:pPr>
            <w:r w:rsidRPr="00821043">
              <w:rPr>
                <w:rFonts w:cs="Calibri"/>
                <w:lang w:eastAsia="en-US"/>
              </w:rPr>
              <w:t>Jadran</w:t>
            </w:r>
          </w:p>
        </w:tc>
        <w:tc>
          <w:tcPr>
            <w:tcW w:w="1288" w:type="dxa"/>
            <w:shd w:val="clear" w:color="auto" w:fill="1F497D" w:themeFill="text2"/>
            <w:hideMark/>
          </w:tcPr>
          <w:p w14:paraId="0F70985A" w14:textId="77777777" w:rsidR="0046315C" w:rsidRPr="00821043" w:rsidRDefault="0046315C" w:rsidP="0046315C">
            <w:pPr>
              <w:kinsoku w:val="0"/>
              <w:overflowPunct w:val="0"/>
              <w:autoSpaceDE w:val="0"/>
              <w:autoSpaceDN w:val="0"/>
              <w:adjustRightInd w:val="0"/>
              <w:spacing w:before="0" w:after="0" w:line="240" w:lineRule="auto"/>
              <w:cnfStyle w:val="100000000000" w:firstRow="1" w:lastRow="0" w:firstColumn="0" w:lastColumn="0" w:oddVBand="0" w:evenVBand="0" w:oddHBand="0" w:evenHBand="0" w:firstRowFirstColumn="0" w:firstRowLastColumn="0" w:lastRowFirstColumn="0" w:lastRowLastColumn="0"/>
              <w:rPr>
                <w:rFonts w:cs="Calibri"/>
                <w:lang w:eastAsia="en-US"/>
              </w:rPr>
            </w:pPr>
            <w:r w:rsidRPr="00821043">
              <w:rPr>
                <w:rFonts w:cs="Calibri"/>
                <w:lang w:eastAsia="en-US"/>
              </w:rPr>
              <w:t>Tip IIIW</w:t>
            </w:r>
          </w:p>
        </w:tc>
        <w:tc>
          <w:tcPr>
            <w:tcW w:w="1276" w:type="dxa"/>
            <w:shd w:val="clear" w:color="auto" w:fill="1F497D" w:themeFill="text2"/>
            <w:hideMark/>
          </w:tcPr>
          <w:p w14:paraId="6D917A87" w14:textId="77777777" w:rsidR="0046315C" w:rsidRPr="00821043" w:rsidRDefault="0046315C" w:rsidP="0046315C">
            <w:pPr>
              <w:kinsoku w:val="0"/>
              <w:overflowPunct w:val="0"/>
              <w:autoSpaceDE w:val="0"/>
              <w:autoSpaceDN w:val="0"/>
              <w:adjustRightInd w:val="0"/>
              <w:spacing w:before="0" w:after="0" w:line="240" w:lineRule="auto"/>
              <w:cnfStyle w:val="100000000000" w:firstRow="1" w:lastRow="0" w:firstColumn="0" w:lastColumn="0" w:oddVBand="0" w:evenVBand="0" w:oddHBand="0" w:evenHBand="0" w:firstRowFirstColumn="0" w:firstRowLastColumn="0" w:lastRowFirstColumn="0" w:lastRowLastColumn="0"/>
              <w:rPr>
                <w:rFonts w:cs="Calibri"/>
                <w:lang w:eastAsia="en-US"/>
              </w:rPr>
            </w:pPr>
            <w:r w:rsidRPr="00821043">
              <w:rPr>
                <w:rFonts w:cs="Calibri"/>
                <w:lang w:eastAsia="en-US"/>
              </w:rPr>
              <w:t>Tip IIIE</w:t>
            </w:r>
          </w:p>
        </w:tc>
        <w:tc>
          <w:tcPr>
            <w:tcW w:w="1701" w:type="dxa"/>
            <w:shd w:val="clear" w:color="auto" w:fill="1F497D" w:themeFill="text2"/>
            <w:hideMark/>
          </w:tcPr>
          <w:p w14:paraId="011671FA" w14:textId="77777777" w:rsidR="0046315C" w:rsidRPr="00821043" w:rsidRDefault="0046315C" w:rsidP="0046315C">
            <w:pPr>
              <w:kinsoku w:val="0"/>
              <w:overflowPunct w:val="0"/>
              <w:autoSpaceDE w:val="0"/>
              <w:autoSpaceDN w:val="0"/>
              <w:adjustRightInd w:val="0"/>
              <w:spacing w:before="0" w:after="0" w:line="240" w:lineRule="auto"/>
              <w:cnfStyle w:val="100000000000" w:firstRow="1" w:lastRow="0" w:firstColumn="0" w:lastColumn="0" w:oddVBand="0" w:evenVBand="0" w:oddHBand="0" w:evenHBand="0" w:firstRowFirstColumn="0" w:firstRowLastColumn="0" w:lastRowFirstColumn="0" w:lastRowLastColumn="0"/>
              <w:rPr>
                <w:rFonts w:cs="Calibri"/>
                <w:lang w:eastAsia="en-US"/>
              </w:rPr>
            </w:pPr>
            <w:r w:rsidRPr="00821043">
              <w:rPr>
                <w:rFonts w:cs="Calibri"/>
                <w:lang w:eastAsia="en-US"/>
              </w:rPr>
              <w:t>Tip Ostrvo-W</w:t>
            </w:r>
          </w:p>
        </w:tc>
      </w:tr>
      <w:tr w:rsidR="0046315C" w:rsidRPr="0046315C" w14:paraId="3B79FE94" w14:textId="77777777" w:rsidTr="008210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2" w:type="dxa"/>
            <w:shd w:val="clear" w:color="auto" w:fill="FFFFFF" w:themeFill="background1"/>
          </w:tcPr>
          <w:p w14:paraId="27B64603" w14:textId="77777777" w:rsidR="0046315C" w:rsidRPr="0046315C" w:rsidRDefault="0046315C" w:rsidP="0046315C">
            <w:pPr>
              <w:kinsoku w:val="0"/>
              <w:overflowPunct w:val="0"/>
              <w:autoSpaceDE w:val="0"/>
              <w:autoSpaceDN w:val="0"/>
              <w:adjustRightInd w:val="0"/>
              <w:spacing w:before="0" w:after="0" w:line="240" w:lineRule="auto"/>
              <w:rPr>
                <w:rFonts w:ascii="Times New Roman" w:hAnsi="Times New Roman"/>
                <w:lang w:eastAsia="en-US"/>
              </w:rPr>
            </w:pPr>
            <w:r w:rsidRPr="0046315C">
              <w:rPr>
                <w:rFonts w:ascii="Times New Roman" w:hAnsi="Times New Roman"/>
                <w:lang w:eastAsia="en-US"/>
              </w:rPr>
              <w:t>σ t (gustina)</w:t>
            </w:r>
          </w:p>
          <w:p w14:paraId="16A8A162"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p>
        </w:tc>
        <w:tc>
          <w:tcPr>
            <w:tcW w:w="1498" w:type="dxa"/>
            <w:shd w:val="clear" w:color="auto" w:fill="FFFFFF" w:themeFill="background1"/>
            <w:hideMark/>
          </w:tcPr>
          <w:p w14:paraId="5E43DA3B" w14:textId="77777777" w:rsidR="0046315C" w:rsidRPr="0046315C" w:rsidRDefault="0046315C" w:rsidP="0046315C">
            <w:pPr>
              <w:kinsoku w:val="0"/>
              <w:overflowPunct w:val="0"/>
              <w:autoSpaceDE w:val="0"/>
              <w:autoSpaceDN w:val="0"/>
              <w:adjustRightInd w:val="0"/>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lang w:eastAsia="en-US"/>
              </w:rPr>
            </w:pPr>
            <w:r w:rsidRPr="0046315C">
              <w:rPr>
                <w:rFonts w:ascii="Times New Roman" w:hAnsi="Times New Roman"/>
                <w:lang w:eastAsia="en-US"/>
              </w:rPr>
              <w:t>&lt;25</w:t>
            </w:r>
          </w:p>
        </w:tc>
        <w:tc>
          <w:tcPr>
            <w:tcW w:w="1502" w:type="dxa"/>
            <w:shd w:val="clear" w:color="auto" w:fill="FFFFFF" w:themeFill="background1"/>
            <w:hideMark/>
          </w:tcPr>
          <w:p w14:paraId="6C17FB06" w14:textId="77777777" w:rsidR="0046315C" w:rsidRPr="0046315C" w:rsidRDefault="0046315C" w:rsidP="0046315C">
            <w:pPr>
              <w:kinsoku w:val="0"/>
              <w:overflowPunct w:val="0"/>
              <w:autoSpaceDE w:val="0"/>
              <w:autoSpaceDN w:val="0"/>
              <w:adjustRightInd w:val="0"/>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lang w:eastAsia="en-US"/>
              </w:rPr>
            </w:pPr>
            <w:r w:rsidRPr="0046315C">
              <w:rPr>
                <w:rFonts w:ascii="Times New Roman" w:hAnsi="Times New Roman"/>
                <w:lang w:eastAsia="en-US"/>
              </w:rPr>
              <w:t>25&lt;d&lt;27</w:t>
            </w:r>
          </w:p>
        </w:tc>
        <w:tc>
          <w:tcPr>
            <w:tcW w:w="1288" w:type="dxa"/>
            <w:shd w:val="clear" w:color="auto" w:fill="FFFFFF" w:themeFill="background1"/>
            <w:hideMark/>
          </w:tcPr>
          <w:p w14:paraId="6F05FD1A" w14:textId="77777777" w:rsidR="0046315C" w:rsidRPr="0046315C" w:rsidRDefault="0046315C" w:rsidP="0046315C">
            <w:pPr>
              <w:kinsoku w:val="0"/>
              <w:overflowPunct w:val="0"/>
              <w:autoSpaceDE w:val="0"/>
              <w:autoSpaceDN w:val="0"/>
              <w:adjustRightInd w:val="0"/>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lang w:eastAsia="en-US"/>
              </w:rPr>
            </w:pPr>
            <w:r w:rsidRPr="0046315C">
              <w:rPr>
                <w:rFonts w:ascii="Times New Roman" w:hAnsi="Times New Roman"/>
                <w:lang w:eastAsia="en-US"/>
              </w:rPr>
              <w:t>&gt;27</w:t>
            </w:r>
          </w:p>
        </w:tc>
        <w:tc>
          <w:tcPr>
            <w:tcW w:w="1276" w:type="dxa"/>
            <w:shd w:val="clear" w:color="auto" w:fill="FFFFFF" w:themeFill="background1"/>
            <w:hideMark/>
          </w:tcPr>
          <w:p w14:paraId="53CBCC40" w14:textId="77777777" w:rsidR="0046315C" w:rsidRPr="0046315C" w:rsidRDefault="0046315C" w:rsidP="0046315C">
            <w:pPr>
              <w:kinsoku w:val="0"/>
              <w:overflowPunct w:val="0"/>
              <w:autoSpaceDE w:val="0"/>
              <w:autoSpaceDN w:val="0"/>
              <w:adjustRightInd w:val="0"/>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lang w:eastAsia="en-US"/>
              </w:rPr>
            </w:pPr>
            <w:r w:rsidRPr="0046315C">
              <w:rPr>
                <w:rFonts w:ascii="Times New Roman" w:hAnsi="Times New Roman"/>
                <w:lang w:eastAsia="en-US"/>
              </w:rPr>
              <w:t>&gt;27</w:t>
            </w:r>
          </w:p>
        </w:tc>
        <w:tc>
          <w:tcPr>
            <w:tcW w:w="1701" w:type="dxa"/>
            <w:shd w:val="clear" w:color="auto" w:fill="FFFFFF" w:themeFill="background1"/>
            <w:hideMark/>
          </w:tcPr>
          <w:p w14:paraId="4C678C30" w14:textId="77777777" w:rsidR="0046315C" w:rsidRPr="0046315C" w:rsidRDefault="0046315C" w:rsidP="0046315C">
            <w:pPr>
              <w:kinsoku w:val="0"/>
              <w:overflowPunct w:val="0"/>
              <w:autoSpaceDE w:val="0"/>
              <w:autoSpaceDN w:val="0"/>
              <w:adjustRightInd w:val="0"/>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lang w:eastAsia="en-US"/>
              </w:rPr>
            </w:pPr>
            <w:r w:rsidRPr="0046315C">
              <w:rPr>
                <w:rFonts w:ascii="Times New Roman" w:hAnsi="Times New Roman"/>
                <w:lang w:eastAsia="en-US"/>
              </w:rPr>
              <w:t>Cijeli opseg</w:t>
            </w:r>
          </w:p>
        </w:tc>
      </w:tr>
      <w:tr w:rsidR="0046315C" w:rsidRPr="0046315C" w14:paraId="2D90F65A" w14:textId="77777777" w:rsidTr="00821043">
        <w:tc>
          <w:tcPr>
            <w:cnfStyle w:val="001000000000" w:firstRow="0" w:lastRow="0" w:firstColumn="1" w:lastColumn="0" w:oddVBand="0" w:evenVBand="0" w:oddHBand="0" w:evenHBand="0" w:firstRowFirstColumn="0" w:firstRowLastColumn="0" w:lastRowFirstColumn="0" w:lastRowLastColumn="0"/>
            <w:tcW w:w="1382" w:type="dxa"/>
          </w:tcPr>
          <w:p w14:paraId="5228583E"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r w:rsidRPr="0046315C">
              <w:rPr>
                <w:rFonts w:cs="Calibri"/>
                <w:lang w:eastAsia="en-US"/>
              </w:rPr>
              <w:t>Salinitet</w:t>
            </w:r>
          </w:p>
          <w:p w14:paraId="70CE329D"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p>
        </w:tc>
        <w:tc>
          <w:tcPr>
            <w:tcW w:w="1498" w:type="dxa"/>
            <w:hideMark/>
          </w:tcPr>
          <w:p w14:paraId="3178A70C" w14:textId="77777777" w:rsidR="0046315C" w:rsidRPr="0046315C" w:rsidRDefault="0046315C" w:rsidP="0046315C">
            <w:pPr>
              <w:kinsoku w:val="0"/>
              <w:overflowPunct w:val="0"/>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cs="Calibri"/>
                <w:lang w:eastAsia="en-US"/>
              </w:rPr>
            </w:pPr>
            <w:r w:rsidRPr="0046315C">
              <w:rPr>
                <w:rFonts w:ascii="Times New Roman" w:hAnsi="Times New Roman"/>
                <w:lang w:eastAsia="en-US"/>
              </w:rPr>
              <w:t>&lt;34.5</w:t>
            </w:r>
          </w:p>
        </w:tc>
        <w:tc>
          <w:tcPr>
            <w:tcW w:w="1502" w:type="dxa"/>
            <w:hideMark/>
          </w:tcPr>
          <w:p w14:paraId="7CAD547E" w14:textId="77777777" w:rsidR="0046315C" w:rsidRPr="0046315C" w:rsidRDefault="0046315C" w:rsidP="0046315C">
            <w:pPr>
              <w:kinsoku w:val="0"/>
              <w:overflowPunct w:val="0"/>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cs="Calibri"/>
                <w:lang w:eastAsia="en-US"/>
              </w:rPr>
            </w:pPr>
            <w:r w:rsidRPr="0046315C">
              <w:rPr>
                <w:rFonts w:ascii="Times New Roman" w:hAnsi="Times New Roman"/>
                <w:lang w:eastAsia="en-US"/>
              </w:rPr>
              <w:t>34.5&lt;S&lt;37.5</w:t>
            </w:r>
          </w:p>
        </w:tc>
        <w:tc>
          <w:tcPr>
            <w:tcW w:w="1288" w:type="dxa"/>
            <w:hideMark/>
          </w:tcPr>
          <w:p w14:paraId="208F5D83" w14:textId="77777777" w:rsidR="0046315C" w:rsidRPr="0046315C" w:rsidRDefault="0046315C" w:rsidP="0046315C">
            <w:pPr>
              <w:kinsoku w:val="0"/>
              <w:overflowPunct w:val="0"/>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cs="Calibri"/>
                <w:lang w:eastAsia="en-US"/>
              </w:rPr>
            </w:pPr>
            <w:r w:rsidRPr="0046315C">
              <w:rPr>
                <w:rFonts w:ascii="Times New Roman" w:hAnsi="Times New Roman"/>
                <w:lang w:eastAsia="en-US"/>
              </w:rPr>
              <w:t>&gt;37.5</w:t>
            </w:r>
          </w:p>
        </w:tc>
        <w:tc>
          <w:tcPr>
            <w:tcW w:w="1276" w:type="dxa"/>
            <w:hideMark/>
          </w:tcPr>
          <w:p w14:paraId="37032842" w14:textId="77777777" w:rsidR="0046315C" w:rsidRPr="0046315C" w:rsidRDefault="0046315C" w:rsidP="0046315C">
            <w:pPr>
              <w:kinsoku w:val="0"/>
              <w:overflowPunct w:val="0"/>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cs="Calibri"/>
                <w:lang w:eastAsia="en-US"/>
              </w:rPr>
            </w:pPr>
            <w:r w:rsidRPr="0046315C">
              <w:rPr>
                <w:rFonts w:ascii="Times New Roman" w:hAnsi="Times New Roman"/>
                <w:lang w:eastAsia="en-US"/>
              </w:rPr>
              <w:t>&gt;37.5</w:t>
            </w:r>
          </w:p>
        </w:tc>
        <w:tc>
          <w:tcPr>
            <w:tcW w:w="1701" w:type="dxa"/>
            <w:hideMark/>
          </w:tcPr>
          <w:p w14:paraId="0F2C3243" w14:textId="77777777" w:rsidR="0046315C" w:rsidRPr="0046315C" w:rsidRDefault="0046315C" w:rsidP="0046315C">
            <w:pPr>
              <w:kinsoku w:val="0"/>
              <w:overflowPunct w:val="0"/>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cs="Calibri"/>
                <w:lang w:eastAsia="en-US"/>
              </w:rPr>
            </w:pPr>
            <w:r w:rsidRPr="0046315C">
              <w:rPr>
                <w:rFonts w:ascii="Times New Roman" w:hAnsi="Times New Roman"/>
                <w:lang w:eastAsia="en-US"/>
              </w:rPr>
              <w:t>Cijeli opseg</w:t>
            </w:r>
          </w:p>
        </w:tc>
      </w:tr>
    </w:tbl>
    <w:p w14:paraId="2D47B583" w14:textId="77777777" w:rsidR="0046315C" w:rsidRPr="0046315C" w:rsidRDefault="0046315C" w:rsidP="0046315C">
      <w:pPr>
        <w:kinsoku w:val="0"/>
        <w:overflowPunct w:val="0"/>
        <w:autoSpaceDE w:val="0"/>
        <w:autoSpaceDN w:val="0"/>
        <w:adjustRightInd w:val="0"/>
        <w:spacing w:before="0" w:after="0" w:line="240" w:lineRule="auto"/>
        <w:rPr>
          <w:rFonts w:cs="Calibri"/>
          <w:szCs w:val="22"/>
          <w:highlight w:val="cyan"/>
          <w:lang w:eastAsia="en-US"/>
        </w:rPr>
      </w:pPr>
    </w:p>
    <w:p w14:paraId="330B1BC3" w14:textId="77777777" w:rsidR="0046315C" w:rsidRPr="0046315C" w:rsidRDefault="0046315C" w:rsidP="0046315C">
      <w:pPr>
        <w:kinsoku w:val="0"/>
        <w:overflowPunct w:val="0"/>
        <w:autoSpaceDE w:val="0"/>
        <w:autoSpaceDN w:val="0"/>
        <w:adjustRightInd w:val="0"/>
        <w:spacing w:before="0" w:after="0" w:line="240" w:lineRule="auto"/>
        <w:rPr>
          <w:rFonts w:cs="Calibri"/>
          <w:szCs w:val="22"/>
          <w:highlight w:val="cyan"/>
          <w:lang w:eastAsia="en-US"/>
        </w:rPr>
      </w:pPr>
    </w:p>
    <w:p w14:paraId="4C34D205" w14:textId="77777777" w:rsidR="0046315C" w:rsidRPr="0046315C" w:rsidRDefault="0046315C" w:rsidP="0046315C">
      <w:pPr>
        <w:kinsoku w:val="0"/>
        <w:overflowPunct w:val="0"/>
        <w:autoSpaceDE w:val="0"/>
        <w:autoSpaceDN w:val="0"/>
        <w:adjustRightInd w:val="0"/>
        <w:spacing w:before="0" w:after="0" w:line="240" w:lineRule="auto"/>
        <w:rPr>
          <w:rFonts w:cs="Calibri"/>
          <w:szCs w:val="22"/>
          <w:lang w:eastAsia="en-US"/>
        </w:rPr>
      </w:pPr>
      <w:r w:rsidRPr="0046315C">
        <w:rPr>
          <w:rFonts w:cs="Calibri"/>
          <w:szCs w:val="22"/>
          <w:lang w:eastAsia="en-US"/>
        </w:rPr>
        <w:t xml:space="preserve">Tip I </w:t>
      </w:r>
      <w:r w:rsidRPr="0046315C">
        <w:rPr>
          <w:rFonts w:cs="Calibri"/>
          <w:szCs w:val="22"/>
          <w:lang w:eastAsia="en-US"/>
        </w:rPr>
        <w:tab/>
      </w:r>
      <w:r w:rsidRPr="0046315C">
        <w:rPr>
          <w:rFonts w:cs="Calibri"/>
          <w:szCs w:val="22"/>
          <w:lang w:eastAsia="en-US"/>
        </w:rPr>
        <w:tab/>
        <w:t>Priobalna područja pod povećanim uticajem priliva slatkih voda,</w:t>
      </w:r>
    </w:p>
    <w:p w14:paraId="2169DCEA" w14:textId="77777777" w:rsidR="0046315C" w:rsidRPr="0046315C" w:rsidRDefault="0046315C" w:rsidP="0046315C">
      <w:pPr>
        <w:kinsoku w:val="0"/>
        <w:overflowPunct w:val="0"/>
        <w:autoSpaceDE w:val="0"/>
        <w:autoSpaceDN w:val="0"/>
        <w:adjustRightInd w:val="0"/>
        <w:spacing w:before="0" w:after="0" w:line="240" w:lineRule="auto"/>
        <w:rPr>
          <w:rFonts w:cs="Calibri"/>
          <w:szCs w:val="22"/>
          <w:lang w:eastAsia="en-US"/>
        </w:rPr>
      </w:pPr>
      <w:r w:rsidRPr="0046315C">
        <w:rPr>
          <w:rFonts w:cs="Calibri"/>
          <w:szCs w:val="22"/>
          <w:lang w:eastAsia="en-US"/>
        </w:rPr>
        <w:t xml:space="preserve">Tip II A </w:t>
      </w:r>
      <w:r w:rsidRPr="0046315C">
        <w:rPr>
          <w:rFonts w:cs="Calibri"/>
          <w:szCs w:val="22"/>
          <w:lang w:eastAsia="en-US"/>
        </w:rPr>
        <w:tab/>
      </w:r>
      <w:r w:rsidRPr="0046315C">
        <w:rPr>
          <w:rFonts w:cs="Calibri"/>
          <w:szCs w:val="22"/>
          <w:lang w:eastAsia="en-US"/>
        </w:rPr>
        <w:tab/>
        <w:t>Priobalna područja na koja umereno utiču prilivi slatkih voda (uticaj kontinenta),</w:t>
      </w:r>
    </w:p>
    <w:p w14:paraId="754CC157" w14:textId="77777777" w:rsidR="0046315C" w:rsidRPr="0046315C" w:rsidRDefault="0046315C" w:rsidP="0046315C">
      <w:pPr>
        <w:kinsoku w:val="0"/>
        <w:overflowPunct w:val="0"/>
        <w:autoSpaceDE w:val="0"/>
        <w:autoSpaceDN w:val="0"/>
        <w:adjustRightInd w:val="0"/>
        <w:spacing w:before="0" w:after="0" w:line="240" w:lineRule="auto"/>
        <w:rPr>
          <w:rFonts w:cs="Calibri"/>
          <w:szCs w:val="22"/>
          <w:lang w:eastAsia="en-US"/>
        </w:rPr>
      </w:pPr>
    </w:p>
    <w:p w14:paraId="1CA2199F" w14:textId="77777777" w:rsidR="0046315C" w:rsidRPr="0046315C" w:rsidRDefault="0046315C" w:rsidP="0046315C">
      <w:pPr>
        <w:kinsoku w:val="0"/>
        <w:overflowPunct w:val="0"/>
        <w:autoSpaceDE w:val="0"/>
        <w:autoSpaceDN w:val="0"/>
        <w:adjustRightInd w:val="0"/>
        <w:spacing w:before="0" w:after="0" w:line="240" w:lineRule="auto"/>
        <w:rPr>
          <w:rFonts w:cs="Calibri"/>
          <w:szCs w:val="22"/>
          <w:lang w:eastAsia="en-US"/>
        </w:rPr>
      </w:pPr>
      <w:r w:rsidRPr="0046315C">
        <w:rPr>
          <w:rFonts w:cs="Calibri"/>
          <w:szCs w:val="22"/>
          <w:lang w:eastAsia="en-US"/>
        </w:rPr>
        <w:t xml:space="preserve">Tip IIIW </w:t>
      </w:r>
      <w:r w:rsidRPr="0046315C">
        <w:rPr>
          <w:rFonts w:cs="Calibri"/>
          <w:szCs w:val="22"/>
          <w:lang w:eastAsia="en-US"/>
        </w:rPr>
        <w:tab/>
        <w:t>kontinentalna obala, priobalna područja na koja prilivi slatkovodnih voda ne utiču  (zapadni sliv)</w:t>
      </w:r>
    </w:p>
    <w:p w14:paraId="11BDBBB6" w14:textId="77777777" w:rsidR="0046315C" w:rsidRPr="0046315C" w:rsidRDefault="0046315C" w:rsidP="0046315C">
      <w:pPr>
        <w:kinsoku w:val="0"/>
        <w:overflowPunct w:val="0"/>
        <w:autoSpaceDE w:val="0"/>
        <w:autoSpaceDN w:val="0"/>
        <w:adjustRightInd w:val="0"/>
        <w:spacing w:before="0" w:after="0" w:line="240" w:lineRule="auto"/>
        <w:rPr>
          <w:rFonts w:cs="Calibri"/>
          <w:szCs w:val="22"/>
          <w:lang w:eastAsia="en-US"/>
        </w:rPr>
      </w:pPr>
    </w:p>
    <w:p w14:paraId="36D6EB84" w14:textId="77777777" w:rsidR="0046315C" w:rsidRPr="0046315C" w:rsidRDefault="0046315C" w:rsidP="0046315C">
      <w:pPr>
        <w:kinsoku w:val="0"/>
        <w:overflowPunct w:val="0"/>
        <w:autoSpaceDE w:val="0"/>
        <w:autoSpaceDN w:val="0"/>
        <w:adjustRightInd w:val="0"/>
        <w:spacing w:before="0" w:after="0" w:line="240" w:lineRule="auto"/>
        <w:rPr>
          <w:rFonts w:cs="Calibri"/>
          <w:szCs w:val="22"/>
          <w:lang w:eastAsia="en-US"/>
        </w:rPr>
      </w:pPr>
      <w:r w:rsidRPr="0046315C">
        <w:rPr>
          <w:rFonts w:cs="Calibri"/>
          <w:szCs w:val="22"/>
          <w:lang w:eastAsia="en-US"/>
        </w:rPr>
        <w:t xml:space="preserve">Tip IIIE </w:t>
      </w:r>
      <w:r w:rsidRPr="0046315C">
        <w:rPr>
          <w:rFonts w:cs="Calibri"/>
          <w:szCs w:val="22"/>
          <w:lang w:eastAsia="en-US"/>
        </w:rPr>
        <w:tab/>
      </w:r>
      <w:r w:rsidRPr="0046315C">
        <w:rPr>
          <w:rFonts w:cs="Calibri"/>
          <w:szCs w:val="22"/>
          <w:lang w:eastAsia="en-US"/>
        </w:rPr>
        <w:tab/>
        <w:t>nije pod uticajem priliva slatkih voda (Istočni sliv)</w:t>
      </w:r>
    </w:p>
    <w:p w14:paraId="6E15FBD8" w14:textId="77777777" w:rsidR="0046315C" w:rsidRPr="0046315C" w:rsidRDefault="0046315C" w:rsidP="0046315C">
      <w:pPr>
        <w:kinsoku w:val="0"/>
        <w:overflowPunct w:val="0"/>
        <w:autoSpaceDE w:val="0"/>
        <w:autoSpaceDN w:val="0"/>
        <w:adjustRightInd w:val="0"/>
        <w:spacing w:before="0" w:after="0" w:line="240" w:lineRule="auto"/>
        <w:rPr>
          <w:rFonts w:cs="Calibri"/>
          <w:szCs w:val="22"/>
          <w:highlight w:val="darkGray"/>
          <w:lang w:eastAsia="en-US"/>
        </w:rPr>
      </w:pPr>
      <w:r w:rsidRPr="0046315C">
        <w:rPr>
          <w:rFonts w:cs="Calibri"/>
          <w:szCs w:val="22"/>
          <w:lang w:eastAsia="en-US"/>
        </w:rPr>
        <w:t xml:space="preserve">Tip Ostrvski </w:t>
      </w:r>
      <w:r w:rsidRPr="0046315C">
        <w:rPr>
          <w:rFonts w:cs="Calibri"/>
          <w:szCs w:val="22"/>
          <w:lang w:eastAsia="en-US"/>
        </w:rPr>
        <w:tab/>
        <w:t>obala (zapadni sliv).</w:t>
      </w:r>
    </w:p>
    <w:p w14:paraId="5C6B85F4" w14:textId="77777777" w:rsidR="0046315C" w:rsidRPr="0046315C" w:rsidRDefault="0046315C" w:rsidP="0046315C">
      <w:pPr>
        <w:kinsoku w:val="0"/>
        <w:overflowPunct w:val="0"/>
        <w:autoSpaceDE w:val="0"/>
        <w:autoSpaceDN w:val="0"/>
        <w:adjustRightInd w:val="0"/>
        <w:spacing w:before="0" w:after="0" w:line="240" w:lineRule="auto"/>
        <w:rPr>
          <w:rFonts w:cs="Calibri"/>
          <w:szCs w:val="22"/>
          <w:highlight w:val="darkGray"/>
          <w:lang w:eastAsia="en-US"/>
        </w:rPr>
      </w:pPr>
    </w:p>
    <w:p w14:paraId="23FEBE7B" w14:textId="77777777" w:rsidR="0046315C" w:rsidRPr="0046315C" w:rsidRDefault="0046315C" w:rsidP="0046315C">
      <w:pPr>
        <w:kinsoku w:val="0"/>
        <w:overflowPunct w:val="0"/>
        <w:autoSpaceDE w:val="0"/>
        <w:autoSpaceDN w:val="0"/>
        <w:adjustRightInd w:val="0"/>
        <w:spacing w:before="0" w:after="0" w:line="240" w:lineRule="auto"/>
        <w:rPr>
          <w:rFonts w:ascii="Times New Roman" w:eastAsia="Calibri" w:hAnsi="Times New Roman"/>
          <w:b/>
          <w:bCs/>
          <w:iCs/>
          <w:szCs w:val="22"/>
          <w:highlight w:val="cyan"/>
          <w:lang w:eastAsia="en-US"/>
        </w:rPr>
      </w:pPr>
    </w:p>
    <w:p w14:paraId="7EDE2A2E" w14:textId="17647970" w:rsidR="0046315C" w:rsidRPr="00D133D9" w:rsidRDefault="0046315C" w:rsidP="0046315C">
      <w:pPr>
        <w:kinsoku w:val="0"/>
        <w:overflowPunct w:val="0"/>
        <w:autoSpaceDE w:val="0"/>
        <w:autoSpaceDN w:val="0"/>
        <w:adjustRightInd w:val="0"/>
        <w:spacing w:before="0" w:after="0" w:line="240" w:lineRule="auto"/>
        <w:rPr>
          <w:rFonts w:cs="Calibri"/>
          <w:b/>
          <w:szCs w:val="22"/>
          <w:lang w:eastAsia="en-US"/>
        </w:rPr>
      </w:pPr>
      <w:r w:rsidRPr="0046315C">
        <w:rPr>
          <w:rFonts w:eastAsia="Calibri" w:cs="Calibri"/>
          <w:b/>
          <w:bCs/>
          <w:iCs/>
          <w:szCs w:val="22"/>
          <w:lang w:eastAsia="en-US"/>
        </w:rPr>
        <w:t>Tabela 2.4.5</w:t>
      </w:r>
      <w:r w:rsidR="00D133D9">
        <w:rPr>
          <w:rFonts w:eastAsia="Calibri" w:cs="Calibri"/>
          <w:b/>
          <w:bCs/>
          <w:iCs/>
          <w:szCs w:val="22"/>
          <w:lang w:eastAsia="en-US"/>
        </w:rPr>
        <w:t>.</w:t>
      </w:r>
      <w:r w:rsidRPr="0046315C">
        <w:rPr>
          <w:rFonts w:eastAsia="Calibri" w:cs="Calibri"/>
          <w:b/>
          <w:bCs/>
          <w:iCs/>
          <w:szCs w:val="22"/>
          <w:lang w:eastAsia="en-US"/>
        </w:rPr>
        <w:t xml:space="preserve"> </w:t>
      </w:r>
      <w:r w:rsidRPr="0046315C">
        <w:rPr>
          <w:rFonts w:eastAsia="Calibri" w:cs="Calibri"/>
          <w:b/>
          <w:bCs/>
          <w:i/>
          <w:iCs/>
          <w:szCs w:val="22"/>
          <w:lang w:eastAsia="en-US"/>
        </w:rPr>
        <w:t xml:space="preserve"> </w:t>
      </w:r>
      <w:r w:rsidRPr="00D133D9">
        <w:rPr>
          <w:rFonts w:eastAsia="Calibri" w:cs="Calibri"/>
          <w:b/>
          <w:bCs/>
          <w:iCs/>
          <w:szCs w:val="22"/>
          <w:lang w:eastAsia="en-US"/>
        </w:rPr>
        <w:t>Referentne i granične vrijednosti Chl a u obalnim vodama Sredozemnog mora prema Odluci Komisije (EU 2018/229) za D5C2 kriterijum (H/G – granica za Vrlo dobro/Dobro stanje; G/M – granica za Dobro/umjereno stanje)</w:t>
      </w:r>
      <w:r w:rsidRPr="00D133D9">
        <w:rPr>
          <w:rFonts w:eastAsia="Calibri" w:cs="Calibri"/>
          <w:b/>
          <w:bCs/>
          <w:i/>
          <w:iCs/>
          <w:szCs w:val="22"/>
          <w:lang w:eastAsia="en-US"/>
        </w:rPr>
        <w:t xml:space="preserve"> </w:t>
      </w:r>
    </w:p>
    <w:p w14:paraId="2C051B13" w14:textId="77777777" w:rsidR="0046315C" w:rsidRPr="0046315C" w:rsidRDefault="0046315C" w:rsidP="0046315C">
      <w:pPr>
        <w:kinsoku w:val="0"/>
        <w:overflowPunct w:val="0"/>
        <w:autoSpaceDE w:val="0"/>
        <w:autoSpaceDN w:val="0"/>
        <w:adjustRightInd w:val="0"/>
        <w:spacing w:before="0" w:after="0" w:line="240" w:lineRule="auto"/>
        <w:rPr>
          <w:rFonts w:cs="Calibri"/>
          <w:szCs w:val="22"/>
          <w:highlight w:val="cyan"/>
          <w:lang w:eastAsia="en-US"/>
        </w:rPr>
      </w:pPr>
    </w:p>
    <w:tbl>
      <w:tblPr>
        <w:tblStyle w:val="TableGrid26"/>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515"/>
        <w:gridCol w:w="1151"/>
        <w:gridCol w:w="2007"/>
        <w:gridCol w:w="1418"/>
        <w:gridCol w:w="1889"/>
      </w:tblGrid>
      <w:tr w:rsidR="0046315C" w:rsidRPr="0046315C" w14:paraId="291B9F9A" w14:textId="77777777" w:rsidTr="006525CE">
        <w:trPr>
          <w:jc w:val="center"/>
        </w:trPr>
        <w:tc>
          <w:tcPr>
            <w:tcW w:w="151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5AEC8530" w14:textId="77777777" w:rsidR="0046315C" w:rsidRPr="00821043" w:rsidRDefault="0046315C" w:rsidP="0046315C">
            <w:pPr>
              <w:kinsoku w:val="0"/>
              <w:overflowPunct w:val="0"/>
              <w:autoSpaceDE w:val="0"/>
              <w:autoSpaceDN w:val="0"/>
              <w:adjustRightInd w:val="0"/>
              <w:spacing w:before="0" w:after="0" w:line="240" w:lineRule="auto"/>
              <w:rPr>
                <w:rFonts w:cs="Calibri"/>
                <w:b/>
                <w:color w:val="FFFFFF" w:themeColor="background1"/>
                <w:lang w:eastAsia="en-US"/>
              </w:rPr>
            </w:pPr>
            <w:r w:rsidRPr="00821043">
              <w:rPr>
                <w:rFonts w:cs="Calibri"/>
                <w:b/>
                <w:color w:val="FFFFFF" w:themeColor="background1"/>
                <w:lang w:eastAsia="en-US"/>
              </w:rPr>
              <w:t>Tipovi priobalnih voda</w:t>
            </w:r>
          </w:p>
        </w:tc>
        <w:tc>
          <w:tcPr>
            <w:tcW w:w="315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3EBE61BF" w14:textId="77777777" w:rsidR="0046315C" w:rsidRPr="00821043" w:rsidRDefault="0046315C" w:rsidP="0046315C">
            <w:pPr>
              <w:kinsoku w:val="0"/>
              <w:overflowPunct w:val="0"/>
              <w:autoSpaceDE w:val="0"/>
              <w:autoSpaceDN w:val="0"/>
              <w:adjustRightInd w:val="0"/>
              <w:spacing w:before="0" w:after="0" w:line="240" w:lineRule="auto"/>
              <w:jc w:val="center"/>
              <w:rPr>
                <w:rFonts w:cs="Calibri"/>
                <w:b/>
                <w:color w:val="FFFFFF" w:themeColor="background1"/>
                <w:lang w:eastAsia="en-US"/>
              </w:rPr>
            </w:pPr>
            <w:r w:rsidRPr="00821043">
              <w:rPr>
                <w:rFonts w:cs="Calibri"/>
                <w:b/>
                <w:color w:val="FFFFFF" w:themeColor="background1"/>
                <w:lang w:eastAsia="en-US"/>
              </w:rPr>
              <w:t>Referentne vrijednosti</w:t>
            </w:r>
          </w:p>
          <w:p w14:paraId="28B8B807" w14:textId="77777777" w:rsidR="0046315C" w:rsidRPr="00821043" w:rsidRDefault="0046315C" w:rsidP="0046315C">
            <w:pPr>
              <w:kinsoku w:val="0"/>
              <w:overflowPunct w:val="0"/>
              <w:autoSpaceDE w:val="0"/>
              <w:autoSpaceDN w:val="0"/>
              <w:adjustRightInd w:val="0"/>
              <w:spacing w:before="0" w:after="0" w:line="240" w:lineRule="auto"/>
              <w:jc w:val="center"/>
              <w:rPr>
                <w:rFonts w:cs="Calibri"/>
                <w:b/>
                <w:color w:val="FFFFFF" w:themeColor="background1"/>
                <w:lang w:eastAsia="en-US"/>
              </w:rPr>
            </w:pPr>
            <w:r w:rsidRPr="00821043">
              <w:rPr>
                <w:rFonts w:cs="Calibri"/>
                <w:b/>
                <w:color w:val="FFFFFF" w:themeColor="background1"/>
                <w:lang w:eastAsia="en-US"/>
              </w:rPr>
              <w:t>Chl a (µgL</w:t>
            </w:r>
            <w:r w:rsidRPr="00821043">
              <w:rPr>
                <w:rFonts w:cs="Calibri"/>
                <w:b/>
                <w:color w:val="FFFFFF" w:themeColor="background1"/>
                <w:vertAlign w:val="superscript"/>
                <w:lang w:eastAsia="en-US"/>
              </w:rPr>
              <w:t>-1</w:t>
            </w:r>
            <w:r w:rsidRPr="00821043">
              <w:rPr>
                <w:rFonts w:cs="Calibri"/>
                <w:b/>
                <w:color w:val="FFFFFF" w:themeColor="background1"/>
                <w:lang w:eastAsia="en-US"/>
              </w:rPr>
              <w:t>)</w:t>
            </w:r>
          </w:p>
        </w:tc>
        <w:tc>
          <w:tcPr>
            <w:tcW w:w="33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51789DA3" w14:textId="77777777" w:rsidR="0046315C" w:rsidRPr="00821043" w:rsidRDefault="0046315C" w:rsidP="0046315C">
            <w:pPr>
              <w:kinsoku w:val="0"/>
              <w:overflowPunct w:val="0"/>
              <w:autoSpaceDE w:val="0"/>
              <w:autoSpaceDN w:val="0"/>
              <w:adjustRightInd w:val="0"/>
              <w:spacing w:before="0" w:after="0" w:line="240" w:lineRule="auto"/>
              <w:jc w:val="center"/>
              <w:rPr>
                <w:rFonts w:cs="Calibri"/>
                <w:b/>
                <w:color w:val="FFFFFF" w:themeColor="background1"/>
                <w:lang w:eastAsia="en-US"/>
              </w:rPr>
            </w:pPr>
            <w:r w:rsidRPr="00821043">
              <w:rPr>
                <w:rFonts w:cs="Calibri"/>
                <w:b/>
                <w:color w:val="FFFFFF" w:themeColor="background1"/>
                <w:lang w:eastAsia="en-US"/>
              </w:rPr>
              <w:t>Granične vrijednosti</w:t>
            </w:r>
          </w:p>
          <w:p w14:paraId="1B445FCB" w14:textId="77777777" w:rsidR="0046315C" w:rsidRPr="00821043" w:rsidRDefault="0046315C" w:rsidP="0046315C">
            <w:pPr>
              <w:kinsoku w:val="0"/>
              <w:overflowPunct w:val="0"/>
              <w:autoSpaceDE w:val="0"/>
              <w:autoSpaceDN w:val="0"/>
              <w:adjustRightInd w:val="0"/>
              <w:spacing w:before="0" w:after="0" w:line="240" w:lineRule="auto"/>
              <w:jc w:val="center"/>
              <w:rPr>
                <w:rFonts w:cs="Calibri"/>
                <w:b/>
                <w:color w:val="FFFFFF" w:themeColor="background1"/>
                <w:lang w:eastAsia="en-US"/>
              </w:rPr>
            </w:pPr>
            <w:r w:rsidRPr="00821043">
              <w:rPr>
                <w:rFonts w:cs="Calibri"/>
                <w:b/>
                <w:color w:val="FFFFFF" w:themeColor="background1"/>
                <w:lang w:eastAsia="en-US"/>
              </w:rPr>
              <w:t>Chl a (µgL</w:t>
            </w:r>
            <w:r w:rsidRPr="00821043">
              <w:rPr>
                <w:rFonts w:cs="Calibri"/>
                <w:b/>
                <w:color w:val="FFFFFF" w:themeColor="background1"/>
                <w:vertAlign w:val="superscript"/>
                <w:lang w:eastAsia="en-US"/>
              </w:rPr>
              <w:t>-1</w:t>
            </w:r>
            <w:r w:rsidRPr="00821043">
              <w:rPr>
                <w:rFonts w:cs="Calibri"/>
                <w:b/>
                <w:color w:val="FFFFFF" w:themeColor="background1"/>
                <w:lang w:eastAsia="en-US"/>
              </w:rPr>
              <w:t>)</w:t>
            </w:r>
          </w:p>
        </w:tc>
      </w:tr>
      <w:tr w:rsidR="0046315C" w:rsidRPr="0046315C" w14:paraId="031AEA69" w14:textId="77777777" w:rsidTr="006525CE">
        <w:trPr>
          <w:jc w:val="center"/>
        </w:trPr>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vAlign w:val="center"/>
            <w:hideMark/>
          </w:tcPr>
          <w:p w14:paraId="23C69AE8" w14:textId="77777777" w:rsidR="0046315C" w:rsidRPr="00821043" w:rsidRDefault="0046315C" w:rsidP="0046315C">
            <w:pPr>
              <w:spacing w:before="0" w:after="0" w:line="240" w:lineRule="auto"/>
              <w:jc w:val="left"/>
              <w:rPr>
                <w:rFonts w:cs="Calibri"/>
                <w:b/>
                <w:color w:val="FFFFFF" w:themeColor="background1"/>
                <w:lang w:eastAsia="en-US"/>
              </w:rPr>
            </w:pPr>
          </w:p>
        </w:tc>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15318675" w14:textId="77777777" w:rsidR="0046315C" w:rsidRPr="00821043" w:rsidRDefault="0046315C" w:rsidP="0046315C">
            <w:pPr>
              <w:kinsoku w:val="0"/>
              <w:overflowPunct w:val="0"/>
              <w:autoSpaceDE w:val="0"/>
              <w:autoSpaceDN w:val="0"/>
              <w:adjustRightInd w:val="0"/>
              <w:spacing w:before="0" w:after="0" w:line="240" w:lineRule="auto"/>
              <w:rPr>
                <w:rFonts w:cs="Calibri"/>
                <w:b/>
                <w:color w:val="FFFFFF" w:themeColor="background1"/>
                <w:lang w:eastAsia="en-US"/>
              </w:rPr>
            </w:pPr>
            <w:r w:rsidRPr="00821043">
              <w:rPr>
                <w:rFonts w:cs="Calibri"/>
                <w:b/>
                <w:color w:val="FFFFFF" w:themeColor="background1"/>
                <w:lang w:eastAsia="en-US"/>
              </w:rPr>
              <w:t>G sredina</w:t>
            </w:r>
          </w:p>
        </w:tc>
        <w:tc>
          <w:tcPr>
            <w:tcW w:w="2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27FFF79E" w14:textId="77777777" w:rsidR="0046315C" w:rsidRPr="00821043" w:rsidRDefault="0046315C" w:rsidP="0046315C">
            <w:pPr>
              <w:kinsoku w:val="0"/>
              <w:overflowPunct w:val="0"/>
              <w:autoSpaceDE w:val="0"/>
              <w:autoSpaceDN w:val="0"/>
              <w:adjustRightInd w:val="0"/>
              <w:spacing w:before="0" w:after="0" w:line="240" w:lineRule="auto"/>
              <w:rPr>
                <w:rFonts w:cs="Calibri"/>
                <w:b/>
                <w:color w:val="FFFFFF" w:themeColor="background1"/>
                <w:lang w:eastAsia="en-US"/>
              </w:rPr>
            </w:pPr>
            <w:r w:rsidRPr="00821043">
              <w:rPr>
                <w:rFonts w:cs="Calibri"/>
                <w:b/>
                <w:color w:val="FFFFFF" w:themeColor="background1"/>
                <w:lang w:eastAsia="en-US"/>
              </w:rPr>
              <w:t>90</w:t>
            </w:r>
            <w:r w:rsidRPr="00821043">
              <w:rPr>
                <w:rFonts w:cs="Calibri"/>
                <w:b/>
                <w:color w:val="FFFFFF" w:themeColor="background1"/>
                <w:vertAlign w:val="superscript"/>
                <w:lang w:eastAsia="en-US"/>
              </w:rPr>
              <w:t>th</w:t>
            </w:r>
            <w:r w:rsidRPr="00821043">
              <w:rPr>
                <w:rFonts w:cs="Calibri"/>
                <w:b/>
                <w:color w:val="FFFFFF" w:themeColor="background1"/>
                <w:lang w:eastAsia="en-US"/>
              </w:rPr>
              <w:t xml:space="preserve"> percentile</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21CB3C52" w14:textId="77777777" w:rsidR="0046315C" w:rsidRPr="00821043" w:rsidRDefault="0046315C" w:rsidP="0046315C">
            <w:pPr>
              <w:kinsoku w:val="0"/>
              <w:overflowPunct w:val="0"/>
              <w:autoSpaceDE w:val="0"/>
              <w:autoSpaceDN w:val="0"/>
              <w:adjustRightInd w:val="0"/>
              <w:spacing w:before="0" w:after="0" w:line="240" w:lineRule="auto"/>
              <w:rPr>
                <w:rFonts w:cs="Calibri"/>
                <w:b/>
                <w:color w:val="FFFFFF" w:themeColor="background1"/>
                <w:lang w:eastAsia="en-US"/>
              </w:rPr>
            </w:pPr>
            <w:r w:rsidRPr="00821043">
              <w:rPr>
                <w:rFonts w:cs="Calibri"/>
                <w:b/>
                <w:color w:val="FFFFFF" w:themeColor="background1"/>
                <w:lang w:eastAsia="en-US"/>
              </w:rPr>
              <w:t>G sredina</w:t>
            </w:r>
          </w:p>
        </w:tc>
        <w:tc>
          <w:tcPr>
            <w:tcW w:w="18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0CD5DA0D" w14:textId="77777777" w:rsidR="0046315C" w:rsidRPr="00821043" w:rsidRDefault="0046315C" w:rsidP="0046315C">
            <w:pPr>
              <w:kinsoku w:val="0"/>
              <w:overflowPunct w:val="0"/>
              <w:autoSpaceDE w:val="0"/>
              <w:autoSpaceDN w:val="0"/>
              <w:adjustRightInd w:val="0"/>
              <w:spacing w:before="0" w:after="0" w:line="240" w:lineRule="auto"/>
              <w:rPr>
                <w:rFonts w:cs="Calibri"/>
                <w:b/>
                <w:color w:val="FFFFFF" w:themeColor="background1"/>
                <w:lang w:eastAsia="en-US"/>
              </w:rPr>
            </w:pPr>
            <w:r w:rsidRPr="00821043">
              <w:rPr>
                <w:rFonts w:cs="Calibri"/>
                <w:b/>
                <w:color w:val="FFFFFF" w:themeColor="background1"/>
                <w:lang w:eastAsia="en-US"/>
              </w:rPr>
              <w:t>90</w:t>
            </w:r>
            <w:r w:rsidRPr="00821043">
              <w:rPr>
                <w:rFonts w:cs="Calibri"/>
                <w:b/>
                <w:color w:val="FFFFFF" w:themeColor="background1"/>
                <w:vertAlign w:val="superscript"/>
                <w:lang w:eastAsia="en-US"/>
              </w:rPr>
              <w:t>th</w:t>
            </w:r>
            <w:r w:rsidRPr="00821043">
              <w:rPr>
                <w:rFonts w:cs="Calibri"/>
                <w:b/>
                <w:color w:val="FFFFFF" w:themeColor="background1"/>
                <w:lang w:eastAsia="en-US"/>
              </w:rPr>
              <w:t xml:space="preserve"> percentile</w:t>
            </w:r>
          </w:p>
        </w:tc>
      </w:tr>
      <w:tr w:rsidR="0046315C" w:rsidRPr="0046315C" w14:paraId="08D12903" w14:textId="77777777" w:rsidTr="006525CE">
        <w:trPr>
          <w:jc w:val="center"/>
        </w:trPr>
        <w:tc>
          <w:tcPr>
            <w:tcW w:w="1515" w:type="dxa"/>
            <w:tcBorders>
              <w:top w:val="single" w:sz="4" w:space="0" w:color="FFFFFF" w:themeColor="background1"/>
              <w:left w:val="single" w:sz="4" w:space="0" w:color="0070C0"/>
              <w:bottom w:val="single" w:sz="4" w:space="0" w:color="0070C0"/>
              <w:right w:val="single" w:sz="4" w:space="0" w:color="0070C0"/>
            </w:tcBorders>
            <w:hideMark/>
          </w:tcPr>
          <w:p w14:paraId="3A9F6EC6"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r w:rsidRPr="0046315C">
              <w:rPr>
                <w:rFonts w:cs="Calibri"/>
                <w:lang w:eastAsia="en-US"/>
              </w:rPr>
              <w:t>Tip I H/G</w:t>
            </w:r>
          </w:p>
        </w:tc>
        <w:tc>
          <w:tcPr>
            <w:tcW w:w="1151" w:type="dxa"/>
            <w:tcBorders>
              <w:top w:val="single" w:sz="4" w:space="0" w:color="FFFFFF" w:themeColor="background1"/>
              <w:left w:val="single" w:sz="4" w:space="0" w:color="0070C0"/>
              <w:bottom w:val="single" w:sz="4" w:space="0" w:color="0070C0"/>
              <w:right w:val="single" w:sz="4" w:space="0" w:color="0070C0"/>
            </w:tcBorders>
            <w:hideMark/>
          </w:tcPr>
          <w:p w14:paraId="1169775A"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r w:rsidRPr="0046315C">
              <w:rPr>
                <w:rFonts w:cs="Calibri"/>
                <w:lang w:eastAsia="en-US"/>
              </w:rPr>
              <w:t>1.4</w:t>
            </w:r>
          </w:p>
        </w:tc>
        <w:tc>
          <w:tcPr>
            <w:tcW w:w="2007" w:type="dxa"/>
            <w:tcBorders>
              <w:top w:val="single" w:sz="4" w:space="0" w:color="FFFFFF" w:themeColor="background1"/>
              <w:left w:val="single" w:sz="4" w:space="0" w:color="0070C0"/>
              <w:bottom w:val="single" w:sz="4" w:space="0" w:color="0070C0"/>
              <w:right w:val="single" w:sz="4" w:space="0" w:color="0070C0"/>
            </w:tcBorders>
            <w:hideMark/>
          </w:tcPr>
          <w:p w14:paraId="161484E0"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r w:rsidRPr="0046315C">
              <w:rPr>
                <w:rFonts w:cs="Calibri"/>
                <w:lang w:eastAsia="en-US"/>
              </w:rPr>
              <w:t>3.93</w:t>
            </w:r>
          </w:p>
        </w:tc>
        <w:tc>
          <w:tcPr>
            <w:tcW w:w="1418" w:type="dxa"/>
            <w:tcBorders>
              <w:top w:val="single" w:sz="4" w:space="0" w:color="FFFFFF" w:themeColor="background1"/>
              <w:left w:val="single" w:sz="4" w:space="0" w:color="0070C0"/>
              <w:bottom w:val="single" w:sz="4" w:space="0" w:color="0070C0"/>
              <w:right w:val="single" w:sz="4" w:space="0" w:color="0070C0"/>
            </w:tcBorders>
            <w:hideMark/>
          </w:tcPr>
          <w:p w14:paraId="2C3A3C4D"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r w:rsidRPr="0046315C">
              <w:rPr>
                <w:rFonts w:cs="Calibri"/>
                <w:lang w:eastAsia="en-US"/>
              </w:rPr>
              <w:t>2.5</w:t>
            </w:r>
          </w:p>
        </w:tc>
        <w:tc>
          <w:tcPr>
            <w:tcW w:w="1889" w:type="dxa"/>
            <w:tcBorders>
              <w:top w:val="single" w:sz="4" w:space="0" w:color="FFFFFF" w:themeColor="background1"/>
              <w:left w:val="single" w:sz="4" w:space="0" w:color="0070C0"/>
              <w:bottom w:val="single" w:sz="4" w:space="0" w:color="0070C0"/>
              <w:right w:val="single" w:sz="4" w:space="0" w:color="0070C0"/>
            </w:tcBorders>
            <w:hideMark/>
          </w:tcPr>
          <w:p w14:paraId="51280EEB"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r w:rsidRPr="0046315C">
              <w:rPr>
                <w:rFonts w:cs="Calibri"/>
                <w:lang w:eastAsia="en-US"/>
              </w:rPr>
              <w:t>7.1</w:t>
            </w:r>
          </w:p>
        </w:tc>
      </w:tr>
      <w:tr w:rsidR="0046315C" w:rsidRPr="0046315C" w14:paraId="691BC039" w14:textId="77777777" w:rsidTr="00821043">
        <w:trPr>
          <w:jc w:val="center"/>
        </w:trPr>
        <w:tc>
          <w:tcPr>
            <w:tcW w:w="1515" w:type="dxa"/>
            <w:tcBorders>
              <w:top w:val="single" w:sz="4" w:space="0" w:color="0070C0"/>
              <w:left w:val="single" w:sz="4" w:space="0" w:color="0070C0"/>
              <w:bottom w:val="single" w:sz="4" w:space="0" w:color="0070C0"/>
              <w:right w:val="single" w:sz="4" w:space="0" w:color="0070C0"/>
            </w:tcBorders>
            <w:shd w:val="clear" w:color="auto" w:fill="C6D9F1" w:themeFill="text2" w:themeFillTint="33"/>
            <w:hideMark/>
          </w:tcPr>
          <w:p w14:paraId="5B1F112F"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r w:rsidRPr="0046315C">
              <w:rPr>
                <w:rFonts w:cs="Calibri"/>
                <w:lang w:eastAsia="en-US"/>
              </w:rPr>
              <w:t>Tip I G/M</w:t>
            </w:r>
          </w:p>
        </w:tc>
        <w:tc>
          <w:tcPr>
            <w:tcW w:w="1151" w:type="dxa"/>
            <w:tcBorders>
              <w:top w:val="single" w:sz="4" w:space="0" w:color="0070C0"/>
              <w:left w:val="single" w:sz="4" w:space="0" w:color="0070C0"/>
              <w:bottom w:val="single" w:sz="4" w:space="0" w:color="0070C0"/>
              <w:right w:val="single" w:sz="4" w:space="0" w:color="0070C0"/>
            </w:tcBorders>
            <w:shd w:val="clear" w:color="auto" w:fill="C6D9F1" w:themeFill="text2" w:themeFillTint="33"/>
          </w:tcPr>
          <w:p w14:paraId="51E321A6"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p>
        </w:tc>
        <w:tc>
          <w:tcPr>
            <w:tcW w:w="2007" w:type="dxa"/>
            <w:tcBorders>
              <w:top w:val="single" w:sz="4" w:space="0" w:color="0070C0"/>
              <w:left w:val="single" w:sz="4" w:space="0" w:color="0070C0"/>
              <w:bottom w:val="single" w:sz="4" w:space="0" w:color="0070C0"/>
              <w:right w:val="single" w:sz="4" w:space="0" w:color="0070C0"/>
            </w:tcBorders>
            <w:shd w:val="clear" w:color="auto" w:fill="C6D9F1" w:themeFill="text2" w:themeFillTint="33"/>
          </w:tcPr>
          <w:p w14:paraId="118EB486"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p>
        </w:tc>
        <w:tc>
          <w:tcPr>
            <w:tcW w:w="1418" w:type="dxa"/>
            <w:tcBorders>
              <w:top w:val="single" w:sz="4" w:space="0" w:color="0070C0"/>
              <w:left w:val="single" w:sz="4" w:space="0" w:color="0070C0"/>
              <w:bottom w:val="single" w:sz="4" w:space="0" w:color="0070C0"/>
              <w:right w:val="single" w:sz="4" w:space="0" w:color="0070C0"/>
            </w:tcBorders>
            <w:shd w:val="clear" w:color="auto" w:fill="C6D9F1" w:themeFill="text2" w:themeFillTint="33"/>
            <w:hideMark/>
          </w:tcPr>
          <w:p w14:paraId="2AB03CA4" w14:textId="77777777" w:rsidR="0046315C" w:rsidRPr="0046315C" w:rsidRDefault="0046315C" w:rsidP="0046315C">
            <w:pPr>
              <w:kinsoku w:val="0"/>
              <w:overflowPunct w:val="0"/>
              <w:autoSpaceDE w:val="0"/>
              <w:autoSpaceDN w:val="0"/>
              <w:adjustRightInd w:val="0"/>
              <w:spacing w:before="0" w:after="0" w:line="240" w:lineRule="auto"/>
              <w:rPr>
                <w:rFonts w:cs="Calibri"/>
                <w:b/>
                <w:lang w:eastAsia="en-US"/>
              </w:rPr>
            </w:pPr>
            <w:r w:rsidRPr="0046315C">
              <w:rPr>
                <w:rFonts w:cs="Calibri"/>
                <w:b/>
                <w:lang w:eastAsia="en-US"/>
              </w:rPr>
              <w:t>6.3</w:t>
            </w:r>
          </w:p>
        </w:tc>
        <w:tc>
          <w:tcPr>
            <w:tcW w:w="1889" w:type="dxa"/>
            <w:tcBorders>
              <w:top w:val="single" w:sz="4" w:space="0" w:color="0070C0"/>
              <w:left w:val="single" w:sz="4" w:space="0" w:color="0070C0"/>
              <w:bottom w:val="single" w:sz="4" w:space="0" w:color="0070C0"/>
              <w:right w:val="single" w:sz="4" w:space="0" w:color="0070C0"/>
            </w:tcBorders>
            <w:shd w:val="clear" w:color="auto" w:fill="C6D9F1" w:themeFill="text2" w:themeFillTint="33"/>
            <w:hideMark/>
          </w:tcPr>
          <w:p w14:paraId="46132FC0" w14:textId="77777777" w:rsidR="0046315C" w:rsidRPr="0046315C" w:rsidRDefault="0046315C" w:rsidP="0046315C">
            <w:pPr>
              <w:kinsoku w:val="0"/>
              <w:overflowPunct w:val="0"/>
              <w:autoSpaceDE w:val="0"/>
              <w:autoSpaceDN w:val="0"/>
              <w:adjustRightInd w:val="0"/>
              <w:spacing w:before="0" w:after="0" w:line="240" w:lineRule="auto"/>
              <w:rPr>
                <w:rFonts w:cs="Calibri"/>
                <w:b/>
                <w:lang w:eastAsia="en-US"/>
              </w:rPr>
            </w:pPr>
            <w:r w:rsidRPr="0046315C">
              <w:rPr>
                <w:rFonts w:cs="Calibri"/>
                <w:b/>
                <w:lang w:eastAsia="en-US"/>
              </w:rPr>
              <w:t>17.7</w:t>
            </w:r>
          </w:p>
        </w:tc>
      </w:tr>
      <w:tr w:rsidR="0046315C" w:rsidRPr="0046315C" w14:paraId="0DD5C51B" w14:textId="77777777" w:rsidTr="0046315C">
        <w:trPr>
          <w:jc w:val="center"/>
        </w:trPr>
        <w:tc>
          <w:tcPr>
            <w:tcW w:w="1515" w:type="dxa"/>
            <w:tcBorders>
              <w:top w:val="single" w:sz="4" w:space="0" w:color="0070C0"/>
              <w:left w:val="single" w:sz="4" w:space="0" w:color="0070C0"/>
              <w:bottom w:val="single" w:sz="4" w:space="0" w:color="0070C0"/>
              <w:right w:val="single" w:sz="4" w:space="0" w:color="0070C0"/>
            </w:tcBorders>
            <w:hideMark/>
          </w:tcPr>
          <w:p w14:paraId="68AA44FD"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r w:rsidRPr="0046315C">
              <w:rPr>
                <w:rFonts w:cs="Calibri"/>
                <w:lang w:eastAsia="en-US"/>
              </w:rPr>
              <w:t>Tip II H/G</w:t>
            </w:r>
          </w:p>
        </w:tc>
        <w:tc>
          <w:tcPr>
            <w:tcW w:w="1151" w:type="dxa"/>
            <w:tcBorders>
              <w:top w:val="single" w:sz="4" w:space="0" w:color="0070C0"/>
              <w:left w:val="single" w:sz="4" w:space="0" w:color="0070C0"/>
              <w:bottom w:val="single" w:sz="4" w:space="0" w:color="0070C0"/>
              <w:right w:val="single" w:sz="4" w:space="0" w:color="0070C0"/>
            </w:tcBorders>
            <w:hideMark/>
          </w:tcPr>
          <w:p w14:paraId="67258888"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r w:rsidRPr="0046315C">
              <w:rPr>
                <w:rFonts w:cs="Calibri"/>
                <w:lang w:eastAsia="en-US"/>
              </w:rPr>
              <w:t>0.33</w:t>
            </w:r>
          </w:p>
        </w:tc>
        <w:tc>
          <w:tcPr>
            <w:tcW w:w="2007" w:type="dxa"/>
            <w:tcBorders>
              <w:top w:val="single" w:sz="4" w:space="0" w:color="0070C0"/>
              <w:left w:val="single" w:sz="4" w:space="0" w:color="0070C0"/>
              <w:bottom w:val="single" w:sz="4" w:space="0" w:color="0070C0"/>
              <w:right w:val="single" w:sz="4" w:space="0" w:color="0070C0"/>
            </w:tcBorders>
            <w:hideMark/>
          </w:tcPr>
          <w:p w14:paraId="25F3B574"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r w:rsidRPr="0046315C">
              <w:rPr>
                <w:rFonts w:cs="Calibri"/>
                <w:lang w:eastAsia="en-US"/>
              </w:rPr>
              <w:t>0.88</w:t>
            </w:r>
          </w:p>
        </w:tc>
        <w:tc>
          <w:tcPr>
            <w:tcW w:w="1418" w:type="dxa"/>
            <w:tcBorders>
              <w:top w:val="single" w:sz="4" w:space="0" w:color="0070C0"/>
              <w:left w:val="single" w:sz="4" w:space="0" w:color="0070C0"/>
              <w:bottom w:val="single" w:sz="4" w:space="0" w:color="0070C0"/>
              <w:right w:val="single" w:sz="4" w:space="0" w:color="0070C0"/>
            </w:tcBorders>
            <w:hideMark/>
          </w:tcPr>
          <w:p w14:paraId="1184FA23"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r w:rsidRPr="0046315C">
              <w:rPr>
                <w:rFonts w:cs="Calibri"/>
                <w:lang w:eastAsia="en-US"/>
              </w:rPr>
              <w:t>0.64</w:t>
            </w:r>
          </w:p>
        </w:tc>
        <w:tc>
          <w:tcPr>
            <w:tcW w:w="1889" w:type="dxa"/>
            <w:tcBorders>
              <w:top w:val="single" w:sz="4" w:space="0" w:color="0070C0"/>
              <w:left w:val="single" w:sz="4" w:space="0" w:color="0070C0"/>
              <w:bottom w:val="single" w:sz="4" w:space="0" w:color="0070C0"/>
              <w:right w:val="single" w:sz="4" w:space="0" w:color="0070C0"/>
            </w:tcBorders>
            <w:hideMark/>
          </w:tcPr>
          <w:p w14:paraId="357CBFC5"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r w:rsidRPr="0046315C">
              <w:rPr>
                <w:rFonts w:cs="Calibri"/>
                <w:lang w:eastAsia="en-US"/>
              </w:rPr>
              <w:t xml:space="preserve"> 1.7</w:t>
            </w:r>
          </w:p>
        </w:tc>
      </w:tr>
      <w:tr w:rsidR="0046315C" w:rsidRPr="0046315C" w14:paraId="629A89F6" w14:textId="77777777" w:rsidTr="00821043">
        <w:trPr>
          <w:jc w:val="center"/>
        </w:trPr>
        <w:tc>
          <w:tcPr>
            <w:tcW w:w="1515" w:type="dxa"/>
            <w:tcBorders>
              <w:top w:val="single" w:sz="4" w:space="0" w:color="0070C0"/>
              <w:left w:val="single" w:sz="4" w:space="0" w:color="0070C0"/>
              <w:bottom w:val="single" w:sz="4" w:space="0" w:color="0070C0"/>
              <w:right w:val="single" w:sz="4" w:space="0" w:color="0070C0"/>
            </w:tcBorders>
            <w:shd w:val="clear" w:color="auto" w:fill="C6D9F1" w:themeFill="text2" w:themeFillTint="33"/>
            <w:hideMark/>
          </w:tcPr>
          <w:p w14:paraId="5CF75CCC"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r w:rsidRPr="0046315C">
              <w:rPr>
                <w:rFonts w:cs="Calibri"/>
                <w:lang w:eastAsia="en-US"/>
              </w:rPr>
              <w:t>Tip II G/M</w:t>
            </w:r>
          </w:p>
        </w:tc>
        <w:tc>
          <w:tcPr>
            <w:tcW w:w="1151" w:type="dxa"/>
            <w:tcBorders>
              <w:top w:val="single" w:sz="4" w:space="0" w:color="0070C0"/>
              <w:left w:val="single" w:sz="4" w:space="0" w:color="0070C0"/>
              <w:bottom w:val="single" w:sz="4" w:space="0" w:color="0070C0"/>
              <w:right w:val="single" w:sz="4" w:space="0" w:color="0070C0"/>
            </w:tcBorders>
            <w:shd w:val="clear" w:color="auto" w:fill="C6D9F1" w:themeFill="text2" w:themeFillTint="33"/>
          </w:tcPr>
          <w:p w14:paraId="18AFDC99"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p>
        </w:tc>
        <w:tc>
          <w:tcPr>
            <w:tcW w:w="2007" w:type="dxa"/>
            <w:tcBorders>
              <w:top w:val="single" w:sz="4" w:space="0" w:color="0070C0"/>
              <w:left w:val="single" w:sz="4" w:space="0" w:color="0070C0"/>
              <w:bottom w:val="single" w:sz="4" w:space="0" w:color="0070C0"/>
              <w:right w:val="single" w:sz="4" w:space="0" w:color="0070C0"/>
            </w:tcBorders>
            <w:shd w:val="clear" w:color="auto" w:fill="C6D9F1" w:themeFill="text2" w:themeFillTint="33"/>
          </w:tcPr>
          <w:p w14:paraId="2DAE8EEF" w14:textId="77777777" w:rsidR="0046315C" w:rsidRPr="0046315C" w:rsidRDefault="0046315C" w:rsidP="0046315C">
            <w:pPr>
              <w:kinsoku w:val="0"/>
              <w:overflowPunct w:val="0"/>
              <w:autoSpaceDE w:val="0"/>
              <w:autoSpaceDN w:val="0"/>
              <w:adjustRightInd w:val="0"/>
              <w:spacing w:before="0" w:after="0" w:line="240" w:lineRule="auto"/>
              <w:rPr>
                <w:rFonts w:cs="Calibri"/>
                <w:lang w:eastAsia="en-US"/>
              </w:rPr>
            </w:pPr>
          </w:p>
        </w:tc>
        <w:tc>
          <w:tcPr>
            <w:tcW w:w="1418" w:type="dxa"/>
            <w:tcBorders>
              <w:top w:val="single" w:sz="4" w:space="0" w:color="0070C0"/>
              <w:left w:val="single" w:sz="4" w:space="0" w:color="0070C0"/>
              <w:bottom w:val="single" w:sz="4" w:space="0" w:color="0070C0"/>
              <w:right w:val="single" w:sz="4" w:space="0" w:color="0070C0"/>
            </w:tcBorders>
            <w:shd w:val="clear" w:color="auto" w:fill="C6D9F1" w:themeFill="text2" w:themeFillTint="33"/>
            <w:hideMark/>
          </w:tcPr>
          <w:p w14:paraId="1CAE26E4" w14:textId="77777777" w:rsidR="0046315C" w:rsidRPr="0046315C" w:rsidRDefault="0046315C" w:rsidP="0046315C">
            <w:pPr>
              <w:kinsoku w:val="0"/>
              <w:overflowPunct w:val="0"/>
              <w:autoSpaceDE w:val="0"/>
              <w:autoSpaceDN w:val="0"/>
              <w:adjustRightInd w:val="0"/>
              <w:spacing w:before="0" w:after="0" w:line="240" w:lineRule="auto"/>
              <w:rPr>
                <w:rFonts w:cs="Calibri"/>
                <w:b/>
                <w:lang w:eastAsia="en-US"/>
              </w:rPr>
            </w:pPr>
            <w:r w:rsidRPr="0046315C">
              <w:rPr>
                <w:rFonts w:cs="Calibri"/>
                <w:b/>
                <w:lang w:eastAsia="en-US"/>
              </w:rPr>
              <w:t>1.5</w:t>
            </w:r>
          </w:p>
        </w:tc>
        <w:tc>
          <w:tcPr>
            <w:tcW w:w="1889" w:type="dxa"/>
            <w:tcBorders>
              <w:top w:val="single" w:sz="4" w:space="0" w:color="0070C0"/>
              <w:left w:val="single" w:sz="4" w:space="0" w:color="0070C0"/>
              <w:bottom w:val="single" w:sz="4" w:space="0" w:color="0070C0"/>
              <w:right w:val="single" w:sz="4" w:space="0" w:color="0070C0"/>
            </w:tcBorders>
            <w:shd w:val="clear" w:color="auto" w:fill="C6D9F1" w:themeFill="text2" w:themeFillTint="33"/>
            <w:hideMark/>
          </w:tcPr>
          <w:p w14:paraId="6016B7EB" w14:textId="77777777" w:rsidR="0046315C" w:rsidRPr="0046315C" w:rsidRDefault="0046315C" w:rsidP="0046315C">
            <w:pPr>
              <w:kinsoku w:val="0"/>
              <w:overflowPunct w:val="0"/>
              <w:autoSpaceDE w:val="0"/>
              <w:autoSpaceDN w:val="0"/>
              <w:adjustRightInd w:val="0"/>
              <w:spacing w:before="0" w:after="0" w:line="240" w:lineRule="auto"/>
              <w:rPr>
                <w:rFonts w:cs="Calibri"/>
                <w:b/>
                <w:lang w:eastAsia="en-US"/>
              </w:rPr>
            </w:pPr>
            <w:r w:rsidRPr="0046315C">
              <w:rPr>
                <w:rFonts w:cs="Calibri"/>
                <w:b/>
                <w:lang w:eastAsia="en-US"/>
              </w:rPr>
              <w:t>4.0</w:t>
            </w:r>
          </w:p>
        </w:tc>
      </w:tr>
    </w:tbl>
    <w:p w14:paraId="5DAB892B" w14:textId="77777777" w:rsidR="0046315C" w:rsidRPr="0046315C" w:rsidRDefault="0046315C" w:rsidP="0046315C">
      <w:pPr>
        <w:tabs>
          <w:tab w:val="left" w:pos="3532"/>
        </w:tabs>
        <w:autoSpaceDE w:val="0"/>
        <w:autoSpaceDN w:val="0"/>
        <w:adjustRightInd w:val="0"/>
        <w:spacing w:before="0" w:after="200"/>
        <w:rPr>
          <w:rFonts w:eastAsia="Calibri" w:cs="Calibri"/>
          <w:szCs w:val="22"/>
          <w:highlight w:val="yellow"/>
          <w:lang w:eastAsia="en-US"/>
        </w:rPr>
      </w:pPr>
    </w:p>
    <w:p w14:paraId="39D143B7" w14:textId="4F7CE200" w:rsidR="0046315C" w:rsidRPr="0046315C" w:rsidRDefault="0046315C" w:rsidP="0046315C">
      <w:pPr>
        <w:tabs>
          <w:tab w:val="left" w:pos="3532"/>
        </w:tabs>
        <w:autoSpaceDE w:val="0"/>
        <w:autoSpaceDN w:val="0"/>
        <w:adjustRightInd w:val="0"/>
        <w:spacing w:before="0" w:after="200"/>
        <w:rPr>
          <w:rFonts w:eastAsia="Calibri" w:cs="Calibri"/>
          <w:szCs w:val="22"/>
          <w:lang w:eastAsia="en-US"/>
        </w:rPr>
      </w:pPr>
      <w:r w:rsidRPr="0046315C">
        <w:rPr>
          <w:rFonts w:eastAsia="Calibri" w:cs="Calibri"/>
          <w:szCs w:val="22"/>
          <w:lang w:eastAsia="en-US"/>
        </w:rPr>
        <w:t xml:space="preserve">Koncentracije hlorofila </w:t>
      </w:r>
      <w:r w:rsidRPr="0046315C">
        <w:rPr>
          <w:rFonts w:eastAsia="Calibri" w:cs="Calibri"/>
          <w:i/>
          <w:szCs w:val="22"/>
          <w:lang w:eastAsia="en-US"/>
        </w:rPr>
        <w:t>a</w:t>
      </w:r>
      <w:r w:rsidRPr="0046315C">
        <w:rPr>
          <w:rFonts w:eastAsia="Calibri" w:cs="Calibri"/>
          <w:szCs w:val="22"/>
          <w:lang w:eastAsia="en-US"/>
        </w:rPr>
        <w:t xml:space="preserve"> opisane u Početnoj procjeni </w:t>
      </w:r>
      <w:r w:rsidRPr="0046315C">
        <w:rPr>
          <w:rFonts w:eastAsia="Calibri"/>
          <w:szCs w:val="22"/>
          <w:lang w:eastAsia="en-US"/>
        </w:rPr>
        <w:t>stanja morske sredine Crne Gore</w:t>
      </w:r>
      <w:r w:rsidRPr="0046315C">
        <w:rPr>
          <w:rFonts w:eastAsia="Calibri" w:cs="Calibri"/>
          <w:bCs/>
          <w:szCs w:val="22"/>
          <w:lang w:val="en-GB" w:eastAsia="hr-HR"/>
        </w:rPr>
        <w:t xml:space="preserve"> (2020) </w:t>
      </w:r>
      <w:r w:rsidRPr="0046315C">
        <w:rPr>
          <w:rFonts w:eastAsia="Calibri" w:cs="Calibri"/>
          <w:szCs w:val="22"/>
          <w:lang w:eastAsia="en-US"/>
        </w:rPr>
        <w:t>sugerišu da se sva istražena mjesta procjenjuju kao dobro stanje (Tabela 2.4.6.) prema prikazanim kriterijumima klasifi</w:t>
      </w:r>
      <w:r w:rsidR="00AA6D51">
        <w:rPr>
          <w:rFonts w:eastAsia="Calibri" w:cs="Calibri"/>
          <w:szCs w:val="22"/>
          <w:lang w:eastAsia="en-US"/>
        </w:rPr>
        <w:t xml:space="preserve">kacije/procjene, Tabela 2.4.5. </w:t>
      </w:r>
    </w:p>
    <w:p w14:paraId="4E55D173" w14:textId="77777777" w:rsidR="00130F72" w:rsidRDefault="00130F72" w:rsidP="0046315C">
      <w:pPr>
        <w:spacing w:before="0" w:after="160" w:line="240" w:lineRule="auto"/>
        <w:jc w:val="left"/>
        <w:rPr>
          <w:rFonts w:eastAsia="Calibri" w:cs="Calibri"/>
          <w:b/>
          <w:szCs w:val="22"/>
          <w:lang w:eastAsia="en-US"/>
        </w:rPr>
      </w:pPr>
    </w:p>
    <w:p w14:paraId="2C1F93CE" w14:textId="596E4176" w:rsidR="0046315C" w:rsidRPr="00D133D9" w:rsidRDefault="0046315C" w:rsidP="0046315C">
      <w:pPr>
        <w:spacing w:before="0" w:after="160" w:line="240" w:lineRule="auto"/>
        <w:jc w:val="left"/>
        <w:rPr>
          <w:rFonts w:eastAsia="Calibri" w:cs="Calibri"/>
          <w:b/>
          <w:szCs w:val="22"/>
          <w:lang w:eastAsia="en-US"/>
        </w:rPr>
      </w:pPr>
      <w:r w:rsidRPr="0046315C">
        <w:rPr>
          <w:rFonts w:eastAsia="Calibri" w:cs="Calibri"/>
          <w:b/>
          <w:szCs w:val="22"/>
          <w:lang w:eastAsia="en-US"/>
        </w:rPr>
        <w:t>Tab</w:t>
      </w:r>
      <w:r w:rsidR="00130F72">
        <w:rPr>
          <w:rFonts w:eastAsia="Calibri" w:cs="Calibri"/>
          <w:b/>
          <w:szCs w:val="22"/>
          <w:lang w:eastAsia="en-US"/>
        </w:rPr>
        <w:t>ela</w:t>
      </w:r>
      <w:r w:rsidRPr="0046315C">
        <w:rPr>
          <w:rFonts w:eastAsia="Calibri" w:cs="Calibri"/>
          <w:b/>
          <w:szCs w:val="22"/>
          <w:lang w:eastAsia="en-US"/>
        </w:rPr>
        <w:t xml:space="preserve"> 2.4.6</w:t>
      </w:r>
      <w:r w:rsidR="00D133D9">
        <w:rPr>
          <w:rFonts w:eastAsia="Calibri" w:cs="Calibri"/>
          <w:b/>
          <w:szCs w:val="22"/>
          <w:lang w:eastAsia="en-US"/>
        </w:rPr>
        <w:t>.</w:t>
      </w:r>
      <w:r w:rsidRPr="0046315C">
        <w:rPr>
          <w:rFonts w:eastAsia="Calibri" w:cs="Calibri"/>
          <w:szCs w:val="22"/>
          <w:lang w:eastAsia="en-US"/>
        </w:rPr>
        <w:t xml:space="preserve"> </w:t>
      </w:r>
      <w:r w:rsidRPr="00D133D9">
        <w:rPr>
          <w:rFonts w:eastAsia="Calibri" w:cs="Calibri"/>
          <w:b/>
          <w:szCs w:val="22"/>
          <w:lang w:eastAsia="en-US"/>
        </w:rPr>
        <w:t xml:space="preserve">Procjena dobrog stanja </w:t>
      </w:r>
      <w:r w:rsidR="007037CC" w:rsidRPr="00D133D9">
        <w:rPr>
          <w:rFonts w:eastAsia="Calibri" w:cs="Calibri"/>
          <w:b/>
          <w:szCs w:val="22"/>
          <w:lang w:eastAsia="en-US"/>
        </w:rPr>
        <w:t xml:space="preserve">morske sredine </w:t>
      </w:r>
      <w:r w:rsidR="00034019" w:rsidRPr="00D133D9">
        <w:rPr>
          <w:rFonts w:eastAsia="Calibri" w:cs="Calibri"/>
          <w:b/>
          <w:szCs w:val="22"/>
          <w:lang w:eastAsia="en-US"/>
        </w:rPr>
        <w:t xml:space="preserve">na osnovu </w:t>
      </w:r>
      <w:r w:rsidRPr="00D133D9">
        <w:rPr>
          <w:rFonts w:eastAsia="Calibri" w:cs="Calibri"/>
          <w:b/>
          <w:szCs w:val="22"/>
          <w:lang w:eastAsia="en-US"/>
        </w:rPr>
        <w:t xml:space="preserve">koncentracije hlorofila </w:t>
      </w:r>
      <w:r w:rsidRPr="00D133D9">
        <w:rPr>
          <w:rFonts w:eastAsia="Calibri" w:cs="Calibri"/>
          <w:b/>
          <w:i/>
          <w:szCs w:val="22"/>
          <w:lang w:eastAsia="en-US"/>
        </w:rPr>
        <w:t>a</w:t>
      </w:r>
      <w:r w:rsidRPr="00D133D9">
        <w:rPr>
          <w:rFonts w:eastAsia="Calibri" w:cs="Calibri"/>
          <w:b/>
          <w:szCs w:val="22"/>
          <w:lang w:eastAsia="en-US"/>
        </w:rPr>
        <w:t xml:space="preserve"> u površinskom sloju istraživanih lokacija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1"/>
        <w:gridCol w:w="952"/>
        <w:gridCol w:w="1839"/>
        <w:gridCol w:w="2115"/>
        <w:gridCol w:w="1864"/>
      </w:tblGrid>
      <w:tr w:rsidR="006525CE" w:rsidRPr="0046315C" w14:paraId="4B284F35" w14:textId="77777777" w:rsidTr="008B25AD">
        <w:trPr>
          <w:tblHeader/>
          <w:jc w:val="center"/>
        </w:trPr>
        <w:tc>
          <w:tcPr>
            <w:tcW w:w="9021" w:type="dxa"/>
            <w:gridSpan w:val="5"/>
            <w:tcBorders>
              <w:top w:val="single" w:sz="4" w:space="0" w:color="auto"/>
              <w:left w:val="single" w:sz="4" w:space="0" w:color="auto"/>
              <w:bottom w:val="single" w:sz="4" w:space="0" w:color="auto"/>
              <w:right w:val="single" w:sz="4" w:space="0" w:color="auto"/>
            </w:tcBorders>
            <w:shd w:val="clear" w:color="auto" w:fill="1F497D" w:themeFill="text2"/>
          </w:tcPr>
          <w:p w14:paraId="2912A3F2" w14:textId="4B6A15F5" w:rsidR="006525CE" w:rsidRPr="00821043" w:rsidRDefault="006525CE" w:rsidP="006525CE">
            <w:pPr>
              <w:spacing w:before="0" w:after="0" w:line="240" w:lineRule="auto"/>
              <w:jc w:val="center"/>
              <w:rPr>
                <w:rFonts w:eastAsia="Calibri" w:cs="Calibri"/>
                <w:b/>
                <w:color w:val="FFFFFF" w:themeColor="background1"/>
                <w:szCs w:val="22"/>
                <w:lang w:eastAsia="en-US"/>
              </w:rPr>
            </w:pPr>
            <w:r>
              <w:rPr>
                <w:rFonts w:eastAsia="Calibri" w:cs="Calibri"/>
                <w:b/>
                <w:color w:val="FFFFFF" w:themeColor="background1"/>
                <w:szCs w:val="22"/>
                <w:lang w:eastAsia="en-US"/>
              </w:rPr>
              <w:t>Područje procjene: Nacionalni nivo – crnogorski dio Jadrana</w:t>
            </w:r>
          </w:p>
        </w:tc>
      </w:tr>
      <w:tr w:rsidR="0046315C" w:rsidRPr="0046315C" w14:paraId="36F26557" w14:textId="77777777" w:rsidTr="006525CE">
        <w:trPr>
          <w:tblHeader/>
          <w:jc w:val="center"/>
        </w:trPr>
        <w:tc>
          <w:tcPr>
            <w:tcW w:w="2251" w:type="dxa"/>
            <w:tcBorders>
              <w:top w:val="single" w:sz="4" w:space="0" w:color="auto"/>
              <w:left w:val="single" w:sz="4" w:space="0" w:color="auto"/>
              <w:bottom w:val="single" w:sz="4" w:space="0" w:color="auto"/>
              <w:right w:val="single" w:sz="4" w:space="0" w:color="auto"/>
            </w:tcBorders>
            <w:shd w:val="clear" w:color="auto" w:fill="1F497D" w:themeFill="text2"/>
            <w:hideMark/>
          </w:tcPr>
          <w:p w14:paraId="527614E2" w14:textId="77777777" w:rsidR="0046315C" w:rsidRPr="00821043" w:rsidRDefault="0046315C" w:rsidP="0046315C">
            <w:pPr>
              <w:spacing w:before="0" w:after="0" w:line="240" w:lineRule="auto"/>
              <w:jc w:val="center"/>
              <w:rPr>
                <w:rFonts w:eastAsia="Calibri" w:cs="Calibri"/>
                <w:b/>
                <w:color w:val="FFFFFF" w:themeColor="background1"/>
                <w:szCs w:val="22"/>
                <w:lang w:eastAsia="en-US"/>
              </w:rPr>
            </w:pPr>
            <w:r w:rsidRPr="00821043">
              <w:rPr>
                <w:rFonts w:eastAsia="Calibri" w:cs="Calibri"/>
                <w:b/>
                <w:color w:val="FFFFFF" w:themeColor="background1"/>
                <w:szCs w:val="22"/>
                <w:lang w:eastAsia="en-US"/>
              </w:rPr>
              <w:t>Lokacije</w:t>
            </w:r>
          </w:p>
        </w:tc>
        <w:tc>
          <w:tcPr>
            <w:tcW w:w="952" w:type="dxa"/>
            <w:tcBorders>
              <w:top w:val="single" w:sz="4" w:space="0" w:color="auto"/>
              <w:left w:val="single" w:sz="4" w:space="0" w:color="auto"/>
              <w:bottom w:val="single" w:sz="4" w:space="0" w:color="auto"/>
              <w:right w:val="single" w:sz="4" w:space="0" w:color="auto"/>
            </w:tcBorders>
            <w:shd w:val="clear" w:color="auto" w:fill="1F497D" w:themeFill="text2"/>
            <w:hideMark/>
          </w:tcPr>
          <w:p w14:paraId="170C1425" w14:textId="77777777" w:rsidR="0046315C" w:rsidRPr="00821043" w:rsidRDefault="0046315C" w:rsidP="0046315C">
            <w:pPr>
              <w:spacing w:before="0" w:after="0" w:line="240" w:lineRule="auto"/>
              <w:jc w:val="left"/>
              <w:rPr>
                <w:rFonts w:eastAsia="Calibri" w:cs="Calibri"/>
                <w:b/>
                <w:color w:val="FFFFFF" w:themeColor="background1"/>
                <w:szCs w:val="22"/>
                <w:lang w:eastAsia="en-US"/>
              </w:rPr>
            </w:pPr>
            <w:r w:rsidRPr="00821043">
              <w:rPr>
                <w:rFonts w:eastAsia="Calibri" w:cs="Calibri"/>
                <w:b/>
                <w:color w:val="FFFFFF" w:themeColor="background1"/>
                <w:szCs w:val="22"/>
                <w:lang w:eastAsia="en-US"/>
              </w:rPr>
              <w:t xml:space="preserve">Tip voda          </w:t>
            </w:r>
          </w:p>
        </w:tc>
        <w:tc>
          <w:tcPr>
            <w:tcW w:w="1839" w:type="dxa"/>
            <w:tcBorders>
              <w:top w:val="single" w:sz="4" w:space="0" w:color="auto"/>
              <w:left w:val="single" w:sz="4" w:space="0" w:color="auto"/>
              <w:bottom w:val="single" w:sz="4" w:space="0" w:color="auto"/>
              <w:right w:val="single" w:sz="4" w:space="0" w:color="auto"/>
            </w:tcBorders>
            <w:shd w:val="clear" w:color="auto" w:fill="1F497D" w:themeFill="text2"/>
          </w:tcPr>
          <w:p w14:paraId="456D9473" w14:textId="77777777" w:rsidR="0046315C" w:rsidRPr="00821043" w:rsidRDefault="0046315C" w:rsidP="0046315C">
            <w:pPr>
              <w:spacing w:before="0" w:after="0" w:line="240" w:lineRule="auto"/>
              <w:jc w:val="center"/>
              <w:rPr>
                <w:rFonts w:eastAsia="Calibri" w:cs="Calibri"/>
                <w:b/>
                <w:color w:val="FFFFFF" w:themeColor="background1"/>
                <w:szCs w:val="22"/>
                <w:lang w:eastAsia="en-US"/>
              </w:rPr>
            </w:pPr>
            <w:r w:rsidRPr="00821043">
              <w:rPr>
                <w:rFonts w:eastAsia="Calibri" w:cs="Calibri"/>
                <w:b/>
                <w:color w:val="FFFFFF" w:themeColor="background1"/>
                <w:szCs w:val="22"/>
                <w:lang w:eastAsia="en-US"/>
              </w:rPr>
              <w:t>Geometrijska sredina (mg m</w:t>
            </w:r>
            <w:r w:rsidRPr="00821043">
              <w:rPr>
                <w:rFonts w:eastAsia="Calibri" w:cs="Calibri"/>
                <w:b/>
                <w:color w:val="FFFFFF" w:themeColor="background1"/>
                <w:szCs w:val="22"/>
                <w:vertAlign w:val="superscript"/>
                <w:lang w:eastAsia="en-US"/>
              </w:rPr>
              <w:t>-3</w:t>
            </w:r>
            <w:r w:rsidRPr="00821043">
              <w:rPr>
                <w:rFonts w:eastAsia="Calibri" w:cs="Calibri"/>
                <w:b/>
                <w:color w:val="FFFFFF" w:themeColor="background1"/>
                <w:szCs w:val="22"/>
                <w:lang w:eastAsia="en-US"/>
              </w:rPr>
              <w:t>)</w:t>
            </w:r>
          </w:p>
          <w:p w14:paraId="17E4E4C9" w14:textId="77777777" w:rsidR="0046315C" w:rsidRPr="00821043" w:rsidRDefault="0046315C" w:rsidP="0046315C">
            <w:pPr>
              <w:spacing w:before="0" w:after="0" w:line="240" w:lineRule="auto"/>
              <w:jc w:val="center"/>
              <w:rPr>
                <w:rFonts w:eastAsia="Calibri" w:cs="Calibri"/>
                <w:b/>
                <w:color w:val="FFFFFF" w:themeColor="background1"/>
                <w:szCs w:val="22"/>
                <w:lang w:eastAsia="en-US"/>
              </w:rPr>
            </w:pPr>
          </w:p>
        </w:tc>
        <w:tc>
          <w:tcPr>
            <w:tcW w:w="2115" w:type="dxa"/>
            <w:tcBorders>
              <w:top w:val="single" w:sz="4" w:space="0" w:color="auto"/>
              <w:left w:val="single" w:sz="4" w:space="0" w:color="auto"/>
              <w:bottom w:val="single" w:sz="4" w:space="0" w:color="auto"/>
              <w:right w:val="single" w:sz="4" w:space="0" w:color="auto"/>
            </w:tcBorders>
            <w:shd w:val="clear" w:color="auto" w:fill="1F497D" w:themeFill="text2"/>
            <w:hideMark/>
          </w:tcPr>
          <w:p w14:paraId="4329A0CD" w14:textId="77777777" w:rsidR="0046315C" w:rsidRPr="00821043" w:rsidRDefault="0046315C" w:rsidP="0046315C">
            <w:pPr>
              <w:spacing w:before="0" w:after="0" w:line="240" w:lineRule="auto"/>
              <w:jc w:val="center"/>
              <w:rPr>
                <w:rFonts w:eastAsia="Calibri" w:cs="Calibri"/>
                <w:b/>
                <w:color w:val="FFFFFF" w:themeColor="background1"/>
                <w:szCs w:val="22"/>
                <w:lang w:eastAsia="en-US"/>
              </w:rPr>
            </w:pPr>
            <w:r w:rsidRPr="00821043">
              <w:rPr>
                <w:rFonts w:eastAsia="Calibri" w:cs="Calibri"/>
                <w:b/>
                <w:color w:val="FFFFFF" w:themeColor="background1"/>
                <w:szCs w:val="22"/>
                <w:lang w:eastAsia="en-US"/>
              </w:rPr>
              <w:t>90</w:t>
            </w:r>
            <w:r w:rsidRPr="00821043">
              <w:rPr>
                <w:rFonts w:eastAsia="Calibri" w:cs="Calibri"/>
                <w:b/>
                <w:color w:val="FFFFFF" w:themeColor="background1"/>
                <w:szCs w:val="22"/>
                <w:vertAlign w:val="superscript"/>
                <w:lang w:eastAsia="en-US"/>
              </w:rPr>
              <w:t xml:space="preserve">th </w:t>
            </w:r>
            <w:r w:rsidRPr="00821043">
              <w:rPr>
                <w:rFonts w:eastAsia="Calibri" w:cs="Calibri"/>
                <w:b/>
                <w:color w:val="FFFFFF" w:themeColor="background1"/>
                <w:szCs w:val="22"/>
                <w:lang w:eastAsia="en-US"/>
              </w:rPr>
              <w:t>percentile</w:t>
            </w:r>
          </w:p>
          <w:p w14:paraId="2F0AB1A4" w14:textId="77777777" w:rsidR="0046315C" w:rsidRPr="00821043" w:rsidRDefault="0046315C" w:rsidP="0046315C">
            <w:pPr>
              <w:spacing w:before="0" w:after="0" w:line="240" w:lineRule="auto"/>
              <w:jc w:val="center"/>
              <w:rPr>
                <w:rFonts w:eastAsia="Calibri" w:cs="Calibri"/>
                <w:b/>
                <w:color w:val="FFFFFF" w:themeColor="background1"/>
                <w:szCs w:val="22"/>
                <w:lang w:eastAsia="en-US"/>
              </w:rPr>
            </w:pPr>
            <w:r w:rsidRPr="00821043">
              <w:rPr>
                <w:rFonts w:eastAsia="Calibri" w:cs="Calibri"/>
                <w:b/>
                <w:color w:val="FFFFFF" w:themeColor="background1"/>
                <w:szCs w:val="22"/>
                <w:lang w:eastAsia="en-US"/>
              </w:rPr>
              <w:t>(mg m</w:t>
            </w:r>
            <w:r w:rsidRPr="00821043">
              <w:rPr>
                <w:rFonts w:eastAsia="Calibri" w:cs="Calibri"/>
                <w:b/>
                <w:color w:val="FFFFFF" w:themeColor="background1"/>
                <w:szCs w:val="22"/>
                <w:vertAlign w:val="superscript"/>
                <w:lang w:eastAsia="en-US"/>
              </w:rPr>
              <w:t>-3</w:t>
            </w:r>
            <w:r w:rsidRPr="00821043">
              <w:rPr>
                <w:rFonts w:eastAsia="Calibri" w:cs="Calibri"/>
                <w:b/>
                <w:color w:val="FFFFFF" w:themeColor="background1"/>
                <w:szCs w:val="22"/>
                <w:lang w:eastAsia="en-US"/>
              </w:rPr>
              <w:t>)</w:t>
            </w:r>
          </w:p>
        </w:tc>
        <w:tc>
          <w:tcPr>
            <w:tcW w:w="1864" w:type="dxa"/>
            <w:tcBorders>
              <w:top w:val="single" w:sz="4" w:space="0" w:color="auto"/>
              <w:left w:val="single" w:sz="4" w:space="0" w:color="auto"/>
              <w:bottom w:val="single" w:sz="4" w:space="0" w:color="auto"/>
              <w:right w:val="single" w:sz="4" w:space="0" w:color="auto"/>
            </w:tcBorders>
            <w:shd w:val="clear" w:color="auto" w:fill="1F497D" w:themeFill="text2"/>
          </w:tcPr>
          <w:p w14:paraId="484D99E6" w14:textId="77777777" w:rsidR="0046315C" w:rsidRPr="00821043" w:rsidRDefault="0046315C" w:rsidP="0046315C">
            <w:pPr>
              <w:spacing w:before="0" w:after="0" w:line="240" w:lineRule="auto"/>
              <w:jc w:val="left"/>
              <w:rPr>
                <w:rFonts w:eastAsia="Calibri" w:cs="Calibri"/>
                <w:b/>
                <w:color w:val="FFFFFF" w:themeColor="background1"/>
                <w:szCs w:val="22"/>
                <w:lang w:eastAsia="en-US"/>
              </w:rPr>
            </w:pPr>
            <w:r w:rsidRPr="00821043">
              <w:rPr>
                <w:rFonts w:eastAsia="Calibri" w:cs="Calibri"/>
                <w:b/>
                <w:color w:val="FFFFFF" w:themeColor="background1"/>
                <w:szCs w:val="22"/>
                <w:lang w:eastAsia="en-US"/>
              </w:rPr>
              <w:t>Procjena stanja</w:t>
            </w:r>
          </w:p>
          <w:p w14:paraId="6415E4AB" w14:textId="77777777" w:rsidR="0046315C" w:rsidRPr="00821043" w:rsidRDefault="0046315C" w:rsidP="0046315C">
            <w:pPr>
              <w:spacing w:before="0" w:after="0" w:line="240" w:lineRule="auto"/>
              <w:jc w:val="center"/>
              <w:rPr>
                <w:rFonts w:eastAsia="Calibri" w:cs="Calibri"/>
                <w:b/>
                <w:color w:val="FFFFFF" w:themeColor="background1"/>
                <w:szCs w:val="22"/>
                <w:lang w:eastAsia="en-US"/>
              </w:rPr>
            </w:pPr>
          </w:p>
        </w:tc>
      </w:tr>
      <w:tr w:rsidR="0046315C" w:rsidRPr="0046315C" w14:paraId="72ECB575" w14:textId="77777777" w:rsidTr="006525CE">
        <w:trPr>
          <w:jc w:val="center"/>
        </w:trPr>
        <w:tc>
          <w:tcPr>
            <w:tcW w:w="2251" w:type="dxa"/>
            <w:tcBorders>
              <w:top w:val="single" w:sz="4" w:space="0" w:color="auto"/>
              <w:left w:val="single" w:sz="4" w:space="0" w:color="auto"/>
              <w:bottom w:val="single" w:sz="4" w:space="0" w:color="auto"/>
              <w:right w:val="single" w:sz="4" w:space="0" w:color="auto"/>
            </w:tcBorders>
            <w:hideMark/>
          </w:tcPr>
          <w:p w14:paraId="0C267FB1" w14:textId="77777777" w:rsidR="0046315C" w:rsidRPr="0046315C" w:rsidRDefault="0046315C" w:rsidP="0046315C">
            <w:pPr>
              <w:spacing w:before="0" w:after="0" w:line="240" w:lineRule="auto"/>
              <w:jc w:val="left"/>
              <w:rPr>
                <w:rFonts w:eastAsia="Calibri" w:cs="Calibri"/>
                <w:sz w:val="20"/>
                <w:szCs w:val="20"/>
                <w:lang w:eastAsia="en-US"/>
              </w:rPr>
            </w:pPr>
            <w:r w:rsidRPr="0046315C">
              <w:rPr>
                <w:rFonts w:eastAsia="Calibri" w:cs="Calibri"/>
                <w:sz w:val="20"/>
                <w:szCs w:val="20"/>
                <w:lang w:eastAsia="en-US"/>
              </w:rPr>
              <w:t>B-1-IBM</w:t>
            </w:r>
          </w:p>
        </w:tc>
        <w:tc>
          <w:tcPr>
            <w:tcW w:w="952" w:type="dxa"/>
            <w:tcBorders>
              <w:top w:val="single" w:sz="4" w:space="0" w:color="auto"/>
              <w:left w:val="single" w:sz="4" w:space="0" w:color="auto"/>
              <w:bottom w:val="single" w:sz="4" w:space="0" w:color="auto"/>
              <w:right w:val="single" w:sz="4" w:space="0" w:color="auto"/>
            </w:tcBorders>
            <w:hideMark/>
          </w:tcPr>
          <w:p w14:paraId="3BFD6EE9"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Tip I</w:t>
            </w:r>
          </w:p>
        </w:tc>
        <w:tc>
          <w:tcPr>
            <w:tcW w:w="1839" w:type="dxa"/>
            <w:tcBorders>
              <w:top w:val="single" w:sz="4" w:space="0" w:color="auto"/>
              <w:left w:val="single" w:sz="4" w:space="0" w:color="auto"/>
              <w:bottom w:val="single" w:sz="4" w:space="0" w:color="auto"/>
              <w:right w:val="single" w:sz="4" w:space="0" w:color="auto"/>
            </w:tcBorders>
            <w:hideMark/>
          </w:tcPr>
          <w:p w14:paraId="0494B0AC"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1,49</w:t>
            </w:r>
          </w:p>
        </w:tc>
        <w:tc>
          <w:tcPr>
            <w:tcW w:w="2115" w:type="dxa"/>
            <w:tcBorders>
              <w:top w:val="single" w:sz="4" w:space="0" w:color="auto"/>
              <w:left w:val="single" w:sz="4" w:space="0" w:color="auto"/>
              <w:bottom w:val="single" w:sz="4" w:space="0" w:color="auto"/>
              <w:right w:val="single" w:sz="4" w:space="0" w:color="auto"/>
            </w:tcBorders>
            <w:hideMark/>
          </w:tcPr>
          <w:p w14:paraId="574A69A9"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4,32</w:t>
            </w:r>
          </w:p>
        </w:tc>
        <w:tc>
          <w:tcPr>
            <w:tcW w:w="1864" w:type="dxa"/>
            <w:tcBorders>
              <w:top w:val="single" w:sz="4" w:space="0" w:color="auto"/>
              <w:left w:val="single" w:sz="4" w:space="0" w:color="auto"/>
              <w:bottom w:val="single" w:sz="4" w:space="0" w:color="auto"/>
              <w:right w:val="single" w:sz="4" w:space="0" w:color="auto"/>
            </w:tcBorders>
            <w:hideMark/>
          </w:tcPr>
          <w:p w14:paraId="5CC4548E"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dobro</w:t>
            </w:r>
          </w:p>
        </w:tc>
      </w:tr>
      <w:tr w:rsidR="0046315C" w:rsidRPr="0046315C" w14:paraId="5F9DB125" w14:textId="77777777" w:rsidTr="006525CE">
        <w:trPr>
          <w:jc w:val="center"/>
        </w:trPr>
        <w:tc>
          <w:tcPr>
            <w:tcW w:w="2251" w:type="dxa"/>
            <w:tcBorders>
              <w:top w:val="single" w:sz="4" w:space="0" w:color="auto"/>
              <w:left w:val="single" w:sz="4" w:space="0" w:color="auto"/>
              <w:bottom w:val="single" w:sz="4" w:space="0" w:color="auto"/>
              <w:right w:val="single" w:sz="4" w:space="0" w:color="auto"/>
            </w:tcBorders>
            <w:hideMark/>
          </w:tcPr>
          <w:p w14:paraId="7DFA3C97" w14:textId="77777777" w:rsidR="0046315C" w:rsidRPr="0046315C" w:rsidRDefault="0046315C" w:rsidP="0046315C">
            <w:pPr>
              <w:spacing w:before="0" w:after="0" w:line="240" w:lineRule="auto"/>
              <w:jc w:val="left"/>
              <w:rPr>
                <w:rFonts w:eastAsia="Calibri" w:cs="Calibri"/>
                <w:sz w:val="20"/>
                <w:szCs w:val="20"/>
                <w:lang w:eastAsia="en-US"/>
              </w:rPr>
            </w:pPr>
            <w:r w:rsidRPr="0046315C">
              <w:rPr>
                <w:rFonts w:eastAsia="Calibri" w:cs="Calibri"/>
                <w:sz w:val="20"/>
                <w:szCs w:val="20"/>
                <w:lang w:eastAsia="en-US"/>
              </w:rPr>
              <w:t>B-2-Orahovac</w:t>
            </w:r>
          </w:p>
        </w:tc>
        <w:tc>
          <w:tcPr>
            <w:tcW w:w="952" w:type="dxa"/>
            <w:tcBorders>
              <w:top w:val="single" w:sz="4" w:space="0" w:color="auto"/>
              <w:left w:val="single" w:sz="4" w:space="0" w:color="auto"/>
              <w:bottom w:val="single" w:sz="4" w:space="0" w:color="auto"/>
              <w:right w:val="single" w:sz="4" w:space="0" w:color="auto"/>
            </w:tcBorders>
            <w:hideMark/>
          </w:tcPr>
          <w:p w14:paraId="03F36D10"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Tip I</w:t>
            </w:r>
          </w:p>
        </w:tc>
        <w:tc>
          <w:tcPr>
            <w:tcW w:w="1839" w:type="dxa"/>
            <w:tcBorders>
              <w:top w:val="single" w:sz="4" w:space="0" w:color="auto"/>
              <w:left w:val="single" w:sz="4" w:space="0" w:color="auto"/>
              <w:bottom w:val="single" w:sz="4" w:space="0" w:color="auto"/>
              <w:right w:val="single" w:sz="4" w:space="0" w:color="auto"/>
            </w:tcBorders>
            <w:hideMark/>
          </w:tcPr>
          <w:p w14:paraId="2CABAA33"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1,16</w:t>
            </w:r>
          </w:p>
        </w:tc>
        <w:tc>
          <w:tcPr>
            <w:tcW w:w="2115" w:type="dxa"/>
            <w:tcBorders>
              <w:top w:val="single" w:sz="4" w:space="0" w:color="auto"/>
              <w:left w:val="single" w:sz="4" w:space="0" w:color="auto"/>
              <w:bottom w:val="single" w:sz="4" w:space="0" w:color="auto"/>
              <w:right w:val="single" w:sz="4" w:space="0" w:color="auto"/>
            </w:tcBorders>
            <w:hideMark/>
          </w:tcPr>
          <w:p w14:paraId="50AD2085"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3,85</w:t>
            </w:r>
          </w:p>
        </w:tc>
        <w:tc>
          <w:tcPr>
            <w:tcW w:w="1864" w:type="dxa"/>
            <w:tcBorders>
              <w:top w:val="single" w:sz="4" w:space="0" w:color="auto"/>
              <w:left w:val="single" w:sz="4" w:space="0" w:color="auto"/>
              <w:bottom w:val="single" w:sz="4" w:space="0" w:color="auto"/>
              <w:right w:val="single" w:sz="4" w:space="0" w:color="auto"/>
            </w:tcBorders>
            <w:hideMark/>
          </w:tcPr>
          <w:p w14:paraId="1CC57EC9"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dobro</w:t>
            </w:r>
          </w:p>
        </w:tc>
      </w:tr>
      <w:tr w:rsidR="0046315C" w:rsidRPr="0046315C" w14:paraId="29C40F77" w14:textId="77777777" w:rsidTr="006525CE">
        <w:trPr>
          <w:jc w:val="center"/>
        </w:trPr>
        <w:tc>
          <w:tcPr>
            <w:tcW w:w="2251" w:type="dxa"/>
            <w:tcBorders>
              <w:top w:val="single" w:sz="4" w:space="0" w:color="auto"/>
              <w:left w:val="single" w:sz="4" w:space="0" w:color="auto"/>
              <w:bottom w:val="single" w:sz="4" w:space="0" w:color="auto"/>
              <w:right w:val="single" w:sz="4" w:space="0" w:color="auto"/>
            </w:tcBorders>
            <w:hideMark/>
          </w:tcPr>
          <w:p w14:paraId="3FA1C743" w14:textId="77777777" w:rsidR="0046315C" w:rsidRPr="0046315C" w:rsidRDefault="0046315C" w:rsidP="0046315C">
            <w:pPr>
              <w:spacing w:before="0" w:after="0" w:line="240" w:lineRule="auto"/>
              <w:jc w:val="left"/>
              <w:rPr>
                <w:rFonts w:eastAsia="Calibri" w:cs="Calibri"/>
                <w:sz w:val="20"/>
                <w:szCs w:val="20"/>
                <w:lang w:eastAsia="en-US"/>
              </w:rPr>
            </w:pPr>
            <w:r w:rsidRPr="0046315C">
              <w:rPr>
                <w:rFonts w:eastAsia="Calibri" w:cs="Calibri"/>
                <w:sz w:val="20"/>
                <w:szCs w:val="20"/>
                <w:lang w:eastAsia="en-US"/>
              </w:rPr>
              <w:t>B-3-Kotor</w:t>
            </w:r>
          </w:p>
        </w:tc>
        <w:tc>
          <w:tcPr>
            <w:tcW w:w="952" w:type="dxa"/>
            <w:tcBorders>
              <w:top w:val="single" w:sz="4" w:space="0" w:color="auto"/>
              <w:left w:val="single" w:sz="4" w:space="0" w:color="auto"/>
              <w:bottom w:val="single" w:sz="4" w:space="0" w:color="auto"/>
              <w:right w:val="single" w:sz="4" w:space="0" w:color="auto"/>
            </w:tcBorders>
            <w:hideMark/>
          </w:tcPr>
          <w:p w14:paraId="3C66219E"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Tip I</w:t>
            </w:r>
          </w:p>
        </w:tc>
        <w:tc>
          <w:tcPr>
            <w:tcW w:w="1839" w:type="dxa"/>
            <w:tcBorders>
              <w:top w:val="single" w:sz="4" w:space="0" w:color="auto"/>
              <w:left w:val="single" w:sz="4" w:space="0" w:color="auto"/>
              <w:bottom w:val="single" w:sz="4" w:space="0" w:color="auto"/>
              <w:right w:val="single" w:sz="4" w:space="0" w:color="auto"/>
            </w:tcBorders>
            <w:hideMark/>
          </w:tcPr>
          <w:p w14:paraId="352480CB"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1,52</w:t>
            </w:r>
          </w:p>
        </w:tc>
        <w:tc>
          <w:tcPr>
            <w:tcW w:w="2115" w:type="dxa"/>
            <w:tcBorders>
              <w:top w:val="single" w:sz="4" w:space="0" w:color="auto"/>
              <w:left w:val="single" w:sz="4" w:space="0" w:color="auto"/>
              <w:bottom w:val="single" w:sz="4" w:space="0" w:color="auto"/>
              <w:right w:val="single" w:sz="4" w:space="0" w:color="auto"/>
            </w:tcBorders>
            <w:hideMark/>
          </w:tcPr>
          <w:p w14:paraId="546DAFC8"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3,51</w:t>
            </w:r>
          </w:p>
        </w:tc>
        <w:tc>
          <w:tcPr>
            <w:tcW w:w="1864" w:type="dxa"/>
            <w:tcBorders>
              <w:top w:val="single" w:sz="4" w:space="0" w:color="auto"/>
              <w:left w:val="single" w:sz="4" w:space="0" w:color="auto"/>
              <w:bottom w:val="single" w:sz="4" w:space="0" w:color="auto"/>
              <w:right w:val="single" w:sz="4" w:space="0" w:color="auto"/>
            </w:tcBorders>
            <w:hideMark/>
          </w:tcPr>
          <w:p w14:paraId="0EFD62CD"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dobro</w:t>
            </w:r>
          </w:p>
        </w:tc>
      </w:tr>
      <w:tr w:rsidR="0046315C" w:rsidRPr="0046315C" w14:paraId="4F576097" w14:textId="77777777" w:rsidTr="006525CE">
        <w:trPr>
          <w:jc w:val="center"/>
        </w:trPr>
        <w:tc>
          <w:tcPr>
            <w:tcW w:w="2251" w:type="dxa"/>
            <w:tcBorders>
              <w:top w:val="single" w:sz="4" w:space="0" w:color="auto"/>
              <w:left w:val="single" w:sz="4" w:space="0" w:color="auto"/>
              <w:bottom w:val="single" w:sz="4" w:space="0" w:color="auto"/>
              <w:right w:val="single" w:sz="4" w:space="0" w:color="auto"/>
            </w:tcBorders>
            <w:hideMark/>
          </w:tcPr>
          <w:p w14:paraId="61921C86" w14:textId="77777777" w:rsidR="0046315C" w:rsidRPr="0046315C" w:rsidRDefault="0046315C" w:rsidP="0046315C">
            <w:pPr>
              <w:spacing w:before="0" w:after="0" w:line="240" w:lineRule="auto"/>
              <w:jc w:val="left"/>
              <w:rPr>
                <w:rFonts w:eastAsia="Calibri" w:cs="Calibri"/>
                <w:sz w:val="20"/>
                <w:szCs w:val="20"/>
                <w:lang w:eastAsia="en-US"/>
              </w:rPr>
            </w:pPr>
            <w:r w:rsidRPr="0046315C">
              <w:rPr>
                <w:rFonts w:eastAsia="Calibri" w:cs="Calibri"/>
                <w:sz w:val="20"/>
                <w:szCs w:val="20"/>
                <w:lang w:eastAsia="en-US"/>
              </w:rPr>
              <w:t>B-4-Risan</w:t>
            </w:r>
          </w:p>
        </w:tc>
        <w:tc>
          <w:tcPr>
            <w:tcW w:w="952" w:type="dxa"/>
            <w:tcBorders>
              <w:top w:val="single" w:sz="4" w:space="0" w:color="auto"/>
              <w:left w:val="single" w:sz="4" w:space="0" w:color="auto"/>
              <w:bottom w:val="single" w:sz="4" w:space="0" w:color="auto"/>
              <w:right w:val="single" w:sz="4" w:space="0" w:color="auto"/>
            </w:tcBorders>
            <w:hideMark/>
          </w:tcPr>
          <w:p w14:paraId="3D5D27C8"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Tip I</w:t>
            </w:r>
          </w:p>
        </w:tc>
        <w:tc>
          <w:tcPr>
            <w:tcW w:w="1839" w:type="dxa"/>
            <w:tcBorders>
              <w:top w:val="single" w:sz="4" w:space="0" w:color="auto"/>
              <w:left w:val="single" w:sz="4" w:space="0" w:color="auto"/>
              <w:bottom w:val="single" w:sz="4" w:space="0" w:color="auto"/>
              <w:right w:val="single" w:sz="4" w:space="0" w:color="auto"/>
            </w:tcBorders>
            <w:hideMark/>
          </w:tcPr>
          <w:p w14:paraId="39CBFB19"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0,33</w:t>
            </w:r>
          </w:p>
        </w:tc>
        <w:tc>
          <w:tcPr>
            <w:tcW w:w="2115" w:type="dxa"/>
            <w:tcBorders>
              <w:top w:val="single" w:sz="4" w:space="0" w:color="auto"/>
              <w:left w:val="single" w:sz="4" w:space="0" w:color="auto"/>
              <w:bottom w:val="single" w:sz="4" w:space="0" w:color="auto"/>
              <w:right w:val="single" w:sz="4" w:space="0" w:color="auto"/>
            </w:tcBorders>
            <w:hideMark/>
          </w:tcPr>
          <w:p w14:paraId="616CC6F2"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4,23</w:t>
            </w:r>
          </w:p>
        </w:tc>
        <w:tc>
          <w:tcPr>
            <w:tcW w:w="1864" w:type="dxa"/>
            <w:tcBorders>
              <w:top w:val="single" w:sz="4" w:space="0" w:color="auto"/>
              <w:left w:val="single" w:sz="4" w:space="0" w:color="auto"/>
              <w:bottom w:val="single" w:sz="4" w:space="0" w:color="auto"/>
              <w:right w:val="single" w:sz="4" w:space="0" w:color="auto"/>
            </w:tcBorders>
            <w:hideMark/>
          </w:tcPr>
          <w:p w14:paraId="25191C17"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dobro</w:t>
            </w:r>
          </w:p>
        </w:tc>
      </w:tr>
      <w:tr w:rsidR="0046315C" w:rsidRPr="0046315C" w14:paraId="5477F479" w14:textId="77777777" w:rsidTr="006525CE">
        <w:trPr>
          <w:jc w:val="center"/>
        </w:trPr>
        <w:tc>
          <w:tcPr>
            <w:tcW w:w="2251" w:type="dxa"/>
            <w:tcBorders>
              <w:top w:val="single" w:sz="4" w:space="0" w:color="auto"/>
              <w:left w:val="single" w:sz="4" w:space="0" w:color="auto"/>
              <w:bottom w:val="single" w:sz="4" w:space="0" w:color="auto"/>
              <w:right w:val="single" w:sz="4" w:space="0" w:color="auto"/>
            </w:tcBorders>
            <w:hideMark/>
          </w:tcPr>
          <w:p w14:paraId="66217092" w14:textId="1D413A7E" w:rsidR="0046315C" w:rsidRPr="0046315C" w:rsidRDefault="0046315C" w:rsidP="0046315C">
            <w:pPr>
              <w:spacing w:before="0" w:after="0" w:line="240" w:lineRule="auto"/>
              <w:jc w:val="left"/>
              <w:rPr>
                <w:rFonts w:eastAsia="Calibri" w:cs="Calibri"/>
                <w:sz w:val="20"/>
                <w:szCs w:val="20"/>
                <w:lang w:eastAsia="en-US"/>
              </w:rPr>
            </w:pPr>
            <w:r w:rsidRPr="0046315C">
              <w:rPr>
                <w:rFonts w:eastAsia="Calibri" w:cs="Calibri"/>
                <w:sz w:val="20"/>
                <w:szCs w:val="20"/>
                <w:lang w:eastAsia="en-US"/>
              </w:rPr>
              <w:t>B-5-Sv.</w:t>
            </w:r>
            <w:r w:rsidR="00D133D9">
              <w:rPr>
                <w:rFonts w:eastAsia="Calibri" w:cs="Calibri"/>
                <w:sz w:val="20"/>
                <w:szCs w:val="20"/>
                <w:lang w:eastAsia="en-US"/>
              </w:rPr>
              <w:t xml:space="preserve"> </w:t>
            </w:r>
            <w:r w:rsidRPr="0046315C">
              <w:rPr>
                <w:rFonts w:eastAsia="Calibri" w:cs="Calibri"/>
                <w:sz w:val="20"/>
                <w:szCs w:val="20"/>
                <w:lang w:eastAsia="en-US"/>
              </w:rPr>
              <w:t>Nedelja</w:t>
            </w:r>
          </w:p>
        </w:tc>
        <w:tc>
          <w:tcPr>
            <w:tcW w:w="952" w:type="dxa"/>
            <w:tcBorders>
              <w:top w:val="single" w:sz="4" w:space="0" w:color="auto"/>
              <w:left w:val="single" w:sz="4" w:space="0" w:color="auto"/>
              <w:bottom w:val="single" w:sz="4" w:space="0" w:color="auto"/>
              <w:right w:val="single" w:sz="4" w:space="0" w:color="auto"/>
            </w:tcBorders>
            <w:hideMark/>
          </w:tcPr>
          <w:p w14:paraId="2BE88A93"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Tip I</w:t>
            </w:r>
          </w:p>
        </w:tc>
        <w:tc>
          <w:tcPr>
            <w:tcW w:w="1839" w:type="dxa"/>
            <w:tcBorders>
              <w:top w:val="single" w:sz="4" w:space="0" w:color="auto"/>
              <w:left w:val="single" w:sz="4" w:space="0" w:color="auto"/>
              <w:bottom w:val="single" w:sz="4" w:space="0" w:color="auto"/>
              <w:right w:val="single" w:sz="4" w:space="0" w:color="auto"/>
            </w:tcBorders>
            <w:hideMark/>
          </w:tcPr>
          <w:p w14:paraId="1318F4B5"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0,86</w:t>
            </w:r>
          </w:p>
        </w:tc>
        <w:tc>
          <w:tcPr>
            <w:tcW w:w="2115" w:type="dxa"/>
            <w:tcBorders>
              <w:top w:val="single" w:sz="4" w:space="0" w:color="auto"/>
              <w:left w:val="single" w:sz="4" w:space="0" w:color="auto"/>
              <w:bottom w:val="single" w:sz="4" w:space="0" w:color="auto"/>
              <w:right w:val="single" w:sz="4" w:space="0" w:color="auto"/>
            </w:tcBorders>
            <w:hideMark/>
          </w:tcPr>
          <w:p w14:paraId="3F708C49"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2,07</w:t>
            </w:r>
          </w:p>
        </w:tc>
        <w:tc>
          <w:tcPr>
            <w:tcW w:w="1864" w:type="dxa"/>
            <w:tcBorders>
              <w:top w:val="single" w:sz="4" w:space="0" w:color="auto"/>
              <w:left w:val="single" w:sz="4" w:space="0" w:color="auto"/>
              <w:bottom w:val="single" w:sz="4" w:space="0" w:color="auto"/>
              <w:right w:val="single" w:sz="4" w:space="0" w:color="auto"/>
            </w:tcBorders>
            <w:hideMark/>
          </w:tcPr>
          <w:p w14:paraId="5BC29FC3"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dobro</w:t>
            </w:r>
          </w:p>
        </w:tc>
      </w:tr>
      <w:tr w:rsidR="0046315C" w:rsidRPr="0046315C" w14:paraId="7D212F9B" w14:textId="77777777" w:rsidTr="006525CE">
        <w:trPr>
          <w:jc w:val="center"/>
        </w:trPr>
        <w:tc>
          <w:tcPr>
            <w:tcW w:w="2251" w:type="dxa"/>
            <w:tcBorders>
              <w:top w:val="single" w:sz="4" w:space="0" w:color="auto"/>
              <w:left w:val="single" w:sz="4" w:space="0" w:color="auto"/>
              <w:bottom w:val="single" w:sz="4" w:space="0" w:color="auto"/>
              <w:right w:val="single" w:sz="4" w:space="0" w:color="auto"/>
            </w:tcBorders>
            <w:hideMark/>
          </w:tcPr>
          <w:p w14:paraId="18EAB0BC" w14:textId="77777777" w:rsidR="0046315C" w:rsidRPr="0046315C" w:rsidRDefault="0046315C" w:rsidP="0046315C">
            <w:pPr>
              <w:spacing w:before="0" w:after="0" w:line="240" w:lineRule="auto"/>
              <w:jc w:val="left"/>
              <w:rPr>
                <w:rFonts w:eastAsia="Calibri" w:cs="Calibri"/>
                <w:sz w:val="20"/>
                <w:szCs w:val="20"/>
                <w:lang w:eastAsia="en-US"/>
              </w:rPr>
            </w:pPr>
            <w:r w:rsidRPr="0046315C">
              <w:rPr>
                <w:rFonts w:eastAsia="Calibri" w:cs="Calibri"/>
                <w:sz w:val="20"/>
                <w:szCs w:val="20"/>
                <w:lang w:eastAsia="en-US"/>
              </w:rPr>
              <w:t>B-6-Tivat</w:t>
            </w:r>
          </w:p>
        </w:tc>
        <w:tc>
          <w:tcPr>
            <w:tcW w:w="952" w:type="dxa"/>
            <w:tcBorders>
              <w:top w:val="single" w:sz="4" w:space="0" w:color="auto"/>
              <w:left w:val="single" w:sz="4" w:space="0" w:color="auto"/>
              <w:bottom w:val="single" w:sz="4" w:space="0" w:color="auto"/>
              <w:right w:val="single" w:sz="4" w:space="0" w:color="auto"/>
            </w:tcBorders>
            <w:hideMark/>
          </w:tcPr>
          <w:p w14:paraId="7E8AC98D"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Tip I</w:t>
            </w:r>
          </w:p>
        </w:tc>
        <w:tc>
          <w:tcPr>
            <w:tcW w:w="1839" w:type="dxa"/>
            <w:tcBorders>
              <w:top w:val="single" w:sz="4" w:space="0" w:color="auto"/>
              <w:left w:val="single" w:sz="4" w:space="0" w:color="auto"/>
              <w:bottom w:val="single" w:sz="4" w:space="0" w:color="auto"/>
              <w:right w:val="single" w:sz="4" w:space="0" w:color="auto"/>
            </w:tcBorders>
            <w:hideMark/>
          </w:tcPr>
          <w:p w14:paraId="2D631B56"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0,89</w:t>
            </w:r>
          </w:p>
        </w:tc>
        <w:tc>
          <w:tcPr>
            <w:tcW w:w="2115" w:type="dxa"/>
            <w:tcBorders>
              <w:top w:val="single" w:sz="4" w:space="0" w:color="auto"/>
              <w:left w:val="single" w:sz="4" w:space="0" w:color="auto"/>
              <w:bottom w:val="single" w:sz="4" w:space="0" w:color="auto"/>
              <w:right w:val="single" w:sz="4" w:space="0" w:color="auto"/>
            </w:tcBorders>
            <w:hideMark/>
          </w:tcPr>
          <w:p w14:paraId="4E1C887C"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1,79</w:t>
            </w:r>
          </w:p>
        </w:tc>
        <w:tc>
          <w:tcPr>
            <w:tcW w:w="1864" w:type="dxa"/>
            <w:tcBorders>
              <w:top w:val="single" w:sz="4" w:space="0" w:color="auto"/>
              <w:left w:val="single" w:sz="4" w:space="0" w:color="auto"/>
              <w:bottom w:val="single" w:sz="4" w:space="0" w:color="auto"/>
              <w:right w:val="single" w:sz="4" w:space="0" w:color="auto"/>
            </w:tcBorders>
            <w:hideMark/>
          </w:tcPr>
          <w:p w14:paraId="37ACD982"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dobro</w:t>
            </w:r>
          </w:p>
        </w:tc>
      </w:tr>
      <w:tr w:rsidR="0046315C" w:rsidRPr="0046315C" w14:paraId="545ECF9D" w14:textId="77777777" w:rsidTr="006525CE">
        <w:trPr>
          <w:jc w:val="center"/>
        </w:trPr>
        <w:tc>
          <w:tcPr>
            <w:tcW w:w="2251" w:type="dxa"/>
            <w:tcBorders>
              <w:top w:val="single" w:sz="4" w:space="0" w:color="auto"/>
              <w:left w:val="single" w:sz="4" w:space="0" w:color="auto"/>
              <w:bottom w:val="single" w:sz="4" w:space="0" w:color="auto"/>
              <w:right w:val="single" w:sz="4" w:space="0" w:color="auto"/>
            </w:tcBorders>
            <w:hideMark/>
          </w:tcPr>
          <w:p w14:paraId="7D2C5646" w14:textId="77777777" w:rsidR="0046315C" w:rsidRPr="0046315C" w:rsidRDefault="0046315C" w:rsidP="0046315C">
            <w:pPr>
              <w:spacing w:before="0" w:after="0" w:line="240" w:lineRule="auto"/>
              <w:jc w:val="left"/>
              <w:rPr>
                <w:rFonts w:eastAsia="Calibri" w:cs="Calibri"/>
                <w:sz w:val="20"/>
                <w:szCs w:val="20"/>
                <w:lang w:eastAsia="en-US"/>
              </w:rPr>
            </w:pPr>
            <w:r w:rsidRPr="0046315C">
              <w:rPr>
                <w:rFonts w:eastAsia="Calibri" w:cs="Calibri"/>
                <w:sz w:val="20"/>
                <w:szCs w:val="20"/>
                <w:lang w:eastAsia="en-US"/>
              </w:rPr>
              <w:t>B-7-Herceg Novi</w:t>
            </w:r>
          </w:p>
        </w:tc>
        <w:tc>
          <w:tcPr>
            <w:tcW w:w="952" w:type="dxa"/>
            <w:tcBorders>
              <w:top w:val="single" w:sz="4" w:space="0" w:color="auto"/>
              <w:left w:val="single" w:sz="4" w:space="0" w:color="auto"/>
              <w:bottom w:val="single" w:sz="4" w:space="0" w:color="auto"/>
              <w:right w:val="single" w:sz="4" w:space="0" w:color="auto"/>
            </w:tcBorders>
            <w:hideMark/>
          </w:tcPr>
          <w:p w14:paraId="28F6BD22"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Tip I</w:t>
            </w:r>
          </w:p>
        </w:tc>
        <w:tc>
          <w:tcPr>
            <w:tcW w:w="1839" w:type="dxa"/>
            <w:tcBorders>
              <w:top w:val="single" w:sz="4" w:space="0" w:color="auto"/>
              <w:left w:val="single" w:sz="4" w:space="0" w:color="auto"/>
              <w:bottom w:val="single" w:sz="4" w:space="0" w:color="auto"/>
              <w:right w:val="single" w:sz="4" w:space="0" w:color="auto"/>
            </w:tcBorders>
            <w:hideMark/>
          </w:tcPr>
          <w:p w14:paraId="1CC28504"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0,92</w:t>
            </w:r>
          </w:p>
        </w:tc>
        <w:tc>
          <w:tcPr>
            <w:tcW w:w="2115" w:type="dxa"/>
            <w:tcBorders>
              <w:top w:val="single" w:sz="4" w:space="0" w:color="auto"/>
              <w:left w:val="single" w:sz="4" w:space="0" w:color="auto"/>
              <w:bottom w:val="single" w:sz="4" w:space="0" w:color="auto"/>
              <w:right w:val="single" w:sz="4" w:space="0" w:color="auto"/>
            </w:tcBorders>
            <w:hideMark/>
          </w:tcPr>
          <w:p w14:paraId="6D759EC0"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1,82</w:t>
            </w:r>
          </w:p>
        </w:tc>
        <w:tc>
          <w:tcPr>
            <w:tcW w:w="1864" w:type="dxa"/>
            <w:tcBorders>
              <w:top w:val="single" w:sz="4" w:space="0" w:color="auto"/>
              <w:left w:val="single" w:sz="4" w:space="0" w:color="auto"/>
              <w:bottom w:val="single" w:sz="4" w:space="0" w:color="auto"/>
              <w:right w:val="single" w:sz="4" w:space="0" w:color="auto"/>
            </w:tcBorders>
            <w:hideMark/>
          </w:tcPr>
          <w:p w14:paraId="545823B6"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dobro</w:t>
            </w:r>
          </w:p>
        </w:tc>
      </w:tr>
      <w:tr w:rsidR="0046315C" w:rsidRPr="0046315C" w14:paraId="431766FB" w14:textId="77777777" w:rsidTr="006525CE">
        <w:trPr>
          <w:jc w:val="center"/>
        </w:trPr>
        <w:tc>
          <w:tcPr>
            <w:tcW w:w="2251" w:type="dxa"/>
            <w:tcBorders>
              <w:top w:val="single" w:sz="4" w:space="0" w:color="auto"/>
              <w:left w:val="single" w:sz="4" w:space="0" w:color="auto"/>
              <w:bottom w:val="single" w:sz="4" w:space="0" w:color="auto"/>
              <w:right w:val="single" w:sz="4" w:space="0" w:color="auto"/>
            </w:tcBorders>
            <w:hideMark/>
          </w:tcPr>
          <w:p w14:paraId="544F9359" w14:textId="77777777" w:rsidR="0046315C" w:rsidRPr="0046315C" w:rsidRDefault="0046315C" w:rsidP="0046315C">
            <w:pPr>
              <w:spacing w:before="0" w:after="0" w:line="240" w:lineRule="auto"/>
              <w:jc w:val="left"/>
              <w:rPr>
                <w:rFonts w:eastAsia="Calibri" w:cs="Calibri"/>
                <w:sz w:val="20"/>
                <w:szCs w:val="20"/>
                <w:lang w:eastAsia="en-US"/>
              </w:rPr>
            </w:pPr>
            <w:r w:rsidRPr="0046315C">
              <w:rPr>
                <w:rFonts w:eastAsia="Calibri" w:cs="Calibri"/>
                <w:sz w:val="20"/>
                <w:szCs w:val="20"/>
                <w:lang w:eastAsia="en-US"/>
              </w:rPr>
              <w:t>B-8-Igalo</w:t>
            </w:r>
          </w:p>
        </w:tc>
        <w:tc>
          <w:tcPr>
            <w:tcW w:w="952" w:type="dxa"/>
            <w:tcBorders>
              <w:top w:val="single" w:sz="4" w:space="0" w:color="auto"/>
              <w:left w:val="single" w:sz="4" w:space="0" w:color="auto"/>
              <w:bottom w:val="single" w:sz="4" w:space="0" w:color="auto"/>
              <w:right w:val="single" w:sz="4" w:space="0" w:color="auto"/>
            </w:tcBorders>
            <w:hideMark/>
          </w:tcPr>
          <w:p w14:paraId="0BD4AAF5"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Tip I</w:t>
            </w:r>
          </w:p>
        </w:tc>
        <w:tc>
          <w:tcPr>
            <w:tcW w:w="1839" w:type="dxa"/>
            <w:tcBorders>
              <w:top w:val="single" w:sz="4" w:space="0" w:color="auto"/>
              <w:left w:val="single" w:sz="4" w:space="0" w:color="auto"/>
              <w:bottom w:val="single" w:sz="4" w:space="0" w:color="auto"/>
              <w:right w:val="single" w:sz="4" w:space="0" w:color="auto"/>
            </w:tcBorders>
            <w:hideMark/>
          </w:tcPr>
          <w:p w14:paraId="78AF2283"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0,63</w:t>
            </w:r>
          </w:p>
        </w:tc>
        <w:tc>
          <w:tcPr>
            <w:tcW w:w="2115" w:type="dxa"/>
            <w:tcBorders>
              <w:top w:val="single" w:sz="4" w:space="0" w:color="auto"/>
              <w:left w:val="single" w:sz="4" w:space="0" w:color="auto"/>
              <w:bottom w:val="single" w:sz="4" w:space="0" w:color="auto"/>
              <w:right w:val="single" w:sz="4" w:space="0" w:color="auto"/>
            </w:tcBorders>
            <w:hideMark/>
          </w:tcPr>
          <w:p w14:paraId="71CBED8E"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1,32</w:t>
            </w:r>
          </w:p>
        </w:tc>
        <w:tc>
          <w:tcPr>
            <w:tcW w:w="1864" w:type="dxa"/>
            <w:tcBorders>
              <w:top w:val="single" w:sz="4" w:space="0" w:color="auto"/>
              <w:left w:val="single" w:sz="4" w:space="0" w:color="auto"/>
              <w:bottom w:val="single" w:sz="4" w:space="0" w:color="auto"/>
              <w:right w:val="single" w:sz="4" w:space="0" w:color="auto"/>
            </w:tcBorders>
            <w:hideMark/>
          </w:tcPr>
          <w:p w14:paraId="37654511"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dobro</w:t>
            </w:r>
          </w:p>
        </w:tc>
      </w:tr>
      <w:tr w:rsidR="0046315C" w:rsidRPr="0046315C" w14:paraId="6ED8A249" w14:textId="77777777" w:rsidTr="006525CE">
        <w:trPr>
          <w:jc w:val="center"/>
        </w:trPr>
        <w:tc>
          <w:tcPr>
            <w:tcW w:w="2251" w:type="dxa"/>
            <w:tcBorders>
              <w:top w:val="single" w:sz="4" w:space="0" w:color="auto"/>
              <w:left w:val="single" w:sz="4" w:space="0" w:color="auto"/>
              <w:bottom w:val="single" w:sz="4" w:space="0" w:color="auto"/>
              <w:right w:val="single" w:sz="4" w:space="0" w:color="auto"/>
            </w:tcBorders>
            <w:hideMark/>
          </w:tcPr>
          <w:p w14:paraId="73D681CC" w14:textId="77777777" w:rsidR="0046315C" w:rsidRPr="0046315C" w:rsidRDefault="0046315C" w:rsidP="0046315C">
            <w:pPr>
              <w:spacing w:before="0" w:after="0" w:line="240" w:lineRule="auto"/>
              <w:jc w:val="left"/>
              <w:rPr>
                <w:rFonts w:eastAsia="Calibri" w:cs="Calibri"/>
                <w:sz w:val="20"/>
                <w:szCs w:val="20"/>
                <w:lang w:eastAsia="en-US"/>
              </w:rPr>
            </w:pPr>
            <w:r w:rsidRPr="0046315C">
              <w:rPr>
                <w:rFonts w:eastAsia="Calibri" w:cs="Calibri"/>
                <w:sz w:val="20"/>
                <w:szCs w:val="20"/>
                <w:lang w:eastAsia="en-US"/>
              </w:rPr>
              <w:t>OC-1-Mamula</w:t>
            </w:r>
          </w:p>
        </w:tc>
        <w:tc>
          <w:tcPr>
            <w:tcW w:w="952" w:type="dxa"/>
            <w:tcBorders>
              <w:top w:val="single" w:sz="4" w:space="0" w:color="auto"/>
              <w:left w:val="single" w:sz="4" w:space="0" w:color="auto"/>
              <w:bottom w:val="single" w:sz="4" w:space="0" w:color="auto"/>
              <w:right w:val="single" w:sz="4" w:space="0" w:color="auto"/>
            </w:tcBorders>
            <w:hideMark/>
          </w:tcPr>
          <w:p w14:paraId="073E6E6B"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Tip IIA</w:t>
            </w:r>
          </w:p>
        </w:tc>
        <w:tc>
          <w:tcPr>
            <w:tcW w:w="1839" w:type="dxa"/>
            <w:tcBorders>
              <w:top w:val="single" w:sz="4" w:space="0" w:color="auto"/>
              <w:left w:val="single" w:sz="4" w:space="0" w:color="auto"/>
              <w:bottom w:val="single" w:sz="4" w:space="0" w:color="auto"/>
              <w:right w:val="single" w:sz="4" w:space="0" w:color="auto"/>
            </w:tcBorders>
            <w:hideMark/>
          </w:tcPr>
          <w:p w14:paraId="011EA35E"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0,99</w:t>
            </w:r>
          </w:p>
        </w:tc>
        <w:tc>
          <w:tcPr>
            <w:tcW w:w="2115" w:type="dxa"/>
            <w:tcBorders>
              <w:top w:val="single" w:sz="4" w:space="0" w:color="auto"/>
              <w:left w:val="single" w:sz="4" w:space="0" w:color="auto"/>
              <w:bottom w:val="single" w:sz="4" w:space="0" w:color="auto"/>
              <w:right w:val="single" w:sz="4" w:space="0" w:color="auto"/>
            </w:tcBorders>
            <w:hideMark/>
          </w:tcPr>
          <w:p w14:paraId="0F6DEBDF"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3,43</w:t>
            </w:r>
          </w:p>
        </w:tc>
        <w:tc>
          <w:tcPr>
            <w:tcW w:w="1864" w:type="dxa"/>
            <w:tcBorders>
              <w:top w:val="single" w:sz="4" w:space="0" w:color="auto"/>
              <w:left w:val="single" w:sz="4" w:space="0" w:color="auto"/>
              <w:bottom w:val="single" w:sz="4" w:space="0" w:color="auto"/>
              <w:right w:val="single" w:sz="4" w:space="0" w:color="auto"/>
            </w:tcBorders>
            <w:hideMark/>
          </w:tcPr>
          <w:p w14:paraId="06FE8FA0"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dobro</w:t>
            </w:r>
          </w:p>
        </w:tc>
      </w:tr>
      <w:tr w:rsidR="0046315C" w:rsidRPr="0046315C" w14:paraId="04BDFDD1" w14:textId="77777777" w:rsidTr="006525CE">
        <w:trPr>
          <w:jc w:val="center"/>
        </w:trPr>
        <w:tc>
          <w:tcPr>
            <w:tcW w:w="2251" w:type="dxa"/>
            <w:tcBorders>
              <w:top w:val="single" w:sz="4" w:space="0" w:color="auto"/>
              <w:left w:val="single" w:sz="4" w:space="0" w:color="auto"/>
              <w:bottom w:val="single" w:sz="4" w:space="0" w:color="auto"/>
              <w:right w:val="single" w:sz="4" w:space="0" w:color="auto"/>
            </w:tcBorders>
            <w:hideMark/>
          </w:tcPr>
          <w:p w14:paraId="07D6B2B6" w14:textId="77777777" w:rsidR="0046315C" w:rsidRPr="0046315C" w:rsidRDefault="0046315C" w:rsidP="0046315C">
            <w:pPr>
              <w:spacing w:before="0" w:after="0" w:line="240" w:lineRule="auto"/>
              <w:jc w:val="left"/>
              <w:rPr>
                <w:rFonts w:eastAsia="Calibri" w:cs="Calibri"/>
                <w:sz w:val="20"/>
                <w:szCs w:val="20"/>
                <w:lang w:eastAsia="en-US"/>
              </w:rPr>
            </w:pPr>
            <w:r w:rsidRPr="0046315C">
              <w:rPr>
                <w:rFonts w:eastAsia="Calibri" w:cs="Calibri"/>
                <w:sz w:val="20"/>
                <w:szCs w:val="20"/>
                <w:lang w:eastAsia="en-US"/>
              </w:rPr>
              <w:t>OC-2-Budva</w:t>
            </w:r>
          </w:p>
        </w:tc>
        <w:tc>
          <w:tcPr>
            <w:tcW w:w="952" w:type="dxa"/>
            <w:tcBorders>
              <w:top w:val="single" w:sz="4" w:space="0" w:color="auto"/>
              <w:left w:val="single" w:sz="4" w:space="0" w:color="auto"/>
              <w:bottom w:val="single" w:sz="4" w:space="0" w:color="auto"/>
              <w:right w:val="single" w:sz="4" w:space="0" w:color="auto"/>
            </w:tcBorders>
            <w:hideMark/>
          </w:tcPr>
          <w:p w14:paraId="5292A670"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Tip IIA</w:t>
            </w:r>
          </w:p>
        </w:tc>
        <w:tc>
          <w:tcPr>
            <w:tcW w:w="1839" w:type="dxa"/>
            <w:tcBorders>
              <w:top w:val="single" w:sz="4" w:space="0" w:color="auto"/>
              <w:left w:val="single" w:sz="4" w:space="0" w:color="auto"/>
              <w:bottom w:val="single" w:sz="4" w:space="0" w:color="auto"/>
              <w:right w:val="single" w:sz="4" w:space="0" w:color="auto"/>
            </w:tcBorders>
            <w:hideMark/>
          </w:tcPr>
          <w:p w14:paraId="5F080AFA"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0,34</w:t>
            </w:r>
          </w:p>
        </w:tc>
        <w:tc>
          <w:tcPr>
            <w:tcW w:w="2115" w:type="dxa"/>
            <w:tcBorders>
              <w:top w:val="single" w:sz="4" w:space="0" w:color="auto"/>
              <w:left w:val="single" w:sz="4" w:space="0" w:color="auto"/>
              <w:bottom w:val="single" w:sz="4" w:space="0" w:color="auto"/>
              <w:right w:val="single" w:sz="4" w:space="0" w:color="auto"/>
            </w:tcBorders>
            <w:hideMark/>
          </w:tcPr>
          <w:p w14:paraId="5299EF10"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0,90</w:t>
            </w:r>
          </w:p>
        </w:tc>
        <w:tc>
          <w:tcPr>
            <w:tcW w:w="1864" w:type="dxa"/>
            <w:tcBorders>
              <w:top w:val="single" w:sz="4" w:space="0" w:color="auto"/>
              <w:left w:val="single" w:sz="4" w:space="0" w:color="auto"/>
              <w:bottom w:val="single" w:sz="4" w:space="0" w:color="auto"/>
              <w:right w:val="single" w:sz="4" w:space="0" w:color="auto"/>
            </w:tcBorders>
            <w:hideMark/>
          </w:tcPr>
          <w:p w14:paraId="76751545"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dobro</w:t>
            </w:r>
          </w:p>
        </w:tc>
      </w:tr>
      <w:tr w:rsidR="0046315C" w:rsidRPr="0046315C" w14:paraId="50572565" w14:textId="77777777" w:rsidTr="006525CE">
        <w:trPr>
          <w:jc w:val="center"/>
        </w:trPr>
        <w:tc>
          <w:tcPr>
            <w:tcW w:w="2251" w:type="dxa"/>
            <w:tcBorders>
              <w:top w:val="single" w:sz="4" w:space="0" w:color="auto"/>
              <w:left w:val="single" w:sz="4" w:space="0" w:color="auto"/>
              <w:bottom w:val="single" w:sz="4" w:space="0" w:color="auto"/>
              <w:right w:val="single" w:sz="4" w:space="0" w:color="auto"/>
            </w:tcBorders>
            <w:hideMark/>
          </w:tcPr>
          <w:p w14:paraId="07BEF73F" w14:textId="77777777" w:rsidR="0046315C" w:rsidRPr="0046315C" w:rsidRDefault="0046315C" w:rsidP="0046315C">
            <w:pPr>
              <w:spacing w:before="0" w:after="0" w:line="240" w:lineRule="auto"/>
              <w:jc w:val="left"/>
              <w:rPr>
                <w:rFonts w:eastAsia="Calibri" w:cs="Calibri"/>
                <w:sz w:val="20"/>
                <w:szCs w:val="20"/>
                <w:lang w:eastAsia="en-US"/>
              </w:rPr>
            </w:pPr>
            <w:r w:rsidRPr="0046315C">
              <w:rPr>
                <w:rFonts w:eastAsia="Calibri" w:cs="Calibri"/>
                <w:sz w:val="20"/>
                <w:szCs w:val="20"/>
                <w:lang w:eastAsia="en-US"/>
              </w:rPr>
              <w:t>OC-3-Bar</w:t>
            </w:r>
          </w:p>
        </w:tc>
        <w:tc>
          <w:tcPr>
            <w:tcW w:w="952" w:type="dxa"/>
            <w:tcBorders>
              <w:top w:val="single" w:sz="4" w:space="0" w:color="auto"/>
              <w:left w:val="single" w:sz="4" w:space="0" w:color="auto"/>
              <w:bottom w:val="single" w:sz="4" w:space="0" w:color="auto"/>
              <w:right w:val="single" w:sz="4" w:space="0" w:color="auto"/>
            </w:tcBorders>
            <w:hideMark/>
          </w:tcPr>
          <w:p w14:paraId="441FE7D4"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Tip IIA</w:t>
            </w:r>
          </w:p>
        </w:tc>
        <w:tc>
          <w:tcPr>
            <w:tcW w:w="1839" w:type="dxa"/>
            <w:tcBorders>
              <w:top w:val="single" w:sz="4" w:space="0" w:color="auto"/>
              <w:left w:val="single" w:sz="4" w:space="0" w:color="auto"/>
              <w:bottom w:val="single" w:sz="4" w:space="0" w:color="auto"/>
              <w:right w:val="single" w:sz="4" w:space="0" w:color="auto"/>
            </w:tcBorders>
            <w:hideMark/>
          </w:tcPr>
          <w:p w14:paraId="170D95D9"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0,30</w:t>
            </w:r>
          </w:p>
        </w:tc>
        <w:tc>
          <w:tcPr>
            <w:tcW w:w="2115" w:type="dxa"/>
            <w:tcBorders>
              <w:top w:val="single" w:sz="4" w:space="0" w:color="auto"/>
              <w:left w:val="single" w:sz="4" w:space="0" w:color="auto"/>
              <w:bottom w:val="single" w:sz="4" w:space="0" w:color="auto"/>
              <w:right w:val="single" w:sz="4" w:space="0" w:color="auto"/>
            </w:tcBorders>
            <w:hideMark/>
          </w:tcPr>
          <w:p w14:paraId="7F3A5389"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0,97</w:t>
            </w:r>
          </w:p>
        </w:tc>
        <w:tc>
          <w:tcPr>
            <w:tcW w:w="1864" w:type="dxa"/>
            <w:tcBorders>
              <w:top w:val="single" w:sz="4" w:space="0" w:color="auto"/>
              <w:left w:val="single" w:sz="4" w:space="0" w:color="auto"/>
              <w:bottom w:val="single" w:sz="4" w:space="0" w:color="auto"/>
              <w:right w:val="single" w:sz="4" w:space="0" w:color="auto"/>
            </w:tcBorders>
            <w:hideMark/>
          </w:tcPr>
          <w:p w14:paraId="7BA3A753"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dobro</w:t>
            </w:r>
          </w:p>
        </w:tc>
      </w:tr>
      <w:tr w:rsidR="0046315C" w:rsidRPr="0046315C" w14:paraId="3A1E3B7A" w14:textId="77777777" w:rsidTr="006525CE">
        <w:trPr>
          <w:jc w:val="center"/>
        </w:trPr>
        <w:tc>
          <w:tcPr>
            <w:tcW w:w="2251" w:type="dxa"/>
            <w:tcBorders>
              <w:top w:val="single" w:sz="4" w:space="0" w:color="auto"/>
              <w:left w:val="single" w:sz="4" w:space="0" w:color="auto"/>
              <w:bottom w:val="single" w:sz="4" w:space="0" w:color="auto"/>
              <w:right w:val="single" w:sz="4" w:space="0" w:color="auto"/>
            </w:tcBorders>
            <w:hideMark/>
          </w:tcPr>
          <w:p w14:paraId="3A42727A" w14:textId="77777777" w:rsidR="0046315C" w:rsidRPr="0046315C" w:rsidRDefault="0046315C" w:rsidP="0046315C">
            <w:pPr>
              <w:spacing w:before="0" w:after="0" w:line="240" w:lineRule="auto"/>
              <w:jc w:val="left"/>
              <w:rPr>
                <w:rFonts w:eastAsia="Calibri" w:cs="Calibri"/>
                <w:sz w:val="20"/>
                <w:szCs w:val="20"/>
                <w:lang w:eastAsia="en-US"/>
              </w:rPr>
            </w:pPr>
            <w:r w:rsidRPr="0046315C">
              <w:rPr>
                <w:rFonts w:eastAsia="Calibri" w:cs="Calibri"/>
                <w:sz w:val="20"/>
                <w:szCs w:val="20"/>
                <w:lang w:eastAsia="en-US"/>
              </w:rPr>
              <w:t>OC-4-Ulcinj</w:t>
            </w:r>
          </w:p>
        </w:tc>
        <w:tc>
          <w:tcPr>
            <w:tcW w:w="952" w:type="dxa"/>
            <w:tcBorders>
              <w:top w:val="single" w:sz="4" w:space="0" w:color="auto"/>
              <w:left w:val="single" w:sz="4" w:space="0" w:color="auto"/>
              <w:bottom w:val="single" w:sz="4" w:space="0" w:color="auto"/>
              <w:right w:val="single" w:sz="4" w:space="0" w:color="auto"/>
            </w:tcBorders>
            <w:hideMark/>
          </w:tcPr>
          <w:p w14:paraId="222E838B"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Tip I</w:t>
            </w:r>
          </w:p>
        </w:tc>
        <w:tc>
          <w:tcPr>
            <w:tcW w:w="1839" w:type="dxa"/>
            <w:tcBorders>
              <w:top w:val="single" w:sz="4" w:space="0" w:color="auto"/>
              <w:left w:val="single" w:sz="4" w:space="0" w:color="auto"/>
              <w:bottom w:val="single" w:sz="4" w:space="0" w:color="auto"/>
              <w:right w:val="single" w:sz="4" w:space="0" w:color="auto"/>
            </w:tcBorders>
            <w:hideMark/>
          </w:tcPr>
          <w:p w14:paraId="6D794170"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0,47</w:t>
            </w:r>
          </w:p>
        </w:tc>
        <w:tc>
          <w:tcPr>
            <w:tcW w:w="2115" w:type="dxa"/>
            <w:tcBorders>
              <w:top w:val="single" w:sz="4" w:space="0" w:color="auto"/>
              <w:left w:val="single" w:sz="4" w:space="0" w:color="auto"/>
              <w:bottom w:val="single" w:sz="4" w:space="0" w:color="auto"/>
              <w:right w:val="single" w:sz="4" w:space="0" w:color="auto"/>
            </w:tcBorders>
            <w:hideMark/>
          </w:tcPr>
          <w:p w14:paraId="5FD04CA3"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1,12</w:t>
            </w:r>
          </w:p>
        </w:tc>
        <w:tc>
          <w:tcPr>
            <w:tcW w:w="1864" w:type="dxa"/>
            <w:tcBorders>
              <w:top w:val="single" w:sz="4" w:space="0" w:color="auto"/>
              <w:left w:val="single" w:sz="4" w:space="0" w:color="auto"/>
              <w:bottom w:val="single" w:sz="4" w:space="0" w:color="auto"/>
              <w:right w:val="single" w:sz="4" w:space="0" w:color="auto"/>
            </w:tcBorders>
            <w:hideMark/>
          </w:tcPr>
          <w:p w14:paraId="5518F93B"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dobro</w:t>
            </w:r>
          </w:p>
        </w:tc>
      </w:tr>
      <w:tr w:rsidR="0046315C" w:rsidRPr="0046315C" w14:paraId="1231D08A" w14:textId="77777777" w:rsidTr="006525CE">
        <w:trPr>
          <w:jc w:val="center"/>
        </w:trPr>
        <w:tc>
          <w:tcPr>
            <w:tcW w:w="2251" w:type="dxa"/>
            <w:tcBorders>
              <w:top w:val="single" w:sz="4" w:space="0" w:color="auto"/>
              <w:left w:val="single" w:sz="4" w:space="0" w:color="auto"/>
              <w:bottom w:val="single" w:sz="4" w:space="0" w:color="auto"/>
              <w:right w:val="single" w:sz="4" w:space="0" w:color="auto"/>
            </w:tcBorders>
            <w:hideMark/>
          </w:tcPr>
          <w:p w14:paraId="34DC9881" w14:textId="77777777" w:rsidR="0046315C" w:rsidRPr="0046315C" w:rsidRDefault="0046315C" w:rsidP="0046315C">
            <w:pPr>
              <w:spacing w:before="0" w:after="0" w:line="240" w:lineRule="auto"/>
              <w:jc w:val="left"/>
              <w:rPr>
                <w:rFonts w:eastAsia="Calibri" w:cs="Calibri"/>
                <w:sz w:val="20"/>
                <w:szCs w:val="20"/>
                <w:lang w:eastAsia="en-US"/>
              </w:rPr>
            </w:pPr>
            <w:r w:rsidRPr="0046315C">
              <w:rPr>
                <w:rFonts w:eastAsia="Calibri" w:cs="Calibri"/>
                <w:sz w:val="20"/>
                <w:szCs w:val="20"/>
                <w:lang w:eastAsia="en-US"/>
              </w:rPr>
              <w:t>OC-5-Ada Bojana</w:t>
            </w:r>
          </w:p>
        </w:tc>
        <w:tc>
          <w:tcPr>
            <w:tcW w:w="952" w:type="dxa"/>
            <w:tcBorders>
              <w:top w:val="single" w:sz="4" w:space="0" w:color="auto"/>
              <w:left w:val="single" w:sz="4" w:space="0" w:color="auto"/>
              <w:bottom w:val="single" w:sz="4" w:space="0" w:color="auto"/>
              <w:right w:val="single" w:sz="4" w:space="0" w:color="auto"/>
            </w:tcBorders>
            <w:hideMark/>
          </w:tcPr>
          <w:p w14:paraId="0DD356E5"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Tip I</w:t>
            </w:r>
          </w:p>
        </w:tc>
        <w:tc>
          <w:tcPr>
            <w:tcW w:w="1839" w:type="dxa"/>
            <w:tcBorders>
              <w:top w:val="single" w:sz="4" w:space="0" w:color="auto"/>
              <w:left w:val="single" w:sz="4" w:space="0" w:color="auto"/>
              <w:bottom w:val="single" w:sz="4" w:space="0" w:color="auto"/>
              <w:right w:val="single" w:sz="4" w:space="0" w:color="auto"/>
            </w:tcBorders>
            <w:hideMark/>
          </w:tcPr>
          <w:p w14:paraId="7FB95459"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0,75</w:t>
            </w:r>
          </w:p>
        </w:tc>
        <w:tc>
          <w:tcPr>
            <w:tcW w:w="2115" w:type="dxa"/>
            <w:tcBorders>
              <w:top w:val="single" w:sz="4" w:space="0" w:color="auto"/>
              <w:left w:val="single" w:sz="4" w:space="0" w:color="auto"/>
              <w:bottom w:val="single" w:sz="4" w:space="0" w:color="auto"/>
              <w:right w:val="single" w:sz="4" w:space="0" w:color="auto"/>
            </w:tcBorders>
            <w:hideMark/>
          </w:tcPr>
          <w:p w14:paraId="03E5CD47"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2,02</w:t>
            </w:r>
          </w:p>
        </w:tc>
        <w:tc>
          <w:tcPr>
            <w:tcW w:w="1864" w:type="dxa"/>
            <w:tcBorders>
              <w:top w:val="single" w:sz="4" w:space="0" w:color="auto"/>
              <w:left w:val="single" w:sz="4" w:space="0" w:color="auto"/>
              <w:bottom w:val="single" w:sz="4" w:space="0" w:color="auto"/>
              <w:right w:val="single" w:sz="4" w:space="0" w:color="auto"/>
            </w:tcBorders>
            <w:hideMark/>
          </w:tcPr>
          <w:p w14:paraId="2200C27C" w14:textId="77777777" w:rsidR="0046315C" w:rsidRPr="0046315C" w:rsidRDefault="0046315C" w:rsidP="0046315C">
            <w:pPr>
              <w:spacing w:before="0" w:after="0" w:line="240" w:lineRule="auto"/>
              <w:jc w:val="center"/>
              <w:rPr>
                <w:rFonts w:eastAsia="Calibri" w:cs="Calibri"/>
                <w:sz w:val="20"/>
                <w:szCs w:val="20"/>
                <w:lang w:eastAsia="en-US"/>
              </w:rPr>
            </w:pPr>
            <w:r w:rsidRPr="0046315C">
              <w:rPr>
                <w:rFonts w:eastAsia="Calibri" w:cs="Calibri"/>
                <w:sz w:val="20"/>
                <w:szCs w:val="20"/>
                <w:lang w:eastAsia="en-US"/>
              </w:rPr>
              <w:t>dobro</w:t>
            </w:r>
          </w:p>
        </w:tc>
      </w:tr>
    </w:tbl>
    <w:p w14:paraId="1C19E82C" w14:textId="77777777" w:rsidR="0046315C" w:rsidRPr="0046315C" w:rsidRDefault="0046315C" w:rsidP="0046315C">
      <w:pPr>
        <w:tabs>
          <w:tab w:val="left" w:pos="3532"/>
        </w:tabs>
        <w:autoSpaceDE w:val="0"/>
        <w:autoSpaceDN w:val="0"/>
        <w:adjustRightInd w:val="0"/>
        <w:spacing w:before="0" w:after="200"/>
        <w:rPr>
          <w:rFonts w:eastAsia="Calibri" w:cs="Calibri"/>
          <w:szCs w:val="22"/>
          <w:lang w:eastAsia="en-US"/>
        </w:rPr>
      </w:pPr>
    </w:p>
    <w:p w14:paraId="28EC8FA4" w14:textId="77777777" w:rsidR="0046315C" w:rsidRPr="0046315C" w:rsidRDefault="0046315C" w:rsidP="0046315C">
      <w:pPr>
        <w:spacing w:before="0" w:after="160" w:line="256" w:lineRule="auto"/>
        <w:rPr>
          <w:rFonts w:eastAsia="Calibri"/>
          <w:b/>
          <w:szCs w:val="22"/>
          <w:u w:val="single"/>
          <w:lang w:eastAsia="en-US"/>
        </w:rPr>
      </w:pPr>
      <w:r w:rsidRPr="0046315C">
        <w:rPr>
          <w:rFonts w:eastAsia="Calibri"/>
          <w:b/>
          <w:szCs w:val="22"/>
          <w:u w:val="single"/>
          <w:lang w:eastAsia="en-US"/>
        </w:rPr>
        <w:t>D5C3 – Sekundarni kriterij: Štetno cvjetanje algi u vodenom stubu</w:t>
      </w:r>
    </w:p>
    <w:p w14:paraId="164F4E23" w14:textId="77777777" w:rsidR="0046315C" w:rsidRPr="0046315C" w:rsidRDefault="0046315C" w:rsidP="0046315C">
      <w:pPr>
        <w:spacing w:before="0" w:after="160" w:line="256" w:lineRule="auto"/>
        <w:rPr>
          <w:rFonts w:eastAsia="Calibri"/>
          <w:szCs w:val="22"/>
          <w:lang w:eastAsia="en-US"/>
        </w:rPr>
      </w:pPr>
      <w:r w:rsidRPr="0046315C">
        <w:rPr>
          <w:rFonts w:eastAsia="Calibri"/>
          <w:szCs w:val="22"/>
          <w:lang w:eastAsia="en-US"/>
        </w:rPr>
        <w:t xml:space="preserve">Frekvencija cvjetanja algi (fitoplanktona) bila je niska, odnosno u svega 13 uzoraka od 280 analiziranih u sloju do 5m dubine na lokacijama Bokokotorskog zaliva je zabilježeno cvjetanje vrste dijatomeja </w:t>
      </w:r>
      <w:r w:rsidRPr="0046315C">
        <w:rPr>
          <w:rFonts w:eastAsia="Calibri"/>
          <w:i/>
          <w:szCs w:val="22"/>
          <w:lang w:eastAsia="en-US"/>
        </w:rPr>
        <w:t>Thalassionema nitzschioides</w:t>
      </w:r>
      <w:r w:rsidRPr="0046315C">
        <w:rPr>
          <w:rFonts w:eastAsia="Calibri"/>
          <w:szCs w:val="22"/>
          <w:lang w:eastAsia="en-US"/>
        </w:rPr>
        <w:t xml:space="preserve"> </w:t>
      </w:r>
      <w:r w:rsidRPr="0046315C">
        <w:rPr>
          <w:rFonts w:eastAsia="Calibri" w:cs="Calibri"/>
          <w:szCs w:val="22"/>
          <w:lang w:eastAsia="en-US"/>
        </w:rPr>
        <w:t>(more than 1 x 10</w:t>
      </w:r>
      <w:r w:rsidRPr="0046315C">
        <w:rPr>
          <w:rFonts w:eastAsia="Calibri" w:cs="Calibri"/>
          <w:szCs w:val="22"/>
          <w:vertAlign w:val="superscript"/>
          <w:lang w:eastAsia="en-US"/>
        </w:rPr>
        <w:t>6</w:t>
      </w:r>
      <w:r w:rsidRPr="0046315C">
        <w:rPr>
          <w:rFonts w:eastAsia="Calibri" w:cs="Calibri"/>
          <w:szCs w:val="22"/>
          <w:lang w:eastAsia="en-US"/>
        </w:rPr>
        <w:t xml:space="preserve"> cells / L) u letnjem periodu</w:t>
      </w:r>
      <w:r w:rsidRPr="0046315C">
        <w:rPr>
          <w:rFonts w:eastAsia="Calibri"/>
          <w:szCs w:val="22"/>
          <w:lang w:eastAsia="en-US"/>
        </w:rPr>
        <w:t xml:space="preserve">. Na istraživanim priobalnim lokacijama otvorenog mora je od 320 analizirinah uzoraka samo u jednom uzorku zabilježena brojnost vrsta roda </w:t>
      </w:r>
      <w:r w:rsidRPr="0046315C">
        <w:rPr>
          <w:rFonts w:eastAsia="Calibri"/>
          <w:i/>
          <w:szCs w:val="22"/>
          <w:lang w:eastAsia="en-US"/>
        </w:rPr>
        <w:t>Pseudo-nitzschia</w:t>
      </w:r>
      <w:r w:rsidRPr="0046315C">
        <w:rPr>
          <w:rFonts w:eastAsia="Calibri"/>
          <w:szCs w:val="22"/>
          <w:lang w:eastAsia="en-US"/>
        </w:rPr>
        <w:t xml:space="preserve"> veća od 1x 10</w:t>
      </w:r>
      <w:r w:rsidRPr="0046315C">
        <w:rPr>
          <w:rFonts w:eastAsia="Calibri"/>
          <w:szCs w:val="22"/>
          <w:vertAlign w:val="superscript"/>
          <w:lang w:eastAsia="en-US"/>
        </w:rPr>
        <w:t>6</w:t>
      </w:r>
      <w:r w:rsidRPr="0046315C">
        <w:rPr>
          <w:rFonts w:eastAsia="Calibri"/>
          <w:szCs w:val="22"/>
          <w:lang w:eastAsia="en-US"/>
        </w:rPr>
        <w:t xml:space="preserve"> ćelija/L.</w:t>
      </w:r>
    </w:p>
    <w:p w14:paraId="7B755A18" w14:textId="77777777" w:rsidR="0046315C" w:rsidRPr="0046315C" w:rsidRDefault="0046315C" w:rsidP="0046315C">
      <w:pPr>
        <w:autoSpaceDE w:val="0"/>
        <w:autoSpaceDN w:val="0"/>
        <w:adjustRightInd w:val="0"/>
        <w:spacing w:before="0" w:after="240" w:line="240" w:lineRule="auto"/>
        <w:jc w:val="left"/>
        <w:rPr>
          <w:rFonts w:eastAsia="Calibri" w:cs="Calibri"/>
          <w:b/>
          <w:bCs/>
          <w:color w:val="000000"/>
          <w:szCs w:val="22"/>
          <w:u w:val="single"/>
          <w:lang w:eastAsia="en-US"/>
        </w:rPr>
      </w:pPr>
      <w:r w:rsidRPr="0046315C">
        <w:rPr>
          <w:rFonts w:eastAsia="Calibri" w:cs="Calibri"/>
          <w:b/>
          <w:bCs/>
          <w:color w:val="000000"/>
          <w:szCs w:val="22"/>
          <w:u w:val="single"/>
          <w:lang w:eastAsia="en-US"/>
        </w:rPr>
        <w:t>D5C5 – Primarni kriterijum: Rastvoreni kiseonik u pridnenom sloju vodenog stuba (granice/dozvoljene vrijednosti)</w:t>
      </w:r>
    </w:p>
    <w:p w14:paraId="600E5290" w14:textId="77777777" w:rsidR="0046315C" w:rsidRPr="0046315C" w:rsidRDefault="0046315C" w:rsidP="0046315C">
      <w:pPr>
        <w:spacing w:before="0" w:after="0"/>
        <w:rPr>
          <w:rFonts w:eastAsia="Calibri"/>
          <w:szCs w:val="22"/>
          <w:lang w:eastAsia="en-US"/>
        </w:rPr>
      </w:pPr>
      <w:r w:rsidRPr="0046315C">
        <w:rPr>
          <w:rFonts w:eastAsia="Calibri"/>
          <w:szCs w:val="22"/>
          <w:lang w:eastAsia="en-US"/>
        </w:rPr>
        <w:t>Element primarnog kriterijuma D5C5 je rastvoreni kiseonik u pridnenom sloju vodenog stuba koji je procijenjen na osnovu koncentracije rastvorenog kiseonika (mg L</w:t>
      </w:r>
      <w:r w:rsidRPr="0046315C">
        <w:rPr>
          <w:rFonts w:eastAsia="Calibri"/>
          <w:szCs w:val="22"/>
          <w:vertAlign w:val="superscript"/>
          <w:lang w:eastAsia="en-US"/>
        </w:rPr>
        <w:t>-1</w:t>
      </w:r>
      <w:r w:rsidRPr="0046315C">
        <w:rPr>
          <w:rFonts w:eastAsia="Calibri"/>
          <w:szCs w:val="22"/>
          <w:lang w:eastAsia="en-US"/>
        </w:rPr>
        <w:t>) i njegovog zasićenja (%).</w:t>
      </w:r>
    </w:p>
    <w:p w14:paraId="1B02F6A9" w14:textId="7BCCC84B" w:rsidR="00130F72" w:rsidRPr="00615E5F" w:rsidRDefault="0046315C" w:rsidP="00615E5F">
      <w:pPr>
        <w:autoSpaceDE w:val="0"/>
        <w:autoSpaceDN w:val="0"/>
        <w:adjustRightInd w:val="0"/>
        <w:spacing w:before="0" w:after="0"/>
        <w:rPr>
          <w:rFonts w:eastAsia="Calibri" w:cs="Calibri"/>
          <w:color w:val="000000"/>
          <w:szCs w:val="22"/>
          <w:lang w:eastAsia="en-US"/>
        </w:rPr>
      </w:pPr>
      <w:r w:rsidRPr="0046315C">
        <w:rPr>
          <w:rFonts w:eastAsia="Calibri" w:cs="Calibri"/>
          <w:color w:val="000000"/>
          <w:szCs w:val="22"/>
          <w:lang w:eastAsia="en-US"/>
        </w:rPr>
        <w:t>Granične vrijednosti za procjenu dobrog stanja morske sredine prema kriterijumu D5C5 nisu do sada definisane na regionalnom/subregionalnom nivou niti prema ODV niti u kontekstu Barselonske konvencije (UNEP/MAP). Stoga smo, kao i većina evropskih zemalja, primijenili kriterijume prema OSPAR-u</w:t>
      </w:r>
      <w:r w:rsidRPr="0046315C">
        <w:rPr>
          <w:rFonts w:eastAsia="Calibri" w:cs="Calibri"/>
          <w:color w:val="000000"/>
          <w:szCs w:val="22"/>
          <w:vertAlign w:val="superscript"/>
          <w:lang w:eastAsia="en-US"/>
        </w:rPr>
        <w:footnoteReference w:id="25"/>
      </w:r>
      <w:r w:rsidRPr="0046315C">
        <w:rPr>
          <w:rFonts w:eastAsia="Calibri" w:cs="Calibri"/>
          <w:color w:val="000000"/>
          <w:szCs w:val="22"/>
          <w:lang w:eastAsia="en-US"/>
        </w:rPr>
        <w:t xml:space="preserve"> (OSPAR Commission, 327/2008) i kriterijume Hrvatske koji su usklađeni sa zahtjevima ODV (NN,73/3013)</w:t>
      </w:r>
      <w:r w:rsidRPr="0046315C">
        <w:rPr>
          <w:rFonts w:eastAsia="Calibri" w:cs="Calibri"/>
          <w:color w:val="000000"/>
          <w:szCs w:val="22"/>
          <w:vertAlign w:val="superscript"/>
          <w:lang w:eastAsia="en-US"/>
        </w:rPr>
        <w:footnoteReference w:id="26"/>
      </w:r>
      <w:r w:rsidRPr="0046315C">
        <w:rPr>
          <w:rFonts w:eastAsia="Calibri" w:cs="Calibri"/>
          <w:color w:val="000000"/>
          <w:szCs w:val="22"/>
          <w:lang w:eastAsia="en-US"/>
        </w:rPr>
        <w:t xml:space="preserve">, a odnose se na zasićenje kiseonikom u pridnenom sloju vodenog stuba (Tabela 2.17).  </w:t>
      </w:r>
    </w:p>
    <w:p w14:paraId="702F70C8" w14:textId="77777777" w:rsidR="0046315C" w:rsidRPr="00D133D9" w:rsidRDefault="0046315C" w:rsidP="0046315C">
      <w:pPr>
        <w:autoSpaceDE w:val="0"/>
        <w:autoSpaceDN w:val="0"/>
        <w:adjustRightInd w:val="0"/>
        <w:spacing w:before="0" w:after="200" w:line="240" w:lineRule="auto"/>
        <w:rPr>
          <w:rFonts w:eastAsia="Calibri"/>
          <w:b/>
          <w:szCs w:val="22"/>
          <w:lang w:eastAsia="en-US"/>
        </w:rPr>
      </w:pPr>
      <w:r w:rsidRPr="0046315C">
        <w:rPr>
          <w:rFonts w:eastAsia="Calibri"/>
          <w:b/>
          <w:szCs w:val="22"/>
          <w:lang w:eastAsia="en-US"/>
        </w:rPr>
        <w:t>Tabela 2.17</w:t>
      </w:r>
      <w:r w:rsidRPr="00D133D9">
        <w:rPr>
          <w:rFonts w:eastAsia="Calibri"/>
          <w:b/>
          <w:szCs w:val="22"/>
          <w:lang w:eastAsia="en-US"/>
        </w:rPr>
        <w:t>. Granične vrijednosti zasićenja kiseonikom za priobalne vode hrvatskog dijela Jadrana (NN 73/2013)</w:t>
      </w:r>
    </w:p>
    <w:tbl>
      <w:tblPr>
        <w:tblStyle w:val="GridTable4-Accent54"/>
        <w:tblW w:w="9339" w:type="dxa"/>
        <w:tblLook w:val="04A0" w:firstRow="1" w:lastRow="0" w:firstColumn="1" w:lastColumn="0" w:noHBand="0" w:noVBand="1"/>
      </w:tblPr>
      <w:tblGrid>
        <w:gridCol w:w="1204"/>
        <w:gridCol w:w="2581"/>
        <w:gridCol w:w="2751"/>
        <w:gridCol w:w="2803"/>
      </w:tblGrid>
      <w:tr w:rsidR="0046315C" w:rsidRPr="0046315C" w14:paraId="7964ABB1" w14:textId="77777777" w:rsidTr="008C78A2">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9339" w:type="dxa"/>
            <w:gridSpan w:val="4"/>
            <w:shd w:val="clear" w:color="auto" w:fill="1F497D" w:themeFill="text2"/>
          </w:tcPr>
          <w:p w14:paraId="67068D35" w14:textId="77777777" w:rsidR="0046315C" w:rsidRPr="00821043" w:rsidRDefault="0046315C" w:rsidP="0046315C">
            <w:pPr>
              <w:autoSpaceDE w:val="0"/>
              <w:autoSpaceDN w:val="0"/>
              <w:adjustRightInd w:val="0"/>
              <w:spacing w:before="0" w:after="0" w:line="240" w:lineRule="auto"/>
              <w:jc w:val="center"/>
              <w:rPr>
                <w:rFonts w:cs="Calibri"/>
                <w:color w:val="FFFFFF" w:themeColor="background1"/>
                <w:sz w:val="20"/>
                <w:szCs w:val="20"/>
                <w:lang w:eastAsia="en-US"/>
              </w:rPr>
            </w:pPr>
            <w:r w:rsidRPr="00821043">
              <w:rPr>
                <w:rFonts w:cs="Calibri"/>
                <w:color w:val="FFFFFF" w:themeColor="background1"/>
                <w:sz w:val="20"/>
                <w:szCs w:val="20"/>
                <w:lang w:eastAsia="en-US"/>
              </w:rPr>
              <w:t>Zasićenje kiseonika, O</w:t>
            </w:r>
            <w:r w:rsidRPr="00821043">
              <w:rPr>
                <w:rFonts w:cs="Calibri"/>
                <w:color w:val="FFFFFF" w:themeColor="background1"/>
                <w:sz w:val="20"/>
                <w:szCs w:val="20"/>
                <w:vertAlign w:val="subscript"/>
                <w:lang w:eastAsia="en-US"/>
              </w:rPr>
              <w:t>2</w:t>
            </w:r>
            <w:r w:rsidRPr="00821043">
              <w:rPr>
                <w:rFonts w:cs="Calibri"/>
                <w:color w:val="FFFFFF" w:themeColor="background1"/>
                <w:sz w:val="20"/>
                <w:szCs w:val="20"/>
                <w:lang w:eastAsia="en-US"/>
              </w:rPr>
              <w:t xml:space="preserve"> (%)</w:t>
            </w:r>
          </w:p>
          <w:p w14:paraId="01642178" w14:textId="77777777" w:rsidR="0046315C" w:rsidRPr="00821043" w:rsidRDefault="0046315C" w:rsidP="0046315C">
            <w:pPr>
              <w:autoSpaceDE w:val="0"/>
              <w:autoSpaceDN w:val="0"/>
              <w:adjustRightInd w:val="0"/>
              <w:spacing w:before="0" w:after="0" w:line="240" w:lineRule="auto"/>
              <w:jc w:val="center"/>
              <w:rPr>
                <w:rFonts w:cs="Calibri"/>
                <w:color w:val="000000"/>
                <w:sz w:val="20"/>
                <w:szCs w:val="20"/>
                <w:lang w:eastAsia="en-US"/>
              </w:rPr>
            </w:pPr>
          </w:p>
        </w:tc>
      </w:tr>
      <w:tr w:rsidR="0046315C" w:rsidRPr="0046315C" w14:paraId="748A9589" w14:textId="77777777" w:rsidTr="00821043">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066" w:type="dxa"/>
            <w:hideMark/>
          </w:tcPr>
          <w:p w14:paraId="261BA0DC" w14:textId="77777777" w:rsidR="0046315C" w:rsidRPr="0046315C" w:rsidRDefault="0046315C" w:rsidP="0046315C">
            <w:pPr>
              <w:autoSpaceDE w:val="0"/>
              <w:autoSpaceDN w:val="0"/>
              <w:adjustRightInd w:val="0"/>
              <w:spacing w:before="0" w:after="0" w:line="240" w:lineRule="auto"/>
              <w:jc w:val="left"/>
              <w:rPr>
                <w:rFonts w:cs="Calibri"/>
                <w:color w:val="000000"/>
                <w:sz w:val="20"/>
                <w:szCs w:val="20"/>
                <w:lang w:eastAsia="en-US"/>
              </w:rPr>
            </w:pPr>
            <w:r w:rsidRPr="0046315C">
              <w:rPr>
                <w:rFonts w:cs="Calibri"/>
                <w:color w:val="000000"/>
                <w:sz w:val="20"/>
                <w:szCs w:val="20"/>
                <w:lang w:eastAsia="en-US"/>
              </w:rPr>
              <w:t>R/VD*</w:t>
            </w:r>
          </w:p>
        </w:tc>
        <w:tc>
          <w:tcPr>
            <w:tcW w:w="2626" w:type="dxa"/>
            <w:hideMark/>
          </w:tcPr>
          <w:p w14:paraId="0CF6EB2C" w14:textId="77777777" w:rsidR="0046315C" w:rsidRPr="0046315C" w:rsidRDefault="0046315C" w:rsidP="0046315C">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P: 90 - 110% </w:t>
            </w:r>
          </w:p>
          <w:p w14:paraId="77A8A2E4" w14:textId="77777777" w:rsidR="0046315C" w:rsidRPr="0046315C" w:rsidRDefault="0046315C" w:rsidP="0046315C">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D: &gt; 80% </w:t>
            </w:r>
          </w:p>
        </w:tc>
        <w:tc>
          <w:tcPr>
            <w:tcW w:w="2800" w:type="dxa"/>
            <w:hideMark/>
          </w:tcPr>
          <w:p w14:paraId="1B7DEF9A" w14:textId="77777777" w:rsidR="0046315C" w:rsidRPr="0046315C" w:rsidRDefault="0046315C" w:rsidP="0046315C">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P: 90 - 110% </w:t>
            </w:r>
          </w:p>
          <w:p w14:paraId="495DBAA4" w14:textId="77777777" w:rsidR="0046315C" w:rsidRPr="0046315C" w:rsidRDefault="0046315C" w:rsidP="0046315C">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D: &gt; 80% </w:t>
            </w:r>
          </w:p>
        </w:tc>
        <w:tc>
          <w:tcPr>
            <w:tcW w:w="2847" w:type="dxa"/>
            <w:hideMark/>
          </w:tcPr>
          <w:p w14:paraId="2BCDFB4C" w14:textId="77777777" w:rsidR="0046315C" w:rsidRPr="0046315C" w:rsidRDefault="0046315C" w:rsidP="0046315C">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P: 90 - 110% </w:t>
            </w:r>
          </w:p>
          <w:p w14:paraId="182E64A9" w14:textId="77777777" w:rsidR="0046315C" w:rsidRPr="0046315C" w:rsidRDefault="0046315C" w:rsidP="0046315C">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D: &gt; 80% - Lokacije sa dubinom do 60m </w:t>
            </w:r>
          </w:p>
          <w:p w14:paraId="46D856E6" w14:textId="77777777" w:rsidR="0046315C" w:rsidRPr="0046315C" w:rsidRDefault="0046315C" w:rsidP="0046315C">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D: &gt; 70% - Lokacije s većom dubinom pridnenog sloja od 60m </w:t>
            </w:r>
          </w:p>
        </w:tc>
      </w:tr>
      <w:tr w:rsidR="0046315C" w:rsidRPr="0046315C" w14:paraId="050AC65F" w14:textId="77777777" w:rsidTr="00821043">
        <w:trPr>
          <w:trHeight w:val="495"/>
        </w:trPr>
        <w:tc>
          <w:tcPr>
            <w:cnfStyle w:val="001000000000" w:firstRow="0" w:lastRow="0" w:firstColumn="1" w:lastColumn="0" w:oddVBand="0" w:evenVBand="0" w:oddHBand="0" w:evenHBand="0" w:firstRowFirstColumn="0" w:firstRowLastColumn="0" w:lastRowFirstColumn="0" w:lastRowLastColumn="0"/>
            <w:tcW w:w="1066" w:type="dxa"/>
            <w:hideMark/>
          </w:tcPr>
          <w:p w14:paraId="03979CC3" w14:textId="77777777" w:rsidR="0046315C" w:rsidRPr="0046315C" w:rsidRDefault="0046315C" w:rsidP="0046315C">
            <w:pPr>
              <w:autoSpaceDE w:val="0"/>
              <w:autoSpaceDN w:val="0"/>
              <w:adjustRightInd w:val="0"/>
              <w:spacing w:before="0" w:after="0" w:line="240" w:lineRule="auto"/>
              <w:jc w:val="left"/>
              <w:rPr>
                <w:rFonts w:cs="Calibri"/>
                <w:color w:val="000000"/>
                <w:sz w:val="20"/>
                <w:szCs w:val="20"/>
                <w:lang w:eastAsia="en-US"/>
              </w:rPr>
            </w:pPr>
            <w:r w:rsidRPr="0046315C">
              <w:rPr>
                <w:rFonts w:cs="Calibri"/>
                <w:color w:val="000000"/>
                <w:sz w:val="20"/>
                <w:szCs w:val="20"/>
                <w:lang w:eastAsia="en-US"/>
              </w:rPr>
              <w:t xml:space="preserve">D </w:t>
            </w:r>
          </w:p>
        </w:tc>
        <w:tc>
          <w:tcPr>
            <w:tcW w:w="2626" w:type="dxa"/>
            <w:hideMark/>
          </w:tcPr>
          <w:p w14:paraId="6A659F35" w14:textId="77777777" w:rsidR="0046315C" w:rsidRPr="0046315C" w:rsidRDefault="0046315C" w:rsidP="0046315C">
            <w:pPr>
              <w:autoSpaceDE w:val="0"/>
              <w:autoSpaceDN w:val="0"/>
              <w:adjustRightInd w:val="0"/>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P: 75 - 150% </w:t>
            </w:r>
          </w:p>
          <w:p w14:paraId="5799A133" w14:textId="77777777" w:rsidR="0046315C" w:rsidRPr="0046315C" w:rsidRDefault="0046315C" w:rsidP="0046315C">
            <w:pPr>
              <w:autoSpaceDE w:val="0"/>
              <w:autoSpaceDN w:val="0"/>
              <w:adjustRightInd w:val="0"/>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D: &gt; 40% </w:t>
            </w:r>
          </w:p>
        </w:tc>
        <w:tc>
          <w:tcPr>
            <w:tcW w:w="2800" w:type="dxa"/>
            <w:hideMark/>
          </w:tcPr>
          <w:p w14:paraId="3BC9FF6A" w14:textId="77777777" w:rsidR="0046315C" w:rsidRPr="0046315C" w:rsidRDefault="0046315C" w:rsidP="0046315C">
            <w:pPr>
              <w:autoSpaceDE w:val="0"/>
              <w:autoSpaceDN w:val="0"/>
              <w:adjustRightInd w:val="0"/>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P: 75 - 150% </w:t>
            </w:r>
          </w:p>
          <w:p w14:paraId="4F584FD6" w14:textId="77777777" w:rsidR="0046315C" w:rsidRPr="0046315C" w:rsidRDefault="0046315C" w:rsidP="0046315C">
            <w:pPr>
              <w:autoSpaceDE w:val="0"/>
              <w:autoSpaceDN w:val="0"/>
              <w:adjustRightInd w:val="0"/>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D: &gt; 40% </w:t>
            </w:r>
          </w:p>
        </w:tc>
        <w:tc>
          <w:tcPr>
            <w:tcW w:w="2847" w:type="dxa"/>
            <w:hideMark/>
          </w:tcPr>
          <w:p w14:paraId="09FBA5C7" w14:textId="77777777" w:rsidR="0046315C" w:rsidRPr="0046315C" w:rsidRDefault="0046315C" w:rsidP="0046315C">
            <w:pPr>
              <w:autoSpaceDE w:val="0"/>
              <w:autoSpaceDN w:val="0"/>
              <w:adjustRightInd w:val="0"/>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P: 75 - 150% </w:t>
            </w:r>
          </w:p>
          <w:p w14:paraId="16137F63" w14:textId="77777777" w:rsidR="0046315C" w:rsidRPr="0046315C" w:rsidRDefault="0046315C" w:rsidP="0046315C">
            <w:pPr>
              <w:autoSpaceDE w:val="0"/>
              <w:autoSpaceDN w:val="0"/>
              <w:adjustRightInd w:val="0"/>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D: &gt; 40% </w:t>
            </w:r>
          </w:p>
        </w:tc>
      </w:tr>
      <w:tr w:rsidR="0046315C" w:rsidRPr="0046315C" w14:paraId="2B18258B" w14:textId="77777777" w:rsidTr="00821043">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066" w:type="dxa"/>
            <w:hideMark/>
          </w:tcPr>
          <w:p w14:paraId="0968CFFB" w14:textId="77777777" w:rsidR="0046315C" w:rsidRPr="0046315C" w:rsidRDefault="0046315C" w:rsidP="0046315C">
            <w:pPr>
              <w:autoSpaceDE w:val="0"/>
              <w:autoSpaceDN w:val="0"/>
              <w:adjustRightInd w:val="0"/>
              <w:spacing w:before="0" w:after="0" w:line="240" w:lineRule="auto"/>
              <w:jc w:val="left"/>
              <w:rPr>
                <w:rFonts w:cs="Calibri"/>
                <w:color w:val="000000"/>
                <w:sz w:val="20"/>
                <w:szCs w:val="20"/>
                <w:lang w:eastAsia="en-US"/>
              </w:rPr>
            </w:pPr>
            <w:r w:rsidRPr="0046315C">
              <w:rPr>
                <w:rFonts w:cs="Calibri"/>
                <w:color w:val="000000"/>
                <w:sz w:val="20"/>
                <w:szCs w:val="20"/>
                <w:lang w:eastAsia="en-US"/>
              </w:rPr>
              <w:t xml:space="preserve">U/L/VL </w:t>
            </w:r>
          </w:p>
        </w:tc>
        <w:tc>
          <w:tcPr>
            <w:tcW w:w="2626" w:type="dxa"/>
            <w:hideMark/>
          </w:tcPr>
          <w:p w14:paraId="14FF7CC5" w14:textId="77777777" w:rsidR="0046315C" w:rsidRPr="0046315C" w:rsidRDefault="0046315C" w:rsidP="0046315C">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P: &gt; 150% </w:t>
            </w:r>
          </w:p>
          <w:p w14:paraId="286247F7" w14:textId="77777777" w:rsidR="0046315C" w:rsidRPr="0046315C" w:rsidRDefault="0046315C" w:rsidP="0046315C">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D: &lt; 40% </w:t>
            </w:r>
          </w:p>
        </w:tc>
        <w:tc>
          <w:tcPr>
            <w:tcW w:w="2800" w:type="dxa"/>
            <w:hideMark/>
          </w:tcPr>
          <w:p w14:paraId="5D6FA39F" w14:textId="77777777" w:rsidR="0046315C" w:rsidRPr="0046315C" w:rsidRDefault="0046315C" w:rsidP="0046315C">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P: &gt; 150% </w:t>
            </w:r>
          </w:p>
          <w:p w14:paraId="1EE50340" w14:textId="77777777" w:rsidR="0046315C" w:rsidRPr="0046315C" w:rsidRDefault="0046315C" w:rsidP="0046315C">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D: &lt; 40% </w:t>
            </w:r>
          </w:p>
        </w:tc>
        <w:tc>
          <w:tcPr>
            <w:tcW w:w="2847" w:type="dxa"/>
            <w:hideMark/>
          </w:tcPr>
          <w:p w14:paraId="52BA64B9" w14:textId="77777777" w:rsidR="0046315C" w:rsidRPr="0046315C" w:rsidRDefault="0046315C" w:rsidP="0046315C">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P: &gt; 150% </w:t>
            </w:r>
          </w:p>
          <w:p w14:paraId="53B6E911" w14:textId="77777777" w:rsidR="0046315C" w:rsidRPr="0046315C" w:rsidRDefault="0046315C" w:rsidP="0046315C">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en-US"/>
              </w:rPr>
            </w:pPr>
            <w:r w:rsidRPr="0046315C">
              <w:rPr>
                <w:rFonts w:cs="Calibri"/>
                <w:color w:val="000000"/>
                <w:sz w:val="20"/>
                <w:szCs w:val="20"/>
                <w:lang w:eastAsia="en-US"/>
              </w:rPr>
              <w:t xml:space="preserve">D: &lt; 40% </w:t>
            </w:r>
          </w:p>
        </w:tc>
      </w:tr>
    </w:tbl>
    <w:p w14:paraId="5864FC58" w14:textId="77777777" w:rsidR="0046315C" w:rsidRPr="0046315C" w:rsidRDefault="0046315C" w:rsidP="0046315C">
      <w:pPr>
        <w:autoSpaceDE w:val="0"/>
        <w:autoSpaceDN w:val="0"/>
        <w:adjustRightInd w:val="0"/>
        <w:spacing w:before="0" w:after="0"/>
        <w:rPr>
          <w:rFonts w:eastAsia="Calibri" w:cs="Arial"/>
          <w:bCs/>
          <w:sz w:val="20"/>
          <w:szCs w:val="20"/>
          <w:lang w:eastAsia="en-US"/>
        </w:rPr>
      </w:pPr>
      <w:r w:rsidRPr="0046315C">
        <w:rPr>
          <w:rFonts w:eastAsia="Calibri" w:cs="Arial"/>
          <w:bCs/>
          <w:sz w:val="20"/>
          <w:szCs w:val="20"/>
          <w:lang w:eastAsia="en-US"/>
        </w:rPr>
        <w:t>*R/VD – Referentno/Vrlo dobro; D – Dobro; U/L/VL – Umjereno/Loše/Vrlo loše</w:t>
      </w:r>
    </w:p>
    <w:p w14:paraId="3531944F" w14:textId="77777777" w:rsidR="0046315C" w:rsidRPr="0046315C" w:rsidRDefault="0046315C" w:rsidP="0046315C">
      <w:pPr>
        <w:autoSpaceDE w:val="0"/>
        <w:autoSpaceDN w:val="0"/>
        <w:adjustRightInd w:val="0"/>
        <w:spacing w:before="0" w:after="0"/>
        <w:rPr>
          <w:rFonts w:eastAsia="Calibri" w:cs="Calibri"/>
          <w:color w:val="000000"/>
          <w:szCs w:val="22"/>
          <w:lang w:eastAsia="en-US"/>
        </w:rPr>
      </w:pPr>
    </w:p>
    <w:p w14:paraId="4A137A75" w14:textId="77777777" w:rsidR="0046315C" w:rsidRPr="0046315C" w:rsidRDefault="0046315C" w:rsidP="0046315C">
      <w:pPr>
        <w:autoSpaceDE w:val="0"/>
        <w:autoSpaceDN w:val="0"/>
        <w:adjustRightInd w:val="0"/>
        <w:spacing w:before="0" w:after="240"/>
        <w:rPr>
          <w:rFonts w:eastAsia="Calibri" w:cs="Calibri"/>
          <w:color w:val="000000"/>
          <w:szCs w:val="22"/>
          <w:lang w:eastAsia="en-US"/>
        </w:rPr>
      </w:pPr>
      <w:r w:rsidRPr="0046315C">
        <w:rPr>
          <w:rFonts w:eastAsia="Calibri" w:cs="Calibri"/>
          <w:color w:val="000000"/>
          <w:szCs w:val="22"/>
          <w:lang w:eastAsia="en-US"/>
        </w:rPr>
        <w:t>Prema OSPAR-u (OSPAR Commission, 327/2008) vrijednosti koncentracije kiseonika 3-6 mg L</w:t>
      </w:r>
      <w:r w:rsidRPr="0046315C">
        <w:rPr>
          <w:rFonts w:eastAsia="Calibri" w:cs="Calibri"/>
          <w:color w:val="000000"/>
          <w:szCs w:val="22"/>
          <w:vertAlign w:val="superscript"/>
          <w:lang w:eastAsia="en-US"/>
        </w:rPr>
        <w:t>-1</w:t>
      </w:r>
      <w:r w:rsidRPr="0046315C">
        <w:rPr>
          <w:rFonts w:eastAsia="Calibri" w:cs="Calibri"/>
          <w:color w:val="000000"/>
          <w:szCs w:val="22"/>
          <w:lang w:eastAsia="en-US"/>
        </w:rPr>
        <w:t xml:space="preserve"> se smatraju granicom problematičnog – neproblematičnog područja, dok se koncentracije &lt;2mg L</w:t>
      </w:r>
      <w:r w:rsidRPr="0046315C">
        <w:rPr>
          <w:rFonts w:eastAsia="Calibri" w:cs="Calibri"/>
          <w:color w:val="000000"/>
          <w:szCs w:val="22"/>
          <w:vertAlign w:val="superscript"/>
          <w:lang w:eastAsia="en-US"/>
        </w:rPr>
        <w:t>-1</w:t>
      </w:r>
      <w:r w:rsidRPr="0046315C">
        <w:rPr>
          <w:rFonts w:eastAsia="Calibri" w:cs="Calibri"/>
          <w:color w:val="000000"/>
          <w:szCs w:val="22"/>
          <w:lang w:eastAsia="en-US"/>
        </w:rPr>
        <w:t xml:space="preserve"> smatraju anoksičnim uslovima tj. toksičnim za bentosna staništa, uključujući povezanu biotu i mobilne vrste. </w:t>
      </w:r>
    </w:p>
    <w:p w14:paraId="684DB996" w14:textId="77777777" w:rsidR="0046315C" w:rsidRPr="0046315C" w:rsidRDefault="0046315C" w:rsidP="0046315C">
      <w:pPr>
        <w:spacing w:before="0" w:after="0"/>
        <w:rPr>
          <w:rFonts w:eastAsia="Calibri" w:cs="Calibri"/>
          <w:szCs w:val="22"/>
          <w:lang w:eastAsia="en-US"/>
        </w:rPr>
      </w:pPr>
      <w:r w:rsidRPr="0046315C">
        <w:rPr>
          <w:rFonts w:eastAsia="Calibri"/>
          <w:szCs w:val="22"/>
          <w:lang w:eastAsia="en-US"/>
        </w:rPr>
        <w:t xml:space="preserve">Na Slici 2.17 prikazani su medijani i rasponi koncentracije kiseonika u pridnenim slojevima vodenog stuba </w:t>
      </w:r>
      <w:r w:rsidRPr="0046315C">
        <w:rPr>
          <w:rFonts w:eastAsia="Calibri" w:cs="Calibri"/>
          <w:szCs w:val="22"/>
          <w:lang w:eastAsia="en-US"/>
        </w:rPr>
        <w:t xml:space="preserve">na ispitivanim lokacijama Bokokotorskog zaliva i obalnog područja otvorenog mora u </w:t>
      </w:r>
      <w:r w:rsidRPr="0046315C">
        <w:rPr>
          <w:rFonts w:eastAsia="Calibri"/>
          <w:szCs w:val="22"/>
          <w:lang w:eastAsia="en-US"/>
        </w:rPr>
        <w:t>istraživanom periodu od 2009. do 2019. godine.</w:t>
      </w:r>
      <w:r w:rsidRPr="0046315C">
        <w:rPr>
          <w:rFonts w:eastAsia="Calibri" w:cs="Calibri"/>
          <w:szCs w:val="22"/>
          <w:lang w:eastAsia="en-US"/>
        </w:rPr>
        <w:t xml:space="preserve"> </w:t>
      </w:r>
      <w:r w:rsidRPr="0046315C">
        <w:rPr>
          <w:rFonts w:eastAsia="Calibri"/>
          <w:szCs w:val="22"/>
          <w:lang w:eastAsia="en-US"/>
        </w:rPr>
        <w:t>Sve zabilježene vrijednosti bile su značajno više od 3 mg L</w:t>
      </w:r>
      <w:r w:rsidRPr="0046315C">
        <w:rPr>
          <w:rFonts w:eastAsia="Calibri"/>
          <w:szCs w:val="22"/>
          <w:vertAlign w:val="superscript"/>
          <w:lang w:eastAsia="en-US"/>
        </w:rPr>
        <w:t>-1</w:t>
      </w:r>
      <w:r w:rsidRPr="0046315C">
        <w:rPr>
          <w:rFonts w:eastAsia="Calibri"/>
          <w:szCs w:val="22"/>
          <w:lang w:eastAsia="en-US"/>
        </w:rPr>
        <w:t>. Samo jednokratno su na lokacijama unutar Bokokotorskog zaliva izmjerene niske vrijednosti koje su bile neznatno iznad 3 mg L</w:t>
      </w:r>
      <w:r w:rsidRPr="0046315C">
        <w:rPr>
          <w:rFonts w:eastAsia="Calibri"/>
          <w:szCs w:val="22"/>
          <w:vertAlign w:val="superscript"/>
          <w:lang w:eastAsia="en-US"/>
        </w:rPr>
        <w:t>-1</w:t>
      </w:r>
      <w:r w:rsidRPr="0046315C">
        <w:rPr>
          <w:rFonts w:eastAsia="Calibri"/>
          <w:szCs w:val="22"/>
          <w:lang w:eastAsia="en-US"/>
        </w:rPr>
        <w:t>. Vrijednost koncentracije kiseonika od 3 mg L</w:t>
      </w:r>
      <w:r w:rsidRPr="0046315C">
        <w:rPr>
          <w:rFonts w:eastAsia="Calibri"/>
          <w:szCs w:val="22"/>
          <w:vertAlign w:val="superscript"/>
          <w:lang w:eastAsia="en-US"/>
        </w:rPr>
        <w:t>-1</w:t>
      </w:r>
      <w:r w:rsidRPr="0046315C">
        <w:rPr>
          <w:rFonts w:eastAsia="Calibri"/>
          <w:szCs w:val="22"/>
          <w:lang w:eastAsia="en-US"/>
        </w:rPr>
        <w:t xml:space="preserve"> predstavlja kritičnu vrijednost koja bi mogla da izazove posljedice na život organizama u morskom ekosistemu, ali kako su takve vrijednosti u navedenom periodu istraživanja </w:t>
      </w:r>
      <w:r w:rsidRPr="0046315C">
        <w:rPr>
          <w:rFonts w:eastAsia="Calibri" w:cs="Arial"/>
          <w:szCs w:val="22"/>
          <w:lang w:eastAsia="en-US"/>
        </w:rPr>
        <w:t xml:space="preserve">izmjerene jednom to nisu </w:t>
      </w:r>
      <w:r w:rsidRPr="0046315C">
        <w:rPr>
          <w:rFonts w:eastAsia="Calibri"/>
          <w:szCs w:val="22"/>
          <w:lang w:eastAsia="en-US"/>
        </w:rPr>
        <w:t xml:space="preserve">mogle imati posljedica po živi svijet na toj lokaciji. </w:t>
      </w:r>
    </w:p>
    <w:p w14:paraId="08D59C97" w14:textId="77777777" w:rsidR="0046315C" w:rsidRPr="0046315C" w:rsidRDefault="0046315C" w:rsidP="0046315C">
      <w:pPr>
        <w:spacing w:before="0" w:after="0"/>
        <w:rPr>
          <w:rFonts w:eastAsia="Calibri"/>
          <w:szCs w:val="22"/>
          <w:lang w:eastAsia="en-US"/>
        </w:rPr>
      </w:pPr>
    </w:p>
    <w:p w14:paraId="3FFC6F83" w14:textId="77777777" w:rsidR="0046315C" w:rsidRPr="0046315C" w:rsidRDefault="0046315C" w:rsidP="0046315C">
      <w:pPr>
        <w:spacing w:before="0" w:after="200"/>
        <w:rPr>
          <w:rFonts w:eastAsia="Calibri"/>
          <w:szCs w:val="22"/>
          <w:lang w:eastAsia="en-US"/>
        </w:rPr>
      </w:pPr>
      <w:r w:rsidRPr="0046315C">
        <w:rPr>
          <w:rFonts w:eastAsia="Calibri"/>
          <w:noProof/>
          <w:szCs w:val="22"/>
          <w:lang w:eastAsia="en-US"/>
        </w:rPr>
        <mc:AlternateContent>
          <mc:Choice Requires="wpg">
            <w:drawing>
              <wp:anchor distT="0" distB="0" distL="114300" distR="114300" simplePos="0" relativeHeight="251799552" behindDoc="0" locked="0" layoutInCell="1" allowOverlap="1" wp14:anchorId="75E218F8" wp14:editId="7DE4D7A7">
                <wp:simplePos x="0" y="0"/>
                <wp:positionH relativeFrom="column">
                  <wp:posOffset>0</wp:posOffset>
                </wp:positionH>
                <wp:positionV relativeFrom="paragraph">
                  <wp:posOffset>20320</wp:posOffset>
                </wp:positionV>
                <wp:extent cx="6035040" cy="2554605"/>
                <wp:effectExtent l="0" t="0" r="3810" b="0"/>
                <wp:wrapNone/>
                <wp:docPr id="404" name="Group 9">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5040" cy="2554605"/>
                          <a:chOff x="0" y="0"/>
                          <a:chExt cx="6821401" cy="2790825"/>
                        </a:xfrm>
                      </wpg:grpSpPr>
                      <pic:pic xmlns:pic="http://schemas.openxmlformats.org/drawingml/2006/picture">
                        <pic:nvPicPr>
                          <pic:cNvPr id="405" name="Picture 2" descr="E:\GES\graf\O2 mg zaliv.jpg">
                            <a:extLst/>
                          </pic:cNvPr>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17925" cy="2790825"/>
                          </a:xfrm>
                          <a:prstGeom prst="rect">
                            <a:avLst/>
                          </a:prstGeom>
                          <a:noFill/>
                          <a:ln w="9525">
                            <a:noFill/>
                            <a:miter lim="800000"/>
                            <a:headEnd/>
                            <a:tailEnd/>
                          </a:ln>
                        </pic:spPr>
                      </pic:pic>
                      <pic:pic xmlns:pic="http://schemas.openxmlformats.org/drawingml/2006/picture">
                        <pic:nvPicPr>
                          <pic:cNvPr id="406" name="Picture 3">
                            <a:extLst/>
                          </pic:cNvPr>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3140306" y="14288"/>
                            <a:ext cx="3681095" cy="2762250"/>
                          </a:xfrm>
                          <a:prstGeom prst="rect">
                            <a:avLst/>
                          </a:prstGeom>
                          <a:noFill/>
                          <a:ln w="9525">
                            <a:noFill/>
                            <a:miter lim="800000"/>
                            <a:headEnd/>
                            <a:tailEnd/>
                          </a:ln>
                        </pic:spPr>
                      </pic:pic>
                      <wps:wsp>
                        <wps:cNvPr id="407" name="Straight Connector 4">
                          <a:extLst/>
                        </wps:cNvPr>
                        <wps:cNvCnPr/>
                        <wps:spPr>
                          <a:xfrm>
                            <a:off x="362672" y="2039649"/>
                            <a:ext cx="2777634" cy="0"/>
                          </a:xfrm>
                          <a:prstGeom prst="line">
                            <a:avLst/>
                          </a:prstGeom>
                          <a:noFill/>
                          <a:ln w="6350" cap="flat" cmpd="sng" algn="ctr">
                            <a:solidFill>
                              <a:srgbClr val="FF0000"/>
                            </a:solidFill>
                            <a:prstDash val="solid"/>
                            <a:miter lim="800000"/>
                          </a:ln>
                          <a:effectLst/>
                        </wps:spPr>
                        <wps:bodyPr/>
                      </wps:wsp>
                      <wps:wsp>
                        <wps:cNvPr id="408" name="Straight Connector 5">
                          <a:extLst/>
                        </wps:cNvPr>
                        <wps:cNvCnPr/>
                        <wps:spPr>
                          <a:xfrm>
                            <a:off x="3475327" y="2039649"/>
                            <a:ext cx="2752436" cy="0"/>
                          </a:xfrm>
                          <a:prstGeom prst="line">
                            <a:avLst/>
                          </a:prstGeom>
                          <a:noFill/>
                          <a:ln w="6350" cap="flat" cmpd="sng" algn="ctr">
                            <a:solidFill>
                              <a:srgbClr val="FF0000"/>
                            </a:solidFill>
                            <a:prstDash val="solid"/>
                            <a:miter lim="800000"/>
                          </a:ln>
                          <a:effectLst/>
                        </wps:spPr>
                        <wps:bodyPr/>
                      </wps:wsp>
                      <wps:wsp>
                        <wps:cNvPr id="409" name="TextBox 7">
                          <a:extLst/>
                        </wps:cNvPr>
                        <wps:cNvSpPr txBox="1"/>
                        <wps:spPr>
                          <a:xfrm>
                            <a:off x="333638" y="261649"/>
                            <a:ext cx="593725" cy="340995"/>
                          </a:xfrm>
                          <a:prstGeom prst="rect">
                            <a:avLst/>
                          </a:prstGeom>
                          <a:noFill/>
                        </wps:spPr>
                        <wps:txbx>
                          <w:txbxContent>
                            <w:p w14:paraId="49172A3C" w14:textId="77777777" w:rsidR="00515997" w:rsidRDefault="00515997" w:rsidP="0046315C">
                              <w:pPr>
                                <w:pStyle w:val="NormalWeb"/>
                                <w:rPr>
                                  <w:sz w:val="24"/>
                                </w:rPr>
                              </w:pPr>
                              <w:r>
                                <w:rPr>
                                  <w:bCs w:val="0"/>
                                  <w:color w:val="000000" w:themeColor="text1"/>
                                  <w:kern w:val="24"/>
                                  <w:sz w:val="24"/>
                                </w:rPr>
                                <w:t>a)</w:t>
                              </w:r>
                            </w:p>
                          </w:txbxContent>
                        </wps:txbx>
                        <wps:bodyPr wrap="square" rtlCol="0">
                          <a:noAutofit/>
                        </wps:bodyPr>
                      </wps:wsp>
                      <wps:wsp>
                        <wps:cNvPr id="410" name="TextBox 8">
                          <a:extLst/>
                        </wps:cNvPr>
                        <wps:cNvSpPr txBox="1"/>
                        <wps:spPr>
                          <a:xfrm>
                            <a:off x="3475209" y="261649"/>
                            <a:ext cx="593725" cy="340995"/>
                          </a:xfrm>
                          <a:prstGeom prst="rect">
                            <a:avLst/>
                          </a:prstGeom>
                          <a:noFill/>
                        </wps:spPr>
                        <wps:txbx>
                          <w:txbxContent>
                            <w:p w14:paraId="05BFB667" w14:textId="77777777" w:rsidR="00515997" w:rsidRDefault="00515997" w:rsidP="0046315C">
                              <w:pPr>
                                <w:pStyle w:val="NormalWeb"/>
                                <w:rPr>
                                  <w:sz w:val="24"/>
                                </w:rPr>
                              </w:pPr>
                              <w:r>
                                <w:rPr>
                                  <w:bCs w:val="0"/>
                                  <w:color w:val="000000" w:themeColor="text1"/>
                                  <w:kern w:val="24"/>
                                  <w:sz w:val="24"/>
                                </w:rPr>
                                <w:t>b)</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5E218F8" id="Group 9" o:spid="_x0000_s1050" style="position:absolute;left:0;text-align:left;margin-left:0;margin-top:1.6pt;width:475.2pt;height:201.15pt;z-index:251799552;mso-width-relative:margin;mso-height-relative:margin" coordsize="68214,2790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">
                <v:shape id="Picture 2" o:spid="_x0000_s1051" type="#_x0000_t75" style="position:absolute;width:37179;height:279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CBVLFAAAA3AAAAA8AAABkcnMvZG93bnJldi54bWxEj0FrAjEUhO9C/0N4BW+aVaotW6NUoeBB&#10;qHV76PGxeU3Wbl7WTdS1v94IQo/DzHzDzBadq8WJ2lB5VjAaZiCIS68rNgq+ivfBC4gQkTXWnknB&#10;hQIs5g+9Geban/mTTrtoRIJwyFGBjbHJpQylJYdh6Bvi5P341mFMsjVSt3hOcFfLcZZNpcOK04LF&#10;hlaWyt/d0Sl4nvx9GNzbb5we98WBRmZpNlul+o/d2yuISF38D9/ba63gKZvA7Uw6AnJ+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ggVSxQAAANwAAAAPAAAAAAAAAAAAAAAA&#10;AJ8CAABkcnMvZG93bnJldi54bWxQSwUGAAAAAAQABAD3AAAAkQMAAAAA&#10;">
                  <v:imagedata r:id="rId59" o:title="O2 mg zaliv"/>
                </v:shape>
                <v:shape id="Picture 3" o:spid="_x0000_s1052" type="#_x0000_t75" style="position:absolute;left:31403;top:142;width:36811;height:276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gqNHEAAAA3AAAAA8AAABkcnMvZG93bnJldi54bWxEj1uLwjAUhN8X/A/hCL6tqSIi1VRE8QLC&#10;gq74fGxOL9ic1Cba+u83Cwv7OMzMN8xi2ZlKvKhxpWUFo2EEgji1uuRcweV7+zkD4TyyxsoyKXiT&#10;g2XS+1hgrG3LJ3qdfS4ChF2MCgrv61hKlxZk0A1tTRy8zDYGfZBNLnWDbYCbSo6jaCoNlhwWCqxp&#10;XVB6Pz+Ngt3q6L9uj9bsD5nc640cP3b6qtSg363mIDx1/j/81z5oBZNoCr9nwhGQy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EgqNHEAAAA3AAAAA8AAAAAAAAAAAAAAAAA&#10;nwIAAGRycy9kb3ducmV2LnhtbFBLBQYAAAAABAAEAPcAAACQAwAAAAA=&#10;">
                  <v:imagedata r:id="rId60" o:title=""/>
                </v:shape>
                <v:line id="Straight Connector 4" o:spid="_x0000_s1053" style="position:absolute;visibility:visible;mso-wrap-style:square" from="3626,20396" to="31403,20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jUksYAAADcAAAADwAAAGRycy9kb3ducmV2LnhtbESPzWrDMBCE74G+g9hCLiGRa0p+XCsh&#10;DRR66cGxH2BjbWxja2UsNXbz9FGh0OMwM98w6WEynbjR4BrLCl5WEQji0uqGKwVF/rHcgnAeWWNn&#10;mRT8kIPD/mmWYqLtyBndzr4SAcIuQQW1930ipStrMuhWticO3tUOBn2QQyX1gGOAm07GUbSWBhsO&#10;CzX2dKqpbM/fRkEs9de2zOwid5f7e7Mojq3fjUrNn6fjGwhPk/8P/7U/tYLXaAO/Z8IRkP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4I1JLGAAAA3AAAAA8AAAAAAAAA&#10;AAAAAAAAoQIAAGRycy9kb3ducmV2LnhtbFBLBQYAAAAABAAEAPkAAACUAwAAAAA=&#10;" strokecolor="red" strokeweight=".5pt">
                  <v:stroke joinstyle="miter"/>
                </v:line>
                <v:line id="Straight Connector 5" o:spid="_x0000_s1054" style="position:absolute;visibility:visible;mso-wrap-style:square" from="34753,20396" to="62277,20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dA4L4AAADcAAAADwAAAGRycy9kb3ducmV2LnhtbERPzQ7BQBC+S7zDZiQuwpaIUJYgkbg4&#10;UA8wuqNtdGeb7tLy9PYgcfzy/a82rSnFi2pXWFYwHkUgiFOrC84UXJPDcA7CeWSNpWVS8CYHm3W3&#10;s8JY24bP9Lr4TIQQdjEqyL2vYildmpNBN7IVceDutjboA6wzqWtsQrgp5SSKZtJgwaEhx4r2OaWP&#10;y9MomEh9mqdnO0jc7bMrBtftwy8apfq9drsE4an1f/HPfdQKplFYG86EIyDX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vl0DgvgAAANwAAAAPAAAAAAAAAAAAAAAAAKEC&#10;AABkcnMvZG93bnJldi54bWxQSwUGAAAAAAQABAD5AAAAjAMAAAAA&#10;" strokecolor="red" strokeweight=".5pt">
                  <v:stroke joinstyle="miter"/>
                </v:line>
                <v:shape id="TextBox 7" o:spid="_x0000_s1055" type="#_x0000_t202" style="position:absolute;left:3336;top:2616;width:5937;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QV+cQA&#10;AADcAAAADwAAAGRycy9kb3ducmV2LnhtbESPzWrDMBCE74W8g9hAbrWUkpbYiWxCS6CnluYPclus&#10;jW1irYylxu7bV4VCjsPMfMOsi9G24ka9bxxrmCcKBHHpTMOVhsN++7gE4QOywdYxafghD0U+eVhj&#10;ZtzAX3TbhUpECPsMNdQhdJmUvqzJok9cRxy9i+sthij7Spoehwi3rXxS6kVabDgu1NjRa03ldfdt&#10;NRw/LufTQn1Wb/a5G9yoJNtUaj2bjpsViEBjuIf/2+9Gw0Kl8HcmHg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EFfnEAAAA3AAAAA8AAAAAAAAAAAAAAAAAmAIAAGRycy9k&#10;b3ducmV2LnhtbFBLBQYAAAAABAAEAPUAAACJAwAAAAA=&#10;" filled="f" stroked="f">
                  <v:textbox>
                    <w:txbxContent>
                      <w:p w14:paraId="49172A3C" w14:textId="77777777" w:rsidR="00515997" w:rsidRDefault="00515997" w:rsidP="0046315C">
                        <w:pPr>
                          <w:pStyle w:val="NormalWeb"/>
                          <w:rPr>
                            <w:sz w:val="24"/>
                          </w:rPr>
                        </w:pPr>
                        <w:r>
                          <w:rPr>
                            <w:bCs w:val="0"/>
                            <w:color w:val="000000" w:themeColor="text1"/>
                            <w:kern w:val="24"/>
                            <w:sz w:val="24"/>
                          </w:rPr>
                          <w:t>a)</w:t>
                        </w:r>
                      </w:p>
                    </w:txbxContent>
                  </v:textbox>
                </v:shape>
                <v:shape id="TextBox 8" o:spid="_x0000_s1056" type="#_x0000_t202" style="position:absolute;left:34752;top:2616;width:5937;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cqucAA&#10;AADcAAAADwAAAGRycy9kb3ducmV2LnhtbERPTYvCMBC9C/6HMII3TRQVtxpFXIQ9KdbdBW9DM7bF&#10;ZlKarO3+e3MQPD7e93rb2Uo8qPGlYw2TsQJBnDlTcq7h+3IYLUH4gGywckwa/snDdtPvrTExruUz&#10;PdKQixjCPkENRQh1IqXPCrLox64mjtzNNRZDhE0uTYNtDLeVnCq1kBZLjg0F1rQvKLunf1bDz/F2&#10;/Z2pU/5p53XrOiXZfkith4NutwIRqAtv8cv9ZTTMJnF+PBOPgN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cqucAAAADcAAAADwAAAAAAAAAAAAAAAACYAgAAZHJzL2Rvd25y&#10;ZXYueG1sUEsFBgAAAAAEAAQA9QAAAIUDAAAAAA==&#10;" filled="f" stroked="f">
                  <v:textbox>
                    <w:txbxContent>
                      <w:p w14:paraId="05BFB667" w14:textId="77777777" w:rsidR="00515997" w:rsidRDefault="00515997" w:rsidP="0046315C">
                        <w:pPr>
                          <w:pStyle w:val="NormalWeb"/>
                          <w:rPr>
                            <w:sz w:val="24"/>
                          </w:rPr>
                        </w:pPr>
                        <w:r>
                          <w:rPr>
                            <w:bCs w:val="0"/>
                            <w:color w:val="000000" w:themeColor="text1"/>
                            <w:kern w:val="24"/>
                            <w:sz w:val="24"/>
                          </w:rPr>
                          <w:t>b)</w:t>
                        </w:r>
                      </w:p>
                    </w:txbxContent>
                  </v:textbox>
                </v:shape>
              </v:group>
            </w:pict>
          </mc:Fallback>
        </mc:AlternateContent>
      </w:r>
    </w:p>
    <w:p w14:paraId="524ED65F" w14:textId="77777777" w:rsidR="0046315C" w:rsidRPr="0046315C" w:rsidRDefault="0046315C" w:rsidP="0046315C">
      <w:pPr>
        <w:spacing w:before="0" w:after="200"/>
        <w:ind w:firstLine="720"/>
        <w:rPr>
          <w:rFonts w:eastAsia="Calibri"/>
          <w:szCs w:val="22"/>
          <w:lang w:eastAsia="en-US"/>
        </w:rPr>
      </w:pPr>
    </w:p>
    <w:p w14:paraId="3582D5ED" w14:textId="77777777" w:rsidR="0046315C" w:rsidRPr="0046315C" w:rsidRDefault="0046315C" w:rsidP="0046315C">
      <w:pPr>
        <w:spacing w:before="0" w:after="200"/>
        <w:ind w:firstLine="720"/>
        <w:rPr>
          <w:rFonts w:eastAsia="Calibri"/>
          <w:szCs w:val="22"/>
          <w:lang w:eastAsia="en-US"/>
        </w:rPr>
      </w:pPr>
    </w:p>
    <w:p w14:paraId="7755AFA6" w14:textId="77777777" w:rsidR="0046315C" w:rsidRPr="0046315C" w:rsidRDefault="0046315C" w:rsidP="0046315C">
      <w:pPr>
        <w:spacing w:before="0" w:after="200"/>
        <w:ind w:firstLine="720"/>
        <w:rPr>
          <w:rFonts w:eastAsia="Calibri"/>
          <w:szCs w:val="22"/>
          <w:lang w:eastAsia="en-US"/>
        </w:rPr>
      </w:pPr>
    </w:p>
    <w:p w14:paraId="2D40693E" w14:textId="77777777" w:rsidR="0046315C" w:rsidRPr="0046315C" w:rsidRDefault="0046315C" w:rsidP="0046315C">
      <w:pPr>
        <w:spacing w:before="0" w:after="200"/>
        <w:ind w:firstLine="720"/>
        <w:rPr>
          <w:rFonts w:eastAsia="Calibri"/>
          <w:szCs w:val="22"/>
          <w:lang w:eastAsia="en-US"/>
        </w:rPr>
      </w:pPr>
    </w:p>
    <w:p w14:paraId="1B1245C5" w14:textId="77777777" w:rsidR="0046315C" w:rsidRPr="0046315C" w:rsidRDefault="0046315C" w:rsidP="0046315C">
      <w:pPr>
        <w:spacing w:before="0" w:after="200"/>
        <w:ind w:firstLine="720"/>
        <w:rPr>
          <w:rFonts w:eastAsia="Calibri"/>
          <w:szCs w:val="22"/>
          <w:lang w:eastAsia="en-US"/>
        </w:rPr>
      </w:pPr>
    </w:p>
    <w:p w14:paraId="270B4CAB" w14:textId="77777777" w:rsidR="0046315C" w:rsidRPr="0046315C" w:rsidRDefault="0046315C" w:rsidP="0046315C">
      <w:pPr>
        <w:spacing w:before="0" w:after="200"/>
        <w:ind w:firstLine="720"/>
        <w:rPr>
          <w:rFonts w:eastAsia="Calibri"/>
          <w:szCs w:val="22"/>
          <w:lang w:eastAsia="en-US"/>
        </w:rPr>
      </w:pPr>
    </w:p>
    <w:p w14:paraId="7788F523" w14:textId="77777777" w:rsidR="0046315C" w:rsidRPr="0046315C" w:rsidRDefault="0046315C" w:rsidP="0046315C">
      <w:pPr>
        <w:spacing w:before="0" w:after="200"/>
        <w:ind w:firstLine="720"/>
        <w:rPr>
          <w:rFonts w:eastAsia="Calibri"/>
          <w:szCs w:val="22"/>
          <w:lang w:eastAsia="en-US"/>
        </w:rPr>
      </w:pPr>
    </w:p>
    <w:p w14:paraId="5C3148AF" w14:textId="7E47A8F6" w:rsidR="0046315C" w:rsidRPr="00A627A4" w:rsidRDefault="000413B6" w:rsidP="00A627A4">
      <w:pPr>
        <w:spacing w:before="0" w:after="200" w:line="240" w:lineRule="auto"/>
        <w:rPr>
          <w:rFonts w:eastAsia="Calibri" w:cs="Calibri"/>
          <w:szCs w:val="22"/>
          <w:lang w:eastAsia="en-US"/>
        </w:rPr>
      </w:pPr>
      <w:bookmarkStart w:id="140" w:name="_Hlk64649660"/>
      <w:r w:rsidRPr="0046315C">
        <w:rPr>
          <w:rFonts w:eastAsia="Calibri"/>
          <w:b/>
          <w:szCs w:val="22"/>
          <w:lang w:eastAsia="en-US"/>
        </w:rPr>
        <w:t>Slika 2.17.</w:t>
      </w:r>
      <w:r w:rsidRPr="0046315C">
        <w:rPr>
          <w:rFonts w:eastAsia="Calibri"/>
          <w:szCs w:val="22"/>
          <w:lang w:eastAsia="en-US"/>
        </w:rPr>
        <w:t xml:space="preserve"> </w:t>
      </w:r>
      <w:r w:rsidRPr="0046315C">
        <w:rPr>
          <w:rFonts w:eastAsia="Calibri" w:cs="Calibri"/>
          <w:b/>
          <w:szCs w:val="22"/>
          <w:lang w:eastAsia="en-US"/>
        </w:rPr>
        <w:t>Box-wisker plotovi koncentracije rastvorenog kiseonika u pridnenom sloju na istraživanim lokacijama u zalivu (a) i lokacijama obalnog područja otvorenog mora (b) za period 2009-2019. godine</w:t>
      </w:r>
      <w:r w:rsidRPr="0046315C">
        <w:rPr>
          <w:rFonts w:eastAsia="Calibri" w:cs="Calibri"/>
          <w:szCs w:val="22"/>
          <w:lang w:eastAsia="en-US"/>
        </w:rPr>
        <w:t xml:space="preserve"> (</w:t>
      </w:r>
      <w:r w:rsidRPr="0046315C">
        <w:rPr>
          <w:rFonts w:eastAsia="Calibri" w:cs="Calibri"/>
          <w:i/>
          <w:szCs w:val="22"/>
          <w:lang w:eastAsia="en-US"/>
        </w:rPr>
        <w:t>crvena linija predstavlja</w:t>
      </w:r>
      <w:r w:rsidRPr="0046315C">
        <w:rPr>
          <w:rFonts w:eastAsia="Calibri"/>
          <w:i/>
          <w:szCs w:val="22"/>
          <w:lang w:eastAsia="en-US"/>
        </w:rPr>
        <w:t xml:space="preserve"> graničnu koncentraciju između hipoksije i anoksije - 3 mg L</w:t>
      </w:r>
      <w:r w:rsidRPr="0046315C">
        <w:rPr>
          <w:rFonts w:eastAsia="Calibri"/>
          <w:i/>
          <w:szCs w:val="22"/>
          <w:vertAlign w:val="superscript"/>
          <w:lang w:eastAsia="en-US"/>
        </w:rPr>
        <w:t>-1</w:t>
      </w:r>
      <w:r w:rsidRPr="0046315C">
        <w:rPr>
          <w:rFonts w:eastAsia="Calibri"/>
          <w:i/>
          <w:szCs w:val="22"/>
          <w:lang w:eastAsia="en-US"/>
        </w:rPr>
        <w:t>, OSPAR, 2037/2008)</w:t>
      </w:r>
      <w:r w:rsidRPr="0046315C">
        <w:rPr>
          <w:rFonts w:eastAsia="Calibri" w:cs="Calibri"/>
          <w:szCs w:val="22"/>
          <w:lang w:eastAsia="en-US"/>
        </w:rPr>
        <w:t xml:space="preserve"> </w:t>
      </w:r>
    </w:p>
    <w:p w14:paraId="05FEBFFC" w14:textId="77777777" w:rsidR="000413B6" w:rsidRPr="0046315C" w:rsidRDefault="000413B6" w:rsidP="0046315C">
      <w:pPr>
        <w:autoSpaceDE w:val="0"/>
        <w:autoSpaceDN w:val="0"/>
        <w:adjustRightInd w:val="0"/>
        <w:spacing w:before="0" w:after="0"/>
        <w:rPr>
          <w:rFonts w:eastAsia="Calibri" w:cs="Calibri"/>
          <w:color w:val="000000"/>
          <w:szCs w:val="22"/>
          <w:lang w:eastAsia="en-US"/>
        </w:rPr>
      </w:pPr>
    </w:p>
    <w:p w14:paraId="69BE3CE9" w14:textId="77777777" w:rsidR="0046315C" w:rsidRPr="0046315C" w:rsidRDefault="0046315C" w:rsidP="0046315C">
      <w:pPr>
        <w:autoSpaceDE w:val="0"/>
        <w:autoSpaceDN w:val="0"/>
        <w:adjustRightInd w:val="0"/>
        <w:spacing w:before="0" w:after="0"/>
        <w:rPr>
          <w:rFonts w:eastAsia="Calibri" w:cs="Calibri"/>
          <w:color w:val="000000"/>
          <w:szCs w:val="22"/>
          <w:lang w:eastAsia="en-US"/>
        </w:rPr>
      </w:pPr>
      <w:r w:rsidRPr="0046315C">
        <w:rPr>
          <w:rFonts w:eastAsia="Calibri" w:cs="Calibri"/>
          <w:color w:val="000000"/>
          <w:szCs w:val="22"/>
          <w:lang w:eastAsia="en-US"/>
        </w:rPr>
        <w:t xml:space="preserve">Jednako su i vrijednosti zasićenja kiseonikom bile u skladu s graničnim vrijednostima za dobro stanje pridnenog sloja istraživanih lokacija s obzirom da su svi medijani bili iznad granica od 80%, a najniže pojedinačne vrijednosti nisu prelazile zasićenje od 60%. </w:t>
      </w:r>
    </w:p>
    <w:p w14:paraId="4233A098" w14:textId="77777777" w:rsidR="0046315C" w:rsidRPr="0046315C" w:rsidRDefault="0046315C" w:rsidP="0046315C">
      <w:pPr>
        <w:autoSpaceDE w:val="0"/>
        <w:autoSpaceDN w:val="0"/>
        <w:adjustRightInd w:val="0"/>
        <w:spacing w:before="0" w:after="0"/>
        <w:rPr>
          <w:rFonts w:eastAsia="Calibri" w:cs="Calibri"/>
          <w:color w:val="000000"/>
          <w:szCs w:val="22"/>
          <w:lang w:eastAsia="en-US"/>
        </w:rPr>
      </w:pPr>
    </w:p>
    <w:p w14:paraId="51A4BAEA" w14:textId="683F9BE9" w:rsidR="0046315C" w:rsidRPr="00CF7E4B" w:rsidRDefault="0046315C" w:rsidP="00CF7E4B">
      <w:pPr>
        <w:pStyle w:val="Heading3"/>
        <w:rPr>
          <w:lang w:val="en-GB" w:eastAsia="en-US"/>
        </w:rPr>
      </w:pPr>
      <w:bookmarkStart w:id="141" w:name="_Toc83630918"/>
      <w:bookmarkEnd w:id="140"/>
      <w:r w:rsidRPr="00CF7E4B">
        <w:rPr>
          <w:lang w:val="en-GB" w:eastAsia="en-US"/>
        </w:rPr>
        <w:t xml:space="preserve">Postizanje </w:t>
      </w:r>
      <w:r w:rsidR="00CF7E4B">
        <w:rPr>
          <w:lang w:val="en-GB" w:eastAsia="en-US"/>
        </w:rPr>
        <w:t>GES</w:t>
      </w:r>
      <w:r w:rsidRPr="00CF7E4B">
        <w:rPr>
          <w:lang w:val="en-GB" w:eastAsia="en-US"/>
        </w:rPr>
        <w:t>-a</w:t>
      </w:r>
      <w:bookmarkEnd w:id="141"/>
      <w:r w:rsidRPr="00CF7E4B">
        <w:rPr>
          <w:lang w:val="en-GB" w:eastAsia="en-US"/>
        </w:rPr>
        <w:t xml:space="preserve"> </w:t>
      </w:r>
    </w:p>
    <w:p w14:paraId="37A378BA" w14:textId="77777777" w:rsidR="0046315C" w:rsidRPr="0046315C" w:rsidRDefault="0046315C" w:rsidP="0046315C">
      <w:pPr>
        <w:spacing w:before="0" w:after="0"/>
        <w:rPr>
          <w:rFonts w:eastAsia="Calibri"/>
          <w:szCs w:val="22"/>
          <w:lang w:eastAsia="en-US"/>
        </w:rPr>
      </w:pPr>
      <w:r w:rsidRPr="0046315C">
        <w:rPr>
          <w:rFonts w:eastAsia="Calibri"/>
          <w:szCs w:val="22"/>
          <w:lang w:eastAsia="en-US"/>
        </w:rPr>
        <w:t>Eutrofikacija koju uzrokuje čovjek u crnogorskom dijelu Jadranskog mora je svedena na minimum, a morska voda crnogorskog primorja nije problematično područje ni u pogledu direktnog ni indirektnog efekta eutrofikacije (Tabela 2.18). Samo su izolovani slučajevi eutrofikacije zabilježeni u unutrašnjem dijelu Boke Kotorske.</w:t>
      </w:r>
    </w:p>
    <w:p w14:paraId="155B499F" w14:textId="77777777" w:rsidR="0046315C" w:rsidRPr="0046315C" w:rsidRDefault="0046315C" w:rsidP="0046315C">
      <w:pPr>
        <w:spacing w:before="0" w:after="0"/>
        <w:jc w:val="left"/>
        <w:rPr>
          <w:rFonts w:eastAsia="Calibri"/>
          <w:szCs w:val="22"/>
          <w:lang w:eastAsia="en-US"/>
        </w:rPr>
      </w:pPr>
    </w:p>
    <w:p w14:paraId="6A240844" w14:textId="44EC2FD5" w:rsidR="0046315C" w:rsidRPr="0046315C" w:rsidRDefault="0046315C" w:rsidP="0046315C">
      <w:pPr>
        <w:spacing w:before="0" w:after="160" w:line="256" w:lineRule="auto"/>
        <w:rPr>
          <w:rFonts w:eastAsia="Calibri" w:cs="Calibri"/>
          <w:szCs w:val="22"/>
          <w:lang w:eastAsia="en-US"/>
        </w:rPr>
      </w:pPr>
      <w:r w:rsidRPr="0046315C">
        <w:rPr>
          <w:rFonts w:eastAsia="Calibri" w:cs="Calibri"/>
          <w:b/>
          <w:szCs w:val="22"/>
          <w:lang w:eastAsia="en-US"/>
        </w:rPr>
        <w:t xml:space="preserve">Tabela 2.18. </w:t>
      </w:r>
      <w:r w:rsidR="00647DDD">
        <w:rPr>
          <w:rFonts w:eastAsia="Calibri" w:cs="Calibri"/>
          <w:b/>
          <w:szCs w:val="22"/>
          <w:lang w:eastAsia="en-US"/>
        </w:rPr>
        <w:t>P</w:t>
      </w:r>
      <w:r w:rsidRPr="0046315C">
        <w:rPr>
          <w:rFonts w:eastAsia="Calibri" w:cs="Calibri"/>
          <w:b/>
          <w:szCs w:val="22"/>
          <w:lang w:eastAsia="en-US"/>
        </w:rPr>
        <w:t xml:space="preserve">rocjena </w:t>
      </w:r>
      <w:r w:rsidR="00647DDD">
        <w:rPr>
          <w:rFonts w:eastAsia="Calibri" w:cs="Calibri"/>
          <w:b/>
          <w:szCs w:val="22"/>
          <w:lang w:eastAsia="en-US"/>
        </w:rPr>
        <w:t xml:space="preserve">GES-a </w:t>
      </w:r>
      <w:r w:rsidRPr="0046315C">
        <w:rPr>
          <w:rFonts w:eastAsia="Calibri" w:cs="Calibri"/>
          <w:b/>
          <w:szCs w:val="22"/>
          <w:lang w:eastAsia="en-US"/>
        </w:rPr>
        <w:t>za D5</w:t>
      </w:r>
      <w:r w:rsidRPr="0046315C">
        <w:rPr>
          <w:rFonts w:eastAsia="Calibri"/>
          <w:b/>
          <w:szCs w:val="22"/>
          <w:vertAlign w:val="superscript"/>
          <w:lang w:eastAsia="en-US"/>
        </w:rPr>
        <w:footnoteReference w:id="27"/>
      </w:r>
      <w:r w:rsidRPr="0046315C">
        <w:rPr>
          <w:rFonts w:eastAsia="Calibri" w:cs="Calibri"/>
          <w:b/>
          <w:szCs w:val="22"/>
          <w:lang w:eastAsia="en-US"/>
        </w:rPr>
        <w:t>na osnovu kriterijuma prema Odluci Komisije 2017/845/EU</w:t>
      </w:r>
      <w:r w:rsidRPr="0046315C">
        <w:rPr>
          <w:rFonts w:eastAsia="Calibri" w:cs="Calibri"/>
          <w:szCs w:val="22"/>
          <w:lang w:eastAsia="en-US"/>
        </w:rPr>
        <w:t xml:space="preserve"> </w:t>
      </w:r>
    </w:p>
    <w:tbl>
      <w:tblPr>
        <w:tblStyle w:val="TableGrid"/>
        <w:tblW w:w="0" w:type="auto"/>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391"/>
        <w:gridCol w:w="7522"/>
      </w:tblGrid>
      <w:tr w:rsidR="00AD3938" w:rsidRPr="0046315C" w14:paraId="4E8116B6" w14:textId="77777777" w:rsidTr="00A81581">
        <w:tc>
          <w:tcPr>
            <w:tcW w:w="891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2C8D945A" w14:textId="0832F44E" w:rsidR="00AD3938" w:rsidRPr="00AD3938" w:rsidRDefault="00AD3938" w:rsidP="00AD3938">
            <w:pPr>
              <w:spacing w:before="0" w:after="0" w:line="240" w:lineRule="auto"/>
              <w:jc w:val="center"/>
              <w:rPr>
                <w:b/>
                <w:color w:val="FFFFFF" w:themeColor="background1"/>
                <w:lang w:eastAsia="en-US"/>
              </w:rPr>
            </w:pPr>
            <w:r w:rsidRPr="00AD3938">
              <w:rPr>
                <w:b/>
                <w:color w:val="FFFFFF" w:themeColor="background1"/>
                <w:lang w:eastAsia="en-US"/>
              </w:rPr>
              <w:t xml:space="preserve">Područje procjene: </w:t>
            </w:r>
            <w:r>
              <w:rPr>
                <w:b/>
                <w:color w:val="FFFFFF" w:themeColor="background1"/>
                <w:lang w:eastAsia="en-US"/>
              </w:rPr>
              <w:t xml:space="preserve">nacionalni nivo - </w:t>
            </w:r>
            <w:r w:rsidRPr="00AD3938">
              <w:rPr>
                <w:b/>
                <w:color w:val="FFFFFF" w:themeColor="background1"/>
                <w:lang w:eastAsia="en-US"/>
              </w:rPr>
              <w:t>Crnogorski dio Jadrana</w:t>
            </w:r>
          </w:p>
        </w:tc>
      </w:tr>
      <w:tr w:rsidR="0046315C" w:rsidRPr="0046315C" w14:paraId="478240F1" w14:textId="77777777" w:rsidTr="00A81581">
        <w:tc>
          <w:tcPr>
            <w:tcW w:w="13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035DF8B1" w14:textId="77777777" w:rsidR="0046315C" w:rsidRPr="008B2E8B" w:rsidRDefault="0046315C" w:rsidP="0046315C">
            <w:pPr>
              <w:spacing w:before="0" w:after="0" w:line="240" w:lineRule="auto"/>
              <w:rPr>
                <w:b/>
                <w:color w:val="FFFFFF" w:themeColor="background1"/>
                <w:sz w:val="20"/>
                <w:szCs w:val="20"/>
                <w:lang w:eastAsia="en-US"/>
              </w:rPr>
            </w:pPr>
            <w:r w:rsidRPr="008B2E8B">
              <w:rPr>
                <w:b/>
                <w:color w:val="FFFFFF" w:themeColor="background1"/>
                <w:sz w:val="20"/>
                <w:szCs w:val="20"/>
                <w:lang w:eastAsia="en-US"/>
              </w:rPr>
              <w:t>Kriterijum</w:t>
            </w:r>
          </w:p>
        </w:tc>
        <w:tc>
          <w:tcPr>
            <w:tcW w:w="75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471A4590" w14:textId="115F6633" w:rsidR="0046315C" w:rsidRPr="008B2E8B" w:rsidRDefault="008B2E8B" w:rsidP="0046315C">
            <w:pPr>
              <w:spacing w:before="0" w:after="0" w:line="240" w:lineRule="auto"/>
              <w:rPr>
                <w:b/>
                <w:color w:val="FFFFFF" w:themeColor="background1"/>
                <w:sz w:val="20"/>
                <w:szCs w:val="20"/>
                <w:lang w:eastAsia="en-US"/>
              </w:rPr>
            </w:pPr>
            <w:r>
              <w:rPr>
                <w:b/>
                <w:color w:val="FFFFFF" w:themeColor="background1"/>
                <w:sz w:val="20"/>
                <w:szCs w:val="20"/>
                <w:lang w:eastAsia="en-US"/>
              </w:rPr>
              <w:t>GES</w:t>
            </w:r>
          </w:p>
          <w:p w14:paraId="55EB860B" w14:textId="77777777" w:rsidR="0046315C" w:rsidRPr="008B2E8B" w:rsidRDefault="0046315C" w:rsidP="0046315C">
            <w:pPr>
              <w:spacing w:before="0" w:after="0" w:line="240" w:lineRule="auto"/>
              <w:rPr>
                <w:b/>
                <w:color w:val="FFFFFF" w:themeColor="background1"/>
                <w:sz w:val="20"/>
                <w:szCs w:val="20"/>
                <w:lang w:eastAsia="en-US"/>
              </w:rPr>
            </w:pPr>
          </w:p>
        </w:tc>
      </w:tr>
      <w:tr w:rsidR="0046315C" w:rsidRPr="0046315C" w14:paraId="32035B81" w14:textId="77777777" w:rsidTr="00A627A4">
        <w:tc>
          <w:tcPr>
            <w:tcW w:w="1391" w:type="dxa"/>
            <w:tcBorders>
              <w:top w:val="single" w:sz="4" w:space="0" w:color="FFFFFF" w:themeColor="background1"/>
              <w:left w:val="single" w:sz="4" w:space="0" w:color="0070C0"/>
              <w:bottom w:val="single" w:sz="4" w:space="0" w:color="0070C0"/>
              <w:right w:val="single" w:sz="4" w:space="0" w:color="0070C0"/>
            </w:tcBorders>
            <w:hideMark/>
          </w:tcPr>
          <w:p w14:paraId="6B023B6F" w14:textId="77777777" w:rsidR="0046315C" w:rsidRPr="0046315C" w:rsidRDefault="0046315C" w:rsidP="0046315C">
            <w:pPr>
              <w:spacing w:before="0" w:after="0" w:line="240" w:lineRule="auto"/>
              <w:jc w:val="left"/>
              <w:rPr>
                <w:sz w:val="20"/>
                <w:szCs w:val="20"/>
                <w:lang w:eastAsia="en-US"/>
              </w:rPr>
            </w:pPr>
            <w:r w:rsidRPr="0046315C">
              <w:rPr>
                <w:b/>
                <w:sz w:val="20"/>
                <w:szCs w:val="20"/>
                <w:lang w:eastAsia="en-US"/>
              </w:rPr>
              <w:t>D5C1:</w:t>
            </w:r>
            <w:r w:rsidRPr="0046315C">
              <w:rPr>
                <w:sz w:val="20"/>
                <w:szCs w:val="20"/>
                <w:lang w:eastAsia="en-US"/>
              </w:rPr>
              <w:t xml:space="preserve"> Hranljive soli u vodenom stubu</w:t>
            </w:r>
          </w:p>
        </w:tc>
        <w:tc>
          <w:tcPr>
            <w:tcW w:w="7522" w:type="dxa"/>
            <w:tcBorders>
              <w:top w:val="single" w:sz="4" w:space="0" w:color="FFFFFF" w:themeColor="background1"/>
              <w:left w:val="single" w:sz="4" w:space="0" w:color="0070C0"/>
              <w:bottom w:val="single" w:sz="4" w:space="0" w:color="0070C0"/>
              <w:right w:val="single" w:sz="4" w:space="0" w:color="0070C0"/>
            </w:tcBorders>
            <w:hideMark/>
          </w:tcPr>
          <w:p w14:paraId="4FAF0204" w14:textId="0EF830CA" w:rsidR="0046315C" w:rsidRPr="0046315C" w:rsidRDefault="008B2E8B" w:rsidP="0046315C">
            <w:pPr>
              <w:spacing w:before="0" w:after="0" w:line="240" w:lineRule="auto"/>
              <w:rPr>
                <w:sz w:val="20"/>
                <w:szCs w:val="20"/>
                <w:lang w:eastAsia="en-US"/>
              </w:rPr>
            </w:pPr>
            <w:r>
              <w:rPr>
                <w:sz w:val="20"/>
                <w:szCs w:val="20"/>
                <w:lang w:eastAsia="en-US"/>
              </w:rPr>
              <w:t>GES</w:t>
            </w:r>
            <w:r w:rsidR="0046315C" w:rsidRPr="0046315C">
              <w:rPr>
                <w:sz w:val="20"/>
                <w:szCs w:val="20"/>
                <w:lang w:eastAsia="en-US"/>
              </w:rPr>
              <w:t xml:space="preserve"> je postignuto.</w:t>
            </w:r>
          </w:p>
          <w:p w14:paraId="07ED347D" w14:textId="77777777" w:rsidR="0046315C" w:rsidRPr="0046315C" w:rsidRDefault="0046315C" w:rsidP="0046315C">
            <w:pPr>
              <w:spacing w:before="0" w:after="0" w:line="240" w:lineRule="auto"/>
              <w:rPr>
                <w:sz w:val="20"/>
                <w:szCs w:val="20"/>
                <w:lang w:eastAsia="en-US"/>
              </w:rPr>
            </w:pPr>
            <w:r w:rsidRPr="0046315C">
              <w:rPr>
                <w:sz w:val="20"/>
                <w:szCs w:val="20"/>
                <w:lang w:eastAsia="en-US"/>
              </w:rPr>
              <w:t xml:space="preserve">Koncentracije ukupnog </w:t>
            </w:r>
            <w:r w:rsidRPr="0046315C">
              <w:rPr>
                <w:rFonts w:cs="Calibri"/>
                <w:sz w:val="20"/>
                <w:szCs w:val="20"/>
                <w:lang w:eastAsia="en-US"/>
              </w:rPr>
              <w:t xml:space="preserve">rastvorenog neorganskog azota </w:t>
            </w:r>
            <w:r w:rsidRPr="0046315C">
              <w:rPr>
                <w:sz w:val="20"/>
                <w:szCs w:val="20"/>
                <w:lang w:eastAsia="en-US"/>
              </w:rPr>
              <w:t>(zbir N-NO</w:t>
            </w:r>
            <w:r w:rsidRPr="0046315C">
              <w:rPr>
                <w:sz w:val="20"/>
                <w:szCs w:val="20"/>
                <w:vertAlign w:val="subscript"/>
                <w:lang w:eastAsia="en-US"/>
              </w:rPr>
              <w:t>3</w:t>
            </w:r>
            <w:r w:rsidRPr="0046315C">
              <w:rPr>
                <w:sz w:val="20"/>
                <w:szCs w:val="20"/>
                <w:vertAlign w:val="superscript"/>
                <w:lang w:eastAsia="en-US"/>
              </w:rPr>
              <w:t xml:space="preserve">- </w:t>
            </w:r>
            <w:r w:rsidRPr="0046315C">
              <w:rPr>
                <w:sz w:val="20"/>
                <w:szCs w:val="20"/>
                <w:lang w:eastAsia="en-US"/>
              </w:rPr>
              <w:t>+ N-NO</w:t>
            </w:r>
            <w:r w:rsidRPr="0046315C">
              <w:rPr>
                <w:sz w:val="20"/>
                <w:szCs w:val="20"/>
                <w:vertAlign w:val="subscript"/>
                <w:lang w:eastAsia="en-US"/>
              </w:rPr>
              <w:t>2</w:t>
            </w:r>
            <w:r w:rsidRPr="0046315C">
              <w:rPr>
                <w:sz w:val="20"/>
                <w:szCs w:val="20"/>
                <w:vertAlign w:val="superscript"/>
                <w:lang w:eastAsia="en-US"/>
              </w:rPr>
              <w:t xml:space="preserve">- </w:t>
            </w:r>
            <w:r w:rsidRPr="0046315C">
              <w:rPr>
                <w:sz w:val="20"/>
                <w:szCs w:val="20"/>
                <w:lang w:eastAsia="en-US"/>
              </w:rPr>
              <w:t>+ N-NH</w:t>
            </w:r>
            <w:r w:rsidRPr="0046315C">
              <w:rPr>
                <w:sz w:val="20"/>
                <w:szCs w:val="20"/>
                <w:vertAlign w:val="subscript"/>
                <w:lang w:eastAsia="en-US"/>
              </w:rPr>
              <w:t>4</w:t>
            </w:r>
            <w:r w:rsidRPr="0046315C">
              <w:rPr>
                <w:sz w:val="20"/>
                <w:szCs w:val="20"/>
                <w:vertAlign w:val="superscript"/>
                <w:lang w:eastAsia="en-US"/>
              </w:rPr>
              <w:t>+</w:t>
            </w:r>
            <w:r w:rsidRPr="0046315C">
              <w:rPr>
                <w:sz w:val="20"/>
                <w:szCs w:val="20"/>
                <w:lang w:eastAsia="en-US"/>
              </w:rPr>
              <w:t>), ukupnog fosfora (TP), kao i rastvorenog neorganskg fosfora (DIP) u površinskom sloju u Bokokotorskom zalivu i obalnom dijelu otvorenog mora Crne Gore bile su ispod graničnih vrijednosti za vrlo dobro/dobro stanje prema nacionalnim graničnim vrijednostima (Sl. List CG 25/19).</w:t>
            </w:r>
          </w:p>
        </w:tc>
      </w:tr>
      <w:tr w:rsidR="0046315C" w:rsidRPr="0046315C" w14:paraId="7FBFE22C" w14:textId="77777777" w:rsidTr="00AD3938">
        <w:tc>
          <w:tcPr>
            <w:tcW w:w="1391" w:type="dxa"/>
            <w:tcBorders>
              <w:top w:val="single" w:sz="4" w:space="0" w:color="0070C0"/>
              <w:left w:val="single" w:sz="4" w:space="0" w:color="0070C0"/>
              <w:bottom w:val="single" w:sz="4" w:space="0" w:color="0070C0"/>
              <w:right w:val="single" w:sz="4" w:space="0" w:color="0070C0"/>
            </w:tcBorders>
            <w:hideMark/>
          </w:tcPr>
          <w:p w14:paraId="45DA3144" w14:textId="77777777" w:rsidR="0046315C" w:rsidRPr="0046315C" w:rsidRDefault="0046315C" w:rsidP="0046315C">
            <w:pPr>
              <w:spacing w:before="0" w:after="0" w:line="240" w:lineRule="auto"/>
              <w:rPr>
                <w:b/>
                <w:sz w:val="20"/>
                <w:szCs w:val="20"/>
                <w:lang w:eastAsia="en-US"/>
              </w:rPr>
            </w:pPr>
            <w:r w:rsidRPr="0046315C">
              <w:rPr>
                <w:b/>
                <w:sz w:val="20"/>
                <w:szCs w:val="20"/>
                <w:lang w:eastAsia="en-US"/>
              </w:rPr>
              <w:t>D5C2:</w:t>
            </w:r>
          </w:p>
          <w:p w14:paraId="5EA0C987" w14:textId="77777777" w:rsidR="0046315C" w:rsidRPr="0046315C" w:rsidRDefault="0046315C" w:rsidP="0046315C">
            <w:pPr>
              <w:spacing w:before="0" w:after="0" w:line="240" w:lineRule="auto"/>
              <w:jc w:val="left"/>
              <w:rPr>
                <w:sz w:val="20"/>
                <w:szCs w:val="20"/>
                <w:lang w:eastAsia="en-US"/>
              </w:rPr>
            </w:pPr>
            <w:r w:rsidRPr="0046315C">
              <w:rPr>
                <w:sz w:val="20"/>
                <w:szCs w:val="20"/>
                <w:lang w:eastAsia="en-US"/>
              </w:rPr>
              <w:t>Hlorofil a u vodenom stubu</w:t>
            </w:r>
          </w:p>
        </w:tc>
        <w:tc>
          <w:tcPr>
            <w:tcW w:w="7522" w:type="dxa"/>
            <w:tcBorders>
              <w:top w:val="single" w:sz="4" w:space="0" w:color="0070C0"/>
              <w:left w:val="single" w:sz="4" w:space="0" w:color="0070C0"/>
              <w:bottom w:val="single" w:sz="4" w:space="0" w:color="0070C0"/>
              <w:right w:val="single" w:sz="4" w:space="0" w:color="0070C0"/>
            </w:tcBorders>
          </w:tcPr>
          <w:p w14:paraId="5960395A" w14:textId="4E67DE33" w:rsidR="0046315C" w:rsidRPr="0046315C" w:rsidRDefault="008B2E8B" w:rsidP="0046315C">
            <w:pPr>
              <w:spacing w:before="0" w:after="0" w:line="240" w:lineRule="auto"/>
              <w:rPr>
                <w:sz w:val="20"/>
                <w:szCs w:val="20"/>
                <w:lang w:eastAsia="en-US"/>
              </w:rPr>
            </w:pPr>
            <w:r>
              <w:rPr>
                <w:sz w:val="20"/>
                <w:szCs w:val="20"/>
                <w:lang w:eastAsia="en-US"/>
              </w:rPr>
              <w:t>GES</w:t>
            </w:r>
            <w:r w:rsidR="0046315C" w:rsidRPr="0046315C">
              <w:rPr>
                <w:sz w:val="20"/>
                <w:szCs w:val="20"/>
                <w:lang w:eastAsia="en-US"/>
              </w:rPr>
              <w:t xml:space="preserve"> je postignuto.</w:t>
            </w:r>
          </w:p>
          <w:p w14:paraId="5B850E75" w14:textId="77777777" w:rsidR="0046315C" w:rsidRPr="0046315C" w:rsidRDefault="0046315C" w:rsidP="0046315C">
            <w:pPr>
              <w:spacing w:before="0" w:after="0" w:line="240" w:lineRule="auto"/>
              <w:rPr>
                <w:rFonts w:cs="Calibri"/>
                <w:sz w:val="20"/>
                <w:szCs w:val="20"/>
                <w:lang w:eastAsia="en-US"/>
              </w:rPr>
            </w:pPr>
            <w:r w:rsidRPr="0046315C">
              <w:rPr>
                <w:rFonts w:cs="Calibri"/>
                <w:sz w:val="20"/>
                <w:szCs w:val="20"/>
                <w:lang w:eastAsia="en-US"/>
              </w:rPr>
              <w:t>Biomasa algi (određena na osnovu mjerenja koncentracije chl a) nije viša od dobrog stanja prema Okvirnoj direktivi o vodama i graničnim vrijednostima Chl a u sredozemnim obalnim vodama prema Odluci Komisije 2018/229 / EU.</w:t>
            </w:r>
          </w:p>
          <w:p w14:paraId="1A887366" w14:textId="77777777" w:rsidR="0046315C" w:rsidRPr="0046315C" w:rsidRDefault="0046315C" w:rsidP="0046315C">
            <w:pPr>
              <w:spacing w:before="0" w:after="0" w:line="240" w:lineRule="auto"/>
              <w:rPr>
                <w:sz w:val="20"/>
                <w:szCs w:val="20"/>
                <w:highlight w:val="cyan"/>
                <w:lang w:eastAsia="en-US"/>
              </w:rPr>
            </w:pPr>
          </w:p>
        </w:tc>
      </w:tr>
      <w:tr w:rsidR="0046315C" w:rsidRPr="0046315C" w14:paraId="00E258B0" w14:textId="77777777" w:rsidTr="00AD3938">
        <w:tc>
          <w:tcPr>
            <w:tcW w:w="1391" w:type="dxa"/>
            <w:tcBorders>
              <w:top w:val="single" w:sz="4" w:space="0" w:color="0070C0"/>
              <w:left w:val="single" w:sz="4" w:space="0" w:color="0070C0"/>
              <w:bottom w:val="single" w:sz="4" w:space="0" w:color="0070C0"/>
              <w:right w:val="single" w:sz="4" w:space="0" w:color="0070C0"/>
            </w:tcBorders>
            <w:hideMark/>
          </w:tcPr>
          <w:p w14:paraId="7F54B52E" w14:textId="77777777" w:rsidR="0046315C" w:rsidRPr="0046315C" w:rsidRDefault="0046315C" w:rsidP="0046315C">
            <w:pPr>
              <w:spacing w:before="0" w:after="0" w:line="240" w:lineRule="auto"/>
              <w:rPr>
                <w:sz w:val="20"/>
                <w:szCs w:val="20"/>
                <w:lang w:eastAsia="en-US"/>
              </w:rPr>
            </w:pPr>
            <w:r w:rsidRPr="0046315C">
              <w:rPr>
                <w:b/>
                <w:sz w:val="20"/>
                <w:szCs w:val="20"/>
                <w:lang w:eastAsia="en-US"/>
              </w:rPr>
              <w:t>D5C3</w:t>
            </w:r>
            <w:r w:rsidRPr="0046315C">
              <w:rPr>
                <w:sz w:val="20"/>
                <w:szCs w:val="20"/>
                <w:lang w:eastAsia="en-US"/>
              </w:rPr>
              <w:t>:</w:t>
            </w:r>
          </w:p>
          <w:p w14:paraId="6FB7A802" w14:textId="77777777" w:rsidR="0046315C" w:rsidRPr="0046315C" w:rsidRDefault="0046315C" w:rsidP="0046315C">
            <w:pPr>
              <w:spacing w:before="0" w:after="0" w:line="240" w:lineRule="auto"/>
              <w:jc w:val="left"/>
              <w:rPr>
                <w:sz w:val="20"/>
                <w:szCs w:val="20"/>
                <w:lang w:eastAsia="en-US"/>
              </w:rPr>
            </w:pPr>
            <w:r w:rsidRPr="0046315C">
              <w:rPr>
                <w:sz w:val="20"/>
                <w:szCs w:val="20"/>
                <w:lang w:eastAsia="en-US"/>
              </w:rPr>
              <w:t>Štetno cvjetanje algi u vodenom stubu</w:t>
            </w:r>
          </w:p>
        </w:tc>
        <w:tc>
          <w:tcPr>
            <w:tcW w:w="7522" w:type="dxa"/>
            <w:tcBorders>
              <w:top w:val="single" w:sz="4" w:space="0" w:color="0070C0"/>
              <w:left w:val="single" w:sz="4" w:space="0" w:color="0070C0"/>
              <w:bottom w:val="single" w:sz="4" w:space="0" w:color="0070C0"/>
              <w:right w:val="single" w:sz="4" w:space="0" w:color="0070C0"/>
            </w:tcBorders>
            <w:hideMark/>
          </w:tcPr>
          <w:p w14:paraId="73B55021" w14:textId="07E11F1E" w:rsidR="0046315C" w:rsidRPr="0046315C" w:rsidRDefault="008B2E8B" w:rsidP="0046315C">
            <w:pPr>
              <w:spacing w:before="0" w:after="0" w:line="240" w:lineRule="auto"/>
              <w:rPr>
                <w:sz w:val="20"/>
                <w:szCs w:val="20"/>
                <w:lang w:eastAsia="en-US"/>
              </w:rPr>
            </w:pPr>
            <w:r>
              <w:rPr>
                <w:sz w:val="20"/>
                <w:szCs w:val="20"/>
                <w:lang w:eastAsia="en-US"/>
              </w:rPr>
              <w:t>GES</w:t>
            </w:r>
            <w:r w:rsidR="0046315C" w:rsidRPr="0046315C">
              <w:rPr>
                <w:sz w:val="20"/>
                <w:szCs w:val="20"/>
                <w:lang w:eastAsia="en-US"/>
              </w:rPr>
              <w:t xml:space="preserve"> je postignuto.</w:t>
            </w:r>
          </w:p>
          <w:p w14:paraId="0DD0087D" w14:textId="2AF33208" w:rsidR="0046315C" w:rsidRPr="0046315C" w:rsidRDefault="0046315C" w:rsidP="001A5DE6">
            <w:pPr>
              <w:spacing w:before="0" w:after="160" w:line="240" w:lineRule="auto"/>
              <w:rPr>
                <w:sz w:val="20"/>
                <w:szCs w:val="20"/>
                <w:highlight w:val="cyan"/>
                <w:lang w:eastAsia="en-US"/>
              </w:rPr>
            </w:pPr>
            <w:r w:rsidRPr="0046315C">
              <w:rPr>
                <w:sz w:val="20"/>
                <w:szCs w:val="20"/>
                <w:lang w:eastAsia="en-US"/>
              </w:rPr>
              <w:t>Na osnovu sprovedenih analiza zastupljenosti i rasprostranjenosti mikroalgi (fitoplanktona), zabilježene vrijednosti ne ukazuju na čestu pojavu štetnog cvjetanja algi (više od 1 x 10</w:t>
            </w:r>
            <w:r w:rsidRPr="0046315C">
              <w:rPr>
                <w:sz w:val="20"/>
                <w:szCs w:val="20"/>
                <w:vertAlign w:val="superscript"/>
                <w:lang w:eastAsia="en-US"/>
              </w:rPr>
              <w:t>6</w:t>
            </w:r>
            <w:r w:rsidRPr="0046315C">
              <w:rPr>
                <w:sz w:val="20"/>
                <w:szCs w:val="20"/>
                <w:lang w:eastAsia="en-US"/>
              </w:rPr>
              <w:t xml:space="preserve"> stanica/L). Vrijednosti su se uglavnom odnosile na cvjetanje vrsta </w:t>
            </w:r>
            <w:r w:rsidRPr="0046315C">
              <w:rPr>
                <w:i/>
                <w:sz w:val="20"/>
                <w:szCs w:val="20"/>
                <w:lang w:eastAsia="en-US"/>
              </w:rPr>
              <w:t>Thalassionema nitzschioides</w:t>
            </w:r>
            <w:r w:rsidRPr="0046315C">
              <w:rPr>
                <w:sz w:val="20"/>
                <w:szCs w:val="20"/>
                <w:lang w:eastAsia="en-US"/>
              </w:rPr>
              <w:t xml:space="preserve"> na području Bokokotorskog za</w:t>
            </w:r>
            <w:r w:rsidR="001A5DE6">
              <w:rPr>
                <w:sz w:val="20"/>
                <w:szCs w:val="20"/>
                <w:lang w:eastAsia="en-US"/>
              </w:rPr>
              <w:t>liva</w:t>
            </w:r>
            <w:r w:rsidRPr="0046315C">
              <w:rPr>
                <w:sz w:val="20"/>
                <w:szCs w:val="20"/>
                <w:lang w:eastAsia="en-US"/>
              </w:rPr>
              <w:t>.</w:t>
            </w:r>
          </w:p>
        </w:tc>
      </w:tr>
      <w:tr w:rsidR="0046315C" w:rsidRPr="0046315C" w14:paraId="2EEA4B53" w14:textId="77777777" w:rsidTr="00AD3938">
        <w:tc>
          <w:tcPr>
            <w:tcW w:w="1391" w:type="dxa"/>
            <w:tcBorders>
              <w:top w:val="single" w:sz="4" w:space="0" w:color="0070C0"/>
              <w:left w:val="single" w:sz="4" w:space="0" w:color="0070C0"/>
              <w:bottom w:val="single" w:sz="4" w:space="0" w:color="0070C0"/>
              <w:right w:val="single" w:sz="4" w:space="0" w:color="0070C0"/>
            </w:tcBorders>
            <w:hideMark/>
          </w:tcPr>
          <w:p w14:paraId="06711109" w14:textId="77777777" w:rsidR="0046315C" w:rsidRPr="0046315C" w:rsidRDefault="0046315C" w:rsidP="0046315C">
            <w:pPr>
              <w:spacing w:before="0" w:after="0" w:line="240" w:lineRule="auto"/>
              <w:rPr>
                <w:b/>
                <w:sz w:val="20"/>
                <w:szCs w:val="20"/>
                <w:lang w:eastAsia="en-US"/>
              </w:rPr>
            </w:pPr>
            <w:r w:rsidRPr="0046315C">
              <w:rPr>
                <w:b/>
                <w:sz w:val="20"/>
                <w:szCs w:val="20"/>
                <w:lang w:eastAsia="en-US"/>
              </w:rPr>
              <w:t>D5C5:</w:t>
            </w:r>
          </w:p>
          <w:p w14:paraId="3AA7497B" w14:textId="77777777" w:rsidR="0046315C" w:rsidRPr="0046315C" w:rsidRDefault="0046315C" w:rsidP="0046315C">
            <w:pPr>
              <w:spacing w:before="0" w:after="0" w:line="240" w:lineRule="auto"/>
              <w:jc w:val="left"/>
              <w:rPr>
                <w:sz w:val="20"/>
                <w:szCs w:val="20"/>
                <w:lang w:eastAsia="en-US"/>
              </w:rPr>
            </w:pPr>
            <w:r w:rsidRPr="0046315C">
              <w:rPr>
                <w:sz w:val="20"/>
                <w:szCs w:val="20"/>
                <w:lang w:eastAsia="en-US"/>
              </w:rPr>
              <w:t xml:space="preserve">Rastvoreni kiseonik pri dnu vodenog stuba </w:t>
            </w:r>
          </w:p>
        </w:tc>
        <w:tc>
          <w:tcPr>
            <w:tcW w:w="7522" w:type="dxa"/>
            <w:tcBorders>
              <w:top w:val="single" w:sz="4" w:space="0" w:color="0070C0"/>
              <w:left w:val="single" w:sz="4" w:space="0" w:color="0070C0"/>
              <w:bottom w:val="single" w:sz="4" w:space="0" w:color="0070C0"/>
              <w:right w:val="single" w:sz="4" w:space="0" w:color="0070C0"/>
            </w:tcBorders>
            <w:hideMark/>
          </w:tcPr>
          <w:p w14:paraId="3EBAD666" w14:textId="385BFB61" w:rsidR="0046315C" w:rsidRPr="0046315C" w:rsidRDefault="008B2E8B" w:rsidP="0046315C">
            <w:pPr>
              <w:spacing w:before="0" w:after="0" w:line="240" w:lineRule="auto"/>
              <w:rPr>
                <w:sz w:val="20"/>
                <w:szCs w:val="20"/>
                <w:lang w:eastAsia="en-US"/>
              </w:rPr>
            </w:pPr>
            <w:r>
              <w:rPr>
                <w:sz w:val="20"/>
                <w:szCs w:val="20"/>
                <w:lang w:eastAsia="en-US"/>
              </w:rPr>
              <w:t>GES</w:t>
            </w:r>
            <w:r w:rsidR="0046315C" w:rsidRPr="0046315C">
              <w:rPr>
                <w:sz w:val="20"/>
                <w:szCs w:val="20"/>
                <w:lang w:eastAsia="en-US"/>
              </w:rPr>
              <w:t xml:space="preserve"> je postignuto.</w:t>
            </w:r>
          </w:p>
          <w:p w14:paraId="20BFD20F" w14:textId="77777777" w:rsidR="0046315C" w:rsidRPr="0046315C" w:rsidRDefault="0046315C" w:rsidP="0046315C">
            <w:pPr>
              <w:spacing w:before="0" w:after="0" w:line="240" w:lineRule="auto"/>
              <w:rPr>
                <w:sz w:val="20"/>
                <w:szCs w:val="20"/>
                <w:lang w:eastAsia="en-US"/>
              </w:rPr>
            </w:pPr>
            <w:r w:rsidRPr="0046315C">
              <w:rPr>
                <w:sz w:val="20"/>
                <w:szCs w:val="20"/>
                <w:lang w:eastAsia="en-US"/>
              </w:rPr>
              <w:t>Vrijednosti koncentracije O</w:t>
            </w:r>
            <w:r w:rsidRPr="0046315C">
              <w:rPr>
                <w:sz w:val="20"/>
                <w:szCs w:val="20"/>
                <w:vertAlign w:val="subscript"/>
                <w:lang w:eastAsia="en-US"/>
              </w:rPr>
              <w:t>2</w:t>
            </w:r>
            <w:r w:rsidRPr="0046315C">
              <w:rPr>
                <w:sz w:val="20"/>
                <w:szCs w:val="20"/>
                <w:lang w:eastAsia="en-US"/>
              </w:rPr>
              <w:t xml:space="preserve"> u pridnenom sloju Bokokotorskog zaliva i obalnog dijela otvorenog mora Crne Gore su bile iznad vrijednosti od 6 mg L</w:t>
            </w:r>
            <w:r w:rsidRPr="0046315C">
              <w:rPr>
                <w:sz w:val="20"/>
                <w:szCs w:val="20"/>
                <w:vertAlign w:val="superscript"/>
                <w:lang w:eastAsia="en-US"/>
              </w:rPr>
              <w:t>-1</w:t>
            </w:r>
            <w:r w:rsidRPr="0046315C">
              <w:rPr>
                <w:sz w:val="20"/>
                <w:szCs w:val="20"/>
                <w:lang w:eastAsia="en-US"/>
              </w:rPr>
              <w:t>. Samo pojedinačni uzorci su imali koncentraciju O</w:t>
            </w:r>
            <w:r w:rsidRPr="0046315C">
              <w:rPr>
                <w:sz w:val="20"/>
                <w:szCs w:val="20"/>
                <w:vertAlign w:val="subscript"/>
                <w:lang w:eastAsia="en-US"/>
              </w:rPr>
              <w:t>2</w:t>
            </w:r>
            <w:r w:rsidRPr="0046315C">
              <w:rPr>
                <w:sz w:val="20"/>
                <w:szCs w:val="20"/>
                <w:lang w:eastAsia="en-US"/>
              </w:rPr>
              <w:t xml:space="preserve"> u granicama 3-6 mg L</w:t>
            </w:r>
            <w:r w:rsidRPr="0046315C">
              <w:rPr>
                <w:sz w:val="20"/>
                <w:szCs w:val="20"/>
                <w:vertAlign w:val="superscript"/>
                <w:lang w:eastAsia="en-US"/>
              </w:rPr>
              <w:t>-1</w:t>
            </w:r>
            <w:r w:rsidRPr="0046315C">
              <w:rPr>
                <w:sz w:val="20"/>
                <w:szCs w:val="20"/>
                <w:lang w:eastAsia="en-US"/>
              </w:rPr>
              <w:t xml:space="preserve"> (OSPAR,372/2008). Zasićenje kisikom je uglavnom bilo iznad 80%, samo u pojedinačnim uzorcima je zasićenje bilo 60%. </w:t>
            </w:r>
          </w:p>
          <w:p w14:paraId="79EA5C77" w14:textId="77777777" w:rsidR="0046315C" w:rsidRPr="0046315C" w:rsidRDefault="0046315C" w:rsidP="0046315C">
            <w:pPr>
              <w:spacing w:before="0" w:after="0" w:line="240" w:lineRule="auto"/>
              <w:rPr>
                <w:sz w:val="20"/>
                <w:szCs w:val="20"/>
                <w:lang w:eastAsia="en-US"/>
              </w:rPr>
            </w:pPr>
            <w:r w:rsidRPr="0046315C">
              <w:rPr>
                <w:sz w:val="20"/>
                <w:szCs w:val="20"/>
                <w:lang w:eastAsia="en-US"/>
              </w:rPr>
              <w:t xml:space="preserve"> </w:t>
            </w:r>
          </w:p>
        </w:tc>
      </w:tr>
    </w:tbl>
    <w:p w14:paraId="6D587FFF" w14:textId="77777777" w:rsidR="0046315C" w:rsidRPr="0046315C" w:rsidRDefault="0046315C" w:rsidP="0046315C">
      <w:pPr>
        <w:autoSpaceDE w:val="0"/>
        <w:autoSpaceDN w:val="0"/>
        <w:adjustRightInd w:val="0"/>
        <w:spacing w:before="0" w:after="0" w:line="240" w:lineRule="auto"/>
        <w:jc w:val="left"/>
        <w:rPr>
          <w:rFonts w:eastAsia="Calibri" w:cs="Calibri"/>
          <w:b/>
          <w:bCs/>
          <w:color w:val="000000"/>
          <w:szCs w:val="22"/>
          <w:lang w:eastAsia="en-US"/>
        </w:rPr>
      </w:pPr>
    </w:p>
    <w:p w14:paraId="77335976" w14:textId="77777777" w:rsidR="0046315C" w:rsidRPr="0046315C" w:rsidRDefault="0046315C" w:rsidP="0046315C">
      <w:pPr>
        <w:autoSpaceDE w:val="0"/>
        <w:autoSpaceDN w:val="0"/>
        <w:adjustRightInd w:val="0"/>
        <w:spacing w:before="0" w:after="0" w:line="240" w:lineRule="auto"/>
        <w:jc w:val="left"/>
        <w:rPr>
          <w:rFonts w:eastAsia="Calibri" w:cs="Calibri"/>
          <w:b/>
          <w:bCs/>
          <w:color w:val="000000"/>
          <w:szCs w:val="22"/>
          <w:lang w:eastAsia="en-US"/>
        </w:rPr>
      </w:pPr>
    </w:p>
    <w:p w14:paraId="07FBFF94" w14:textId="039A8DB2" w:rsidR="0046315C" w:rsidRPr="00CF7E4B" w:rsidRDefault="0046315C" w:rsidP="00710AC9">
      <w:pPr>
        <w:pStyle w:val="Heading3"/>
        <w:ind w:left="1701" w:hanging="708"/>
        <w:rPr>
          <w:lang w:val="en-GB" w:eastAsia="en-US"/>
        </w:rPr>
      </w:pPr>
      <w:bookmarkStart w:id="142" w:name="_Toc83630919"/>
      <w:r w:rsidRPr="00CF7E4B">
        <w:rPr>
          <w:lang w:val="en-GB" w:eastAsia="en-US"/>
        </w:rPr>
        <w:t xml:space="preserve">Pristup </w:t>
      </w:r>
      <w:r w:rsidR="00534546">
        <w:rPr>
          <w:lang w:val="en-GB" w:eastAsia="en-US"/>
        </w:rPr>
        <w:t xml:space="preserve">definisanju </w:t>
      </w:r>
      <w:r w:rsidRPr="00CF7E4B">
        <w:rPr>
          <w:lang w:val="en-GB" w:eastAsia="en-US"/>
        </w:rPr>
        <w:t xml:space="preserve">ciljeva za </w:t>
      </w:r>
      <w:r w:rsidR="00647DDD">
        <w:rPr>
          <w:lang w:val="en-GB" w:eastAsia="en-US"/>
        </w:rPr>
        <w:t xml:space="preserve">ostvarivanje/održavanje GES-a za </w:t>
      </w:r>
      <w:r w:rsidRPr="00CF7E4B">
        <w:rPr>
          <w:lang w:val="en-GB" w:eastAsia="en-US"/>
        </w:rPr>
        <w:t>D5</w:t>
      </w:r>
      <w:bookmarkEnd w:id="142"/>
    </w:p>
    <w:p w14:paraId="6988800B" w14:textId="7595A1CC" w:rsidR="0046315C" w:rsidRDefault="0046315C" w:rsidP="0046315C">
      <w:pPr>
        <w:autoSpaceDE w:val="0"/>
        <w:autoSpaceDN w:val="0"/>
        <w:adjustRightInd w:val="0"/>
        <w:spacing w:before="0" w:after="160"/>
        <w:rPr>
          <w:rFonts w:eastAsia="Calibri" w:cs="Calibri"/>
          <w:color w:val="000000"/>
          <w:szCs w:val="22"/>
          <w:lang w:eastAsia="en-US"/>
        </w:rPr>
      </w:pPr>
      <w:r w:rsidRPr="0046315C">
        <w:rPr>
          <w:rFonts w:eastAsia="Calibri" w:cs="Calibri"/>
          <w:color w:val="000000"/>
          <w:szCs w:val="22"/>
          <w:lang w:eastAsia="en-US"/>
        </w:rPr>
        <w:t xml:space="preserve">Ciljevi za postizanje/održavanje dobrog stanja </w:t>
      </w:r>
      <w:r w:rsidR="00647DDD">
        <w:rPr>
          <w:rFonts w:eastAsia="Calibri" w:cs="Calibri"/>
          <w:color w:val="000000"/>
          <w:szCs w:val="22"/>
          <w:lang w:eastAsia="en-US"/>
        </w:rPr>
        <w:t>morske</w:t>
      </w:r>
      <w:r w:rsidRPr="0046315C">
        <w:rPr>
          <w:rFonts w:eastAsia="Calibri" w:cs="Calibri"/>
          <w:color w:val="000000"/>
          <w:szCs w:val="22"/>
          <w:lang w:eastAsia="en-US"/>
        </w:rPr>
        <w:t xml:space="preserve"> sredine za Deskriptor 5 razvijeni su korišćenjem pristupa zasnovanog na riziku (Tabela 2.19). Tamo gdje se pokazalo da problemi sa eutrofikacijom ne postoje, cilj je jednostavno održavanje </w:t>
      </w:r>
      <w:r w:rsidR="00034019">
        <w:rPr>
          <w:rFonts w:eastAsia="Calibri" w:cs="Calibri"/>
          <w:color w:val="000000"/>
          <w:szCs w:val="22"/>
          <w:lang w:eastAsia="en-US"/>
        </w:rPr>
        <w:t xml:space="preserve">tavog </w:t>
      </w:r>
      <w:r w:rsidRPr="0046315C">
        <w:rPr>
          <w:rFonts w:eastAsia="Calibri" w:cs="Calibri"/>
          <w:color w:val="000000"/>
          <w:szCs w:val="22"/>
          <w:lang w:eastAsia="en-US"/>
        </w:rPr>
        <w:t>stanja područja, ali za područja koja su identifikovana kao problematična područja u odnosu na eutrofikaciju, razvijen je sveobuhvatniji skup ciljeva kako bi se oni doveli do stanja bez problema.</w:t>
      </w:r>
    </w:p>
    <w:p w14:paraId="34A51770" w14:textId="77777777" w:rsidR="0046315C" w:rsidRPr="0046315C" w:rsidRDefault="0046315C" w:rsidP="0046315C">
      <w:pPr>
        <w:autoSpaceDE w:val="0"/>
        <w:autoSpaceDN w:val="0"/>
        <w:adjustRightInd w:val="0"/>
        <w:spacing w:before="0" w:after="0" w:line="240" w:lineRule="auto"/>
        <w:jc w:val="left"/>
        <w:rPr>
          <w:rFonts w:eastAsia="Calibri"/>
          <w:b/>
          <w:bCs/>
          <w:szCs w:val="22"/>
          <w:lang w:eastAsia="en-US"/>
        </w:rPr>
      </w:pPr>
    </w:p>
    <w:p w14:paraId="3C80FDAD" w14:textId="78B74F62" w:rsidR="0046315C" w:rsidRPr="008B2E8B" w:rsidRDefault="0046315C" w:rsidP="008B2E8B">
      <w:pPr>
        <w:spacing w:before="0" w:after="0"/>
        <w:rPr>
          <w:rFonts w:eastAsia="Calibri" w:cs="Calibri"/>
          <w:b/>
          <w:bCs/>
          <w:szCs w:val="22"/>
          <w:lang w:val="sr-Latn-ME" w:eastAsia="en-US"/>
        </w:rPr>
      </w:pPr>
      <w:r w:rsidRPr="0046315C">
        <w:rPr>
          <w:rFonts w:eastAsia="Calibri" w:cs="Calibri"/>
          <w:b/>
          <w:bCs/>
          <w:szCs w:val="22"/>
          <w:lang w:eastAsia="en-US"/>
        </w:rPr>
        <w:t xml:space="preserve">Tabela 2.19. </w:t>
      </w:r>
      <w:r w:rsidR="008B2E8B">
        <w:rPr>
          <w:rFonts w:eastAsia="Calibri" w:cs="Calibri"/>
          <w:b/>
          <w:szCs w:val="22"/>
          <w:lang w:val="sr-Latn-ME" w:eastAsia="en-US"/>
        </w:rPr>
        <w:t xml:space="preserve">Ciljevi koji vode ka napretku u postizanju GES-a za Deskriptor 5. </w:t>
      </w:r>
    </w:p>
    <w:tbl>
      <w:tblPr>
        <w:tblStyle w:val="TableGrid"/>
        <w:tblW w:w="9351" w:type="dxa"/>
        <w:tblInd w:w="108"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555"/>
        <w:gridCol w:w="6804"/>
        <w:gridCol w:w="992"/>
      </w:tblGrid>
      <w:tr w:rsidR="00AD3938" w:rsidRPr="0046315C" w14:paraId="63A307AC" w14:textId="77777777" w:rsidTr="00605469">
        <w:trPr>
          <w:tblHeader/>
        </w:trPr>
        <w:tc>
          <w:tcPr>
            <w:tcW w:w="935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2CA22646" w14:textId="1721084A" w:rsidR="00AD3938" w:rsidRPr="00AD3938" w:rsidRDefault="00AD3938" w:rsidP="00AD3938">
            <w:pPr>
              <w:autoSpaceDE w:val="0"/>
              <w:autoSpaceDN w:val="0"/>
              <w:adjustRightInd w:val="0"/>
              <w:spacing w:before="0" w:after="0" w:line="240" w:lineRule="auto"/>
              <w:jc w:val="center"/>
              <w:rPr>
                <w:rFonts w:cs="Calibri"/>
                <w:b/>
                <w:color w:val="FFFFFF" w:themeColor="background1"/>
                <w:lang w:eastAsia="en-US"/>
              </w:rPr>
            </w:pPr>
            <w:r w:rsidRPr="00AD3938">
              <w:rPr>
                <w:rFonts w:cs="Calibri"/>
                <w:b/>
                <w:color w:val="FFFFFF" w:themeColor="background1"/>
                <w:lang w:eastAsia="en-US"/>
              </w:rPr>
              <w:t xml:space="preserve">Područje procjene: </w:t>
            </w:r>
            <w:r>
              <w:rPr>
                <w:rFonts w:cs="Calibri"/>
                <w:b/>
                <w:color w:val="FFFFFF" w:themeColor="background1"/>
                <w:lang w:eastAsia="en-US"/>
              </w:rPr>
              <w:t xml:space="preserve">nacionalni nivo - </w:t>
            </w:r>
            <w:r w:rsidRPr="00AD3938">
              <w:rPr>
                <w:rFonts w:cs="Calibri"/>
                <w:b/>
                <w:color w:val="FFFFFF" w:themeColor="background1"/>
                <w:lang w:eastAsia="en-US"/>
              </w:rPr>
              <w:t>Crnogorski dio Jadrana</w:t>
            </w:r>
          </w:p>
        </w:tc>
      </w:tr>
      <w:tr w:rsidR="0046315C" w:rsidRPr="0046315C" w14:paraId="154649A7" w14:textId="77777777" w:rsidTr="00605469">
        <w:trPr>
          <w:tblHeader/>
        </w:trPr>
        <w:tc>
          <w:tcPr>
            <w:tcW w:w="15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3B90B575" w14:textId="77777777" w:rsidR="0046315C" w:rsidRPr="00AD3938" w:rsidRDefault="0046315C" w:rsidP="0046315C">
            <w:pPr>
              <w:spacing w:before="0" w:after="0" w:line="240" w:lineRule="auto"/>
              <w:jc w:val="left"/>
              <w:rPr>
                <w:rFonts w:cs="Calibri"/>
                <w:b/>
                <w:color w:val="FFFFFF" w:themeColor="background1"/>
                <w:lang w:eastAsia="en-US"/>
              </w:rPr>
            </w:pPr>
            <w:r w:rsidRPr="00AD3938">
              <w:rPr>
                <w:rFonts w:cs="Calibri"/>
                <w:b/>
                <w:color w:val="FFFFFF" w:themeColor="background1"/>
                <w:lang w:eastAsia="en-US"/>
              </w:rPr>
              <w:t>Kriterijum</w:t>
            </w:r>
          </w:p>
        </w:tc>
        <w:tc>
          <w:tcPr>
            <w:tcW w:w="68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398E1AA7" w14:textId="77777777" w:rsidR="0046315C" w:rsidRPr="00AD3938" w:rsidRDefault="0046315C" w:rsidP="0046315C">
            <w:pPr>
              <w:autoSpaceDE w:val="0"/>
              <w:autoSpaceDN w:val="0"/>
              <w:adjustRightInd w:val="0"/>
              <w:spacing w:before="0" w:after="0" w:line="240" w:lineRule="auto"/>
              <w:jc w:val="left"/>
              <w:rPr>
                <w:rFonts w:cs="Calibri"/>
                <w:b/>
                <w:color w:val="FFFFFF" w:themeColor="background1"/>
                <w:lang w:eastAsia="en-US"/>
              </w:rPr>
            </w:pPr>
            <w:r w:rsidRPr="00AD3938">
              <w:rPr>
                <w:rFonts w:cs="Calibri"/>
                <w:b/>
                <w:color w:val="FFFFFF" w:themeColor="background1"/>
                <w:lang w:eastAsia="en-US"/>
              </w:rPr>
              <w:t>Cilj</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1BA147A5" w14:textId="77777777" w:rsidR="0046315C" w:rsidRPr="00AD3938" w:rsidRDefault="0046315C" w:rsidP="0046315C">
            <w:pPr>
              <w:autoSpaceDE w:val="0"/>
              <w:autoSpaceDN w:val="0"/>
              <w:adjustRightInd w:val="0"/>
              <w:spacing w:before="0" w:after="0" w:line="240" w:lineRule="auto"/>
              <w:jc w:val="left"/>
              <w:rPr>
                <w:rFonts w:cs="Calibri"/>
                <w:b/>
                <w:color w:val="FFFFFF" w:themeColor="background1"/>
                <w:lang w:eastAsia="en-US"/>
              </w:rPr>
            </w:pPr>
            <w:r w:rsidRPr="00AD3938">
              <w:rPr>
                <w:rFonts w:cs="Calibri"/>
                <w:b/>
                <w:color w:val="FFFFFF" w:themeColor="background1"/>
                <w:lang w:eastAsia="en-US"/>
              </w:rPr>
              <w:t>Kod cilja</w:t>
            </w:r>
          </w:p>
        </w:tc>
      </w:tr>
      <w:tr w:rsidR="0046315C" w:rsidRPr="0046315C" w14:paraId="75C11E38" w14:textId="77777777" w:rsidTr="00605469">
        <w:tc>
          <w:tcPr>
            <w:tcW w:w="1555" w:type="dxa"/>
            <w:tcBorders>
              <w:top w:val="single" w:sz="4" w:space="0" w:color="FFFFFF" w:themeColor="background1"/>
              <w:left w:val="single" w:sz="4" w:space="0" w:color="2E74B5"/>
              <w:bottom w:val="single" w:sz="4" w:space="0" w:color="2E74B5"/>
              <w:right w:val="single" w:sz="4" w:space="0" w:color="2E74B5"/>
            </w:tcBorders>
            <w:hideMark/>
          </w:tcPr>
          <w:p w14:paraId="448454CC" w14:textId="77777777" w:rsidR="0046315C" w:rsidRPr="0046315C" w:rsidRDefault="0046315C" w:rsidP="0046315C">
            <w:pPr>
              <w:autoSpaceDE w:val="0"/>
              <w:autoSpaceDN w:val="0"/>
              <w:adjustRightInd w:val="0"/>
              <w:spacing w:before="0" w:after="0" w:line="240" w:lineRule="auto"/>
              <w:jc w:val="left"/>
              <w:rPr>
                <w:rFonts w:cs="Calibri"/>
                <w:b/>
                <w:sz w:val="20"/>
                <w:szCs w:val="20"/>
                <w:lang w:eastAsia="en-US"/>
              </w:rPr>
            </w:pPr>
            <w:r w:rsidRPr="0046315C">
              <w:rPr>
                <w:rFonts w:cs="Calibri"/>
                <w:b/>
                <w:sz w:val="20"/>
                <w:szCs w:val="20"/>
                <w:lang w:eastAsia="en-US"/>
              </w:rPr>
              <w:t>D5C1</w:t>
            </w:r>
          </w:p>
          <w:p w14:paraId="23B5FABD" w14:textId="77777777" w:rsidR="0046315C" w:rsidRPr="0046315C" w:rsidRDefault="0046315C" w:rsidP="0046315C">
            <w:pPr>
              <w:autoSpaceDE w:val="0"/>
              <w:autoSpaceDN w:val="0"/>
              <w:adjustRightInd w:val="0"/>
              <w:spacing w:before="0" w:after="0" w:line="240" w:lineRule="auto"/>
              <w:jc w:val="left"/>
              <w:rPr>
                <w:rFonts w:cs="Calibri"/>
                <w:b/>
                <w:color w:val="000000"/>
                <w:sz w:val="20"/>
                <w:szCs w:val="20"/>
                <w:lang w:eastAsia="en-US"/>
              </w:rPr>
            </w:pPr>
            <w:r w:rsidRPr="0046315C">
              <w:rPr>
                <w:rFonts w:cs="Calibri"/>
                <w:sz w:val="20"/>
                <w:szCs w:val="20"/>
                <w:lang w:eastAsia="en-US"/>
              </w:rPr>
              <w:t>Hranljive soli u vodneom stubu</w:t>
            </w:r>
          </w:p>
        </w:tc>
        <w:tc>
          <w:tcPr>
            <w:tcW w:w="6804" w:type="dxa"/>
            <w:tcBorders>
              <w:top w:val="single" w:sz="4" w:space="0" w:color="FFFFFF" w:themeColor="background1"/>
              <w:left w:val="single" w:sz="4" w:space="0" w:color="2E74B5"/>
              <w:bottom w:val="single" w:sz="4" w:space="0" w:color="2E74B5"/>
              <w:right w:val="single" w:sz="4" w:space="0" w:color="auto"/>
            </w:tcBorders>
          </w:tcPr>
          <w:p w14:paraId="1760FC54" w14:textId="77777777" w:rsidR="0046315C" w:rsidRPr="0046315C" w:rsidRDefault="0046315C" w:rsidP="0046315C">
            <w:pPr>
              <w:autoSpaceDE w:val="0"/>
              <w:autoSpaceDN w:val="0"/>
              <w:adjustRightInd w:val="0"/>
              <w:spacing w:before="0" w:after="0" w:line="240" w:lineRule="auto"/>
              <w:rPr>
                <w:rFonts w:cs="Calibri"/>
                <w:color w:val="000000"/>
                <w:sz w:val="20"/>
                <w:szCs w:val="20"/>
                <w:lang w:eastAsia="en-US"/>
              </w:rPr>
            </w:pPr>
            <w:r w:rsidRPr="0046315C">
              <w:rPr>
                <w:rFonts w:cs="Calibri"/>
                <w:color w:val="000000"/>
                <w:sz w:val="20"/>
                <w:szCs w:val="20"/>
                <w:lang w:eastAsia="en-US"/>
              </w:rPr>
              <w:t xml:space="preserve">Koncentracije hranljivih soli su ispod nivoa koji bi mogao dovesti do štetnih efekata eutrofikacije. </w:t>
            </w:r>
          </w:p>
          <w:p w14:paraId="7EBCE9EB" w14:textId="77777777" w:rsidR="0046315C" w:rsidRPr="0046315C" w:rsidRDefault="0046315C" w:rsidP="0046315C">
            <w:pPr>
              <w:autoSpaceDE w:val="0"/>
              <w:autoSpaceDN w:val="0"/>
              <w:adjustRightInd w:val="0"/>
              <w:spacing w:before="0" w:after="0"/>
              <w:rPr>
                <w:rFonts w:cs="Calibri"/>
                <w:color w:val="000000"/>
                <w:sz w:val="20"/>
                <w:szCs w:val="20"/>
                <w:lang w:eastAsia="en-US"/>
              </w:rPr>
            </w:pPr>
          </w:p>
        </w:tc>
        <w:tc>
          <w:tcPr>
            <w:tcW w:w="992" w:type="dxa"/>
            <w:tcBorders>
              <w:top w:val="single" w:sz="4" w:space="0" w:color="FFFFFF" w:themeColor="background1"/>
              <w:left w:val="single" w:sz="4" w:space="0" w:color="auto"/>
              <w:bottom w:val="single" w:sz="4" w:space="0" w:color="2E74B5"/>
              <w:right w:val="single" w:sz="4" w:space="0" w:color="2E74B5"/>
            </w:tcBorders>
            <w:hideMark/>
          </w:tcPr>
          <w:p w14:paraId="3066E08C" w14:textId="77777777" w:rsidR="0046315C" w:rsidRPr="0046315C" w:rsidRDefault="0046315C" w:rsidP="0046315C">
            <w:pPr>
              <w:autoSpaceDE w:val="0"/>
              <w:autoSpaceDN w:val="0"/>
              <w:adjustRightInd w:val="0"/>
              <w:spacing w:before="0" w:after="0"/>
              <w:jc w:val="left"/>
              <w:rPr>
                <w:rFonts w:cs="Calibri"/>
                <w:b/>
                <w:color w:val="000000"/>
                <w:sz w:val="20"/>
                <w:szCs w:val="20"/>
                <w:lang w:eastAsia="en-US"/>
              </w:rPr>
            </w:pPr>
            <w:r w:rsidRPr="0046315C">
              <w:rPr>
                <w:rFonts w:cs="Calibri"/>
                <w:b/>
                <w:color w:val="000000"/>
                <w:sz w:val="20"/>
                <w:szCs w:val="20"/>
                <w:lang w:eastAsia="en-US"/>
              </w:rPr>
              <w:t>D5T1</w:t>
            </w:r>
          </w:p>
        </w:tc>
      </w:tr>
      <w:tr w:rsidR="0046315C" w:rsidRPr="0046315C" w14:paraId="37596B32" w14:textId="77777777" w:rsidTr="0046315C">
        <w:tc>
          <w:tcPr>
            <w:tcW w:w="1555" w:type="dxa"/>
            <w:tcBorders>
              <w:top w:val="single" w:sz="4" w:space="0" w:color="2E74B5"/>
              <w:left w:val="single" w:sz="4" w:space="0" w:color="2E74B5"/>
              <w:bottom w:val="single" w:sz="4" w:space="0" w:color="2E74B5"/>
              <w:right w:val="single" w:sz="4" w:space="0" w:color="2E74B5"/>
            </w:tcBorders>
            <w:hideMark/>
          </w:tcPr>
          <w:p w14:paraId="0CB12F80" w14:textId="77777777" w:rsidR="0046315C" w:rsidRPr="0046315C" w:rsidRDefault="0046315C" w:rsidP="0046315C">
            <w:pPr>
              <w:spacing w:before="0" w:after="0" w:line="240" w:lineRule="auto"/>
              <w:jc w:val="left"/>
              <w:rPr>
                <w:rFonts w:cs="Calibri"/>
                <w:b/>
                <w:sz w:val="20"/>
                <w:szCs w:val="20"/>
                <w:lang w:eastAsia="en-US"/>
              </w:rPr>
            </w:pPr>
            <w:r w:rsidRPr="0046315C">
              <w:rPr>
                <w:rFonts w:cs="Calibri"/>
                <w:b/>
                <w:sz w:val="20"/>
                <w:szCs w:val="20"/>
                <w:lang w:eastAsia="en-US"/>
              </w:rPr>
              <w:t>D5C2</w:t>
            </w:r>
          </w:p>
          <w:p w14:paraId="0477FD5F" w14:textId="77777777" w:rsidR="0046315C" w:rsidRPr="0046315C" w:rsidRDefault="0046315C" w:rsidP="0046315C">
            <w:pPr>
              <w:spacing w:before="0" w:after="0" w:line="240" w:lineRule="auto"/>
              <w:jc w:val="left"/>
              <w:rPr>
                <w:rFonts w:cs="Calibri"/>
                <w:b/>
                <w:sz w:val="20"/>
                <w:szCs w:val="20"/>
                <w:lang w:eastAsia="en-US"/>
              </w:rPr>
            </w:pPr>
            <w:r w:rsidRPr="0046315C">
              <w:rPr>
                <w:rFonts w:cs="Calibri"/>
                <w:sz w:val="20"/>
                <w:szCs w:val="20"/>
                <w:lang w:eastAsia="en-US"/>
              </w:rPr>
              <w:t>Hlorofil a u vodenom stubu</w:t>
            </w:r>
          </w:p>
        </w:tc>
        <w:tc>
          <w:tcPr>
            <w:tcW w:w="6804" w:type="dxa"/>
            <w:tcBorders>
              <w:top w:val="single" w:sz="4" w:space="0" w:color="2E74B5"/>
              <w:left w:val="single" w:sz="4" w:space="0" w:color="2E74B5"/>
              <w:bottom w:val="single" w:sz="4" w:space="0" w:color="2E74B5"/>
              <w:right w:val="single" w:sz="4" w:space="0" w:color="auto"/>
            </w:tcBorders>
            <w:hideMark/>
          </w:tcPr>
          <w:p w14:paraId="0A3FDE03" w14:textId="77777777" w:rsidR="0046315C" w:rsidRPr="0046315C" w:rsidRDefault="0046315C" w:rsidP="0046315C">
            <w:pPr>
              <w:autoSpaceDE w:val="0"/>
              <w:autoSpaceDN w:val="0"/>
              <w:adjustRightInd w:val="0"/>
              <w:spacing w:before="0" w:after="0"/>
              <w:rPr>
                <w:rFonts w:cs="Calibri"/>
                <w:spacing w:val="-1"/>
                <w:sz w:val="20"/>
                <w:szCs w:val="20"/>
                <w:lang w:eastAsia="en-US"/>
              </w:rPr>
            </w:pPr>
            <w:r w:rsidRPr="0046315C">
              <w:rPr>
                <w:rFonts w:cs="Calibri"/>
                <w:spacing w:val="-1"/>
                <w:sz w:val="20"/>
                <w:szCs w:val="20"/>
                <w:lang w:eastAsia="en-US"/>
              </w:rPr>
              <w:t xml:space="preserve">Koncentracije Chl </w:t>
            </w:r>
            <w:r w:rsidRPr="0046315C">
              <w:rPr>
                <w:rFonts w:cs="Calibri"/>
                <w:i/>
                <w:spacing w:val="-1"/>
                <w:sz w:val="20"/>
                <w:szCs w:val="20"/>
                <w:lang w:eastAsia="en-US"/>
              </w:rPr>
              <w:t>a</w:t>
            </w:r>
            <w:r w:rsidRPr="0046315C">
              <w:rPr>
                <w:rFonts w:cs="Calibri"/>
                <w:spacing w:val="-1"/>
                <w:sz w:val="20"/>
                <w:szCs w:val="20"/>
                <w:lang w:eastAsia="en-US"/>
              </w:rPr>
              <w:t xml:space="preserve"> niže su od vrijednosti koje bi mogle dovesti do štetnih posledica eutrofikacije. Koncentracija hlorofila </w:t>
            </w:r>
            <w:r w:rsidRPr="0046315C">
              <w:rPr>
                <w:rFonts w:cs="Calibri"/>
                <w:i/>
                <w:spacing w:val="-1"/>
                <w:sz w:val="20"/>
                <w:szCs w:val="20"/>
                <w:lang w:eastAsia="en-US"/>
              </w:rPr>
              <w:t>a</w:t>
            </w:r>
            <w:r w:rsidRPr="0046315C">
              <w:rPr>
                <w:rFonts w:cs="Calibri"/>
                <w:spacing w:val="-1"/>
                <w:sz w:val="20"/>
                <w:szCs w:val="20"/>
                <w:lang w:eastAsia="en-US"/>
              </w:rPr>
              <w:t xml:space="preserve"> ne bi trebala godišnje prelaziti vrijednost od 1.57 μg / L (geometrijska sredina) ili 3.81 μg / L (90. percentil) ili EQR &lt;0.58 (WFD).</w:t>
            </w:r>
          </w:p>
        </w:tc>
        <w:tc>
          <w:tcPr>
            <w:tcW w:w="992" w:type="dxa"/>
            <w:tcBorders>
              <w:top w:val="single" w:sz="4" w:space="0" w:color="2E74B5"/>
              <w:left w:val="single" w:sz="4" w:space="0" w:color="auto"/>
              <w:bottom w:val="single" w:sz="4" w:space="0" w:color="2E74B5"/>
              <w:right w:val="single" w:sz="4" w:space="0" w:color="2E74B5"/>
            </w:tcBorders>
            <w:hideMark/>
          </w:tcPr>
          <w:p w14:paraId="4F34CAEB" w14:textId="77777777" w:rsidR="0046315C" w:rsidRPr="0046315C" w:rsidRDefault="0046315C" w:rsidP="0046315C">
            <w:pPr>
              <w:autoSpaceDE w:val="0"/>
              <w:autoSpaceDN w:val="0"/>
              <w:adjustRightInd w:val="0"/>
              <w:spacing w:before="0" w:after="0"/>
              <w:jc w:val="left"/>
              <w:rPr>
                <w:rFonts w:cs="Calibri"/>
                <w:b/>
                <w:color w:val="000000"/>
                <w:sz w:val="20"/>
                <w:szCs w:val="20"/>
                <w:lang w:eastAsia="en-US"/>
              </w:rPr>
            </w:pPr>
            <w:r w:rsidRPr="0046315C">
              <w:rPr>
                <w:rFonts w:cs="Calibri"/>
                <w:b/>
                <w:color w:val="000000"/>
                <w:sz w:val="20"/>
                <w:szCs w:val="20"/>
                <w:lang w:eastAsia="en-US"/>
              </w:rPr>
              <w:t>D5T2</w:t>
            </w:r>
          </w:p>
        </w:tc>
      </w:tr>
      <w:tr w:rsidR="0046315C" w:rsidRPr="0046315C" w14:paraId="6A4A22C9" w14:textId="77777777" w:rsidTr="0046315C">
        <w:tc>
          <w:tcPr>
            <w:tcW w:w="1555" w:type="dxa"/>
            <w:tcBorders>
              <w:top w:val="single" w:sz="4" w:space="0" w:color="2E74B5"/>
              <w:left w:val="single" w:sz="4" w:space="0" w:color="2E74B5"/>
              <w:bottom w:val="single" w:sz="4" w:space="0" w:color="2E74B5"/>
              <w:right w:val="single" w:sz="4" w:space="0" w:color="2E74B5"/>
            </w:tcBorders>
            <w:hideMark/>
          </w:tcPr>
          <w:p w14:paraId="7C721E20" w14:textId="77777777" w:rsidR="0046315C" w:rsidRPr="0046315C" w:rsidRDefault="0046315C" w:rsidP="0046315C">
            <w:pPr>
              <w:spacing w:before="0" w:after="0" w:line="240" w:lineRule="auto"/>
              <w:jc w:val="left"/>
              <w:rPr>
                <w:rFonts w:cs="Calibri"/>
                <w:b/>
                <w:sz w:val="20"/>
                <w:szCs w:val="20"/>
                <w:lang w:eastAsia="en-US"/>
              </w:rPr>
            </w:pPr>
            <w:r w:rsidRPr="0046315C">
              <w:rPr>
                <w:rFonts w:cs="Calibri"/>
                <w:b/>
                <w:sz w:val="20"/>
                <w:szCs w:val="20"/>
                <w:lang w:eastAsia="en-US"/>
              </w:rPr>
              <w:t>D5C3</w:t>
            </w:r>
          </w:p>
          <w:p w14:paraId="40FA9DF9" w14:textId="77777777" w:rsidR="0046315C" w:rsidRPr="0046315C" w:rsidRDefault="0046315C" w:rsidP="0046315C">
            <w:pPr>
              <w:spacing w:before="0" w:after="0" w:line="240" w:lineRule="auto"/>
              <w:jc w:val="left"/>
              <w:rPr>
                <w:rFonts w:cs="Calibri"/>
                <w:b/>
                <w:sz w:val="20"/>
                <w:szCs w:val="20"/>
                <w:lang w:eastAsia="en-US"/>
              </w:rPr>
            </w:pPr>
            <w:r w:rsidRPr="0046315C">
              <w:rPr>
                <w:rFonts w:cs="Calibri"/>
                <w:sz w:val="20"/>
                <w:szCs w:val="20"/>
                <w:lang w:eastAsia="en-US"/>
              </w:rPr>
              <w:t>Štetno cvjetanje algi u vodenom stubu</w:t>
            </w:r>
          </w:p>
        </w:tc>
        <w:tc>
          <w:tcPr>
            <w:tcW w:w="6804" w:type="dxa"/>
            <w:tcBorders>
              <w:top w:val="single" w:sz="4" w:space="0" w:color="2E74B5"/>
              <w:left w:val="single" w:sz="4" w:space="0" w:color="2E74B5"/>
              <w:bottom w:val="single" w:sz="4" w:space="0" w:color="2E74B5"/>
              <w:right w:val="single" w:sz="4" w:space="0" w:color="auto"/>
            </w:tcBorders>
            <w:hideMark/>
          </w:tcPr>
          <w:p w14:paraId="698B261B" w14:textId="77777777" w:rsidR="0046315C" w:rsidRPr="0046315C" w:rsidRDefault="0046315C" w:rsidP="0046315C">
            <w:pPr>
              <w:autoSpaceDE w:val="0"/>
              <w:autoSpaceDN w:val="0"/>
              <w:adjustRightInd w:val="0"/>
              <w:spacing w:before="0" w:after="0"/>
              <w:rPr>
                <w:rFonts w:cs="Calibri"/>
                <w:color w:val="000000"/>
                <w:sz w:val="20"/>
                <w:szCs w:val="20"/>
                <w:lang w:eastAsia="en-US"/>
              </w:rPr>
            </w:pPr>
            <w:r w:rsidRPr="0046315C">
              <w:rPr>
                <w:rFonts w:cs="Calibri"/>
                <w:color w:val="000000"/>
                <w:sz w:val="20"/>
                <w:szCs w:val="20"/>
                <w:lang w:eastAsia="en-US"/>
              </w:rPr>
              <w:t>Učestalost i brojnost cvjetanja fitoplanktona u obalnim vodama Okvirne direktive o vodama trebaju biti u skladu s postizanjem ciljeva okoline prema Okvirnoj direktivi o vodama.</w:t>
            </w:r>
          </w:p>
        </w:tc>
        <w:tc>
          <w:tcPr>
            <w:tcW w:w="992" w:type="dxa"/>
            <w:tcBorders>
              <w:top w:val="single" w:sz="4" w:space="0" w:color="2E74B5"/>
              <w:left w:val="single" w:sz="4" w:space="0" w:color="auto"/>
              <w:bottom w:val="single" w:sz="4" w:space="0" w:color="2E74B5"/>
              <w:right w:val="single" w:sz="4" w:space="0" w:color="2E74B5"/>
            </w:tcBorders>
            <w:hideMark/>
          </w:tcPr>
          <w:p w14:paraId="1A41D30C" w14:textId="77777777" w:rsidR="0046315C" w:rsidRPr="0046315C" w:rsidRDefault="0046315C" w:rsidP="0046315C">
            <w:pPr>
              <w:autoSpaceDE w:val="0"/>
              <w:autoSpaceDN w:val="0"/>
              <w:adjustRightInd w:val="0"/>
              <w:spacing w:before="0" w:after="0"/>
              <w:jc w:val="left"/>
              <w:rPr>
                <w:rFonts w:cs="Calibri"/>
                <w:b/>
                <w:color w:val="000000"/>
                <w:sz w:val="20"/>
                <w:szCs w:val="20"/>
                <w:lang w:eastAsia="en-US"/>
              </w:rPr>
            </w:pPr>
            <w:r w:rsidRPr="0046315C">
              <w:rPr>
                <w:rFonts w:cs="Calibri"/>
                <w:b/>
                <w:color w:val="000000"/>
                <w:sz w:val="20"/>
                <w:szCs w:val="20"/>
                <w:lang w:eastAsia="en-US"/>
              </w:rPr>
              <w:t>D5T3</w:t>
            </w:r>
          </w:p>
        </w:tc>
      </w:tr>
      <w:tr w:rsidR="0046315C" w:rsidRPr="0046315C" w14:paraId="2E6EB3EB" w14:textId="77777777" w:rsidTr="0046315C">
        <w:tc>
          <w:tcPr>
            <w:tcW w:w="1555" w:type="dxa"/>
            <w:tcBorders>
              <w:top w:val="single" w:sz="4" w:space="0" w:color="2E74B5"/>
              <w:left w:val="single" w:sz="4" w:space="0" w:color="2E74B5"/>
              <w:bottom w:val="single" w:sz="4" w:space="0" w:color="2E74B5"/>
              <w:right w:val="single" w:sz="4" w:space="0" w:color="2E74B5"/>
            </w:tcBorders>
            <w:hideMark/>
          </w:tcPr>
          <w:p w14:paraId="39257866" w14:textId="77777777" w:rsidR="0046315C" w:rsidRPr="0046315C" w:rsidRDefault="0046315C" w:rsidP="0046315C">
            <w:pPr>
              <w:spacing w:before="0" w:after="0" w:line="240" w:lineRule="auto"/>
              <w:jc w:val="left"/>
              <w:rPr>
                <w:rFonts w:cs="Calibri"/>
                <w:b/>
                <w:sz w:val="20"/>
                <w:szCs w:val="20"/>
                <w:lang w:eastAsia="en-US"/>
              </w:rPr>
            </w:pPr>
            <w:r w:rsidRPr="0046315C">
              <w:rPr>
                <w:rFonts w:cs="Calibri"/>
                <w:b/>
                <w:sz w:val="20"/>
                <w:szCs w:val="20"/>
                <w:lang w:eastAsia="en-US"/>
              </w:rPr>
              <w:t>D5C5</w:t>
            </w:r>
          </w:p>
          <w:p w14:paraId="6D88B2CD" w14:textId="77777777" w:rsidR="0046315C" w:rsidRPr="0046315C" w:rsidRDefault="0046315C" w:rsidP="0046315C">
            <w:pPr>
              <w:spacing w:before="0" w:after="0" w:line="240" w:lineRule="auto"/>
              <w:jc w:val="left"/>
              <w:rPr>
                <w:rFonts w:cs="Calibri"/>
                <w:b/>
                <w:sz w:val="20"/>
                <w:szCs w:val="20"/>
                <w:lang w:eastAsia="en-US"/>
              </w:rPr>
            </w:pPr>
            <w:r w:rsidRPr="0046315C">
              <w:rPr>
                <w:rFonts w:cs="Calibri"/>
                <w:sz w:val="20"/>
                <w:szCs w:val="20"/>
                <w:lang w:eastAsia="en-US"/>
              </w:rPr>
              <w:t>Rastvoreni kiseonik pri dnu vodneog stuba</w:t>
            </w:r>
          </w:p>
        </w:tc>
        <w:tc>
          <w:tcPr>
            <w:tcW w:w="6804" w:type="dxa"/>
            <w:tcBorders>
              <w:top w:val="single" w:sz="4" w:space="0" w:color="2E74B5"/>
              <w:left w:val="single" w:sz="4" w:space="0" w:color="2E74B5"/>
              <w:bottom w:val="single" w:sz="4" w:space="0" w:color="2E74B5"/>
              <w:right w:val="single" w:sz="4" w:space="0" w:color="auto"/>
            </w:tcBorders>
            <w:hideMark/>
          </w:tcPr>
          <w:p w14:paraId="304042D5" w14:textId="77777777" w:rsidR="0046315C" w:rsidRPr="0046315C" w:rsidRDefault="0046315C" w:rsidP="0046315C">
            <w:pPr>
              <w:spacing w:before="0" w:after="0"/>
              <w:rPr>
                <w:rFonts w:cs="Calibri"/>
                <w:color w:val="000000"/>
                <w:sz w:val="20"/>
                <w:szCs w:val="20"/>
                <w:lang w:eastAsia="en-US"/>
              </w:rPr>
            </w:pPr>
            <w:r w:rsidRPr="0046315C">
              <w:rPr>
                <w:rFonts w:cs="Calibri"/>
                <w:color w:val="000000"/>
                <w:sz w:val="20"/>
                <w:szCs w:val="20"/>
                <w:lang w:eastAsia="en-US"/>
              </w:rPr>
              <w:t>Sadržaj rastvorenog kiseonika u probalnim vodama je iznad nivoa koji bi mogao dovesti do štetnih efekata eutrofikacije.</w:t>
            </w:r>
            <w:r w:rsidRPr="0046315C">
              <w:rPr>
                <w:lang w:eastAsia="en-US"/>
              </w:rPr>
              <w:t xml:space="preserve"> </w:t>
            </w:r>
            <w:r w:rsidRPr="0046315C">
              <w:rPr>
                <w:rFonts w:cs="Calibri"/>
                <w:color w:val="000000"/>
                <w:sz w:val="20"/>
                <w:szCs w:val="20"/>
                <w:lang w:eastAsia="en-US"/>
              </w:rPr>
              <w:t>Zbog antropogenih aktivnosti slučajevi ​​smanjenja koncentracije kiseonika (hipoksija) moraju biti vremenski i prostorno ograničeni da ne bi uzrokovali smrtnost bentosnih organizama.</w:t>
            </w:r>
          </w:p>
        </w:tc>
        <w:tc>
          <w:tcPr>
            <w:tcW w:w="992" w:type="dxa"/>
            <w:tcBorders>
              <w:top w:val="single" w:sz="4" w:space="0" w:color="2E74B5"/>
              <w:left w:val="single" w:sz="4" w:space="0" w:color="auto"/>
              <w:bottom w:val="single" w:sz="4" w:space="0" w:color="2E74B5"/>
              <w:right w:val="single" w:sz="4" w:space="0" w:color="2E74B5"/>
            </w:tcBorders>
            <w:hideMark/>
          </w:tcPr>
          <w:p w14:paraId="2C50AFA2" w14:textId="77777777" w:rsidR="0046315C" w:rsidRPr="0046315C" w:rsidRDefault="0046315C" w:rsidP="0046315C">
            <w:pPr>
              <w:autoSpaceDE w:val="0"/>
              <w:autoSpaceDN w:val="0"/>
              <w:adjustRightInd w:val="0"/>
              <w:spacing w:before="0" w:after="0"/>
              <w:jc w:val="left"/>
              <w:rPr>
                <w:rFonts w:cs="Calibri"/>
                <w:b/>
                <w:color w:val="000000"/>
                <w:sz w:val="20"/>
                <w:szCs w:val="20"/>
                <w:lang w:eastAsia="en-US"/>
              </w:rPr>
            </w:pPr>
            <w:r w:rsidRPr="0046315C">
              <w:rPr>
                <w:rFonts w:cs="Calibri"/>
                <w:b/>
                <w:color w:val="000000"/>
                <w:sz w:val="20"/>
                <w:szCs w:val="20"/>
                <w:lang w:eastAsia="en-US"/>
              </w:rPr>
              <w:t>D5T4</w:t>
            </w:r>
          </w:p>
        </w:tc>
      </w:tr>
      <w:tr w:rsidR="0046315C" w:rsidRPr="0046315C" w14:paraId="2B80F6AB" w14:textId="77777777" w:rsidTr="0046315C">
        <w:tc>
          <w:tcPr>
            <w:tcW w:w="1555" w:type="dxa"/>
            <w:tcBorders>
              <w:top w:val="single" w:sz="4" w:space="0" w:color="2E74B5"/>
              <w:left w:val="single" w:sz="4" w:space="0" w:color="2E74B5"/>
              <w:bottom w:val="single" w:sz="4" w:space="0" w:color="2E74B5"/>
              <w:right w:val="single" w:sz="4" w:space="0" w:color="2E74B5"/>
            </w:tcBorders>
            <w:hideMark/>
          </w:tcPr>
          <w:p w14:paraId="67F8FE95" w14:textId="77777777" w:rsidR="0046315C" w:rsidRPr="0046315C" w:rsidRDefault="0046315C" w:rsidP="0046315C">
            <w:pPr>
              <w:spacing w:before="0" w:after="0" w:line="240" w:lineRule="auto"/>
              <w:jc w:val="left"/>
              <w:rPr>
                <w:rFonts w:cs="Calibri"/>
                <w:sz w:val="20"/>
                <w:szCs w:val="20"/>
                <w:lang w:eastAsia="en-US"/>
              </w:rPr>
            </w:pPr>
            <w:r w:rsidRPr="0046315C">
              <w:rPr>
                <w:rFonts w:cs="Calibri"/>
                <w:b/>
                <w:sz w:val="20"/>
                <w:szCs w:val="20"/>
                <w:lang w:eastAsia="en-US"/>
              </w:rPr>
              <w:t>Operativni cilj</w:t>
            </w:r>
          </w:p>
        </w:tc>
        <w:tc>
          <w:tcPr>
            <w:tcW w:w="7796" w:type="dxa"/>
            <w:gridSpan w:val="2"/>
            <w:tcBorders>
              <w:top w:val="single" w:sz="4" w:space="0" w:color="2E74B5"/>
              <w:left w:val="single" w:sz="4" w:space="0" w:color="2E74B5"/>
              <w:bottom w:val="single" w:sz="4" w:space="0" w:color="2E74B5"/>
              <w:right w:val="single" w:sz="4" w:space="0" w:color="2E74B5"/>
            </w:tcBorders>
            <w:hideMark/>
          </w:tcPr>
          <w:p w14:paraId="564B8D84" w14:textId="77777777" w:rsidR="0046315C" w:rsidRPr="0046315C" w:rsidRDefault="0046315C" w:rsidP="0046315C">
            <w:pPr>
              <w:autoSpaceDE w:val="0"/>
              <w:autoSpaceDN w:val="0"/>
              <w:adjustRightInd w:val="0"/>
              <w:spacing w:before="0" w:after="0"/>
              <w:jc w:val="left"/>
              <w:rPr>
                <w:rFonts w:cs="Calibri"/>
                <w:color w:val="000000"/>
                <w:sz w:val="20"/>
                <w:szCs w:val="20"/>
                <w:lang w:eastAsia="en-US"/>
              </w:rPr>
            </w:pPr>
            <w:r w:rsidRPr="0046315C">
              <w:rPr>
                <w:rFonts w:cs="Calibri"/>
                <w:color w:val="000000"/>
                <w:sz w:val="20"/>
                <w:szCs w:val="20"/>
                <w:lang w:eastAsia="en-US"/>
              </w:rPr>
              <w:t>Rad sa drugim zemljama na uspostavljanju zajedničke procedure i razvijanju graničnih vrijednosti koje uzimaju u obzir regionalne ili subregionalne specifičnosti.</w:t>
            </w:r>
          </w:p>
        </w:tc>
      </w:tr>
      <w:tr w:rsidR="0046315C" w:rsidRPr="0046315C" w14:paraId="66CE6F65" w14:textId="77777777" w:rsidTr="0046315C">
        <w:tc>
          <w:tcPr>
            <w:tcW w:w="1555" w:type="dxa"/>
            <w:tcBorders>
              <w:top w:val="single" w:sz="4" w:space="0" w:color="2E74B5"/>
              <w:left w:val="single" w:sz="4" w:space="0" w:color="2E74B5"/>
              <w:bottom w:val="single" w:sz="4" w:space="0" w:color="2E74B5"/>
              <w:right w:val="single" w:sz="4" w:space="0" w:color="2E74B5"/>
            </w:tcBorders>
            <w:hideMark/>
          </w:tcPr>
          <w:p w14:paraId="0D83BF50" w14:textId="77777777" w:rsidR="0046315C" w:rsidRPr="0046315C" w:rsidRDefault="0046315C" w:rsidP="0046315C">
            <w:pPr>
              <w:autoSpaceDE w:val="0"/>
              <w:autoSpaceDN w:val="0"/>
              <w:adjustRightInd w:val="0"/>
              <w:spacing w:before="0" w:after="0" w:line="240" w:lineRule="auto"/>
              <w:jc w:val="left"/>
              <w:rPr>
                <w:rFonts w:cs="Calibri"/>
                <w:b/>
                <w:color w:val="000000"/>
                <w:sz w:val="20"/>
                <w:szCs w:val="20"/>
                <w:lang w:eastAsia="en-US"/>
              </w:rPr>
            </w:pPr>
            <w:r w:rsidRPr="0046315C">
              <w:rPr>
                <w:rFonts w:cs="Calibri"/>
                <w:b/>
                <w:color w:val="000000"/>
                <w:sz w:val="20"/>
                <w:szCs w:val="20"/>
                <w:lang w:eastAsia="en-US"/>
              </w:rPr>
              <w:t>Indikatori koji se koriste za procjenu stanja</w:t>
            </w:r>
          </w:p>
        </w:tc>
        <w:tc>
          <w:tcPr>
            <w:tcW w:w="7796" w:type="dxa"/>
            <w:gridSpan w:val="2"/>
            <w:tcBorders>
              <w:top w:val="single" w:sz="4" w:space="0" w:color="2E74B5"/>
              <w:left w:val="single" w:sz="4" w:space="0" w:color="2E74B5"/>
              <w:bottom w:val="single" w:sz="4" w:space="0" w:color="2E74B5"/>
              <w:right w:val="single" w:sz="4" w:space="0" w:color="2E74B5"/>
            </w:tcBorders>
            <w:hideMark/>
          </w:tcPr>
          <w:p w14:paraId="124F1497" w14:textId="5F504A91" w:rsidR="0046315C" w:rsidRPr="0046315C" w:rsidRDefault="00991F05" w:rsidP="00991F05">
            <w:pPr>
              <w:autoSpaceDE w:val="0"/>
              <w:autoSpaceDN w:val="0"/>
              <w:adjustRightInd w:val="0"/>
              <w:spacing w:before="0" w:after="0"/>
              <w:contextualSpacing/>
              <w:jc w:val="left"/>
              <w:rPr>
                <w:rFonts w:cs="Calibri"/>
                <w:bCs/>
                <w:color w:val="000000"/>
                <w:sz w:val="20"/>
                <w:szCs w:val="20"/>
              </w:rPr>
            </w:pPr>
            <w:r>
              <w:rPr>
                <w:rFonts w:cs="Calibri"/>
                <w:b/>
                <w:bCs/>
                <w:color w:val="000000"/>
                <w:sz w:val="20"/>
                <w:szCs w:val="20"/>
              </w:rPr>
              <w:t>D5C1.1</w:t>
            </w:r>
            <w:r w:rsidRPr="00960E3C">
              <w:rPr>
                <w:rFonts w:cs="Calibri"/>
                <w:bCs/>
                <w:color w:val="000000"/>
                <w:sz w:val="20"/>
                <w:szCs w:val="20"/>
              </w:rPr>
              <w:t>: Koncentracija nutrijenata u vodenom stubu</w:t>
            </w:r>
            <w:r>
              <w:rPr>
                <w:rFonts w:cs="Calibri"/>
                <w:b/>
                <w:bCs/>
                <w:color w:val="000000"/>
                <w:sz w:val="20"/>
                <w:szCs w:val="20"/>
              </w:rPr>
              <w:t xml:space="preserve"> </w:t>
            </w:r>
            <w:r w:rsidR="0046315C" w:rsidRPr="0046315C">
              <w:rPr>
                <w:rFonts w:cs="Calibri"/>
                <w:b/>
                <w:bCs/>
                <w:color w:val="000000"/>
                <w:sz w:val="20"/>
                <w:szCs w:val="20"/>
              </w:rPr>
              <w:t xml:space="preserve"> </w:t>
            </w:r>
          </w:p>
          <w:p w14:paraId="2824962C" w14:textId="72B3447C" w:rsidR="00991F05" w:rsidRDefault="00991F05" w:rsidP="00991F05">
            <w:pPr>
              <w:autoSpaceDE w:val="0"/>
              <w:autoSpaceDN w:val="0"/>
              <w:adjustRightInd w:val="0"/>
              <w:spacing w:before="0" w:after="0"/>
              <w:contextualSpacing/>
              <w:jc w:val="left"/>
              <w:rPr>
                <w:rFonts w:cs="Calibri"/>
                <w:b/>
                <w:bCs/>
                <w:color w:val="000000"/>
                <w:sz w:val="20"/>
                <w:szCs w:val="20"/>
              </w:rPr>
            </w:pPr>
            <w:r>
              <w:rPr>
                <w:rFonts w:cs="Calibri"/>
                <w:b/>
                <w:bCs/>
                <w:color w:val="000000"/>
                <w:sz w:val="20"/>
                <w:szCs w:val="20"/>
              </w:rPr>
              <w:t xml:space="preserve">D5C1.2: </w:t>
            </w:r>
            <w:r w:rsidRPr="00960E3C">
              <w:rPr>
                <w:rFonts w:cs="Calibri"/>
                <w:bCs/>
                <w:color w:val="000000"/>
                <w:sz w:val="20"/>
                <w:szCs w:val="20"/>
              </w:rPr>
              <w:t xml:space="preserve">Odnos </w:t>
            </w:r>
            <w:r w:rsidR="00960E3C" w:rsidRPr="00960E3C">
              <w:rPr>
                <w:rFonts w:cs="Calibri"/>
                <w:bCs/>
                <w:color w:val="000000"/>
                <w:sz w:val="20"/>
                <w:szCs w:val="20"/>
              </w:rPr>
              <w:t>nutrijenata gdje je to moguće</w:t>
            </w:r>
          </w:p>
          <w:p w14:paraId="7F303A67" w14:textId="5A31824F" w:rsidR="00960E3C" w:rsidRPr="00960E3C" w:rsidRDefault="00991F05" w:rsidP="00991F05">
            <w:pPr>
              <w:autoSpaceDE w:val="0"/>
              <w:autoSpaceDN w:val="0"/>
              <w:adjustRightInd w:val="0"/>
              <w:spacing w:before="0" w:after="0"/>
              <w:contextualSpacing/>
              <w:jc w:val="left"/>
              <w:rPr>
                <w:rFonts w:cs="Calibri"/>
                <w:bCs/>
                <w:color w:val="000000"/>
                <w:sz w:val="20"/>
                <w:szCs w:val="20"/>
              </w:rPr>
            </w:pPr>
            <w:r>
              <w:rPr>
                <w:rFonts w:cs="Calibri"/>
                <w:b/>
                <w:bCs/>
                <w:color w:val="000000"/>
                <w:sz w:val="20"/>
                <w:szCs w:val="20"/>
              </w:rPr>
              <w:t>D5C</w:t>
            </w:r>
            <w:r w:rsidR="00960E3C">
              <w:rPr>
                <w:rFonts w:cs="Calibri"/>
                <w:b/>
                <w:bCs/>
                <w:color w:val="000000"/>
                <w:sz w:val="20"/>
                <w:szCs w:val="20"/>
              </w:rPr>
              <w:t>2</w:t>
            </w:r>
            <w:r>
              <w:rPr>
                <w:rFonts w:cs="Calibri"/>
                <w:b/>
                <w:bCs/>
                <w:color w:val="000000"/>
                <w:sz w:val="20"/>
                <w:szCs w:val="20"/>
              </w:rPr>
              <w:t xml:space="preserve">.1: </w:t>
            </w:r>
            <w:r w:rsidR="00960E3C" w:rsidRPr="00960E3C">
              <w:rPr>
                <w:rFonts w:cs="Calibri"/>
                <w:bCs/>
                <w:color w:val="000000"/>
                <w:sz w:val="20"/>
                <w:szCs w:val="20"/>
              </w:rPr>
              <w:t>Koncentracija hlorofila a</w:t>
            </w:r>
          </w:p>
          <w:p w14:paraId="799F1F96" w14:textId="4328BD05" w:rsidR="00991F05" w:rsidRPr="00960E3C" w:rsidRDefault="00960E3C" w:rsidP="00991F05">
            <w:pPr>
              <w:autoSpaceDE w:val="0"/>
              <w:autoSpaceDN w:val="0"/>
              <w:adjustRightInd w:val="0"/>
              <w:spacing w:before="0" w:after="0"/>
              <w:contextualSpacing/>
              <w:jc w:val="left"/>
              <w:rPr>
                <w:rFonts w:cs="Calibri"/>
                <w:bCs/>
                <w:color w:val="000000"/>
                <w:sz w:val="20"/>
                <w:szCs w:val="20"/>
              </w:rPr>
            </w:pPr>
            <w:r>
              <w:rPr>
                <w:rFonts w:cs="Calibri"/>
                <w:b/>
                <w:bCs/>
                <w:color w:val="000000"/>
                <w:sz w:val="20"/>
                <w:szCs w:val="20"/>
              </w:rPr>
              <w:t xml:space="preserve">D5C3.1: </w:t>
            </w:r>
            <w:r w:rsidR="00991F05" w:rsidRPr="00960E3C">
              <w:rPr>
                <w:rFonts w:cs="Calibri"/>
                <w:bCs/>
                <w:color w:val="000000"/>
                <w:sz w:val="20"/>
                <w:szCs w:val="20"/>
              </w:rPr>
              <w:t>Štetne cvatnje fitoplanktona</w:t>
            </w:r>
          </w:p>
          <w:p w14:paraId="39E6D036" w14:textId="23AA239A" w:rsidR="00C60DC6" w:rsidRPr="0046315C" w:rsidRDefault="00991F05" w:rsidP="00960E3C">
            <w:pPr>
              <w:autoSpaceDE w:val="0"/>
              <w:autoSpaceDN w:val="0"/>
              <w:adjustRightInd w:val="0"/>
              <w:spacing w:before="0" w:after="0"/>
              <w:contextualSpacing/>
              <w:jc w:val="left"/>
              <w:rPr>
                <w:rFonts w:cs="Calibri"/>
                <w:b/>
                <w:bCs/>
                <w:color w:val="000000"/>
                <w:sz w:val="20"/>
                <w:szCs w:val="20"/>
              </w:rPr>
            </w:pPr>
            <w:r>
              <w:rPr>
                <w:rFonts w:cs="Calibri"/>
                <w:b/>
                <w:bCs/>
                <w:color w:val="000000"/>
                <w:sz w:val="20"/>
                <w:szCs w:val="20"/>
              </w:rPr>
              <w:t>D5C</w:t>
            </w:r>
            <w:r w:rsidR="00960E3C">
              <w:rPr>
                <w:rFonts w:cs="Calibri"/>
                <w:b/>
                <w:bCs/>
                <w:color w:val="000000"/>
                <w:sz w:val="20"/>
                <w:szCs w:val="20"/>
              </w:rPr>
              <w:t xml:space="preserve">5.1: </w:t>
            </w:r>
            <w:r w:rsidR="00960E3C" w:rsidRPr="00960E3C">
              <w:rPr>
                <w:rFonts w:cs="Calibri"/>
                <w:bCs/>
                <w:color w:val="000000"/>
                <w:sz w:val="20"/>
                <w:szCs w:val="20"/>
              </w:rPr>
              <w:t>Kon</w:t>
            </w:r>
            <w:r w:rsidR="0046315C" w:rsidRPr="00960E3C">
              <w:rPr>
                <w:rFonts w:cs="Calibri"/>
                <w:bCs/>
                <w:color w:val="000000"/>
                <w:sz w:val="20"/>
                <w:szCs w:val="20"/>
              </w:rPr>
              <w:t>centracija rastvorenog kiseonika</w:t>
            </w:r>
            <w:r w:rsidR="00960E3C">
              <w:rPr>
                <w:rFonts w:cs="Calibri"/>
                <w:bCs/>
                <w:color w:val="000000"/>
                <w:sz w:val="20"/>
                <w:szCs w:val="20"/>
              </w:rPr>
              <w:t xml:space="preserve"> u pridnenom sloju vodenog stuba</w:t>
            </w:r>
          </w:p>
        </w:tc>
      </w:tr>
    </w:tbl>
    <w:p w14:paraId="18947659" w14:textId="77777777" w:rsidR="0046315C" w:rsidRPr="0046315C" w:rsidRDefault="0046315C" w:rsidP="0046315C">
      <w:pPr>
        <w:spacing w:before="0" w:after="200"/>
        <w:rPr>
          <w:rFonts w:eastAsia="Calibri"/>
          <w:b/>
          <w:bCs/>
          <w:sz w:val="23"/>
          <w:szCs w:val="23"/>
          <w:lang w:eastAsia="en-US"/>
        </w:rPr>
      </w:pPr>
    </w:p>
    <w:p w14:paraId="128CE317" w14:textId="722631DF" w:rsidR="0046315C" w:rsidRPr="00CF7E4B" w:rsidRDefault="0046315C" w:rsidP="00CF7E4B">
      <w:pPr>
        <w:pStyle w:val="Heading3"/>
        <w:rPr>
          <w:lang w:val="en-GB" w:eastAsia="en-US"/>
        </w:rPr>
      </w:pPr>
      <w:bookmarkStart w:id="143" w:name="_Toc83630920"/>
      <w:r w:rsidRPr="00CF7E4B">
        <w:rPr>
          <w:lang w:val="en-GB" w:eastAsia="en-US"/>
        </w:rPr>
        <w:t>Povezanost sa drugim deskriptorima</w:t>
      </w:r>
      <w:bookmarkEnd w:id="143"/>
    </w:p>
    <w:p w14:paraId="41F0AA05" w14:textId="77777777" w:rsidR="0046315C" w:rsidRPr="0046315C" w:rsidRDefault="0046315C" w:rsidP="0046315C">
      <w:pPr>
        <w:spacing w:before="0" w:after="0"/>
        <w:rPr>
          <w:rFonts w:cs="Arial"/>
          <w:szCs w:val="22"/>
        </w:rPr>
      </w:pPr>
      <w:r w:rsidRPr="0046315C">
        <w:rPr>
          <w:rFonts w:cs="Arial"/>
          <w:szCs w:val="22"/>
        </w:rPr>
        <w:t>Deskriptor 5 je povezan sa D1 (biodiverzitet), D4 (lanac ishrane) i D6 (cjelovitost morskog dna). Uzimajući u obzir uticaj eutrofikacije na ekosistem, navedeni deskriptori su uglavnom definisani na državnom nivou.</w:t>
      </w:r>
    </w:p>
    <w:p w14:paraId="48B7524A" w14:textId="43C7F805" w:rsidR="0046315C" w:rsidRPr="00CF7E4B" w:rsidRDefault="0046315C" w:rsidP="00CF7E4B">
      <w:pPr>
        <w:pStyle w:val="Heading3"/>
        <w:rPr>
          <w:lang w:val="en-GB" w:eastAsia="en-US"/>
        </w:rPr>
      </w:pPr>
      <w:bookmarkStart w:id="144" w:name="_Toc83630921"/>
      <w:r w:rsidRPr="00CF7E4B">
        <w:rPr>
          <w:lang w:val="en-GB" w:eastAsia="en-US"/>
        </w:rPr>
        <w:t xml:space="preserve">Nedostaci i </w:t>
      </w:r>
      <w:r w:rsidR="00CF7E4B">
        <w:rPr>
          <w:lang w:val="en-GB" w:eastAsia="en-US"/>
        </w:rPr>
        <w:t>potrebe</w:t>
      </w:r>
      <w:r w:rsidR="00E24841">
        <w:rPr>
          <w:lang w:val="en-GB" w:eastAsia="en-US"/>
        </w:rPr>
        <w:t xml:space="preserve"> za unapređenjem</w:t>
      </w:r>
      <w:bookmarkEnd w:id="144"/>
      <w:r w:rsidR="00E24841">
        <w:rPr>
          <w:lang w:val="en-GB" w:eastAsia="en-US"/>
        </w:rPr>
        <w:t xml:space="preserve"> </w:t>
      </w:r>
    </w:p>
    <w:p w14:paraId="3BDCBDDF" w14:textId="77777777" w:rsidR="0046315C" w:rsidRPr="0046315C" w:rsidRDefault="0046315C" w:rsidP="0046315C">
      <w:pPr>
        <w:spacing w:before="0" w:after="0"/>
        <w:rPr>
          <w:rFonts w:eastAsia="Calibri"/>
          <w:szCs w:val="22"/>
          <w:lang w:eastAsia="en-US"/>
        </w:rPr>
      </w:pPr>
      <w:r w:rsidRPr="0046315C">
        <w:rPr>
          <w:rFonts w:eastAsia="Calibri"/>
          <w:szCs w:val="22"/>
          <w:lang w:eastAsia="en-US"/>
        </w:rPr>
        <w:t>Eutrofikacija je složeni deskriptor koji uključuje brojne hemijske i biološke parametre. Njegova složenost, metodološki problemi i visoki troškovi bili su razlog nekontinuiranog istraživanja eutrofikacije u crnogorskom Jadranskom moru.</w:t>
      </w:r>
    </w:p>
    <w:p w14:paraId="1E6CD773" w14:textId="77777777" w:rsidR="0046315C" w:rsidRPr="0046315C" w:rsidRDefault="0046315C" w:rsidP="0046315C">
      <w:pPr>
        <w:spacing w:before="0" w:after="200"/>
        <w:rPr>
          <w:rFonts w:eastAsia="Calibri"/>
          <w:szCs w:val="22"/>
          <w:lang w:eastAsia="en-US"/>
        </w:rPr>
      </w:pPr>
      <w:r w:rsidRPr="0046315C">
        <w:rPr>
          <w:rFonts w:eastAsia="Calibri"/>
          <w:szCs w:val="22"/>
          <w:lang w:eastAsia="en-US"/>
        </w:rPr>
        <w:t>Da bi se prevazišli nedostaci u podacima, treba razviti sistem monitoringa i posmatranja za kontinuiranu procjenu Jadranskog mora, uzimajući u obzir najpogodniju listu indikatora, vremenski okvir kao i periodičnost praćenja stanja eutrofikacije.</w:t>
      </w:r>
    </w:p>
    <w:p w14:paraId="3CFD02F0" w14:textId="382BED5D" w:rsidR="002B5096" w:rsidRPr="002B5096" w:rsidRDefault="002B5096" w:rsidP="002B5096">
      <w:pPr>
        <w:pStyle w:val="Heading2"/>
      </w:pPr>
      <w:bookmarkStart w:id="145" w:name="_Toc83630922"/>
      <w:bookmarkEnd w:id="52"/>
      <w:r w:rsidRPr="002B5096">
        <w:t>TRAJNA IZMJENA HIDROGRAFSKIH USLOVA (D</w:t>
      </w:r>
      <w:r w:rsidR="001C6020">
        <w:t xml:space="preserve">escriptor </w:t>
      </w:r>
      <w:r w:rsidRPr="002B5096">
        <w:t>7)</w:t>
      </w:r>
      <w:bookmarkEnd w:id="145"/>
    </w:p>
    <w:p w14:paraId="51667AC4" w14:textId="77777777" w:rsidR="002B5096" w:rsidRPr="002B5096" w:rsidRDefault="002B5096" w:rsidP="002B5096">
      <w:pPr>
        <w:spacing w:before="0" w:after="160" w:line="259" w:lineRule="auto"/>
        <w:rPr>
          <w:rFonts w:eastAsia="Calibri"/>
          <w:b/>
          <w:szCs w:val="22"/>
          <w:lang w:val="en-GB" w:eastAsia="en-US"/>
        </w:rPr>
      </w:pPr>
      <w:r w:rsidRPr="002B5096">
        <w:rPr>
          <w:rFonts w:eastAsia="Calibri"/>
          <w:b/>
          <w:szCs w:val="22"/>
          <w:lang w:val="en-GB" w:eastAsia="en-US"/>
        </w:rPr>
        <w:t>Uvod</w:t>
      </w:r>
    </w:p>
    <w:p w14:paraId="5ECD2EF7" w14:textId="77777777" w:rsidR="002B5096" w:rsidRPr="002B5096" w:rsidRDefault="002B5096" w:rsidP="002B5096">
      <w:pPr>
        <w:spacing w:before="0" w:after="0" w:line="259" w:lineRule="auto"/>
        <w:rPr>
          <w:rFonts w:eastAsia="Calibri"/>
          <w:szCs w:val="22"/>
          <w:lang w:val="en-GB" w:eastAsia="en-US"/>
        </w:rPr>
      </w:pPr>
      <w:bookmarkStart w:id="146" w:name="_Hlk67846944"/>
      <w:r w:rsidRPr="002B5096">
        <w:rPr>
          <w:rFonts w:eastAsia="Calibri"/>
          <w:szCs w:val="22"/>
          <w:lang w:val="en-GB" w:eastAsia="en-US"/>
        </w:rPr>
        <w:t>Hidrografski uslovi su fizička svojstva morske vode i igraju ključnu ulogu u dinamici morskih ekosistema. U priobalnim područjima na ova svojstva snažno utiču ljudske aktivnosti. Na otvorenom moru hidrografske uslove u velikoj m</w:t>
      </w:r>
      <w:r>
        <w:rPr>
          <w:rFonts w:eastAsia="Calibri"/>
          <w:szCs w:val="22"/>
          <w:lang w:val="en-GB" w:eastAsia="en-US"/>
        </w:rPr>
        <w:t>j</w:t>
      </w:r>
      <w:r w:rsidRPr="002B5096">
        <w:rPr>
          <w:rFonts w:eastAsia="Calibri"/>
          <w:szCs w:val="22"/>
          <w:lang w:val="en-GB" w:eastAsia="en-US"/>
        </w:rPr>
        <w:t>eri određuju prirodn</w:t>
      </w:r>
      <w:r>
        <w:rPr>
          <w:rFonts w:eastAsia="Calibri"/>
          <w:szCs w:val="22"/>
          <w:lang w:val="en-GB" w:eastAsia="en-US"/>
        </w:rPr>
        <w:t>e pojave</w:t>
      </w:r>
      <w:r w:rsidRPr="002B5096">
        <w:rPr>
          <w:rFonts w:eastAsia="Calibri"/>
          <w:szCs w:val="22"/>
          <w:lang w:val="en-GB" w:eastAsia="en-US"/>
        </w:rPr>
        <w:t>, pa su zbog toga manje os</w:t>
      </w:r>
      <w:r>
        <w:rPr>
          <w:rFonts w:eastAsia="Calibri"/>
          <w:szCs w:val="22"/>
          <w:lang w:val="en-GB" w:eastAsia="en-US"/>
        </w:rPr>
        <w:t>j</w:t>
      </w:r>
      <w:r w:rsidRPr="002B5096">
        <w:rPr>
          <w:rFonts w:eastAsia="Calibri"/>
          <w:szCs w:val="22"/>
          <w:lang w:val="en-GB" w:eastAsia="en-US"/>
        </w:rPr>
        <w:t xml:space="preserve">etljivi na </w:t>
      </w:r>
      <w:r>
        <w:rPr>
          <w:rFonts w:eastAsia="Calibri"/>
          <w:szCs w:val="22"/>
          <w:lang w:val="en-GB" w:eastAsia="en-US"/>
        </w:rPr>
        <w:t>uticaje</w:t>
      </w:r>
      <w:r w:rsidRPr="002B5096">
        <w:rPr>
          <w:rFonts w:eastAsia="Calibri"/>
          <w:szCs w:val="22"/>
          <w:lang w:val="en-GB" w:eastAsia="en-US"/>
        </w:rPr>
        <w:t xml:space="preserve"> ljudskih aktivnosti. Međutim, na njih značajno utiču klimatske prom</w:t>
      </w:r>
      <w:r>
        <w:rPr>
          <w:rFonts w:eastAsia="Calibri"/>
          <w:szCs w:val="22"/>
          <w:lang w:val="en-GB" w:eastAsia="en-US"/>
        </w:rPr>
        <w:t>j</w:t>
      </w:r>
      <w:r w:rsidRPr="002B5096">
        <w:rPr>
          <w:rFonts w:eastAsia="Calibri"/>
          <w:szCs w:val="22"/>
          <w:lang w:val="en-GB" w:eastAsia="en-US"/>
        </w:rPr>
        <w:t>ene, uključujući zagr</w:t>
      </w:r>
      <w:r>
        <w:rPr>
          <w:rFonts w:eastAsia="Calibri"/>
          <w:szCs w:val="22"/>
          <w:lang w:val="en-GB" w:eastAsia="en-US"/>
        </w:rPr>
        <w:t xml:space="preserve">ijavanje i </w:t>
      </w:r>
      <w:r w:rsidRPr="002B5096">
        <w:rPr>
          <w:rFonts w:eastAsia="Calibri"/>
          <w:szCs w:val="22"/>
          <w:lang w:val="en-GB" w:eastAsia="en-US"/>
        </w:rPr>
        <w:t>zakiseljavanje</w:t>
      </w:r>
      <w:r>
        <w:rPr>
          <w:rFonts w:eastAsia="Calibri"/>
          <w:szCs w:val="22"/>
          <w:lang w:val="en-GB" w:eastAsia="en-US"/>
        </w:rPr>
        <w:t xml:space="preserve"> mora</w:t>
      </w:r>
      <w:r w:rsidRPr="002B5096">
        <w:rPr>
          <w:rFonts w:eastAsia="Calibri"/>
          <w:szCs w:val="22"/>
          <w:lang w:val="en-GB" w:eastAsia="en-US"/>
        </w:rPr>
        <w:t>.</w:t>
      </w:r>
    </w:p>
    <w:p w14:paraId="66C0A0D3" w14:textId="3CE52BC2" w:rsidR="00BF19E7" w:rsidRPr="001C6CCA" w:rsidRDefault="00383700" w:rsidP="00F65CFF">
      <w:pPr>
        <w:spacing w:before="0" w:after="0" w:line="259" w:lineRule="auto"/>
        <w:rPr>
          <w:rFonts w:eastAsia="Calibri"/>
          <w:b/>
          <w:sz w:val="20"/>
          <w:szCs w:val="20"/>
          <w:lang w:val="en-GB" w:eastAsia="en-US"/>
        </w:rPr>
      </w:pPr>
      <w:r w:rsidRPr="001C6CCA">
        <w:rPr>
          <w:rFonts w:cs="Stag Sans Semibold"/>
          <w:b/>
          <w:bCs/>
          <w:noProof/>
          <w:color w:val="000000"/>
          <w:szCs w:val="22"/>
          <w:lang w:eastAsia="en-US"/>
        </w:rPr>
        <mc:AlternateContent>
          <mc:Choice Requires="wps">
            <w:drawing>
              <wp:anchor distT="0" distB="0" distL="114300" distR="114300" simplePos="0" relativeHeight="251755520" behindDoc="0" locked="0" layoutInCell="1" allowOverlap="1" wp14:anchorId="791D35FD" wp14:editId="46297C16">
                <wp:simplePos x="0" y="0"/>
                <wp:positionH relativeFrom="margin">
                  <wp:align>right</wp:align>
                </wp:positionH>
                <wp:positionV relativeFrom="paragraph">
                  <wp:posOffset>135890</wp:posOffset>
                </wp:positionV>
                <wp:extent cx="5939790" cy="396240"/>
                <wp:effectExtent l="0" t="0" r="3810" b="3810"/>
                <wp:wrapNone/>
                <wp:docPr id="33" name="Rectangle: Rounded Corners 33"/>
                <wp:cNvGraphicFramePr/>
                <a:graphic xmlns:a="http://schemas.openxmlformats.org/drawingml/2006/main">
                  <a:graphicData uri="http://schemas.microsoft.com/office/word/2010/wordprocessingShape">
                    <wps:wsp>
                      <wps:cNvSpPr/>
                      <wps:spPr>
                        <a:xfrm>
                          <a:off x="0" y="0"/>
                          <a:ext cx="5939790" cy="396240"/>
                        </a:xfrm>
                        <a:prstGeom prst="roundRect">
                          <a:avLst/>
                        </a:prstGeom>
                        <a:solidFill>
                          <a:srgbClr val="4F81BD">
                            <a:lumMod val="20000"/>
                            <a:lumOff val="80000"/>
                            <a:alpha val="84000"/>
                          </a:srgbClr>
                        </a:solidFill>
                        <a:ln w="25400" cap="flat" cmpd="sng" algn="ctr">
                          <a:noFill/>
                          <a:prstDash val="solid"/>
                        </a:ln>
                        <a:effectLst/>
                      </wps:spPr>
                      <wps:txbx>
                        <w:txbxContent>
                          <w:p w14:paraId="27812B87" w14:textId="7B4E2232" w:rsidR="00515997" w:rsidRPr="00A52E7D" w:rsidRDefault="00515997" w:rsidP="006F1CD5">
                            <w:pPr>
                              <w:spacing w:before="0" w:after="160" w:line="259" w:lineRule="auto"/>
                              <w:rPr>
                                <w:rFonts w:eastAsia="Calibri"/>
                                <w:b/>
                                <w:i/>
                                <w:szCs w:val="22"/>
                                <w:lang w:eastAsia="en-US"/>
                              </w:rPr>
                            </w:pPr>
                            <w:r w:rsidRPr="002B5096">
                              <w:rPr>
                                <w:rFonts w:eastAsia="Calibri"/>
                                <w:b/>
                                <w:bCs/>
                                <w:szCs w:val="22"/>
                                <w:lang w:eastAsia="en-US"/>
                              </w:rPr>
                              <w:t>Definicija GES-a:</w:t>
                            </w:r>
                            <w:r w:rsidRPr="002B5096">
                              <w:rPr>
                                <w:rFonts w:eastAsia="Calibri"/>
                                <w:b/>
                                <w:bCs/>
                                <w:i/>
                                <w:szCs w:val="22"/>
                                <w:lang w:eastAsia="en-US"/>
                              </w:rPr>
                              <w:t xml:space="preserve"> Trajna prom</w:t>
                            </w:r>
                            <w:r>
                              <w:rPr>
                                <w:rFonts w:eastAsia="Calibri"/>
                                <w:b/>
                                <w:bCs/>
                                <w:i/>
                                <w:szCs w:val="22"/>
                                <w:lang w:eastAsia="en-US"/>
                              </w:rPr>
                              <w:t>j</w:t>
                            </w:r>
                            <w:r w:rsidRPr="002B5096">
                              <w:rPr>
                                <w:rFonts w:eastAsia="Calibri"/>
                                <w:b/>
                                <w:bCs/>
                                <w:i/>
                                <w:szCs w:val="22"/>
                                <w:lang w:eastAsia="en-US"/>
                              </w:rPr>
                              <w:t xml:space="preserve">ena hidrografskih uslova ne </w:t>
                            </w:r>
                            <w:r>
                              <w:rPr>
                                <w:rFonts w:eastAsia="Calibri"/>
                                <w:b/>
                                <w:bCs/>
                                <w:i/>
                                <w:szCs w:val="22"/>
                                <w:lang w:eastAsia="en-US"/>
                              </w:rPr>
                              <w:t xml:space="preserve">utiče </w:t>
                            </w:r>
                            <w:r w:rsidRPr="002B5096">
                              <w:rPr>
                                <w:rFonts w:eastAsia="Calibri"/>
                                <w:b/>
                                <w:bCs/>
                                <w:i/>
                                <w:szCs w:val="22"/>
                                <w:lang w:eastAsia="en-US"/>
                              </w:rPr>
                              <w:t>negativno na morske ekosisteme.</w:t>
                            </w:r>
                          </w:p>
                          <w:p w14:paraId="60D509BA" w14:textId="1CD72E46" w:rsidR="00515997" w:rsidRPr="00BF4801" w:rsidRDefault="00515997" w:rsidP="006F1CD5">
                            <w:pPr>
                              <w:autoSpaceDE w:val="0"/>
                              <w:autoSpaceDN w:val="0"/>
                              <w:adjustRightInd w:val="0"/>
                              <w:spacing w:before="0" w:after="240"/>
                              <w:rPr>
                                <w:rFonts w:eastAsia="Calibri" w:cs="Calibri"/>
                                <w:i/>
                                <w:color w:val="000000"/>
                                <w:szCs w:val="22"/>
                                <w:lang w:val="hr-HR" w:eastAsia="en-US"/>
                              </w:rPr>
                            </w:pPr>
                          </w:p>
                          <w:p w14:paraId="67E3023B" w14:textId="77777777" w:rsidR="00515997" w:rsidRPr="00B5055A" w:rsidRDefault="00515997" w:rsidP="006F1CD5">
                            <w:pPr>
                              <w:rPr>
                                <w:i/>
                                <w:color w:val="000000" w:themeColor="text1"/>
                                <w:lang w:val="hr-H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1D35FD" id="Rectangle: Rounded Corners 33" o:spid="_x0000_s1057" style="position:absolute;left:0;text-align:left;margin-left:416.5pt;margin-top:10.7pt;width:467.7pt;height:31.2pt;z-index:2517555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" fillcolor="#dce6f2" stroked="f" strokeweight="2pt">
                <v:fill opacity="54998f"/>
                <v:textbox>
                  <w:txbxContent>
                    <w:p w14:paraId="27812B87" w14:textId="7B4E2232" w:rsidR="00515997" w:rsidRPr="00A52E7D" w:rsidRDefault="00515997" w:rsidP="006F1CD5">
                      <w:pPr>
                        <w:spacing w:before="0" w:after="160" w:line="259" w:lineRule="auto"/>
                        <w:rPr>
                          <w:rFonts w:eastAsia="Calibri"/>
                          <w:b/>
                          <w:i/>
                          <w:szCs w:val="22"/>
                          <w:lang w:eastAsia="en-US"/>
                        </w:rPr>
                      </w:pPr>
                      <w:r w:rsidRPr="002B5096">
                        <w:rPr>
                          <w:rFonts w:eastAsia="Calibri"/>
                          <w:b/>
                          <w:bCs/>
                          <w:szCs w:val="22"/>
                          <w:lang w:eastAsia="en-US"/>
                        </w:rPr>
                        <w:t>Definicija GES-a:</w:t>
                      </w:r>
                      <w:r w:rsidRPr="002B5096">
                        <w:rPr>
                          <w:rFonts w:eastAsia="Calibri"/>
                          <w:b/>
                          <w:bCs/>
                          <w:i/>
                          <w:szCs w:val="22"/>
                          <w:lang w:eastAsia="en-US"/>
                        </w:rPr>
                        <w:t xml:space="preserve"> Trajna prom</w:t>
                      </w:r>
                      <w:r>
                        <w:rPr>
                          <w:rFonts w:eastAsia="Calibri"/>
                          <w:b/>
                          <w:bCs/>
                          <w:i/>
                          <w:szCs w:val="22"/>
                          <w:lang w:eastAsia="en-US"/>
                        </w:rPr>
                        <w:t>j</w:t>
                      </w:r>
                      <w:r w:rsidRPr="002B5096">
                        <w:rPr>
                          <w:rFonts w:eastAsia="Calibri"/>
                          <w:b/>
                          <w:bCs/>
                          <w:i/>
                          <w:szCs w:val="22"/>
                          <w:lang w:eastAsia="en-US"/>
                        </w:rPr>
                        <w:t xml:space="preserve">ena hidrografskih uslova ne </w:t>
                      </w:r>
                      <w:r>
                        <w:rPr>
                          <w:rFonts w:eastAsia="Calibri"/>
                          <w:b/>
                          <w:bCs/>
                          <w:i/>
                          <w:szCs w:val="22"/>
                          <w:lang w:eastAsia="en-US"/>
                        </w:rPr>
                        <w:t xml:space="preserve">utiče </w:t>
                      </w:r>
                      <w:r w:rsidRPr="002B5096">
                        <w:rPr>
                          <w:rFonts w:eastAsia="Calibri"/>
                          <w:b/>
                          <w:bCs/>
                          <w:i/>
                          <w:szCs w:val="22"/>
                          <w:lang w:eastAsia="en-US"/>
                        </w:rPr>
                        <w:t>negativno na morske ekosisteme.</w:t>
                      </w:r>
                    </w:p>
                    <w:p w14:paraId="60D509BA" w14:textId="1CD72E46" w:rsidR="00515997" w:rsidRPr="00BF4801" w:rsidRDefault="00515997" w:rsidP="006F1CD5">
                      <w:pPr>
                        <w:autoSpaceDE w:val="0"/>
                        <w:autoSpaceDN w:val="0"/>
                        <w:adjustRightInd w:val="0"/>
                        <w:spacing w:before="0" w:after="240"/>
                        <w:rPr>
                          <w:rFonts w:eastAsia="Calibri" w:cs="Calibri"/>
                          <w:i/>
                          <w:color w:val="000000"/>
                          <w:szCs w:val="22"/>
                          <w:lang w:val="hr-HR" w:eastAsia="en-US"/>
                        </w:rPr>
                      </w:pPr>
                    </w:p>
                    <w:p w14:paraId="67E3023B" w14:textId="77777777" w:rsidR="00515997" w:rsidRPr="00B5055A" w:rsidRDefault="00515997" w:rsidP="006F1CD5">
                      <w:pPr>
                        <w:rPr>
                          <w:i/>
                          <w:color w:val="000000" w:themeColor="text1"/>
                          <w:lang w:val="hr-HR"/>
                          <w14:textOutline w14:w="9525" w14:cap="rnd" w14:cmpd="sng" w14:algn="ctr">
                            <w14:noFill/>
                            <w14:prstDash w14:val="solid"/>
                            <w14:bevel/>
                          </w14:textOutline>
                        </w:rPr>
                      </w:pPr>
                    </w:p>
                  </w:txbxContent>
                </v:textbox>
                <w10:wrap anchorx="margin"/>
              </v:roundrect>
            </w:pict>
          </mc:Fallback>
        </mc:AlternateContent>
      </w:r>
    </w:p>
    <w:p w14:paraId="5A1B4CEC" w14:textId="5BF8C50F" w:rsidR="00BF19E7" w:rsidRPr="001C6CCA" w:rsidRDefault="00BF19E7" w:rsidP="00F65CFF">
      <w:pPr>
        <w:spacing w:before="0" w:after="0" w:line="259" w:lineRule="auto"/>
        <w:rPr>
          <w:rFonts w:eastAsia="Calibri"/>
          <w:b/>
          <w:sz w:val="20"/>
          <w:szCs w:val="20"/>
          <w:lang w:val="en-GB" w:eastAsia="en-US"/>
        </w:rPr>
      </w:pPr>
    </w:p>
    <w:p w14:paraId="6BE4C307" w14:textId="77777777" w:rsidR="00383700" w:rsidRPr="001C6CCA" w:rsidRDefault="00383700" w:rsidP="00F65CFF">
      <w:pPr>
        <w:spacing w:before="0" w:after="0" w:line="259" w:lineRule="auto"/>
        <w:rPr>
          <w:rFonts w:eastAsia="Calibri"/>
          <w:sz w:val="20"/>
          <w:szCs w:val="20"/>
          <w:lang w:val="en-GB" w:eastAsia="en-US"/>
        </w:rPr>
      </w:pPr>
    </w:p>
    <w:p w14:paraId="1CAB679E" w14:textId="77777777" w:rsidR="00383700" w:rsidRPr="001C6CCA" w:rsidRDefault="00383700" w:rsidP="00F65CFF">
      <w:pPr>
        <w:spacing w:before="0" w:after="0" w:line="259" w:lineRule="auto"/>
        <w:rPr>
          <w:rFonts w:eastAsia="Calibri"/>
          <w:sz w:val="20"/>
          <w:szCs w:val="20"/>
          <w:lang w:val="en-GB" w:eastAsia="en-US"/>
        </w:rPr>
      </w:pPr>
    </w:p>
    <w:p w14:paraId="0AEEBCA3" w14:textId="77777777" w:rsidR="009A1B91" w:rsidRPr="001C6CCA" w:rsidRDefault="009A1B91" w:rsidP="00F65CFF">
      <w:pPr>
        <w:spacing w:before="0" w:after="0" w:line="259" w:lineRule="auto"/>
        <w:rPr>
          <w:rFonts w:eastAsia="Calibri"/>
          <w:szCs w:val="22"/>
          <w:lang w:val="en-GB" w:eastAsia="en-US"/>
        </w:rPr>
      </w:pPr>
    </w:p>
    <w:bookmarkEnd w:id="146"/>
    <w:p w14:paraId="47A3905B" w14:textId="477432D8" w:rsidR="004E4E0C" w:rsidRPr="002B5096" w:rsidRDefault="002B5096" w:rsidP="002B5096">
      <w:pPr>
        <w:spacing w:before="0" w:after="0" w:line="259" w:lineRule="auto"/>
        <w:rPr>
          <w:rFonts w:eastAsia="Calibri"/>
          <w:szCs w:val="22"/>
          <w:lang w:val="en-GB" w:eastAsia="en-US"/>
        </w:rPr>
      </w:pPr>
      <w:r w:rsidRPr="002B5096">
        <w:rPr>
          <w:rFonts w:eastAsia="Calibri"/>
          <w:szCs w:val="22"/>
          <w:lang w:val="en-GB" w:eastAsia="en-US"/>
        </w:rPr>
        <w:t>Proc</w:t>
      </w:r>
      <w:r>
        <w:rPr>
          <w:rFonts w:eastAsia="Calibri"/>
          <w:szCs w:val="22"/>
          <w:lang w:val="en-GB" w:eastAsia="en-US"/>
        </w:rPr>
        <w:t>j</w:t>
      </w:r>
      <w:r w:rsidRPr="002B5096">
        <w:rPr>
          <w:rFonts w:eastAsia="Calibri"/>
          <w:szCs w:val="22"/>
          <w:lang w:val="en-GB" w:eastAsia="en-US"/>
        </w:rPr>
        <w:t xml:space="preserve">ena i ciljevi GES-a zasnivaju se na kvantifikovanju obima, distribucije i </w:t>
      </w:r>
      <w:r>
        <w:rPr>
          <w:rFonts w:eastAsia="Calibri"/>
          <w:szCs w:val="22"/>
          <w:lang w:val="en-GB" w:eastAsia="en-US"/>
        </w:rPr>
        <w:t>ozbiljnosti</w:t>
      </w:r>
      <w:r w:rsidRPr="002B5096">
        <w:rPr>
          <w:rFonts w:eastAsia="Calibri"/>
          <w:szCs w:val="22"/>
          <w:lang w:val="en-GB" w:eastAsia="en-US"/>
        </w:rPr>
        <w:t xml:space="preserve"> trajnih prom</w:t>
      </w:r>
      <w:r>
        <w:rPr>
          <w:rFonts w:eastAsia="Calibri"/>
          <w:szCs w:val="22"/>
          <w:lang w:val="en-GB" w:eastAsia="en-US"/>
        </w:rPr>
        <w:t>j</w:t>
      </w:r>
      <w:r w:rsidRPr="002B5096">
        <w:rPr>
          <w:rFonts w:eastAsia="Calibri"/>
          <w:szCs w:val="22"/>
          <w:lang w:val="en-GB" w:eastAsia="en-US"/>
        </w:rPr>
        <w:t xml:space="preserve">ena u hidrografskim uslovima kao rezultat </w:t>
      </w:r>
      <w:r>
        <w:rPr>
          <w:rFonts w:eastAsia="Calibri"/>
          <w:szCs w:val="22"/>
          <w:lang w:val="en-GB" w:eastAsia="en-US"/>
        </w:rPr>
        <w:t>ljudske</w:t>
      </w:r>
      <w:r w:rsidRPr="002B5096">
        <w:rPr>
          <w:rFonts w:eastAsia="Calibri"/>
          <w:szCs w:val="22"/>
          <w:lang w:val="en-GB" w:eastAsia="en-US"/>
        </w:rPr>
        <w:t xml:space="preserve"> aktivnosti. GES se postiže kada su glavne komponente ekosistema u skladu sa preovlađujućim prirodnim uslovima i ne pokazuju značajne štetne prom</w:t>
      </w:r>
      <w:r>
        <w:rPr>
          <w:rFonts w:eastAsia="Calibri"/>
          <w:szCs w:val="22"/>
          <w:lang w:val="en-GB" w:eastAsia="en-US"/>
        </w:rPr>
        <w:t>j</w:t>
      </w:r>
      <w:r w:rsidRPr="002B5096">
        <w:rPr>
          <w:rFonts w:eastAsia="Calibri"/>
          <w:szCs w:val="22"/>
          <w:lang w:val="en-GB" w:eastAsia="en-US"/>
        </w:rPr>
        <w:t>ene izazvane ljudskom aktivnošću.</w:t>
      </w:r>
    </w:p>
    <w:p w14:paraId="0A93C36E" w14:textId="00AD8F7A" w:rsidR="00BF19E7" w:rsidRPr="001C6CCA" w:rsidRDefault="00034019" w:rsidP="004C3A51">
      <w:pPr>
        <w:pStyle w:val="Heading3"/>
        <w:spacing w:after="160"/>
        <w:rPr>
          <w:rFonts w:eastAsia="Calibri"/>
          <w:lang w:val="en-GB" w:eastAsia="en-US"/>
        </w:rPr>
      </w:pPr>
      <w:bookmarkStart w:id="147" w:name="_Toc68078504"/>
      <w:bookmarkStart w:id="148" w:name="_Toc68180769"/>
      <w:bookmarkStart w:id="149" w:name="_Toc83630923"/>
      <w:r>
        <w:rPr>
          <w:rFonts w:eastAsia="Calibri"/>
          <w:lang w:val="en-GB" w:eastAsia="en-US"/>
        </w:rPr>
        <w:t>Relevantni p</w:t>
      </w:r>
      <w:r w:rsidR="00BF19E7" w:rsidRPr="001C6CCA">
        <w:rPr>
          <w:rFonts w:eastAsia="Calibri"/>
          <w:lang w:val="en-GB" w:eastAsia="en-US"/>
        </w:rPr>
        <w:t>r</w:t>
      </w:r>
      <w:r w:rsidR="002B5096">
        <w:rPr>
          <w:rFonts w:eastAsia="Calibri"/>
          <w:lang w:val="en-GB" w:eastAsia="en-US"/>
        </w:rPr>
        <w:t>itisci i uticaji</w:t>
      </w:r>
      <w:bookmarkEnd w:id="147"/>
      <w:bookmarkEnd w:id="148"/>
      <w:bookmarkEnd w:id="149"/>
    </w:p>
    <w:p w14:paraId="46597C75" w14:textId="35AC3DA0" w:rsidR="002B5096" w:rsidRPr="001C6CCA" w:rsidRDefault="00BF19E7" w:rsidP="004C3A51">
      <w:pPr>
        <w:spacing w:before="0" w:after="160" w:line="259" w:lineRule="auto"/>
        <w:jc w:val="left"/>
        <w:rPr>
          <w:rFonts w:eastAsia="Calibri" w:cs="Calibri"/>
          <w:szCs w:val="22"/>
          <w:lang w:val="en-GB" w:eastAsia="en-US"/>
        </w:rPr>
      </w:pPr>
      <w:bookmarkStart w:id="150" w:name="_Toc83643166"/>
      <w:r w:rsidRPr="001C6CCA">
        <w:rPr>
          <w:rFonts w:eastAsia="Calibri" w:cs="Calibri"/>
          <w:b/>
          <w:szCs w:val="22"/>
          <w:lang w:val="en-GB" w:eastAsia="en-US"/>
        </w:rPr>
        <w:t>Ta</w:t>
      </w:r>
      <w:r w:rsidR="002B5096">
        <w:rPr>
          <w:rFonts w:eastAsia="Calibri" w:cs="Calibri"/>
          <w:b/>
          <w:szCs w:val="22"/>
          <w:lang w:val="en-GB" w:eastAsia="en-US"/>
        </w:rPr>
        <w:t>bela</w:t>
      </w:r>
      <w:r w:rsidRPr="001C6CCA">
        <w:rPr>
          <w:rFonts w:eastAsia="Calibri" w:cs="Calibri"/>
          <w:b/>
          <w:szCs w:val="22"/>
          <w:lang w:val="en-GB" w:eastAsia="en-US"/>
        </w:rPr>
        <w:t xml:space="preserve"> </w:t>
      </w:r>
      <w:r w:rsidR="00952C6E" w:rsidRPr="00D932B6">
        <w:rPr>
          <w:b/>
          <w:szCs w:val="22"/>
        </w:rPr>
        <w:fldChar w:fldCharType="begin"/>
      </w:r>
      <w:r w:rsidR="00952C6E" w:rsidRPr="00D932B6">
        <w:rPr>
          <w:b/>
          <w:szCs w:val="22"/>
        </w:rPr>
        <w:instrText xml:space="preserve"> STYLEREF 1 \s </w:instrText>
      </w:r>
      <w:r w:rsidR="00952C6E" w:rsidRPr="00D932B6">
        <w:rPr>
          <w:b/>
          <w:szCs w:val="22"/>
        </w:rPr>
        <w:fldChar w:fldCharType="separate"/>
      </w:r>
      <w:r w:rsidR="000D1E20">
        <w:rPr>
          <w:b/>
          <w:noProof/>
          <w:szCs w:val="22"/>
        </w:rPr>
        <w:t>2</w:t>
      </w:r>
      <w:r w:rsidR="00952C6E" w:rsidRPr="00D932B6">
        <w:rPr>
          <w:b/>
          <w:szCs w:val="22"/>
        </w:rPr>
        <w:fldChar w:fldCharType="end"/>
      </w:r>
      <w:r w:rsidR="00952C6E" w:rsidRPr="00D932B6">
        <w:rPr>
          <w:b/>
          <w:szCs w:val="22"/>
        </w:rPr>
        <w:t>.</w:t>
      </w:r>
      <w:r w:rsidR="00952C6E" w:rsidRPr="00D932B6">
        <w:rPr>
          <w:b/>
          <w:szCs w:val="22"/>
        </w:rPr>
        <w:fldChar w:fldCharType="begin"/>
      </w:r>
      <w:r w:rsidR="00952C6E" w:rsidRPr="00D932B6">
        <w:rPr>
          <w:b/>
          <w:szCs w:val="22"/>
        </w:rPr>
        <w:instrText xml:space="preserve"> SEQ Table \* ARABIC \s 1 </w:instrText>
      </w:r>
      <w:r w:rsidR="00952C6E" w:rsidRPr="00D932B6">
        <w:rPr>
          <w:b/>
          <w:szCs w:val="22"/>
        </w:rPr>
        <w:fldChar w:fldCharType="separate"/>
      </w:r>
      <w:r w:rsidR="000D1E20">
        <w:rPr>
          <w:b/>
          <w:noProof/>
          <w:szCs w:val="22"/>
        </w:rPr>
        <w:t>8</w:t>
      </w:r>
      <w:r w:rsidR="00952C6E" w:rsidRPr="00D932B6">
        <w:rPr>
          <w:b/>
          <w:szCs w:val="22"/>
        </w:rPr>
        <w:fldChar w:fldCharType="end"/>
      </w:r>
      <w:r w:rsidR="00952C6E">
        <w:rPr>
          <w:b/>
          <w:szCs w:val="22"/>
        </w:rPr>
        <w:t>.</w:t>
      </w:r>
      <w:r w:rsidR="00952C6E" w:rsidRPr="001C6CCA">
        <w:rPr>
          <w:rFonts w:eastAsia="Calibri" w:cs="Calibri"/>
          <w:b/>
          <w:szCs w:val="22"/>
          <w:lang w:val="en-GB" w:eastAsia="en-US"/>
        </w:rPr>
        <w:t xml:space="preserve">  </w:t>
      </w:r>
      <w:bookmarkStart w:id="151" w:name="_Hlk68157804"/>
      <w:r w:rsidR="002B5096" w:rsidRPr="002B5096">
        <w:rPr>
          <w:rFonts w:eastAsia="Calibri" w:cs="Calibri"/>
          <w:b/>
          <w:szCs w:val="22"/>
          <w:lang w:val="en-GB" w:eastAsia="en-US"/>
        </w:rPr>
        <w:t xml:space="preserve">Pregled najvažnijih pritisaka i aktivnosti koje </w:t>
      </w:r>
      <w:r w:rsidR="008B2E8B">
        <w:rPr>
          <w:rFonts w:eastAsia="Calibri" w:cs="Calibri"/>
          <w:b/>
          <w:szCs w:val="22"/>
          <w:lang w:val="en-GB" w:eastAsia="en-US"/>
        </w:rPr>
        <w:t>uzrokuju</w:t>
      </w:r>
      <w:r w:rsidR="002B5096" w:rsidRPr="002B5096">
        <w:rPr>
          <w:rFonts w:eastAsia="Calibri" w:cs="Calibri"/>
          <w:b/>
          <w:szCs w:val="22"/>
          <w:lang w:val="en-GB" w:eastAsia="en-US"/>
        </w:rPr>
        <w:t xml:space="preserve"> trajnu prom</w:t>
      </w:r>
      <w:r w:rsidR="002B5096">
        <w:rPr>
          <w:rFonts w:eastAsia="Calibri" w:cs="Calibri"/>
          <w:b/>
          <w:szCs w:val="22"/>
          <w:lang w:val="en-GB" w:eastAsia="en-US"/>
        </w:rPr>
        <w:t>j</w:t>
      </w:r>
      <w:r w:rsidR="002B5096" w:rsidRPr="002B5096">
        <w:rPr>
          <w:rFonts w:eastAsia="Calibri" w:cs="Calibri"/>
          <w:b/>
          <w:szCs w:val="22"/>
          <w:lang w:val="en-GB" w:eastAsia="en-US"/>
        </w:rPr>
        <w:t>enu hidrografskih uslova u Jadransko</w:t>
      </w:r>
      <w:r w:rsidR="002B5096">
        <w:rPr>
          <w:rFonts w:eastAsia="Calibri" w:cs="Calibri"/>
          <w:b/>
          <w:szCs w:val="22"/>
          <w:lang w:val="en-GB" w:eastAsia="en-US"/>
        </w:rPr>
        <w:t>m</w:t>
      </w:r>
      <w:r w:rsidR="002B5096" w:rsidRPr="002B5096">
        <w:rPr>
          <w:rFonts w:eastAsia="Calibri" w:cs="Calibri"/>
          <w:b/>
          <w:szCs w:val="22"/>
          <w:lang w:val="en-GB" w:eastAsia="en-US"/>
        </w:rPr>
        <w:t xml:space="preserve"> mor</w:t>
      </w:r>
      <w:r w:rsidR="002B5096">
        <w:rPr>
          <w:rFonts w:eastAsia="Calibri" w:cs="Calibri"/>
          <w:b/>
          <w:szCs w:val="22"/>
          <w:lang w:val="en-GB" w:eastAsia="en-US"/>
        </w:rPr>
        <w:t>u Crne Gore</w:t>
      </w:r>
      <w:bookmarkEnd w:id="150"/>
    </w:p>
    <w:tbl>
      <w:tblPr>
        <w:tblStyle w:val="GolderTable9"/>
        <w:tblW w:w="9209"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397"/>
        <w:gridCol w:w="5812"/>
      </w:tblGrid>
      <w:tr w:rsidR="00BF19E7" w:rsidRPr="001C6CCA" w14:paraId="51955E56" w14:textId="77777777" w:rsidTr="0084232F">
        <w:tc>
          <w:tcPr>
            <w:tcW w:w="3397" w:type="dxa"/>
            <w:tcBorders>
              <w:bottom w:val="single" w:sz="4" w:space="0" w:color="auto"/>
            </w:tcBorders>
            <w:shd w:val="clear" w:color="auto" w:fill="1F497D" w:themeFill="text2"/>
          </w:tcPr>
          <w:bookmarkEnd w:id="151"/>
          <w:p w14:paraId="296DE23A" w14:textId="2D5EE926" w:rsidR="00BF19E7" w:rsidRPr="0084232F" w:rsidRDefault="002B5096" w:rsidP="002B5096">
            <w:pPr>
              <w:spacing w:before="0" w:after="0" w:line="240" w:lineRule="auto"/>
              <w:rPr>
                <w:b/>
                <w:color w:val="FFFFFF" w:themeColor="background1"/>
                <w:lang w:val="en-GB" w:eastAsia="en-US"/>
              </w:rPr>
            </w:pPr>
            <w:r w:rsidRPr="0084232F">
              <w:rPr>
                <w:b/>
                <w:color w:val="FFFFFF" w:themeColor="background1"/>
                <w:lang w:val="en-GB" w:eastAsia="en-US"/>
              </w:rPr>
              <w:t xml:space="preserve">Relevantni pritisak </w:t>
            </w:r>
          </w:p>
        </w:tc>
        <w:tc>
          <w:tcPr>
            <w:tcW w:w="5812" w:type="dxa"/>
            <w:shd w:val="clear" w:color="auto" w:fill="1F497D" w:themeFill="text2"/>
          </w:tcPr>
          <w:p w14:paraId="5426AE9B" w14:textId="77777777" w:rsidR="006B0BDE" w:rsidRPr="0084232F" w:rsidRDefault="002B5096" w:rsidP="002B5096">
            <w:pPr>
              <w:spacing w:before="0" w:after="0" w:line="240" w:lineRule="auto"/>
              <w:rPr>
                <w:rFonts w:cs="Calibri"/>
                <w:b/>
                <w:color w:val="FFFFFF" w:themeColor="background1"/>
                <w:lang w:val="en-GB" w:eastAsia="en-US"/>
              </w:rPr>
            </w:pPr>
            <w:r w:rsidRPr="0084232F">
              <w:rPr>
                <w:b/>
                <w:color w:val="FFFFFF" w:themeColor="background1"/>
                <w:lang w:val="en-GB" w:eastAsia="en-US"/>
              </w:rPr>
              <w:t>Upotrebe/aktivnosti koje su  odgovorne za pritiske</w:t>
            </w:r>
            <w:r w:rsidRPr="0084232F">
              <w:rPr>
                <w:rFonts w:cs="Calibri"/>
                <w:b/>
                <w:color w:val="FFFFFF" w:themeColor="background1"/>
                <w:lang w:val="en-GB" w:eastAsia="en-US"/>
              </w:rPr>
              <w:t xml:space="preserve"> </w:t>
            </w:r>
          </w:p>
          <w:p w14:paraId="6697333B" w14:textId="7A6A1EA6" w:rsidR="0084232F" w:rsidRPr="0084232F" w:rsidRDefault="0084232F" w:rsidP="002B5096">
            <w:pPr>
              <w:spacing w:before="0" w:after="0" w:line="240" w:lineRule="auto"/>
              <w:rPr>
                <w:rFonts w:cs="Calibri"/>
                <w:b/>
                <w:color w:val="FFFFFF" w:themeColor="background1"/>
                <w:lang w:val="en-GB" w:eastAsia="en-US"/>
              </w:rPr>
            </w:pPr>
          </w:p>
        </w:tc>
      </w:tr>
      <w:tr w:rsidR="00BF19E7" w:rsidRPr="001C6CCA" w14:paraId="2A553A48" w14:textId="77777777" w:rsidTr="006E396B">
        <w:trPr>
          <w:trHeight w:val="947"/>
        </w:trPr>
        <w:tc>
          <w:tcPr>
            <w:tcW w:w="3397" w:type="dxa"/>
            <w:tcBorders>
              <w:top w:val="single" w:sz="4" w:space="0" w:color="auto"/>
            </w:tcBorders>
          </w:tcPr>
          <w:p w14:paraId="6A50E567" w14:textId="77777777" w:rsidR="00BF19E7" w:rsidRPr="001C6CCA" w:rsidRDefault="00BF19E7" w:rsidP="00F65CFF">
            <w:pPr>
              <w:spacing w:before="0" w:after="0" w:line="240" w:lineRule="auto"/>
              <w:rPr>
                <w:rFonts w:cs="Calibri"/>
                <w:sz w:val="20"/>
                <w:szCs w:val="20"/>
                <w:lang w:val="en-GB" w:eastAsia="en-US"/>
              </w:rPr>
            </w:pPr>
          </w:p>
          <w:p w14:paraId="3C7D8A4B" w14:textId="0774816D" w:rsidR="002B5096" w:rsidRPr="001C6CCA" w:rsidRDefault="002B5096" w:rsidP="002B5096">
            <w:pPr>
              <w:spacing w:before="0" w:after="0" w:line="240" w:lineRule="auto"/>
              <w:rPr>
                <w:rFonts w:cs="Calibri"/>
                <w:sz w:val="20"/>
                <w:szCs w:val="20"/>
                <w:lang w:val="en-GB" w:eastAsia="en-US"/>
              </w:rPr>
            </w:pPr>
            <w:r w:rsidRPr="002B5096">
              <w:rPr>
                <w:rFonts w:cs="Calibri"/>
                <w:sz w:val="20"/>
                <w:szCs w:val="20"/>
                <w:lang w:val="en-GB" w:eastAsia="en-US"/>
              </w:rPr>
              <w:t>Prom</w:t>
            </w:r>
            <w:r>
              <w:rPr>
                <w:rFonts w:cs="Calibri"/>
                <w:sz w:val="20"/>
                <w:szCs w:val="20"/>
                <w:lang w:val="en-GB" w:eastAsia="en-US"/>
              </w:rPr>
              <w:t>j</w:t>
            </w:r>
            <w:r w:rsidRPr="002B5096">
              <w:rPr>
                <w:rFonts w:cs="Calibri"/>
                <w:sz w:val="20"/>
                <w:szCs w:val="20"/>
                <w:lang w:val="en-GB" w:eastAsia="en-US"/>
              </w:rPr>
              <w:t>ene hidroloških uslova (prom</w:t>
            </w:r>
            <w:r>
              <w:rPr>
                <w:rFonts w:cs="Calibri"/>
                <w:sz w:val="20"/>
                <w:szCs w:val="20"/>
                <w:lang w:val="en-GB" w:eastAsia="en-US"/>
              </w:rPr>
              <w:t>j</w:t>
            </w:r>
            <w:r w:rsidRPr="002B5096">
              <w:rPr>
                <w:rFonts w:cs="Calibri"/>
                <w:sz w:val="20"/>
                <w:szCs w:val="20"/>
                <w:lang w:val="en-GB" w:eastAsia="en-US"/>
              </w:rPr>
              <w:t>ene batimetrij</w:t>
            </w:r>
            <w:r>
              <w:rPr>
                <w:rFonts w:cs="Calibri"/>
                <w:sz w:val="20"/>
                <w:szCs w:val="20"/>
                <w:lang w:val="en-GB" w:eastAsia="en-US"/>
              </w:rPr>
              <w:t>e i protoka</w:t>
            </w:r>
            <w:r w:rsidR="00816A1C">
              <w:rPr>
                <w:rFonts w:cs="Calibri"/>
                <w:sz w:val="20"/>
                <w:szCs w:val="20"/>
                <w:lang w:val="en-GB" w:eastAsia="en-US"/>
              </w:rPr>
              <w:t>)</w:t>
            </w:r>
          </w:p>
        </w:tc>
        <w:tc>
          <w:tcPr>
            <w:tcW w:w="5812" w:type="dxa"/>
          </w:tcPr>
          <w:p w14:paraId="372F2BF9" w14:textId="77777777" w:rsidR="00BF19E7" w:rsidRPr="001C6CCA" w:rsidRDefault="00BF19E7" w:rsidP="00F65CFF">
            <w:pPr>
              <w:spacing w:before="0" w:after="0"/>
              <w:rPr>
                <w:rFonts w:cs="Calibri"/>
                <w:sz w:val="20"/>
                <w:szCs w:val="20"/>
                <w:lang w:val="en-GB" w:eastAsia="en-US"/>
              </w:rPr>
            </w:pPr>
          </w:p>
          <w:p w14:paraId="239F50CF" w14:textId="3279B515" w:rsidR="00BF19E7" w:rsidRDefault="008D3D91" w:rsidP="00F65CFF">
            <w:pPr>
              <w:spacing w:before="0" w:after="0"/>
              <w:rPr>
                <w:rFonts w:cs="Calibri"/>
                <w:sz w:val="20"/>
                <w:szCs w:val="20"/>
                <w:lang w:val="en-GB" w:eastAsia="en-US"/>
              </w:rPr>
            </w:pPr>
            <w:r>
              <w:rPr>
                <w:rFonts w:cs="Calibri"/>
                <w:sz w:val="20"/>
                <w:szCs w:val="20"/>
                <w:lang w:val="en-GB" w:eastAsia="en-US"/>
              </w:rPr>
              <w:t>Dopuna</w:t>
            </w:r>
            <w:r w:rsidR="00341C69">
              <w:rPr>
                <w:rFonts w:cs="Calibri"/>
                <w:sz w:val="20"/>
                <w:szCs w:val="20"/>
                <w:lang w:val="en-GB" w:eastAsia="en-US"/>
              </w:rPr>
              <w:t>/donos materiala</w:t>
            </w:r>
            <w:r w:rsidR="009140DF">
              <w:rPr>
                <w:rFonts w:cs="Calibri"/>
                <w:sz w:val="20"/>
                <w:szCs w:val="20"/>
                <w:lang w:val="en-GB" w:eastAsia="en-US"/>
              </w:rPr>
              <w:t xml:space="preserve"> s kopna</w:t>
            </w:r>
          </w:p>
          <w:p w14:paraId="27B6C94C" w14:textId="2F87E015" w:rsidR="002B5096" w:rsidRPr="001C6CCA" w:rsidRDefault="002B5096" w:rsidP="002B5096">
            <w:pPr>
              <w:spacing w:before="0" w:after="0"/>
              <w:rPr>
                <w:rFonts w:cs="Calibri"/>
                <w:sz w:val="20"/>
                <w:szCs w:val="20"/>
                <w:lang w:val="en-GB" w:eastAsia="en-US"/>
              </w:rPr>
            </w:pPr>
          </w:p>
        </w:tc>
      </w:tr>
      <w:tr w:rsidR="00BF19E7" w:rsidRPr="001C6CCA" w14:paraId="070C39C0" w14:textId="77777777" w:rsidTr="006E396B">
        <w:tc>
          <w:tcPr>
            <w:tcW w:w="3397" w:type="dxa"/>
            <w:vMerge w:val="restart"/>
            <w:tcBorders>
              <w:top w:val="single" w:sz="4" w:space="0" w:color="auto"/>
            </w:tcBorders>
          </w:tcPr>
          <w:p w14:paraId="6ED586C5" w14:textId="77777777" w:rsidR="002B5096" w:rsidRPr="002B5096" w:rsidRDefault="002B5096" w:rsidP="002B5096">
            <w:pPr>
              <w:spacing w:before="0" w:after="0" w:line="240" w:lineRule="auto"/>
              <w:rPr>
                <w:rFonts w:cs="Calibri"/>
                <w:sz w:val="20"/>
                <w:szCs w:val="20"/>
                <w:lang w:val="en-GB" w:eastAsia="en-US"/>
              </w:rPr>
            </w:pPr>
            <w:r w:rsidRPr="002B5096">
              <w:rPr>
                <w:rFonts w:cs="Calibri"/>
                <w:sz w:val="20"/>
                <w:szCs w:val="20"/>
                <w:lang w:val="en-GB" w:eastAsia="en-US"/>
              </w:rPr>
              <w:t>Prom</w:t>
            </w:r>
            <w:r>
              <w:rPr>
                <w:rFonts w:cs="Calibri"/>
                <w:sz w:val="20"/>
                <w:szCs w:val="20"/>
                <w:lang w:val="en-GB" w:eastAsia="en-US"/>
              </w:rPr>
              <w:t>j</w:t>
            </w:r>
            <w:r w:rsidRPr="002B5096">
              <w:rPr>
                <w:rFonts w:cs="Calibri"/>
                <w:sz w:val="20"/>
                <w:szCs w:val="20"/>
                <w:lang w:val="en-GB" w:eastAsia="en-US"/>
              </w:rPr>
              <w:t>ene hidroloških uslova (prom</w:t>
            </w:r>
            <w:r>
              <w:rPr>
                <w:rFonts w:cs="Calibri"/>
                <w:sz w:val="20"/>
                <w:szCs w:val="20"/>
                <w:lang w:val="en-GB" w:eastAsia="en-US"/>
              </w:rPr>
              <w:t>j</w:t>
            </w:r>
            <w:r w:rsidRPr="002B5096">
              <w:rPr>
                <w:rFonts w:cs="Calibri"/>
                <w:sz w:val="20"/>
                <w:szCs w:val="20"/>
                <w:lang w:val="en-GB" w:eastAsia="en-US"/>
              </w:rPr>
              <w:t>ene sadržaja mulja)</w:t>
            </w:r>
          </w:p>
          <w:p w14:paraId="22A9B58C" w14:textId="56C56C38" w:rsidR="00BF19E7" w:rsidRPr="001C6CCA" w:rsidRDefault="00BF19E7" w:rsidP="00F65CFF">
            <w:pPr>
              <w:autoSpaceDE w:val="0"/>
              <w:autoSpaceDN w:val="0"/>
              <w:adjustRightInd w:val="0"/>
              <w:spacing w:before="0" w:after="0" w:line="240" w:lineRule="auto"/>
              <w:jc w:val="left"/>
              <w:rPr>
                <w:rFonts w:cs="Calibri"/>
                <w:sz w:val="20"/>
                <w:szCs w:val="20"/>
                <w:lang w:val="en-GB" w:eastAsia="en-US"/>
              </w:rPr>
            </w:pPr>
          </w:p>
        </w:tc>
        <w:tc>
          <w:tcPr>
            <w:tcW w:w="5812" w:type="dxa"/>
          </w:tcPr>
          <w:p w14:paraId="63A68A15" w14:textId="61A24E19" w:rsidR="00BF19E7" w:rsidRPr="001C6CCA" w:rsidRDefault="00816A1C" w:rsidP="00816A1C">
            <w:pPr>
              <w:spacing w:before="0" w:after="0"/>
              <w:rPr>
                <w:rFonts w:cs="Calibri"/>
                <w:sz w:val="20"/>
                <w:szCs w:val="20"/>
                <w:lang w:val="en-GB" w:eastAsia="en-US"/>
              </w:rPr>
            </w:pPr>
            <w:r w:rsidRPr="002B5096">
              <w:rPr>
                <w:rFonts w:cs="Calibri"/>
                <w:sz w:val="20"/>
                <w:szCs w:val="20"/>
                <w:lang w:val="en-GB" w:eastAsia="en-US"/>
              </w:rPr>
              <w:t>Restrukturiranje morfologije morskog dna (</w:t>
            </w:r>
            <w:r>
              <w:rPr>
                <w:rFonts w:cs="Calibri"/>
                <w:sz w:val="20"/>
                <w:szCs w:val="20"/>
                <w:lang w:val="en-GB" w:eastAsia="en-US"/>
              </w:rPr>
              <w:t>bagerisanje</w:t>
            </w:r>
            <w:r w:rsidRPr="002B5096">
              <w:rPr>
                <w:rFonts w:cs="Calibri"/>
                <w:sz w:val="20"/>
                <w:szCs w:val="20"/>
                <w:lang w:val="en-GB" w:eastAsia="en-US"/>
              </w:rPr>
              <w:t>, podizanje nivoa usl</w:t>
            </w:r>
            <w:r>
              <w:rPr>
                <w:rFonts w:cs="Calibri"/>
                <w:sz w:val="20"/>
                <w:szCs w:val="20"/>
                <w:lang w:val="en-GB" w:eastAsia="en-US"/>
              </w:rPr>
              <w:t>jed širenja)</w:t>
            </w:r>
          </w:p>
        </w:tc>
      </w:tr>
      <w:tr w:rsidR="00BF19E7" w:rsidRPr="001C6CCA" w14:paraId="560D24B7" w14:textId="77777777" w:rsidTr="006E396B">
        <w:tc>
          <w:tcPr>
            <w:tcW w:w="3397" w:type="dxa"/>
            <w:vMerge/>
          </w:tcPr>
          <w:p w14:paraId="7B10205C" w14:textId="77777777" w:rsidR="00BF19E7" w:rsidRPr="001C6CCA" w:rsidRDefault="00BF19E7" w:rsidP="00F65CFF">
            <w:pPr>
              <w:spacing w:before="0" w:after="0"/>
              <w:rPr>
                <w:rFonts w:cs="Calibri"/>
                <w:sz w:val="20"/>
                <w:szCs w:val="20"/>
                <w:lang w:val="en-GB" w:eastAsia="en-US"/>
              </w:rPr>
            </w:pPr>
          </w:p>
        </w:tc>
        <w:tc>
          <w:tcPr>
            <w:tcW w:w="5812" w:type="dxa"/>
          </w:tcPr>
          <w:p w14:paraId="34B670AB" w14:textId="0B8AADF1" w:rsidR="00BF19E7" w:rsidRPr="001C6CCA" w:rsidRDefault="00816A1C" w:rsidP="00816A1C">
            <w:pPr>
              <w:spacing w:before="0" w:after="0"/>
              <w:rPr>
                <w:rFonts w:cs="Calibri"/>
                <w:sz w:val="20"/>
                <w:szCs w:val="20"/>
                <w:lang w:val="en-GB" w:eastAsia="en-US"/>
              </w:rPr>
            </w:pPr>
            <w:r w:rsidRPr="002B5096">
              <w:rPr>
                <w:rFonts w:cs="Calibri"/>
                <w:sz w:val="20"/>
                <w:szCs w:val="20"/>
                <w:lang w:val="en-GB" w:eastAsia="en-US"/>
              </w:rPr>
              <w:t>Obalna odbrana i zaštita od poplav</w:t>
            </w:r>
            <w:r>
              <w:rPr>
                <w:rFonts w:cs="Calibri"/>
                <w:sz w:val="20"/>
                <w:szCs w:val="20"/>
                <w:lang w:val="en-GB" w:eastAsia="en-US"/>
              </w:rPr>
              <w:t>a</w:t>
            </w:r>
            <w:r w:rsidRPr="002B5096">
              <w:rPr>
                <w:rFonts w:cs="Calibri"/>
                <w:sz w:val="20"/>
                <w:szCs w:val="20"/>
                <w:lang w:val="en-GB" w:eastAsia="en-US"/>
              </w:rPr>
              <w:t xml:space="preserve"> (podizanje nivoa tokom </w:t>
            </w:r>
            <w:r w:rsidRPr="00AA6D51">
              <w:rPr>
                <w:rFonts w:cs="Calibri"/>
                <w:sz w:val="20"/>
                <w:szCs w:val="20"/>
                <w:lang w:val="en-GB" w:eastAsia="en-US"/>
              </w:rPr>
              <w:t>suplementacije)</w:t>
            </w:r>
          </w:p>
        </w:tc>
      </w:tr>
      <w:tr w:rsidR="00BF19E7" w:rsidRPr="001C6CCA" w14:paraId="041B4F37" w14:textId="77777777" w:rsidTr="006E396B">
        <w:tc>
          <w:tcPr>
            <w:tcW w:w="3397" w:type="dxa"/>
            <w:vMerge/>
          </w:tcPr>
          <w:p w14:paraId="51465D17" w14:textId="77777777" w:rsidR="00BF19E7" w:rsidRPr="001C6CCA" w:rsidRDefault="00BF19E7" w:rsidP="00F65CFF">
            <w:pPr>
              <w:spacing w:before="0" w:after="0"/>
              <w:rPr>
                <w:rFonts w:cs="Calibri"/>
                <w:sz w:val="20"/>
                <w:szCs w:val="20"/>
                <w:lang w:val="en-GB" w:eastAsia="en-US"/>
              </w:rPr>
            </w:pPr>
          </w:p>
        </w:tc>
        <w:tc>
          <w:tcPr>
            <w:tcW w:w="5812" w:type="dxa"/>
          </w:tcPr>
          <w:p w14:paraId="136E28AE" w14:textId="0D15EF76" w:rsidR="00BF19E7" w:rsidRPr="001C6CCA" w:rsidRDefault="00816A1C" w:rsidP="00816A1C">
            <w:pPr>
              <w:spacing w:before="0" w:after="0"/>
              <w:rPr>
                <w:rFonts w:cs="Calibri"/>
                <w:sz w:val="20"/>
                <w:szCs w:val="20"/>
                <w:lang w:val="en-GB" w:eastAsia="en-US"/>
              </w:rPr>
            </w:pPr>
            <w:r w:rsidRPr="002B5096">
              <w:rPr>
                <w:rFonts w:cs="Calibri"/>
                <w:sz w:val="20"/>
                <w:szCs w:val="20"/>
                <w:lang w:val="en-GB" w:eastAsia="en-US"/>
              </w:rPr>
              <w:t>Restrukturi</w:t>
            </w:r>
            <w:r>
              <w:rPr>
                <w:rFonts w:cs="Calibri"/>
                <w:sz w:val="20"/>
                <w:szCs w:val="20"/>
                <w:lang w:val="en-GB" w:eastAsia="en-US"/>
              </w:rPr>
              <w:t>ranje morfologije morskog dna (bagerisanje</w:t>
            </w:r>
            <w:r w:rsidRPr="002B5096">
              <w:rPr>
                <w:rFonts w:cs="Calibri"/>
                <w:sz w:val="20"/>
                <w:szCs w:val="20"/>
                <w:lang w:val="en-GB" w:eastAsia="en-US"/>
              </w:rPr>
              <w:t>, podizanje nivoa usl</w:t>
            </w:r>
            <w:r>
              <w:rPr>
                <w:rFonts w:cs="Calibri"/>
                <w:sz w:val="20"/>
                <w:szCs w:val="20"/>
                <w:lang w:val="en-GB" w:eastAsia="en-US"/>
              </w:rPr>
              <w:t>jed širenja)</w:t>
            </w:r>
          </w:p>
        </w:tc>
      </w:tr>
      <w:tr w:rsidR="00BF19E7" w:rsidRPr="001C6CCA" w14:paraId="72557674" w14:textId="77777777" w:rsidTr="006E396B">
        <w:tc>
          <w:tcPr>
            <w:tcW w:w="3397" w:type="dxa"/>
            <w:vMerge/>
          </w:tcPr>
          <w:p w14:paraId="26BAA6B5" w14:textId="77777777" w:rsidR="00BF19E7" w:rsidRPr="001C6CCA" w:rsidRDefault="00BF19E7" w:rsidP="00F65CFF">
            <w:pPr>
              <w:spacing w:before="0" w:after="0"/>
              <w:rPr>
                <w:rFonts w:cs="Calibri"/>
                <w:sz w:val="20"/>
                <w:szCs w:val="20"/>
                <w:lang w:val="en-GB" w:eastAsia="en-US"/>
              </w:rPr>
            </w:pPr>
          </w:p>
        </w:tc>
        <w:tc>
          <w:tcPr>
            <w:tcW w:w="5812" w:type="dxa"/>
          </w:tcPr>
          <w:p w14:paraId="619A2A4B" w14:textId="1403BD11" w:rsidR="00BF19E7" w:rsidRPr="001C6CCA" w:rsidRDefault="00816A1C" w:rsidP="00816A1C">
            <w:pPr>
              <w:spacing w:before="0" w:after="0"/>
              <w:rPr>
                <w:rFonts w:cs="Calibri"/>
                <w:sz w:val="20"/>
                <w:szCs w:val="20"/>
                <w:lang w:val="en-GB" w:eastAsia="en-US"/>
              </w:rPr>
            </w:pPr>
            <w:r w:rsidRPr="002B5096">
              <w:rPr>
                <w:rFonts w:cs="Calibri"/>
                <w:sz w:val="20"/>
                <w:szCs w:val="20"/>
                <w:lang w:val="en-GB" w:eastAsia="en-US"/>
              </w:rPr>
              <w:t>Transportna infrastruktura (luke, s</w:t>
            </w:r>
            <w:r>
              <w:rPr>
                <w:rFonts w:cs="Calibri"/>
                <w:sz w:val="20"/>
                <w:szCs w:val="20"/>
                <w:lang w:val="en-GB" w:eastAsia="en-US"/>
              </w:rPr>
              <w:t>manjivanje nivoa zbog sedimentacije)</w:t>
            </w:r>
          </w:p>
        </w:tc>
      </w:tr>
      <w:tr w:rsidR="00BF19E7" w:rsidRPr="001C6CCA" w14:paraId="4173B841" w14:textId="77777777" w:rsidTr="006E396B">
        <w:tc>
          <w:tcPr>
            <w:tcW w:w="3397" w:type="dxa"/>
          </w:tcPr>
          <w:p w14:paraId="53AE3FF8" w14:textId="333CEF86" w:rsidR="00BF19E7" w:rsidRPr="001C6CCA" w:rsidRDefault="002B5096" w:rsidP="009A1B91">
            <w:pPr>
              <w:spacing w:before="0" w:after="0"/>
              <w:jc w:val="left"/>
              <w:rPr>
                <w:rFonts w:cs="Calibri"/>
                <w:sz w:val="20"/>
                <w:szCs w:val="20"/>
                <w:lang w:val="en-GB" w:eastAsia="en-US"/>
              </w:rPr>
            </w:pPr>
            <w:r w:rsidRPr="002B5096">
              <w:rPr>
                <w:rFonts w:cs="Calibri"/>
                <w:sz w:val="20"/>
                <w:szCs w:val="20"/>
                <w:lang w:val="en-GB" w:eastAsia="en-US"/>
              </w:rPr>
              <w:t>Porast temperature usl</w:t>
            </w:r>
            <w:r>
              <w:rPr>
                <w:rFonts w:cs="Calibri"/>
                <w:sz w:val="20"/>
                <w:szCs w:val="20"/>
                <w:lang w:val="en-GB" w:eastAsia="en-US"/>
              </w:rPr>
              <w:t>j</w:t>
            </w:r>
            <w:r w:rsidRPr="002B5096">
              <w:rPr>
                <w:rFonts w:cs="Calibri"/>
                <w:sz w:val="20"/>
                <w:szCs w:val="20"/>
                <w:lang w:val="en-GB" w:eastAsia="en-US"/>
              </w:rPr>
              <w:t>ed klimatskih prom</w:t>
            </w:r>
            <w:r>
              <w:rPr>
                <w:rFonts w:cs="Calibri"/>
                <w:sz w:val="20"/>
                <w:szCs w:val="20"/>
                <w:lang w:val="en-GB" w:eastAsia="en-US"/>
              </w:rPr>
              <w:t>j</w:t>
            </w:r>
            <w:r w:rsidRPr="002B5096">
              <w:rPr>
                <w:rFonts w:cs="Calibri"/>
                <w:sz w:val="20"/>
                <w:szCs w:val="20"/>
                <w:lang w:val="en-GB" w:eastAsia="en-US"/>
              </w:rPr>
              <w:t>ena</w:t>
            </w:r>
          </w:p>
        </w:tc>
        <w:tc>
          <w:tcPr>
            <w:tcW w:w="5812" w:type="dxa"/>
          </w:tcPr>
          <w:p w14:paraId="5ED8E26F" w14:textId="1089DF45" w:rsidR="00BF19E7" w:rsidRPr="001C6CCA" w:rsidRDefault="00816A1C" w:rsidP="00F65CFF">
            <w:pPr>
              <w:autoSpaceDE w:val="0"/>
              <w:autoSpaceDN w:val="0"/>
              <w:adjustRightInd w:val="0"/>
              <w:spacing w:before="0" w:after="0" w:line="240" w:lineRule="auto"/>
              <w:jc w:val="left"/>
              <w:rPr>
                <w:rFonts w:cs="Calibri"/>
                <w:sz w:val="20"/>
                <w:szCs w:val="20"/>
                <w:lang w:val="en-GB" w:eastAsia="en-US"/>
              </w:rPr>
            </w:pPr>
            <w:r w:rsidRPr="002B5096">
              <w:rPr>
                <w:rFonts w:cs="Calibri"/>
                <w:sz w:val="20"/>
                <w:szCs w:val="20"/>
                <w:lang w:val="en-GB" w:eastAsia="en-US"/>
              </w:rPr>
              <w:t>Globalna emisija gasova sa efektom staklene bašte</w:t>
            </w:r>
          </w:p>
        </w:tc>
      </w:tr>
    </w:tbl>
    <w:p w14:paraId="7AD7838F" w14:textId="43AEE557" w:rsidR="00597A6F" w:rsidRPr="001C6CCA" w:rsidRDefault="00597A6F" w:rsidP="003C159B">
      <w:pPr>
        <w:spacing w:before="0" w:after="160"/>
        <w:rPr>
          <w:rFonts w:eastAsia="Calibri"/>
          <w:b/>
          <w:szCs w:val="22"/>
          <w:lang w:val="en-GB" w:eastAsia="en-US"/>
        </w:rPr>
      </w:pPr>
    </w:p>
    <w:p w14:paraId="66FB984A" w14:textId="22DC4E69" w:rsidR="00D64C8B" w:rsidRPr="00AD3938" w:rsidRDefault="00710AC9" w:rsidP="00AD3938">
      <w:pPr>
        <w:pStyle w:val="Heading3"/>
        <w:rPr>
          <w:rFonts w:eastAsia="Calibri"/>
          <w:lang w:val="en-GB" w:eastAsia="en-US"/>
        </w:rPr>
      </w:pPr>
      <w:bookmarkStart w:id="152" w:name="_Toc83630924"/>
      <w:r>
        <w:rPr>
          <w:rFonts w:eastAsia="Calibri"/>
          <w:szCs w:val="22"/>
          <w:lang w:val="en-GB" w:eastAsia="en-US"/>
        </w:rPr>
        <w:t xml:space="preserve">Zakonodavni </w:t>
      </w:r>
      <w:r w:rsidR="00816A1C" w:rsidRPr="00816A1C">
        <w:rPr>
          <w:rFonts w:eastAsia="Calibri"/>
          <w:szCs w:val="22"/>
          <w:lang w:val="en-GB" w:eastAsia="en-US"/>
        </w:rPr>
        <w:t xml:space="preserve"> - nacionalni i međunarodni</w:t>
      </w:r>
      <w:bookmarkEnd w:id="152"/>
    </w:p>
    <w:p w14:paraId="2516F740" w14:textId="44F95E4F" w:rsidR="00816A1C" w:rsidRPr="00816A1C" w:rsidRDefault="00816A1C" w:rsidP="00816A1C">
      <w:pPr>
        <w:spacing w:before="0" w:after="160"/>
        <w:rPr>
          <w:rFonts w:eastAsia="Calibri"/>
          <w:b/>
          <w:szCs w:val="22"/>
          <w:lang w:val="en-GB" w:eastAsia="en-US"/>
        </w:rPr>
      </w:pPr>
      <w:r>
        <w:rPr>
          <w:rFonts w:eastAsia="Calibri"/>
          <w:b/>
          <w:szCs w:val="22"/>
          <w:lang w:val="en-GB" w:eastAsia="en-US"/>
        </w:rPr>
        <w:t>N</w:t>
      </w:r>
      <w:r w:rsidRPr="00816A1C">
        <w:rPr>
          <w:rFonts w:eastAsia="Calibri"/>
          <w:b/>
          <w:szCs w:val="22"/>
          <w:lang w:val="en-GB" w:eastAsia="en-US"/>
        </w:rPr>
        <w:t>acionalni nivo</w:t>
      </w:r>
    </w:p>
    <w:p w14:paraId="7D1820FF" w14:textId="2DA3CC93"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Zakon o zaštiti mora ((Službeni list CG, br. 73/19);</w:t>
      </w:r>
    </w:p>
    <w:p w14:paraId="21B6D32B" w14:textId="7FEBEF00"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Zakon o moru (Službeni list Crne Gore br. 17/07, 06/08 i 40/11);</w:t>
      </w:r>
    </w:p>
    <w:p w14:paraId="7DCFEE43" w14:textId="6C840B2D"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Zakon o hidrografsk</w:t>
      </w:r>
      <w:r>
        <w:rPr>
          <w:rFonts w:ascii="Calibri-BoldItalic" w:hAnsi="Calibri-BoldItalic" w:cs="Calibri-BoldItalic"/>
          <w:iCs/>
          <w:color w:val="000000"/>
          <w:szCs w:val="22"/>
          <w:lang w:val="en-GB"/>
        </w:rPr>
        <w:t>oj</w:t>
      </w:r>
      <w:r w:rsidRPr="00816A1C">
        <w:rPr>
          <w:rFonts w:ascii="Calibri-BoldItalic" w:hAnsi="Calibri-BoldItalic" w:cs="Calibri-BoldItalic"/>
          <w:iCs/>
          <w:color w:val="000000"/>
          <w:szCs w:val="22"/>
          <w:lang w:val="en-GB"/>
        </w:rPr>
        <w:t xml:space="preserve"> djelatnosti</w:t>
      </w:r>
      <w:r>
        <w:rPr>
          <w:rFonts w:ascii="Calibri-BoldItalic" w:hAnsi="Calibri-BoldItalic" w:cs="Calibri-BoldItalic"/>
          <w:iCs/>
          <w:color w:val="000000"/>
          <w:szCs w:val="22"/>
          <w:lang w:val="en-GB"/>
        </w:rPr>
        <w:t xml:space="preserve"> </w:t>
      </w:r>
      <w:r w:rsidRPr="00816A1C">
        <w:rPr>
          <w:rFonts w:ascii="Calibri-BoldItalic" w:hAnsi="Calibri-BoldItalic" w:cs="Calibri-BoldItalic"/>
          <w:iCs/>
          <w:color w:val="000000"/>
          <w:szCs w:val="22"/>
          <w:lang w:val="en-GB"/>
        </w:rPr>
        <w:t xml:space="preserve"> (Službeni list Crne Gore br. 26/10);</w:t>
      </w:r>
    </w:p>
    <w:p w14:paraId="2CF471C8" w14:textId="20ADA533"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Zakon o strateškoj proc</w:t>
      </w:r>
      <w:r>
        <w:rPr>
          <w:rFonts w:ascii="Calibri-BoldItalic" w:hAnsi="Calibri-BoldItalic" w:cs="Calibri-BoldItalic"/>
          <w:iCs/>
          <w:color w:val="000000"/>
          <w:szCs w:val="22"/>
          <w:lang w:val="en-GB"/>
        </w:rPr>
        <w:t>j</w:t>
      </w:r>
      <w:r w:rsidRPr="00816A1C">
        <w:rPr>
          <w:rFonts w:ascii="Calibri-BoldItalic" w:hAnsi="Calibri-BoldItalic" w:cs="Calibri-BoldItalic"/>
          <w:iCs/>
          <w:color w:val="000000"/>
          <w:szCs w:val="22"/>
          <w:lang w:val="en-GB"/>
        </w:rPr>
        <w:t>eni uticaja na životnu sredinu („Službeni list CG“, br. 80/05, 59/11, 52/16);</w:t>
      </w:r>
    </w:p>
    <w:p w14:paraId="38BDDFCC" w14:textId="30AB0308"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P</w:t>
      </w:r>
      <w:r>
        <w:rPr>
          <w:rFonts w:ascii="Calibri-BoldItalic" w:hAnsi="Calibri-BoldItalic" w:cs="Calibri-BoldItalic"/>
          <w:iCs/>
          <w:color w:val="000000"/>
          <w:szCs w:val="22"/>
          <w:lang w:val="en-GB"/>
        </w:rPr>
        <w:t xml:space="preserve">ravilnik o </w:t>
      </w:r>
      <w:r w:rsidRPr="00816A1C">
        <w:rPr>
          <w:rFonts w:ascii="Calibri-BoldItalic" w:hAnsi="Calibri-BoldItalic" w:cs="Calibri-BoldItalic"/>
          <w:iCs/>
          <w:color w:val="000000"/>
          <w:szCs w:val="22"/>
          <w:lang w:val="en-GB"/>
        </w:rPr>
        <w:t>kriterijumima i metodološkim standardima za određivanje dobrog</w:t>
      </w:r>
      <w:r>
        <w:rPr>
          <w:rFonts w:ascii="Calibri-BoldItalic" w:hAnsi="Calibri-BoldItalic" w:cs="Calibri-BoldItalic"/>
          <w:iCs/>
          <w:color w:val="000000"/>
          <w:szCs w:val="22"/>
          <w:lang w:val="en-GB"/>
        </w:rPr>
        <w:t xml:space="preserve"> </w:t>
      </w:r>
      <w:r w:rsidRPr="00816A1C">
        <w:rPr>
          <w:rFonts w:ascii="Calibri-BoldItalic" w:hAnsi="Calibri-BoldItalic" w:cs="Calibri-BoldItalic"/>
          <w:iCs/>
          <w:color w:val="000000"/>
          <w:szCs w:val="22"/>
          <w:lang w:val="en-GB"/>
        </w:rPr>
        <w:t>stan</w:t>
      </w:r>
      <w:r>
        <w:rPr>
          <w:rFonts w:ascii="Calibri-BoldItalic" w:hAnsi="Calibri-BoldItalic" w:cs="Calibri-BoldItalic"/>
          <w:iCs/>
          <w:color w:val="000000"/>
          <w:szCs w:val="22"/>
          <w:lang w:val="en-GB"/>
        </w:rPr>
        <w:t>ja i monitoringu morske sredine</w:t>
      </w:r>
      <w:r w:rsidRPr="00816A1C">
        <w:rPr>
          <w:rFonts w:ascii="Calibri-BoldItalic" w:hAnsi="Calibri-BoldItalic" w:cs="Calibri-BoldItalic"/>
          <w:iCs/>
          <w:color w:val="000000"/>
          <w:szCs w:val="22"/>
          <w:lang w:val="en-GB"/>
        </w:rPr>
        <w:t xml:space="preserve"> („Službeni list Crne Gore“, br. 036/21).</w:t>
      </w:r>
    </w:p>
    <w:p w14:paraId="673F5C4A" w14:textId="77777777" w:rsidR="00816A1C" w:rsidRPr="00816A1C" w:rsidRDefault="00816A1C" w:rsidP="00816A1C">
      <w:pPr>
        <w:spacing w:before="0" w:after="160"/>
        <w:rPr>
          <w:rFonts w:eastAsia="Calibri"/>
          <w:b/>
          <w:szCs w:val="22"/>
          <w:lang w:val="en-GB" w:eastAsia="en-US"/>
        </w:rPr>
      </w:pPr>
    </w:p>
    <w:p w14:paraId="04C47228" w14:textId="77777777" w:rsidR="00816A1C" w:rsidRPr="00816A1C" w:rsidRDefault="00816A1C" w:rsidP="00816A1C">
      <w:pPr>
        <w:spacing w:before="0" w:after="160"/>
        <w:rPr>
          <w:rFonts w:eastAsia="Calibri"/>
          <w:b/>
          <w:szCs w:val="22"/>
          <w:lang w:val="en-GB" w:eastAsia="en-US"/>
        </w:rPr>
      </w:pPr>
      <w:r w:rsidRPr="00816A1C">
        <w:rPr>
          <w:rFonts w:eastAsia="Calibri"/>
          <w:b/>
          <w:szCs w:val="22"/>
          <w:lang w:val="en-GB" w:eastAsia="en-US"/>
        </w:rPr>
        <w:t>Međunarodni nivo</w:t>
      </w:r>
    </w:p>
    <w:p w14:paraId="7F5C11E3" w14:textId="11034168"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 xml:space="preserve">Okvirna direktiva </w:t>
      </w:r>
      <w:r>
        <w:rPr>
          <w:rFonts w:ascii="Calibri-BoldItalic" w:hAnsi="Calibri-BoldItalic" w:cs="Calibri-BoldItalic"/>
          <w:iCs/>
          <w:color w:val="000000"/>
          <w:szCs w:val="22"/>
          <w:lang w:val="en-GB"/>
        </w:rPr>
        <w:t>o morskoj strategiji (2008/56/</w:t>
      </w:r>
      <w:r w:rsidRPr="00816A1C">
        <w:rPr>
          <w:rFonts w:ascii="Calibri-BoldItalic" w:hAnsi="Calibri-BoldItalic" w:cs="Calibri-BoldItalic"/>
          <w:iCs/>
          <w:color w:val="000000"/>
          <w:szCs w:val="22"/>
          <w:lang w:val="en-GB"/>
        </w:rPr>
        <w:t>EC);</w:t>
      </w:r>
    </w:p>
    <w:p w14:paraId="0A273BDC" w14:textId="5AB50339"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Komisije (EU) 2017/845 o izm</w:t>
      </w:r>
      <w:r>
        <w:rPr>
          <w:rFonts w:ascii="Calibri-BoldItalic" w:hAnsi="Calibri-BoldItalic" w:cs="Calibri-BoldItalic"/>
          <w:iCs/>
          <w:color w:val="000000"/>
          <w:szCs w:val="22"/>
          <w:lang w:val="en-GB"/>
        </w:rPr>
        <w:t>j</w:t>
      </w:r>
      <w:r w:rsidRPr="00816A1C">
        <w:rPr>
          <w:rFonts w:ascii="Calibri-BoldItalic" w:hAnsi="Calibri-BoldItalic" w:cs="Calibri-BoldItalic"/>
          <w:iCs/>
          <w:color w:val="000000"/>
          <w:szCs w:val="22"/>
          <w:lang w:val="en-GB"/>
        </w:rPr>
        <w:t>enama i dopunama Direktive 2008/56/ EC).</w:t>
      </w:r>
    </w:p>
    <w:p w14:paraId="1E302D48" w14:textId="6D4997B7"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Odluka Komisije (EU) 2017/848</w:t>
      </w:r>
    </w:p>
    <w:p w14:paraId="3945EC23" w14:textId="1FD9C1BC"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o proc</w:t>
      </w:r>
      <w:r>
        <w:rPr>
          <w:rFonts w:ascii="Calibri-BoldItalic" w:hAnsi="Calibri-BoldItalic" w:cs="Calibri-BoldItalic"/>
          <w:iCs/>
          <w:color w:val="000000"/>
          <w:szCs w:val="22"/>
          <w:lang w:val="en-GB"/>
        </w:rPr>
        <w:t>j</w:t>
      </w:r>
      <w:r w:rsidRPr="00816A1C">
        <w:rPr>
          <w:rFonts w:ascii="Calibri-BoldItalic" w:hAnsi="Calibri-BoldItalic" w:cs="Calibri-BoldItalic"/>
          <w:iCs/>
          <w:color w:val="000000"/>
          <w:szCs w:val="22"/>
          <w:lang w:val="en-GB"/>
        </w:rPr>
        <w:t>eni uticaja na životnu sredinu (85/337</w:t>
      </w:r>
      <w:r>
        <w:rPr>
          <w:rFonts w:ascii="Calibri-BoldItalic" w:hAnsi="Calibri-BoldItalic" w:cs="Calibri-BoldItalic"/>
          <w:iCs/>
          <w:color w:val="000000"/>
          <w:szCs w:val="22"/>
          <w:lang w:val="en-GB"/>
        </w:rPr>
        <w:t>/</w:t>
      </w:r>
      <w:r w:rsidRPr="00816A1C">
        <w:rPr>
          <w:rFonts w:ascii="Calibri-BoldItalic" w:hAnsi="Calibri-BoldItalic" w:cs="Calibri-BoldItalic"/>
          <w:iCs/>
          <w:color w:val="000000"/>
          <w:szCs w:val="22"/>
          <w:lang w:val="en-GB"/>
        </w:rPr>
        <w:t>EEC) (sa izm</w:t>
      </w:r>
      <w:r>
        <w:rPr>
          <w:rFonts w:ascii="Calibri-BoldItalic" w:hAnsi="Calibri-BoldItalic" w:cs="Calibri-BoldItalic"/>
          <w:iCs/>
          <w:color w:val="000000"/>
          <w:szCs w:val="22"/>
          <w:lang w:val="en-GB"/>
        </w:rPr>
        <w:t>j</w:t>
      </w:r>
      <w:r w:rsidRPr="00816A1C">
        <w:rPr>
          <w:rFonts w:ascii="Calibri-BoldItalic" w:hAnsi="Calibri-BoldItalic" w:cs="Calibri-BoldItalic"/>
          <w:iCs/>
          <w:color w:val="000000"/>
          <w:szCs w:val="22"/>
          <w:lang w:val="en-GB"/>
        </w:rPr>
        <w:t>enama i dopunama);</w:t>
      </w:r>
    </w:p>
    <w:p w14:paraId="4A80D168" w14:textId="724FC4B7"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o strateškoj proc</w:t>
      </w:r>
      <w:r>
        <w:rPr>
          <w:rFonts w:ascii="Calibri-BoldItalic" w:hAnsi="Calibri-BoldItalic" w:cs="Calibri-BoldItalic"/>
          <w:iCs/>
          <w:color w:val="000000"/>
          <w:szCs w:val="22"/>
          <w:lang w:val="en-GB"/>
        </w:rPr>
        <w:t>j</w:t>
      </w:r>
      <w:r w:rsidRPr="00816A1C">
        <w:rPr>
          <w:rFonts w:ascii="Calibri-BoldItalic" w:hAnsi="Calibri-BoldItalic" w:cs="Calibri-BoldItalic"/>
          <w:iCs/>
          <w:color w:val="000000"/>
          <w:szCs w:val="22"/>
          <w:lang w:val="en-GB"/>
        </w:rPr>
        <w:t>eni uticaja na životnu sredinu (2001/42</w:t>
      </w:r>
      <w:r>
        <w:rPr>
          <w:rFonts w:ascii="Calibri-BoldItalic" w:hAnsi="Calibri-BoldItalic" w:cs="Calibri-BoldItalic"/>
          <w:iCs/>
          <w:color w:val="000000"/>
          <w:szCs w:val="22"/>
          <w:lang w:val="en-GB"/>
        </w:rPr>
        <w:t>/</w:t>
      </w:r>
      <w:r w:rsidRPr="00816A1C">
        <w:rPr>
          <w:rFonts w:ascii="Calibri-BoldItalic" w:hAnsi="Calibri-BoldItalic" w:cs="Calibri-BoldItalic"/>
          <w:iCs/>
          <w:color w:val="000000"/>
          <w:szCs w:val="22"/>
          <w:lang w:val="en-GB"/>
        </w:rPr>
        <w:t>EC);</w:t>
      </w:r>
    </w:p>
    <w:p w14:paraId="4AEE62B0" w14:textId="2427A027"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o pomorskom prostornom planiranju (2014/89</w:t>
      </w:r>
      <w:r>
        <w:rPr>
          <w:rFonts w:ascii="Calibri-BoldItalic" w:hAnsi="Calibri-BoldItalic" w:cs="Calibri-BoldItalic"/>
          <w:iCs/>
          <w:color w:val="000000"/>
          <w:szCs w:val="22"/>
          <w:lang w:val="en-GB"/>
        </w:rPr>
        <w:t>/</w:t>
      </w:r>
      <w:r w:rsidRPr="00816A1C">
        <w:rPr>
          <w:rFonts w:ascii="Calibri-BoldItalic" w:hAnsi="Calibri-BoldItalic" w:cs="Calibri-BoldItalic"/>
          <w:iCs/>
          <w:color w:val="000000"/>
          <w:szCs w:val="22"/>
          <w:lang w:val="en-GB"/>
        </w:rPr>
        <w:t>EU);</w:t>
      </w:r>
    </w:p>
    <w:p w14:paraId="364CE6F6" w14:textId="2AA5E6CB"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Pr>
          <w:rFonts w:ascii="Calibri-BoldItalic" w:hAnsi="Calibri-BoldItalic" w:cs="Calibri-BoldItalic"/>
          <w:iCs/>
          <w:color w:val="000000"/>
          <w:szCs w:val="22"/>
          <w:lang w:val="en-GB"/>
        </w:rPr>
        <w:t>O</w:t>
      </w:r>
      <w:r w:rsidRPr="00816A1C">
        <w:rPr>
          <w:rFonts w:ascii="Calibri-BoldItalic" w:hAnsi="Calibri-BoldItalic" w:cs="Calibri-BoldItalic"/>
          <w:iCs/>
          <w:color w:val="000000"/>
          <w:szCs w:val="22"/>
          <w:lang w:val="en-GB"/>
        </w:rPr>
        <w:t>kvirna direktiva o vodama (2000/60/EC);</w:t>
      </w:r>
    </w:p>
    <w:p w14:paraId="5B63A321" w14:textId="3161DCBE"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o staništima (92/43/EEC);</w:t>
      </w:r>
    </w:p>
    <w:p w14:paraId="18760A66" w14:textId="31F094EF"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o pticama (2009/147/EC);</w:t>
      </w:r>
    </w:p>
    <w:p w14:paraId="6C871048" w14:textId="5E112A55" w:rsidR="00816A1C" w:rsidRPr="00816A1C" w:rsidRDefault="00816A1C"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o odgovornosti za životnu sredinu (2004/35/EC) (sa izm</w:t>
      </w:r>
      <w:r>
        <w:rPr>
          <w:rFonts w:ascii="Calibri-BoldItalic" w:hAnsi="Calibri-BoldItalic" w:cs="Calibri-BoldItalic"/>
          <w:iCs/>
          <w:color w:val="000000"/>
          <w:szCs w:val="22"/>
          <w:lang w:val="en-GB"/>
        </w:rPr>
        <w:t>j</w:t>
      </w:r>
      <w:r w:rsidRPr="00816A1C">
        <w:rPr>
          <w:rFonts w:ascii="Calibri-BoldItalic" w:hAnsi="Calibri-BoldItalic" w:cs="Calibri-BoldItalic"/>
          <w:iCs/>
          <w:color w:val="000000"/>
          <w:szCs w:val="22"/>
          <w:lang w:val="en-GB"/>
        </w:rPr>
        <w:t>enama i dopunama).</w:t>
      </w:r>
    </w:p>
    <w:p w14:paraId="5E963DC2" w14:textId="77777777" w:rsidR="00597A6F" w:rsidRPr="001C6CCA" w:rsidRDefault="00597A6F" w:rsidP="00F65CFF">
      <w:pPr>
        <w:spacing w:before="0" w:after="0" w:line="259" w:lineRule="auto"/>
        <w:rPr>
          <w:rFonts w:eastAsia="Calibri"/>
          <w:b/>
          <w:sz w:val="20"/>
          <w:szCs w:val="20"/>
          <w:lang w:val="en-GB" w:eastAsia="en-US"/>
        </w:rPr>
      </w:pPr>
    </w:p>
    <w:p w14:paraId="69EEAA1A" w14:textId="3FEACD78" w:rsidR="00BF19E7" w:rsidRPr="001C6CCA" w:rsidRDefault="00341C69" w:rsidP="00816A1C">
      <w:pPr>
        <w:pStyle w:val="Heading3"/>
        <w:rPr>
          <w:rFonts w:eastAsia="Calibri"/>
          <w:lang w:val="en-GB"/>
        </w:rPr>
      </w:pPr>
      <w:bookmarkStart w:id="153" w:name="_Toc83630925"/>
      <w:r>
        <w:rPr>
          <w:rFonts w:eastAsia="Calibri"/>
          <w:lang w:val="en-GB"/>
        </w:rPr>
        <w:t>Odabir</w:t>
      </w:r>
      <w:r w:rsidR="00816A1C" w:rsidRPr="00816A1C">
        <w:rPr>
          <w:rFonts w:eastAsia="Calibri"/>
          <w:lang w:val="en-GB"/>
        </w:rPr>
        <w:t xml:space="preserve"> kriterijuma za proc</w:t>
      </w:r>
      <w:r w:rsidR="00B609F5">
        <w:rPr>
          <w:rFonts w:eastAsia="Calibri"/>
          <w:lang w:val="en-GB"/>
        </w:rPr>
        <w:t>j</w:t>
      </w:r>
      <w:r w:rsidR="00816A1C" w:rsidRPr="00816A1C">
        <w:rPr>
          <w:rFonts w:eastAsia="Calibri"/>
          <w:lang w:val="en-GB"/>
        </w:rPr>
        <w:t>enu GES-a</w:t>
      </w:r>
      <w:bookmarkEnd w:id="153"/>
    </w:p>
    <w:p w14:paraId="74BD1FA0" w14:textId="3FC70C08" w:rsidR="00B46462" w:rsidRPr="001C6CCA" w:rsidRDefault="00B609F5" w:rsidP="002A32AF">
      <w:pPr>
        <w:spacing w:before="0" w:after="160"/>
        <w:rPr>
          <w:rFonts w:eastAsia="Calibri" w:cs="Calibri"/>
          <w:color w:val="000000"/>
          <w:szCs w:val="22"/>
          <w:lang w:val="en-GB" w:eastAsia="en-US"/>
        </w:rPr>
      </w:pPr>
      <w:r w:rsidRPr="00B609F5">
        <w:rPr>
          <w:rFonts w:eastAsia="Calibri" w:cs="Calibri"/>
          <w:color w:val="000000"/>
          <w:szCs w:val="22"/>
          <w:lang w:val="en-GB" w:eastAsia="en-US"/>
        </w:rPr>
        <w:t>Deskriptor 7 je deskriptor pritiska/</w:t>
      </w:r>
      <w:r w:rsidR="003C4FB6">
        <w:rPr>
          <w:rFonts w:eastAsia="Calibri" w:cs="Calibri"/>
          <w:color w:val="000000"/>
          <w:szCs w:val="22"/>
          <w:lang w:val="en-GB" w:eastAsia="en-US"/>
        </w:rPr>
        <w:t>uticaja, odnosno s</w:t>
      </w:r>
      <w:r w:rsidRPr="00B609F5">
        <w:rPr>
          <w:rFonts w:eastAsia="Calibri" w:cs="Calibri"/>
          <w:color w:val="000000"/>
          <w:szCs w:val="22"/>
          <w:lang w:val="en-GB" w:eastAsia="en-US"/>
        </w:rPr>
        <w:t>ekundarni deskriptor, gd</w:t>
      </w:r>
      <w:r w:rsidR="003C4FB6">
        <w:rPr>
          <w:rFonts w:eastAsia="Calibri" w:cs="Calibri"/>
          <w:color w:val="000000"/>
          <w:szCs w:val="22"/>
          <w:lang w:val="en-GB" w:eastAsia="en-US"/>
        </w:rPr>
        <w:t>j</w:t>
      </w:r>
      <w:r w:rsidRPr="00B609F5">
        <w:rPr>
          <w:rFonts w:eastAsia="Calibri" w:cs="Calibri"/>
          <w:color w:val="000000"/>
          <w:szCs w:val="22"/>
          <w:lang w:val="en-GB" w:eastAsia="en-US"/>
        </w:rPr>
        <w:t>e je postignuće GES-a u velikoj m</w:t>
      </w:r>
      <w:r w:rsidR="003C4FB6">
        <w:rPr>
          <w:rFonts w:eastAsia="Calibri" w:cs="Calibri"/>
          <w:color w:val="000000"/>
          <w:szCs w:val="22"/>
          <w:lang w:val="en-GB" w:eastAsia="en-US"/>
        </w:rPr>
        <w:t>j</w:t>
      </w:r>
      <w:r w:rsidRPr="00B609F5">
        <w:rPr>
          <w:rFonts w:eastAsia="Calibri" w:cs="Calibri"/>
          <w:color w:val="000000"/>
          <w:szCs w:val="22"/>
          <w:lang w:val="en-GB" w:eastAsia="en-US"/>
        </w:rPr>
        <w:t>eri povezano sa postignućem GES-a drugih deskriptora. Naime, prom</w:t>
      </w:r>
      <w:r w:rsidR="003C4FB6">
        <w:rPr>
          <w:rFonts w:eastAsia="Calibri" w:cs="Calibri"/>
          <w:color w:val="000000"/>
          <w:szCs w:val="22"/>
          <w:lang w:val="en-GB" w:eastAsia="en-US"/>
        </w:rPr>
        <w:t>j</w:t>
      </w:r>
      <w:r w:rsidRPr="00B609F5">
        <w:rPr>
          <w:rFonts w:eastAsia="Calibri" w:cs="Calibri"/>
          <w:color w:val="000000"/>
          <w:szCs w:val="22"/>
          <w:lang w:val="en-GB" w:eastAsia="en-US"/>
        </w:rPr>
        <w:t>ene u hidrografskim uslovima usl</w:t>
      </w:r>
      <w:r w:rsidR="003C4FB6">
        <w:rPr>
          <w:rFonts w:eastAsia="Calibri" w:cs="Calibri"/>
          <w:color w:val="000000"/>
          <w:szCs w:val="22"/>
          <w:lang w:val="en-GB" w:eastAsia="en-US"/>
        </w:rPr>
        <w:t>j</w:t>
      </w:r>
      <w:r w:rsidRPr="00B609F5">
        <w:rPr>
          <w:rFonts w:eastAsia="Calibri" w:cs="Calibri"/>
          <w:color w:val="000000"/>
          <w:szCs w:val="22"/>
          <w:lang w:val="en-GB" w:eastAsia="en-US"/>
        </w:rPr>
        <w:t>ed antropogene intervencije i/ili usled uticaja klimatskih prom</w:t>
      </w:r>
      <w:r w:rsidR="003C4FB6">
        <w:rPr>
          <w:rFonts w:eastAsia="Calibri" w:cs="Calibri"/>
          <w:color w:val="000000"/>
          <w:szCs w:val="22"/>
          <w:lang w:val="en-GB" w:eastAsia="en-US"/>
        </w:rPr>
        <w:t>j</w:t>
      </w:r>
      <w:r w:rsidRPr="00B609F5">
        <w:rPr>
          <w:rFonts w:eastAsia="Calibri" w:cs="Calibri"/>
          <w:color w:val="000000"/>
          <w:szCs w:val="22"/>
          <w:lang w:val="en-GB" w:eastAsia="en-US"/>
        </w:rPr>
        <w:t>ena, rezultiraju prom</w:t>
      </w:r>
      <w:r w:rsidR="003C4FB6">
        <w:rPr>
          <w:rFonts w:eastAsia="Calibri" w:cs="Calibri"/>
          <w:color w:val="000000"/>
          <w:szCs w:val="22"/>
          <w:lang w:val="en-GB" w:eastAsia="en-US"/>
        </w:rPr>
        <w:t>j</w:t>
      </w:r>
      <w:r w:rsidRPr="00B609F5">
        <w:rPr>
          <w:rFonts w:eastAsia="Calibri" w:cs="Calibri"/>
          <w:color w:val="000000"/>
          <w:szCs w:val="22"/>
          <w:lang w:val="en-GB" w:eastAsia="en-US"/>
        </w:rPr>
        <w:t>enama u c</w:t>
      </w:r>
      <w:r w:rsidR="003C4FB6">
        <w:rPr>
          <w:rFonts w:eastAsia="Calibri" w:cs="Calibri"/>
          <w:color w:val="000000"/>
          <w:szCs w:val="22"/>
          <w:lang w:val="en-GB" w:eastAsia="en-US"/>
        </w:rPr>
        <w:t>j</w:t>
      </w:r>
      <w:r w:rsidRPr="00B609F5">
        <w:rPr>
          <w:rFonts w:eastAsia="Calibri" w:cs="Calibri"/>
          <w:color w:val="000000"/>
          <w:szCs w:val="22"/>
          <w:lang w:val="en-GB" w:eastAsia="en-US"/>
        </w:rPr>
        <w:t xml:space="preserve">elokupnom morskom ekosistemu, posebno na morskom dnu. Stoga je važno znati koliko se potencijalno negativni uticaj antropogene intervencije širi u </w:t>
      </w:r>
      <w:r w:rsidR="003C4FB6">
        <w:rPr>
          <w:rFonts w:eastAsia="Calibri" w:cs="Calibri"/>
          <w:color w:val="000000"/>
          <w:szCs w:val="22"/>
          <w:lang w:val="en-GB" w:eastAsia="en-US"/>
        </w:rPr>
        <w:t>doba</w:t>
      </w:r>
      <w:r w:rsidRPr="00B609F5">
        <w:rPr>
          <w:rFonts w:eastAsia="Calibri" w:cs="Calibri"/>
          <w:color w:val="000000"/>
          <w:szCs w:val="22"/>
          <w:lang w:val="en-GB" w:eastAsia="en-US"/>
        </w:rPr>
        <w:t xml:space="preserve"> sadašnje i buduće klime. Kriterijumi na osnovu kojih se proc</w:t>
      </w:r>
      <w:r w:rsidR="003C4FB6">
        <w:rPr>
          <w:rFonts w:eastAsia="Calibri" w:cs="Calibri"/>
          <w:color w:val="000000"/>
          <w:szCs w:val="22"/>
          <w:lang w:val="en-GB" w:eastAsia="en-US"/>
        </w:rPr>
        <w:t>ij</w:t>
      </w:r>
      <w:r w:rsidRPr="00B609F5">
        <w:rPr>
          <w:rFonts w:eastAsia="Calibri" w:cs="Calibri"/>
          <w:color w:val="000000"/>
          <w:szCs w:val="22"/>
          <w:lang w:val="en-GB" w:eastAsia="en-US"/>
        </w:rPr>
        <w:t>enjuje GES za ovaj deskriptor takođe su prikazani u tabeli 2.21.</w:t>
      </w:r>
    </w:p>
    <w:p w14:paraId="37C0B259" w14:textId="77777777" w:rsidR="009A1B91" w:rsidRDefault="009A1B91" w:rsidP="00F65CFF">
      <w:pPr>
        <w:spacing w:before="0" w:after="0" w:line="259" w:lineRule="auto"/>
        <w:rPr>
          <w:rFonts w:eastAsia="Calibri"/>
          <w:sz w:val="20"/>
          <w:szCs w:val="20"/>
          <w:lang w:val="en-GB" w:eastAsia="en-US"/>
        </w:rPr>
      </w:pPr>
    </w:p>
    <w:p w14:paraId="5D0E4618" w14:textId="77777777" w:rsidR="00D64C8B" w:rsidRPr="001C6CCA" w:rsidRDefault="00D64C8B" w:rsidP="00F65CFF">
      <w:pPr>
        <w:spacing w:before="0" w:after="0" w:line="259" w:lineRule="auto"/>
        <w:rPr>
          <w:rFonts w:eastAsia="Calibri"/>
          <w:sz w:val="20"/>
          <w:szCs w:val="20"/>
          <w:lang w:val="en-GB" w:eastAsia="en-US"/>
        </w:rPr>
      </w:pPr>
    </w:p>
    <w:p w14:paraId="07A3E030" w14:textId="5C15D2EB" w:rsidR="00D64C8B" w:rsidRPr="00341C69" w:rsidRDefault="00BF19E7" w:rsidP="00341C69">
      <w:pPr>
        <w:spacing w:before="0" w:after="200"/>
        <w:rPr>
          <w:rFonts w:eastAsia="Calibri"/>
          <w:b/>
          <w:szCs w:val="22"/>
          <w:lang w:eastAsia="en-US"/>
        </w:rPr>
      </w:pPr>
      <w:bookmarkStart w:id="154" w:name="_Toc83643167"/>
      <w:r w:rsidRPr="001C6CCA">
        <w:rPr>
          <w:rFonts w:eastAsia="Calibri" w:cs="Calibri"/>
          <w:b/>
          <w:iCs/>
          <w:szCs w:val="22"/>
          <w:lang w:val="en-GB" w:eastAsia="en-US"/>
        </w:rPr>
        <w:t xml:space="preserve">Table </w:t>
      </w:r>
      <w:r w:rsidR="00952C6E" w:rsidRPr="00D932B6">
        <w:rPr>
          <w:b/>
          <w:szCs w:val="22"/>
        </w:rPr>
        <w:fldChar w:fldCharType="begin"/>
      </w:r>
      <w:r w:rsidR="00952C6E" w:rsidRPr="00D932B6">
        <w:rPr>
          <w:b/>
          <w:szCs w:val="22"/>
        </w:rPr>
        <w:instrText xml:space="preserve"> STYLEREF 1 \s </w:instrText>
      </w:r>
      <w:r w:rsidR="00952C6E" w:rsidRPr="00D932B6">
        <w:rPr>
          <w:b/>
          <w:szCs w:val="22"/>
        </w:rPr>
        <w:fldChar w:fldCharType="separate"/>
      </w:r>
      <w:r w:rsidR="000D1E20">
        <w:rPr>
          <w:b/>
          <w:noProof/>
          <w:szCs w:val="22"/>
        </w:rPr>
        <w:t>2</w:t>
      </w:r>
      <w:r w:rsidR="00952C6E" w:rsidRPr="00D932B6">
        <w:rPr>
          <w:b/>
          <w:szCs w:val="22"/>
        </w:rPr>
        <w:fldChar w:fldCharType="end"/>
      </w:r>
      <w:r w:rsidR="00952C6E" w:rsidRPr="00D932B6">
        <w:rPr>
          <w:b/>
          <w:szCs w:val="22"/>
        </w:rPr>
        <w:t>.</w:t>
      </w:r>
      <w:r w:rsidR="00952C6E" w:rsidRPr="00D932B6">
        <w:rPr>
          <w:b/>
          <w:szCs w:val="22"/>
        </w:rPr>
        <w:fldChar w:fldCharType="begin"/>
      </w:r>
      <w:r w:rsidR="00952C6E" w:rsidRPr="00D932B6">
        <w:rPr>
          <w:b/>
          <w:szCs w:val="22"/>
        </w:rPr>
        <w:instrText xml:space="preserve"> SEQ Table \* ARABIC \s 1 </w:instrText>
      </w:r>
      <w:r w:rsidR="00952C6E" w:rsidRPr="00D932B6">
        <w:rPr>
          <w:b/>
          <w:szCs w:val="22"/>
        </w:rPr>
        <w:fldChar w:fldCharType="separate"/>
      </w:r>
      <w:r w:rsidR="000D1E20">
        <w:rPr>
          <w:b/>
          <w:noProof/>
          <w:szCs w:val="22"/>
        </w:rPr>
        <w:t>9</w:t>
      </w:r>
      <w:r w:rsidR="00952C6E" w:rsidRPr="00D932B6">
        <w:rPr>
          <w:b/>
          <w:szCs w:val="22"/>
        </w:rPr>
        <w:fldChar w:fldCharType="end"/>
      </w:r>
      <w:r w:rsidR="00952C6E">
        <w:rPr>
          <w:b/>
          <w:szCs w:val="22"/>
        </w:rPr>
        <w:t>.</w:t>
      </w:r>
      <w:r w:rsidR="00952C6E" w:rsidRPr="001C6CCA">
        <w:rPr>
          <w:rFonts w:eastAsia="Calibri" w:cs="Calibri"/>
          <w:b/>
          <w:szCs w:val="22"/>
          <w:lang w:val="en-GB" w:eastAsia="en-US"/>
        </w:rPr>
        <w:t xml:space="preserve"> </w:t>
      </w:r>
      <w:r w:rsidR="00341C69" w:rsidRPr="0046315C">
        <w:rPr>
          <w:rFonts w:eastAsia="Calibri"/>
          <w:b/>
          <w:szCs w:val="22"/>
          <w:lang w:eastAsia="en-US"/>
        </w:rPr>
        <w:t xml:space="preserve">Pregled odabranih kriterijuma za procjenu </w:t>
      </w:r>
      <w:r w:rsidR="00341C69">
        <w:rPr>
          <w:rFonts w:eastAsia="Calibri"/>
          <w:b/>
          <w:szCs w:val="22"/>
          <w:lang w:eastAsia="en-US"/>
        </w:rPr>
        <w:t>GES-a</w:t>
      </w:r>
      <w:r w:rsidR="00341C69" w:rsidRPr="0046315C">
        <w:rPr>
          <w:rFonts w:eastAsia="Calibri"/>
          <w:b/>
          <w:szCs w:val="22"/>
          <w:lang w:eastAsia="en-US"/>
        </w:rPr>
        <w:t xml:space="preserve"> za Deskriptor </w:t>
      </w:r>
      <w:r w:rsidR="00341C69">
        <w:rPr>
          <w:rFonts w:eastAsia="Calibri"/>
          <w:b/>
          <w:szCs w:val="22"/>
          <w:lang w:eastAsia="en-US"/>
        </w:rPr>
        <w:t>7</w:t>
      </w:r>
      <w:r w:rsidR="00341C69" w:rsidRPr="0046315C">
        <w:rPr>
          <w:rFonts w:eastAsia="Calibri"/>
          <w:b/>
          <w:szCs w:val="22"/>
          <w:lang w:eastAsia="en-US"/>
        </w:rPr>
        <w:t xml:space="preserve"> prema Odluci Komisije 2017/848/EU</w:t>
      </w:r>
      <w:bookmarkEnd w:id="154"/>
    </w:p>
    <w:tbl>
      <w:tblPr>
        <w:tblStyle w:val="ListTable4-Accent41"/>
        <w:tblW w:w="5000" w:type="pct"/>
        <w:tblBorders>
          <w:top w:val="single" w:sz="4" w:space="0" w:color="4472C4"/>
          <w:left w:val="single" w:sz="4" w:space="0" w:color="4472C4"/>
          <w:bottom w:val="single" w:sz="4" w:space="0" w:color="4472C4"/>
          <w:right w:val="single" w:sz="4" w:space="0" w:color="4472C4"/>
          <w:insideH w:val="single" w:sz="6" w:space="0" w:color="4472C4"/>
          <w:insideV w:val="single" w:sz="6" w:space="0" w:color="4472C4"/>
        </w:tblBorders>
        <w:tblLook w:val="04A0" w:firstRow="1" w:lastRow="0" w:firstColumn="1" w:lastColumn="0" w:noHBand="0" w:noVBand="1"/>
      </w:tblPr>
      <w:tblGrid>
        <w:gridCol w:w="2357"/>
        <w:gridCol w:w="5359"/>
        <w:gridCol w:w="1305"/>
      </w:tblGrid>
      <w:tr w:rsidR="00365CF3" w:rsidRPr="001C6CCA" w14:paraId="0C05AB7E" w14:textId="77777777" w:rsidTr="0060546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65" w:type="pct"/>
            <w:tcBorders>
              <w:bottom w:val="single" w:sz="6" w:space="0" w:color="4472C4"/>
            </w:tcBorders>
            <w:shd w:val="clear" w:color="auto" w:fill="1F497D" w:themeFill="text2"/>
          </w:tcPr>
          <w:p w14:paraId="0A0461C9" w14:textId="69AF2F3D" w:rsidR="00365CF3" w:rsidRPr="0084232F" w:rsidRDefault="00B609F5" w:rsidP="00F65CFF">
            <w:pPr>
              <w:spacing w:before="100" w:beforeAutospacing="1" w:after="0"/>
              <w:rPr>
                <w:rFonts w:cs="Calibri"/>
                <w:color w:val="FFFFFF" w:themeColor="background1"/>
                <w:lang w:val="en-GB" w:eastAsia="en-US"/>
              </w:rPr>
            </w:pPr>
            <w:r w:rsidRPr="0084232F">
              <w:rPr>
                <w:rFonts w:cs="Calibri"/>
                <w:color w:val="FFFFFF" w:themeColor="background1"/>
                <w:lang w:val="en-GB" w:eastAsia="en-US"/>
              </w:rPr>
              <w:t>Elementi kriterijuma</w:t>
            </w:r>
          </w:p>
        </w:tc>
        <w:tc>
          <w:tcPr>
            <w:tcW w:w="3029" w:type="pct"/>
            <w:tcBorders>
              <w:bottom w:val="single" w:sz="6" w:space="0" w:color="4472C4"/>
            </w:tcBorders>
            <w:shd w:val="clear" w:color="auto" w:fill="1F497D" w:themeFill="text2"/>
          </w:tcPr>
          <w:p w14:paraId="652806A7" w14:textId="76658CA5" w:rsidR="00365CF3" w:rsidRPr="0084232F" w:rsidRDefault="00B609F5" w:rsidP="00F65CFF">
            <w:pPr>
              <w:spacing w:before="100" w:beforeAutospacing="1" w:after="0"/>
              <w:cnfStyle w:val="100000000000" w:firstRow="1" w:lastRow="0" w:firstColumn="0" w:lastColumn="0" w:oddVBand="0" w:evenVBand="0" w:oddHBand="0" w:evenHBand="0" w:firstRowFirstColumn="0" w:firstRowLastColumn="0" w:lastRowFirstColumn="0" w:lastRowLastColumn="0"/>
              <w:rPr>
                <w:rFonts w:cs="Calibri"/>
                <w:color w:val="FFFFFF" w:themeColor="background1"/>
                <w:lang w:val="en-GB" w:eastAsia="en-US"/>
              </w:rPr>
            </w:pPr>
            <w:r w:rsidRPr="0084232F">
              <w:rPr>
                <w:rFonts w:cs="Calibri"/>
                <w:color w:val="FFFFFF" w:themeColor="background1"/>
                <w:lang w:val="en-GB" w:eastAsia="en-US"/>
              </w:rPr>
              <w:t>Kriterijum</w:t>
            </w:r>
          </w:p>
        </w:tc>
        <w:tc>
          <w:tcPr>
            <w:tcW w:w="606" w:type="pct"/>
            <w:tcBorders>
              <w:bottom w:val="single" w:sz="6" w:space="0" w:color="4472C4"/>
            </w:tcBorders>
            <w:shd w:val="clear" w:color="auto" w:fill="1F497D" w:themeFill="text2"/>
          </w:tcPr>
          <w:p w14:paraId="4B941C12" w14:textId="2753F83F" w:rsidR="00365CF3" w:rsidRPr="0084232F" w:rsidRDefault="007067BE" w:rsidP="007067BE">
            <w:pPr>
              <w:spacing w:before="100" w:beforeAutospacing="1" w:after="0"/>
              <w:cnfStyle w:val="100000000000" w:firstRow="1" w:lastRow="0" w:firstColumn="0" w:lastColumn="0" w:oddVBand="0" w:evenVBand="0" w:oddHBand="0" w:evenHBand="0" w:firstRowFirstColumn="0" w:firstRowLastColumn="0" w:lastRowFirstColumn="0" w:lastRowLastColumn="0"/>
              <w:rPr>
                <w:rFonts w:cs="Calibri"/>
                <w:b w:val="0"/>
                <w:bCs w:val="0"/>
                <w:color w:val="FFFFFF" w:themeColor="background1"/>
                <w:lang w:val="en-GB" w:eastAsia="en-US"/>
              </w:rPr>
            </w:pPr>
            <w:r w:rsidRPr="0084232F">
              <w:rPr>
                <w:rFonts w:cs="Calibri"/>
                <w:color w:val="FFFFFF" w:themeColor="background1"/>
                <w:lang w:val="en-GB" w:eastAsia="en-US"/>
              </w:rPr>
              <w:t>Pokrivenost CG</w:t>
            </w:r>
            <w:r w:rsidR="001D1F7B" w:rsidRPr="0084232F">
              <w:rPr>
                <w:rFonts w:cs="Calibri"/>
                <w:color w:val="FFFFFF" w:themeColor="background1"/>
                <w:lang w:val="en-GB" w:eastAsia="en-US"/>
              </w:rPr>
              <w:t xml:space="preserve"> </w:t>
            </w:r>
            <w:r w:rsidRPr="0084232F">
              <w:rPr>
                <w:rFonts w:cs="Calibri"/>
                <w:color w:val="FFFFFF" w:themeColor="background1"/>
                <w:lang w:val="en-GB" w:eastAsia="en-US"/>
              </w:rPr>
              <w:t xml:space="preserve">GES </w:t>
            </w:r>
            <w:r w:rsidR="006776B6" w:rsidRPr="0084232F">
              <w:rPr>
                <w:rStyle w:val="FootnoteReference"/>
                <w:color w:val="FFFFFF" w:themeColor="background1"/>
                <w:lang w:val="en-GB" w:eastAsia="en-US"/>
              </w:rPr>
              <w:footnoteReference w:id="28"/>
            </w:r>
          </w:p>
        </w:tc>
      </w:tr>
      <w:tr w:rsidR="00365CF3" w:rsidRPr="001C6CCA" w14:paraId="0047EEE7" w14:textId="77777777" w:rsidTr="006054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5" w:type="pct"/>
            <w:tcBorders>
              <w:top w:val="single" w:sz="6" w:space="0" w:color="4472C4"/>
            </w:tcBorders>
            <w:shd w:val="clear" w:color="auto" w:fill="FFFFFF"/>
          </w:tcPr>
          <w:p w14:paraId="49E3FFC5" w14:textId="7A9919C6" w:rsidR="00B609F5" w:rsidRPr="001C6CCA" w:rsidRDefault="00B609F5" w:rsidP="00F65CFF">
            <w:pPr>
              <w:tabs>
                <w:tab w:val="left" w:pos="1710"/>
                <w:tab w:val="left" w:pos="2550"/>
              </w:tabs>
              <w:spacing w:before="0" w:after="0" w:line="240" w:lineRule="auto"/>
              <w:jc w:val="left"/>
              <w:rPr>
                <w:b w:val="0"/>
                <w:sz w:val="20"/>
                <w:szCs w:val="20"/>
                <w:lang w:val="en-GB" w:eastAsia="en-US"/>
              </w:rPr>
            </w:pPr>
            <w:r>
              <w:rPr>
                <w:b w:val="0"/>
                <w:sz w:val="20"/>
                <w:szCs w:val="20"/>
                <w:lang w:val="en-GB" w:eastAsia="en-US"/>
              </w:rPr>
              <w:t>Morko dno</w:t>
            </w:r>
            <w:r w:rsidRPr="00B609F5">
              <w:rPr>
                <w:b w:val="0"/>
                <w:sz w:val="20"/>
                <w:szCs w:val="20"/>
                <w:lang w:val="en-GB" w:eastAsia="en-US"/>
              </w:rPr>
              <w:t xml:space="preserve"> i voden</w:t>
            </w:r>
            <w:r>
              <w:rPr>
                <w:b w:val="0"/>
                <w:sz w:val="20"/>
                <w:szCs w:val="20"/>
                <w:lang w:val="en-GB" w:eastAsia="en-US"/>
              </w:rPr>
              <w:t>i stub</w:t>
            </w:r>
            <w:r w:rsidRPr="00B609F5">
              <w:rPr>
                <w:b w:val="0"/>
                <w:sz w:val="20"/>
                <w:szCs w:val="20"/>
                <w:lang w:val="en-GB" w:eastAsia="en-US"/>
              </w:rPr>
              <w:t xml:space="preserve"> (uključujući zonu plime i osjeke</w:t>
            </w:r>
            <w:r>
              <w:rPr>
                <w:b w:val="0"/>
                <w:sz w:val="20"/>
                <w:szCs w:val="20"/>
                <w:lang w:val="en-GB" w:eastAsia="en-US"/>
              </w:rPr>
              <w:t>)</w:t>
            </w:r>
          </w:p>
          <w:p w14:paraId="5090C927" w14:textId="59127168" w:rsidR="00365CF3" w:rsidRPr="001C6CCA" w:rsidRDefault="00365CF3" w:rsidP="00F65CFF">
            <w:pPr>
              <w:spacing w:before="100" w:beforeAutospacing="1" w:after="0"/>
              <w:rPr>
                <w:rFonts w:cs="Calibri"/>
                <w:b w:val="0"/>
                <w:color w:val="000000"/>
                <w:sz w:val="20"/>
                <w:szCs w:val="20"/>
                <w:lang w:val="en-GB" w:eastAsia="en-US"/>
              </w:rPr>
            </w:pPr>
          </w:p>
        </w:tc>
        <w:tc>
          <w:tcPr>
            <w:tcW w:w="3029" w:type="pct"/>
            <w:tcBorders>
              <w:top w:val="single" w:sz="6" w:space="0" w:color="4472C4"/>
            </w:tcBorders>
            <w:shd w:val="clear" w:color="auto" w:fill="FFFFFF"/>
          </w:tcPr>
          <w:p w14:paraId="45CDDAB6" w14:textId="77777777" w:rsidR="00B609F5" w:rsidRPr="00B609F5" w:rsidRDefault="00B609F5" w:rsidP="00B609F5">
            <w:pPr>
              <w:spacing w:after="0" w:line="240" w:lineRule="auto"/>
              <w:cnfStyle w:val="000000100000" w:firstRow="0" w:lastRow="0" w:firstColumn="0" w:lastColumn="0" w:oddVBand="0" w:evenVBand="0" w:oddHBand="1" w:evenHBand="0" w:firstRowFirstColumn="0" w:firstRowLastColumn="0" w:lastRowFirstColumn="0" w:lastRowLastColumn="0"/>
              <w:rPr>
                <w:b/>
                <w:sz w:val="20"/>
                <w:szCs w:val="20"/>
                <w:lang w:val="en-GB" w:eastAsia="en-US"/>
              </w:rPr>
            </w:pPr>
            <w:r w:rsidRPr="00B609F5">
              <w:rPr>
                <w:b/>
                <w:sz w:val="20"/>
                <w:szCs w:val="20"/>
                <w:lang w:val="en-GB" w:eastAsia="en-US"/>
              </w:rPr>
              <w:t>D7C1 – Sekundarni:</w:t>
            </w:r>
          </w:p>
          <w:p w14:paraId="2FD48898" w14:textId="1A4206CE" w:rsidR="00B609F5" w:rsidRPr="00B609F5" w:rsidRDefault="00B609F5" w:rsidP="00B609F5">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val="en-GB" w:eastAsia="en-US"/>
              </w:rPr>
            </w:pPr>
            <w:r w:rsidRPr="00B609F5">
              <w:rPr>
                <w:sz w:val="20"/>
                <w:szCs w:val="20"/>
                <w:lang w:val="en-GB" w:eastAsia="en-US"/>
              </w:rPr>
              <w:t>Prostorni opseg i rasprostranjenost trajne promjene hidrografskih uslova (npr. promjene kretanja talasa, struja, saliniteta, temperature) morskog dna i vodenog stuba, povezani naročito sa fizičkim gubitkom prirodnog morskog dna.</w:t>
            </w:r>
            <w:r>
              <w:rPr>
                <w:sz w:val="20"/>
                <w:szCs w:val="20"/>
                <w:lang w:val="en-GB" w:eastAsia="en-US"/>
              </w:rPr>
              <w:t xml:space="preserve"> Lokalni razmjeri.</w:t>
            </w:r>
          </w:p>
          <w:p w14:paraId="5702BA9E" w14:textId="0AFC5023" w:rsidR="00B609F5" w:rsidRPr="001C6CCA" w:rsidRDefault="00B609F5" w:rsidP="00F65CFF">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p>
        </w:tc>
        <w:tc>
          <w:tcPr>
            <w:tcW w:w="606" w:type="pct"/>
            <w:tcBorders>
              <w:top w:val="single" w:sz="6" w:space="0" w:color="4472C4"/>
            </w:tcBorders>
            <w:shd w:val="clear" w:color="auto" w:fill="FFFFFF"/>
          </w:tcPr>
          <w:p w14:paraId="1EBE296D" w14:textId="5003F83D" w:rsidR="00365CF3" w:rsidRPr="001C6CCA" w:rsidRDefault="007067BE" w:rsidP="00F65CFF">
            <w:pPr>
              <w:spacing w:before="0"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Pr>
                <w:rFonts w:cs="Calibri"/>
                <w:color w:val="000000"/>
                <w:sz w:val="20"/>
                <w:szCs w:val="20"/>
                <w:lang w:val="en-GB" w:eastAsia="en-US"/>
              </w:rPr>
              <w:t>Obuhvaćeno</w:t>
            </w:r>
          </w:p>
        </w:tc>
      </w:tr>
      <w:tr w:rsidR="00365CF3" w:rsidRPr="001C6CCA" w14:paraId="3B4820BB" w14:textId="77777777" w:rsidTr="003C159B">
        <w:trPr>
          <w:trHeight w:val="1254"/>
        </w:trPr>
        <w:tc>
          <w:tcPr>
            <w:cnfStyle w:val="001000000000" w:firstRow="0" w:lastRow="0" w:firstColumn="1" w:lastColumn="0" w:oddVBand="0" w:evenVBand="0" w:oddHBand="0" w:evenHBand="0" w:firstRowFirstColumn="0" w:firstRowLastColumn="0" w:lastRowFirstColumn="0" w:lastRowLastColumn="0"/>
            <w:tcW w:w="1365" w:type="pct"/>
            <w:shd w:val="clear" w:color="auto" w:fill="FFFFFF"/>
          </w:tcPr>
          <w:p w14:paraId="62A4BF26" w14:textId="54B70662" w:rsidR="00B609F5" w:rsidRPr="001C6CCA" w:rsidRDefault="00B609F5" w:rsidP="00B609F5">
            <w:pPr>
              <w:spacing w:before="100" w:beforeAutospacing="1" w:after="0" w:line="240" w:lineRule="auto"/>
              <w:rPr>
                <w:rFonts w:cs="Calibri"/>
                <w:b w:val="0"/>
                <w:sz w:val="20"/>
                <w:szCs w:val="20"/>
                <w:lang w:val="en-GB" w:eastAsia="en-US"/>
              </w:rPr>
            </w:pPr>
            <w:r w:rsidRPr="00B609F5">
              <w:rPr>
                <w:rFonts w:cs="Calibri"/>
                <w:b w:val="0"/>
                <w:sz w:val="20"/>
                <w:szCs w:val="20"/>
                <w:lang w:val="en-GB" w:eastAsia="en-US"/>
              </w:rPr>
              <w:t>Tipovi bent</w:t>
            </w:r>
            <w:r>
              <w:rPr>
                <w:rFonts w:cs="Calibri"/>
                <w:b w:val="0"/>
                <w:sz w:val="20"/>
                <w:szCs w:val="20"/>
                <w:lang w:val="en-GB" w:eastAsia="en-US"/>
              </w:rPr>
              <w:t xml:space="preserve">ičkog </w:t>
            </w:r>
            <w:r w:rsidRPr="00B609F5">
              <w:rPr>
                <w:rFonts w:cs="Calibri"/>
                <w:b w:val="0"/>
                <w:sz w:val="20"/>
                <w:szCs w:val="20"/>
                <w:lang w:val="en-GB" w:eastAsia="en-US"/>
              </w:rPr>
              <w:t xml:space="preserve">staništa širokog rasprostranjenja ili drugi tipovi staništa, kao što se koriste u okviru </w:t>
            </w:r>
            <w:r>
              <w:rPr>
                <w:rFonts w:cs="Calibri"/>
                <w:b w:val="0"/>
                <w:sz w:val="20"/>
                <w:szCs w:val="20"/>
                <w:lang w:val="en-GB" w:eastAsia="en-US"/>
              </w:rPr>
              <w:t>Deskriptora</w:t>
            </w:r>
            <w:r w:rsidRPr="00B609F5" w:rsidDel="00903854">
              <w:rPr>
                <w:rFonts w:cs="Calibri"/>
                <w:b w:val="0"/>
                <w:sz w:val="20"/>
                <w:szCs w:val="20"/>
                <w:lang w:val="en-GB" w:eastAsia="en-US"/>
              </w:rPr>
              <w:t xml:space="preserve"> </w:t>
            </w:r>
            <w:r w:rsidRPr="00B609F5">
              <w:rPr>
                <w:rFonts w:cs="Calibri"/>
                <w:b w:val="0"/>
                <w:sz w:val="20"/>
                <w:szCs w:val="20"/>
                <w:lang w:val="en-GB" w:eastAsia="en-US"/>
              </w:rPr>
              <w:t>1 i 6</w:t>
            </w:r>
          </w:p>
        </w:tc>
        <w:tc>
          <w:tcPr>
            <w:tcW w:w="3029" w:type="pct"/>
            <w:shd w:val="clear" w:color="auto" w:fill="FFFFFF"/>
          </w:tcPr>
          <w:p w14:paraId="0B8D3B12" w14:textId="77777777" w:rsidR="00B609F5" w:rsidRPr="00B609F5" w:rsidRDefault="00B609F5" w:rsidP="00B609F5">
            <w:pPr>
              <w:spacing w:after="0" w:line="240" w:lineRule="auto"/>
              <w:cnfStyle w:val="000000000000" w:firstRow="0" w:lastRow="0" w:firstColumn="0" w:lastColumn="0" w:oddVBand="0" w:evenVBand="0" w:oddHBand="0" w:evenHBand="0" w:firstRowFirstColumn="0" w:firstRowLastColumn="0" w:lastRowFirstColumn="0" w:lastRowLastColumn="0"/>
              <w:rPr>
                <w:b/>
                <w:sz w:val="20"/>
                <w:szCs w:val="20"/>
                <w:lang w:val="en-GB" w:eastAsia="en-US"/>
              </w:rPr>
            </w:pPr>
            <w:r w:rsidRPr="00B609F5">
              <w:rPr>
                <w:b/>
                <w:sz w:val="20"/>
                <w:szCs w:val="20"/>
                <w:lang w:val="en-GB" w:eastAsia="en-US"/>
              </w:rPr>
              <w:t>D7C2 – Sekundarni:</w:t>
            </w:r>
          </w:p>
          <w:p w14:paraId="441FD1F1" w14:textId="252A2ABB" w:rsidR="00B609F5" w:rsidRPr="00B609F5" w:rsidRDefault="00B609F5" w:rsidP="00B609F5">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val="en-GB" w:eastAsia="en-US"/>
              </w:rPr>
            </w:pPr>
            <w:r w:rsidRPr="00B609F5">
              <w:rPr>
                <w:sz w:val="20"/>
                <w:szCs w:val="20"/>
                <w:lang w:val="en-GB" w:eastAsia="en-US"/>
              </w:rPr>
              <w:t>Površina svakog tipa bent</w:t>
            </w:r>
            <w:r>
              <w:rPr>
                <w:sz w:val="20"/>
                <w:szCs w:val="20"/>
                <w:lang w:val="en-GB" w:eastAsia="en-US"/>
              </w:rPr>
              <w:t>ičkog</w:t>
            </w:r>
            <w:r w:rsidRPr="00B609F5">
              <w:rPr>
                <w:sz w:val="20"/>
                <w:szCs w:val="20"/>
                <w:lang w:val="en-GB" w:eastAsia="en-US"/>
              </w:rPr>
              <w:t xml:space="preserve"> staništa koje je pretrpjelo štetu (fizičke i hidrografske karakteristike i povezane biološke zajednice) usljed trajnih promjena hidrografskih uslova.</w:t>
            </w:r>
          </w:p>
          <w:p w14:paraId="4B843A96" w14:textId="0CC2B86F" w:rsidR="00B609F5" w:rsidRPr="003C159B" w:rsidRDefault="00B609F5" w:rsidP="00B609F5">
            <w:pPr>
              <w:tabs>
                <w:tab w:val="left" w:pos="1710"/>
                <w:tab w:val="left" w:pos="2550"/>
              </w:tabs>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val="en-GB" w:eastAsia="en-US"/>
              </w:rPr>
            </w:pPr>
          </w:p>
        </w:tc>
        <w:tc>
          <w:tcPr>
            <w:tcW w:w="606" w:type="pct"/>
            <w:shd w:val="clear" w:color="auto" w:fill="FFFFFF"/>
          </w:tcPr>
          <w:p w14:paraId="67E79B92" w14:textId="2A51AE82" w:rsidR="00365CF3" w:rsidRPr="001C6CCA" w:rsidRDefault="007067BE" w:rsidP="00F65CFF">
            <w:pPr>
              <w:spacing w:before="0"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Pr>
                <w:rFonts w:cs="Calibri"/>
                <w:color w:val="000000"/>
                <w:sz w:val="20"/>
                <w:szCs w:val="20"/>
                <w:lang w:val="en-GB" w:eastAsia="en-US"/>
              </w:rPr>
              <w:t>Obuhvaćeno</w:t>
            </w:r>
          </w:p>
        </w:tc>
      </w:tr>
    </w:tbl>
    <w:p w14:paraId="14EE8175" w14:textId="77334B53" w:rsidR="00365CF3" w:rsidRPr="001C6CCA" w:rsidRDefault="00365CF3" w:rsidP="006776B6">
      <w:pPr>
        <w:spacing w:before="0" w:after="0"/>
        <w:rPr>
          <w:rFonts w:eastAsia="Calibri" w:cs="Calibri"/>
          <w:sz w:val="20"/>
          <w:szCs w:val="20"/>
          <w:lang w:val="en-GB" w:eastAsia="en-US"/>
        </w:rPr>
      </w:pPr>
    </w:p>
    <w:p w14:paraId="48F1A362" w14:textId="49BD874B" w:rsidR="00B609F5" w:rsidRPr="001C6CCA" w:rsidRDefault="00B609F5" w:rsidP="002A32AF">
      <w:pPr>
        <w:spacing w:before="0" w:after="160"/>
        <w:rPr>
          <w:rFonts w:eastAsia="Calibri" w:cs="Calibri"/>
          <w:szCs w:val="22"/>
          <w:lang w:val="en-GB" w:eastAsia="en-US"/>
        </w:rPr>
      </w:pPr>
      <w:r w:rsidRPr="00B609F5">
        <w:rPr>
          <w:rFonts w:eastAsia="Calibri" w:cs="Calibri"/>
          <w:szCs w:val="22"/>
          <w:u w:val="single"/>
          <w:lang w:val="en-GB" w:eastAsia="en-US"/>
        </w:rPr>
        <w:t xml:space="preserve">Kriterijum </w:t>
      </w:r>
      <w:r>
        <w:rPr>
          <w:rFonts w:eastAsia="Calibri" w:cs="Calibri"/>
          <w:szCs w:val="22"/>
          <w:u w:val="single"/>
          <w:lang w:val="en-GB" w:eastAsia="en-US"/>
        </w:rPr>
        <w:t xml:space="preserve">D7C1 </w:t>
      </w:r>
      <w:r>
        <w:rPr>
          <w:rFonts w:eastAsia="Calibri" w:cs="Calibri"/>
          <w:szCs w:val="22"/>
          <w:lang w:val="en-GB" w:eastAsia="en-US"/>
        </w:rPr>
        <w:t xml:space="preserve">je definisan kao </w:t>
      </w:r>
      <w:r w:rsidRPr="00B609F5">
        <w:rPr>
          <w:rFonts w:eastAsia="Calibri" w:cs="Calibri"/>
          <w:szCs w:val="22"/>
          <w:lang w:val="en-GB" w:eastAsia="en-US"/>
        </w:rPr>
        <w:t>prostorn</w:t>
      </w:r>
      <w:r>
        <w:rPr>
          <w:rFonts w:eastAsia="Calibri" w:cs="Calibri"/>
          <w:szCs w:val="22"/>
          <w:lang w:val="en-GB" w:eastAsia="en-US"/>
        </w:rPr>
        <w:t xml:space="preserve">i opseg </w:t>
      </w:r>
      <w:r w:rsidRPr="00B609F5">
        <w:rPr>
          <w:rFonts w:eastAsia="Calibri" w:cs="Calibri"/>
          <w:szCs w:val="22"/>
          <w:lang w:val="en-GB" w:eastAsia="en-US"/>
        </w:rPr>
        <w:t>određenog uticaja na morsko</w:t>
      </w:r>
      <w:r>
        <w:rPr>
          <w:rFonts w:eastAsia="Calibri" w:cs="Calibri"/>
          <w:szCs w:val="22"/>
          <w:lang w:val="en-GB" w:eastAsia="en-US"/>
        </w:rPr>
        <w:t xml:space="preserve"> dno ili vodeni stub i izražen je</w:t>
      </w:r>
      <w:r w:rsidRPr="00B609F5">
        <w:rPr>
          <w:rFonts w:eastAsia="Calibri" w:cs="Calibri"/>
          <w:szCs w:val="22"/>
          <w:lang w:val="en-GB" w:eastAsia="en-US"/>
        </w:rPr>
        <w:t xml:space="preserve"> u </w:t>
      </w:r>
      <w:r w:rsidRPr="001C6CCA">
        <w:rPr>
          <w:rFonts w:eastAsia="Calibri" w:cs="Calibri"/>
          <w:szCs w:val="22"/>
          <w:lang w:val="en-GB" w:eastAsia="en-US"/>
        </w:rPr>
        <w:t>km</w:t>
      </w:r>
      <w:r w:rsidRPr="001C6CCA">
        <w:rPr>
          <w:rFonts w:eastAsia="Calibri" w:cs="Calibri"/>
          <w:szCs w:val="22"/>
          <w:vertAlign w:val="superscript"/>
          <w:lang w:val="en-GB" w:eastAsia="en-US"/>
        </w:rPr>
        <w:t>2</w:t>
      </w:r>
      <w:r w:rsidRPr="001C6CCA">
        <w:rPr>
          <w:rFonts w:eastAsia="Calibri" w:cs="Calibri"/>
          <w:szCs w:val="22"/>
          <w:lang w:val="en-GB" w:eastAsia="en-US"/>
        </w:rPr>
        <w:t>.</w:t>
      </w:r>
    </w:p>
    <w:p w14:paraId="0B2A27FA" w14:textId="37E46086" w:rsidR="00B609F5" w:rsidRPr="00B609F5" w:rsidRDefault="00B609F5" w:rsidP="00B609F5">
      <w:pPr>
        <w:spacing w:before="0" w:after="160"/>
        <w:rPr>
          <w:rFonts w:eastAsia="Calibri" w:cs="Calibri"/>
          <w:szCs w:val="22"/>
          <w:lang w:val="en-GB" w:eastAsia="en-US"/>
        </w:rPr>
      </w:pPr>
      <w:r w:rsidRPr="00B609F5">
        <w:rPr>
          <w:rFonts w:eastAsia="Calibri" w:cs="Calibri"/>
          <w:szCs w:val="22"/>
          <w:u w:val="single"/>
          <w:lang w:val="en-GB" w:eastAsia="en-US"/>
        </w:rPr>
        <w:t>Kriterijum D7C2</w:t>
      </w:r>
      <w:r w:rsidRPr="00B609F5">
        <w:rPr>
          <w:rFonts w:eastAsia="Calibri" w:cs="Calibri"/>
          <w:szCs w:val="22"/>
          <w:lang w:val="en-GB" w:eastAsia="en-US"/>
        </w:rPr>
        <w:t xml:space="preserve"> razmatra proces postizanja dobrog stanja životne sredine u odnosu</w:t>
      </w:r>
      <w:r>
        <w:rPr>
          <w:rFonts w:eastAsia="Calibri" w:cs="Calibri"/>
          <w:szCs w:val="22"/>
          <w:lang w:val="en-GB" w:eastAsia="en-US"/>
        </w:rPr>
        <w:t xml:space="preserve"> na sva</w:t>
      </w:r>
      <w:r w:rsidR="0077485A">
        <w:rPr>
          <w:rFonts w:eastAsia="Calibri" w:cs="Calibri"/>
          <w:szCs w:val="22"/>
          <w:lang w:val="en-GB" w:eastAsia="en-US"/>
        </w:rPr>
        <w:t>ki tip bentos</w:t>
      </w:r>
      <w:r w:rsidRPr="00B609F5">
        <w:rPr>
          <w:rFonts w:eastAsia="Calibri" w:cs="Calibri"/>
          <w:szCs w:val="22"/>
          <w:lang w:val="en-GB" w:eastAsia="en-US"/>
        </w:rPr>
        <w:t>kog staništa koj</w:t>
      </w:r>
      <w:r>
        <w:rPr>
          <w:rFonts w:eastAsia="Calibri" w:cs="Calibri"/>
          <w:szCs w:val="22"/>
          <w:lang w:val="en-GB" w:eastAsia="en-US"/>
        </w:rPr>
        <w:t>e</w:t>
      </w:r>
      <w:r w:rsidRPr="00B609F5">
        <w:rPr>
          <w:rFonts w:eastAsia="Calibri" w:cs="Calibri"/>
          <w:szCs w:val="22"/>
          <w:lang w:val="en-GB" w:eastAsia="en-US"/>
        </w:rPr>
        <w:t xml:space="preserve"> je pretrp</w:t>
      </w:r>
      <w:r>
        <w:rPr>
          <w:rFonts w:eastAsia="Calibri" w:cs="Calibri"/>
          <w:szCs w:val="22"/>
          <w:lang w:val="en-GB" w:eastAsia="en-US"/>
        </w:rPr>
        <w:t>j</w:t>
      </w:r>
      <w:r w:rsidRPr="00B609F5">
        <w:rPr>
          <w:rFonts w:eastAsia="Calibri" w:cs="Calibri"/>
          <w:szCs w:val="22"/>
          <w:lang w:val="en-GB" w:eastAsia="en-US"/>
        </w:rPr>
        <w:t>e</w:t>
      </w:r>
      <w:r>
        <w:rPr>
          <w:rFonts w:eastAsia="Calibri" w:cs="Calibri"/>
          <w:szCs w:val="22"/>
          <w:lang w:val="en-GB" w:eastAsia="en-US"/>
        </w:rPr>
        <w:t>lo</w:t>
      </w:r>
      <w:r w:rsidRPr="00B609F5">
        <w:rPr>
          <w:rFonts w:eastAsia="Calibri" w:cs="Calibri"/>
          <w:szCs w:val="22"/>
          <w:lang w:val="en-GB" w:eastAsia="en-US"/>
        </w:rPr>
        <w:t xml:space="preserve"> štetu usl</w:t>
      </w:r>
      <w:r>
        <w:rPr>
          <w:rFonts w:eastAsia="Calibri" w:cs="Calibri"/>
          <w:szCs w:val="22"/>
          <w:lang w:val="en-GB" w:eastAsia="en-US"/>
        </w:rPr>
        <w:t>j</w:t>
      </w:r>
      <w:r w:rsidRPr="00B609F5">
        <w:rPr>
          <w:rFonts w:eastAsia="Calibri" w:cs="Calibri"/>
          <w:szCs w:val="22"/>
          <w:lang w:val="en-GB" w:eastAsia="en-US"/>
        </w:rPr>
        <w:t>ed trajnih prom</w:t>
      </w:r>
      <w:r>
        <w:rPr>
          <w:rFonts w:eastAsia="Calibri" w:cs="Calibri"/>
          <w:szCs w:val="22"/>
          <w:lang w:val="en-GB" w:eastAsia="en-US"/>
        </w:rPr>
        <w:t>j</w:t>
      </w:r>
      <w:r w:rsidRPr="00B609F5">
        <w:rPr>
          <w:rFonts w:eastAsia="Calibri" w:cs="Calibri"/>
          <w:szCs w:val="22"/>
          <w:lang w:val="en-GB" w:eastAsia="en-US"/>
        </w:rPr>
        <w:t xml:space="preserve">ena </w:t>
      </w:r>
      <w:r>
        <w:rPr>
          <w:rFonts w:eastAsia="Calibri" w:cs="Calibri"/>
          <w:szCs w:val="22"/>
          <w:lang w:val="en-GB" w:eastAsia="en-US"/>
        </w:rPr>
        <w:t xml:space="preserve">hidrografskih </w:t>
      </w:r>
      <w:r w:rsidRPr="00B609F5">
        <w:rPr>
          <w:rFonts w:eastAsia="Calibri" w:cs="Calibri"/>
          <w:szCs w:val="22"/>
          <w:lang w:val="en-GB" w:eastAsia="en-US"/>
        </w:rPr>
        <w:t>uslov</w:t>
      </w:r>
      <w:r>
        <w:rPr>
          <w:rFonts w:eastAsia="Calibri" w:cs="Calibri"/>
          <w:szCs w:val="22"/>
          <w:lang w:val="en-GB" w:eastAsia="en-US"/>
        </w:rPr>
        <w:t>a</w:t>
      </w:r>
      <w:r w:rsidRPr="00B609F5">
        <w:rPr>
          <w:rFonts w:eastAsia="Calibri" w:cs="Calibri"/>
          <w:szCs w:val="22"/>
          <w:lang w:val="en-GB" w:eastAsia="en-US"/>
        </w:rPr>
        <w:t>. Trajne prom</w:t>
      </w:r>
      <w:r>
        <w:rPr>
          <w:rFonts w:eastAsia="Calibri" w:cs="Calibri"/>
          <w:szCs w:val="22"/>
          <w:lang w:val="en-GB" w:eastAsia="en-US"/>
        </w:rPr>
        <w:t>j</w:t>
      </w:r>
      <w:r w:rsidRPr="00B609F5">
        <w:rPr>
          <w:rFonts w:eastAsia="Calibri" w:cs="Calibri"/>
          <w:szCs w:val="22"/>
          <w:lang w:val="en-GB" w:eastAsia="en-US"/>
        </w:rPr>
        <w:t xml:space="preserve">ene u smislu da će biti reverzibilne tokom perioda od 10 godina. D7C2 je izražen u </w:t>
      </w:r>
      <w:r w:rsidR="00791D40" w:rsidRPr="001C6CCA">
        <w:rPr>
          <w:rFonts w:eastAsia="Calibri" w:cs="Calibri"/>
          <w:szCs w:val="22"/>
          <w:lang w:val="en-GB" w:eastAsia="en-US"/>
        </w:rPr>
        <w:t>km</w:t>
      </w:r>
      <w:r w:rsidR="00791D40" w:rsidRPr="001C6CCA">
        <w:rPr>
          <w:rFonts w:eastAsia="Calibri" w:cs="Calibri"/>
          <w:szCs w:val="22"/>
          <w:vertAlign w:val="superscript"/>
          <w:lang w:val="en-GB" w:eastAsia="en-US"/>
        </w:rPr>
        <w:t>2</w:t>
      </w:r>
      <w:r w:rsidRPr="00B609F5">
        <w:rPr>
          <w:rFonts w:eastAsia="Calibri" w:cs="Calibri"/>
          <w:szCs w:val="22"/>
          <w:lang w:val="en-GB" w:eastAsia="en-US"/>
        </w:rPr>
        <w:t xml:space="preserve"> ili u procentima od ukupne prirodne površine staništa koje je pretrp</w:t>
      </w:r>
      <w:r w:rsidR="00791D40">
        <w:rPr>
          <w:rFonts w:eastAsia="Calibri" w:cs="Calibri"/>
          <w:szCs w:val="22"/>
          <w:lang w:val="en-GB" w:eastAsia="en-US"/>
        </w:rPr>
        <w:t>j</w:t>
      </w:r>
      <w:r w:rsidRPr="00B609F5">
        <w:rPr>
          <w:rFonts w:eastAsia="Calibri" w:cs="Calibri"/>
          <w:szCs w:val="22"/>
          <w:lang w:val="en-GB" w:eastAsia="en-US"/>
        </w:rPr>
        <w:t>elo štetu.</w:t>
      </w:r>
    </w:p>
    <w:p w14:paraId="3822A148" w14:textId="299BBB73" w:rsidR="00791D40" w:rsidRPr="007067BE" w:rsidRDefault="00791D40" w:rsidP="007067BE">
      <w:pPr>
        <w:spacing w:before="0" w:after="160"/>
        <w:rPr>
          <w:rFonts w:eastAsia="Calibri" w:cs="Calibri"/>
          <w:szCs w:val="22"/>
          <w:lang w:val="en-GB" w:eastAsia="en-US"/>
        </w:rPr>
      </w:pPr>
      <w:r w:rsidRPr="00B609F5">
        <w:rPr>
          <w:rFonts w:eastAsia="Calibri" w:cs="Calibri"/>
          <w:szCs w:val="22"/>
          <w:lang w:val="en-GB" w:eastAsia="en-US"/>
        </w:rPr>
        <w:t>Fizički gubitak morskog dna definisan je u opisu D6, prema specifikaciji 3. ​​Pored toga, klimatske prom</w:t>
      </w:r>
      <w:r w:rsidR="007067BE">
        <w:rPr>
          <w:rFonts w:eastAsia="Calibri" w:cs="Calibri"/>
          <w:szCs w:val="22"/>
          <w:lang w:val="en-GB" w:eastAsia="en-US"/>
        </w:rPr>
        <w:t>j</w:t>
      </w:r>
      <w:r w:rsidRPr="00B609F5">
        <w:rPr>
          <w:rFonts w:eastAsia="Calibri" w:cs="Calibri"/>
          <w:szCs w:val="22"/>
          <w:lang w:val="en-GB" w:eastAsia="en-US"/>
        </w:rPr>
        <w:t>ene doprinose prom</w:t>
      </w:r>
      <w:r w:rsidR="007067BE">
        <w:rPr>
          <w:rFonts w:eastAsia="Calibri" w:cs="Calibri"/>
          <w:szCs w:val="22"/>
          <w:lang w:val="en-GB" w:eastAsia="en-US"/>
        </w:rPr>
        <w:t>j</w:t>
      </w:r>
      <w:r w:rsidRPr="00B609F5">
        <w:rPr>
          <w:rFonts w:eastAsia="Calibri" w:cs="Calibri"/>
          <w:szCs w:val="22"/>
          <w:lang w:val="en-GB" w:eastAsia="en-US"/>
        </w:rPr>
        <w:t xml:space="preserve">enama temperature i slanosti mora i, shodno tome, cirkulaciji u vremenskom opsegu većem od jedne decenije. </w:t>
      </w:r>
      <w:r w:rsidR="007067BE">
        <w:rPr>
          <w:rFonts w:eastAsia="Calibri" w:cs="Calibri"/>
          <w:szCs w:val="22"/>
          <w:lang w:val="en-GB" w:eastAsia="en-US"/>
        </w:rPr>
        <w:t>Prema tome</w:t>
      </w:r>
      <w:r w:rsidRPr="00B609F5">
        <w:rPr>
          <w:rFonts w:eastAsia="Calibri" w:cs="Calibri"/>
          <w:szCs w:val="22"/>
          <w:lang w:val="en-GB" w:eastAsia="en-US"/>
        </w:rPr>
        <w:t>, klimatske prom</w:t>
      </w:r>
      <w:r w:rsidR="007067BE">
        <w:rPr>
          <w:rFonts w:eastAsia="Calibri" w:cs="Calibri"/>
          <w:szCs w:val="22"/>
          <w:lang w:val="en-GB" w:eastAsia="en-US"/>
        </w:rPr>
        <w:t>j</w:t>
      </w:r>
      <w:r w:rsidRPr="00B609F5">
        <w:rPr>
          <w:rFonts w:eastAsia="Calibri" w:cs="Calibri"/>
          <w:szCs w:val="22"/>
          <w:lang w:val="en-GB" w:eastAsia="en-US"/>
        </w:rPr>
        <w:t xml:space="preserve">ene </w:t>
      </w:r>
      <w:r w:rsidR="007067BE">
        <w:rPr>
          <w:rFonts w:eastAsia="Calibri" w:cs="Calibri"/>
          <w:szCs w:val="22"/>
          <w:lang w:val="en-GB" w:eastAsia="en-US"/>
        </w:rPr>
        <w:t xml:space="preserve">treba da </w:t>
      </w:r>
      <w:r w:rsidR="007067BE" w:rsidRPr="00B609F5">
        <w:rPr>
          <w:rFonts w:eastAsia="Calibri" w:cs="Calibri"/>
          <w:szCs w:val="22"/>
          <w:lang w:val="en-GB" w:eastAsia="en-US"/>
        </w:rPr>
        <w:t>budu uključene u izv</w:t>
      </w:r>
      <w:r w:rsidR="007067BE">
        <w:rPr>
          <w:rFonts w:eastAsia="Calibri" w:cs="Calibri"/>
          <w:szCs w:val="22"/>
          <w:lang w:val="en-GB" w:eastAsia="en-US"/>
        </w:rPr>
        <w:t>j</w:t>
      </w:r>
      <w:r w:rsidR="007067BE" w:rsidRPr="00B609F5">
        <w:rPr>
          <w:rFonts w:eastAsia="Calibri" w:cs="Calibri"/>
          <w:szCs w:val="22"/>
          <w:lang w:val="en-GB" w:eastAsia="en-US"/>
        </w:rPr>
        <w:t>eštavanje</w:t>
      </w:r>
      <w:r w:rsidRPr="00B609F5">
        <w:rPr>
          <w:rFonts w:eastAsia="Calibri" w:cs="Calibri"/>
          <w:szCs w:val="22"/>
          <w:lang w:val="en-GB" w:eastAsia="en-US"/>
        </w:rPr>
        <w:t>, iako nisu direktno povezane s</w:t>
      </w:r>
      <w:r w:rsidR="007067BE">
        <w:rPr>
          <w:rFonts w:eastAsia="Calibri" w:cs="Calibri"/>
          <w:szCs w:val="22"/>
          <w:lang w:val="en-GB" w:eastAsia="en-US"/>
        </w:rPr>
        <w:t xml:space="preserve">a lokalnom ljudskom aktivnošću, </w:t>
      </w:r>
      <w:r w:rsidRPr="00B609F5">
        <w:rPr>
          <w:rFonts w:eastAsia="Calibri" w:cs="Calibri"/>
          <w:szCs w:val="22"/>
          <w:lang w:val="en-GB" w:eastAsia="en-US"/>
        </w:rPr>
        <w:t xml:space="preserve">jer mogu </w:t>
      </w:r>
      <w:r w:rsidR="007067BE">
        <w:rPr>
          <w:rFonts w:eastAsia="Calibri" w:cs="Calibri"/>
          <w:szCs w:val="22"/>
          <w:lang w:val="en-GB" w:eastAsia="en-US"/>
        </w:rPr>
        <w:t xml:space="preserve">da </w:t>
      </w:r>
      <w:r w:rsidRPr="00B609F5">
        <w:rPr>
          <w:rFonts w:eastAsia="Calibri" w:cs="Calibri"/>
          <w:szCs w:val="22"/>
          <w:lang w:val="en-GB" w:eastAsia="en-US"/>
        </w:rPr>
        <w:t>trajno prom</w:t>
      </w:r>
      <w:r w:rsidR="007067BE">
        <w:rPr>
          <w:rFonts w:eastAsia="Calibri" w:cs="Calibri"/>
          <w:szCs w:val="22"/>
          <w:lang w:val="en-GB" w:eastAsia="en-US"/>
        </w:rPr>
        <w:t>ij</w:t>
      </w:r>
      <w:r w:rsidRPr="00B609F5">
        <w:rPr>
          <w:rFonts w:eastAsia="Calibri" w:cs="Calibri"/>
          <w:szCs w:val="22"/>
          <w:lang w:val="en-GB" w:eastAsia="en-US"/>
        </w:rPr>
        <w:t>en</w:t>
      </w:r>
      <w:r w:rsidR="007067BE">
        <w:rPr>
          <w:rFonts w:eastAsia="Calibri" w:cs="Calibri"/>
          <w:szCs w:val="22"/>
          <w:lang w:val="en-GB" w:eastAsia="en-US"/>
        </w:rPr>
        <w:t>e</w:t>
      </w:r>
      <w:r w:rsidRPr="00B609F5">
        <w:rPr>
          <w:rFonts w:eastAsia="Calibri" w:cs="Calibri"/>
          <w:szCs w:val="22"/>
          <w:lang w:val="en-GB" w:eastAsia="en-US"/>
        </w:rPr>
        <w:t xml:space="preserve"> hidrograf</w:t>
      </w:r>
      <w:r w:rsidR="007067BE">
        <w:rPr>
          <w:rFonts w:eastAsia="Calibri" w:cs="Calibri"/>
          <w:szCs w:val="22"/>
          <w:lang w:val="en-GB" w:eastAsia="en-US"/>
        </w:rPr>
        <w:t>ske uslove, a time i ekosistem.</w:t>
      </w:r>
    </w:p>
    <w:p w14:paraId="5672611F" w14:textId="37F2CB79" w:rsidR="007067BE" w:rsidRPr="00B609F5" w:rsidRDefault="007067BE" w:rsidP="007067BE">
      <w:pPr>
        <w:spacing w:before="0" w:after="160"/>
        <w:rPr>
          <w:rFonts w:eastAsia="Calibri" w:cs="Calibri"/>
          <w:szCs w:val="22"/>
          <w:lang w:val="en-GB" w:eastAsia="en-US"/>
        </w:rPr>
      </w:pPr>
      <w:r w:rsidRPr="00B609F5">
        <w:rPr>
          <w:rFonts w:eastAsia="Calibri" w:cs="Calibri"/>
          <w:szCs w:val="22"/>
          <w:lang w:val="en-GB" w:eastAsia="en-US"/>
        </w:rPr>
        <w:t>Razvoj i/ili promjena lokalne infrastrukture u priobalnim i otvorenim vodama Jadran</w:t>
      </w:r>
      <w:r>
        <w:rPr>
          <w:rFonts w:eastAsia="Calibri" w:cs="Calibri"/>
          <w:szCs w:val="22"/>
          <w:lang w:val="en-GB" w:eastAsia="en-US"/>
        </w:rPr>
        <w:t xml:space="preserve">skog mora </w:t>
      </w:r>
      <w:r w:rsidRPr="00B609F5">
        <w:rPr>
          <w:rFonts w:eastAsia="Calibri" w:cs="Calibri"/>
          <w:szCs w:val="22"/>
          <w:lang w:val="en-GB" w:eastAsia="en-US"/>
        </w:rPr>
        <w:t>može dovesti do trajnih promjena u morskom dnu i vodenom stu</w:t>
      </w:r>
      <w:r>
        <w:rPr>
          <w:rFonts w:eastAsia="Calibri" w:cs="Calibri"/>
          <w:szCs w:val="22"/>
          <w:lang w:val="en-GB" w:eastAsia="en-US"/>
        </w:rPr>
        <w:t>bu</w:t>
      </w:r>
      <w:r w:rsidRPr="00B609F5">
        <w:rPr>
          <w:rFonts w:eastAsia="Calibri" w:cs="Calibri"/>
          <w:szCs w:val="22"/>
          <w:lang w:val="en-GB" w:eastAsia="en-US"/>
        </w:rPr>
        <w:t xml:space="preserve"> u smislu promjene hidrografskih karakteristika.</w:t>
      </w:r>
    </w:p>
    <w:p w14:paraId="7D04BA4D" w14:textId="5DD83BC4" w:rsidR="007067BE" w:rsidRPr="001C6CCA" w:rsidRDefault="007067BE" w:rsidP="007067BE">
      <w:pPr>
        <w:spacing w:before="0" w:after="160"/>
        <w:rPr>
          <w:rFonts w:eastAsia="Calibri" w:cs="Calibri"/>
          <w:szCs w:val="22"/>
          <w:lang w:val="en-GB" w:eastAsia="en-US"/>
        </w:rPr>
      </w:pPr>
      <w:r w:rsidRPr="00B609F5">
        <w:rPr>
          <w:rFonts w:eastAsia="Calibri" w:cs="Calibri"/>
          <w:szCs w:val="22"/>
          <w:lang w:val="en-GB" w:eastAsia="en-US"/>
        </w:rPr>
        <w:t>Prilikom izgradnje infrastrukturnih objekata većih dimenzija (na prim</w:t>
      </w:r>
      <w:r>
        <w:rPr>
          <w:rFonts w:eastAsia="Calibri" w:cs="Calibri"/>
          <w:szCs w:val="22"/>
          <w:lang w:val="en-GB" w:eastAsia="en-US"/>
        </w:rPr>
        <w:t>j</w:t>
      </w:r>
      <w:r w:rsidRPr="00B609F5">
        <w:rPr>
          <w:rFonts w:eastAsia="Calibri" w:cs="Calibri"/>
          <w:szCs w:val="22"/>
          <w:lang w:val="en-GB" w:eastAsia="en-US"/>
        </w:rPr>
        <w:t>er, luka sa većim brojem vezova) bilo je potrebno pripremiti studiju uticaja na životnu sredinu. Nacionalne regulatorne agencije propisuju da tokom izgradnje i/ili infrastrukturne intervencije štetni uticaji treba da budu ograničenog trajanja i minimalne štete po životnu sredinu.</w:t>
      </w:r>
    </w:p>
    <w:p w14:paraId="223023BE" w14:textId="2D3BDB3C" w:rsidR="006776B6" w:rsidRPr="001C6CCA" w:rsidRDefault="007067BE" w:rsidP="00F65CFF">
      <w:pPr>
        <w:shd w:val="clear" w:color="auto" w:fill="FFFFFF"/>
        <w:spacing w:before="120" w:after="0"/>
        <w:ind w:right="5"/>
        <w:contextualSpacing/>
        <w:rPr>
          <w:rFonts w:eastAsia="Calibri" w:cs="Calibri"/>
          <w:szCs w:val="22"/>
          <w:lang w:val="en-GB" w:eastAsia="en-US"/>
        </w:rPr>
      </w:pPr>
      <w:r w:rsidRPr="007067BE">
        <w:rPr>
          <w:rFonts w:eastAsia="Calibri" w:cs="Calibri"/>
          <w:szCs w:val="22"/>
          <w:lang w:val="en-GB" w:eastAsia="en-US"/>
        </w:rPr>
        <w:t xml:space="preserve">U pogledu pozitivnog </w:t>
      </w:r>
      <w:r>
        <w:rPr>
          <w:rFonts w:eastAsia="Calibri" w:cs="Calibri"/>
          <w:szCs w:val="22"/>
          <w:lang w:val="en-GB" w:eastAsia="en-US"/>
        </w:rPr>
        <w:t>sprovođenja</w:t>
      </w:r>
      <w:r w:rsidRPr="007067BE">
        <w:rPr>
          <w:rFonts w:eastAsia="Calibri" w:cs="Calibri"/>
          <w:szCs w:val="22"/>
          <w:lang w:val="en-GB" w:eastAsia="en-US"/>
        </w:rPr>
        <w:t>, fizička oštećenja (navedena u D6, specifikacija 4) imaju ograničeno trajanje.</w:t>
      </w:r>
    </w:p>
    <w:p w14:paraId="4829557B" w14:textId="60E7FB8A" w:rsidR="007067BE" w:rsidRPr="00B776E8" w:rsidRDefault="007067BE" w:rsidP="00710AC9">
      <w:pPr>
        <w:pStyle w:val="Heading3"/>
        <w:ind w:left="1276" w:hanging="709"/>
        <w:rPr>
          <w:rFonts w:eastAsia="Calibri"/>
          <w:w w:val="105"/>
          <w:lang w:val="en-GB" w:eastAsia="en-US"/>
        </w:rPr>
      </w:pPr>
      <w:bookmarkStart w:id="155" w:name="_Toc83630926"/>
      <w:r w:rsidRPr="00B776E8">
        <w:rPr>
          <w:rFonts w:eastAsia="Calibri" w:cs="Calibri"/>
          <w:szCs w:val="22"/>
          <w:lang w:val="en-GB" w:eastAsia="en-US"/>
        </w:rPr>
        <w:t xml:space="preserve">Rezime </w:t>
      </w:r>
      <w:r w:rsidR="00605469">
        <w:rPr>
          <w:rFonts w:eastAsia="Calibri" w:cs="Calibri"/>
          <w:szCs w:val="22"/>
          <w:lang w:val="en-GB" w:eastAsia="en-US"/>
        </w:rPr>
        <w:t>stanja D7</w:t>
      </w:r>
      <w:r w:rsidRPr="00B776E8">
        <w:rPr>
          <w:rFonts w:eastAsia="Calibri" w:cs="Calibri"/>
          <w:szCs w:val="22"/>
          <w:lang w:val="en-GB" w:eastAsia="en-US"/>
        </w:rPr>
        <w:t xml:space="preserve"> </w:t>
      </w:r>
      <w:r w:rsidR="00B1739F">
        <w:rPr>
          <w:rFonts w:eastAsia="Calibri" w:cs="Calibri"/>
          <w:szCs w:val="22"/>
          <w:lang w:val="en-GB" w:eastAsia="en-US"/>
        </w:rPr>
        <w:t>na osnovu</w:t>
      </w:r>
      <w:r w:rsidRPr="00B776E8">
        <w:rPr>
          <w:rFonts w:eastAsia="Calibri" w:cs="Calibri"/>
          <w:szCs w:val="22"/>
          <w:lang w:val="en-GB" w:eastAsia="en-US"/>
        </w:rPr>
        <w:t xml:space="preserve"> </w:t>
      </w:r>
      <w:r w:rsidR="00593FD6">
        <w:rPr>
          <w:rFonts w:eastAsia="Calibri" w:cs="Calibri"/>
          <w:szCs w:val="22"/>
          <w:lang w:val="en-GB" w:eastAsia="en-US"/>
        </w:rPr>
        <w:t>P</w:t>
      </w:r>
      <w:r w:rsidRPr="00B776E8">
        <w:rPr>
          <w:rFonts w:eastAsia="Calibri" w:cs="Calibri"/>
          <w:szCs w:val="22"/>
          <w:lang w:val="en-GB" w:eastAsia="en-US"/>
        </w:rPr>
        <w:t>očetne proc</w:t>
      </w:r>
      <w:r w:rsidR="00B776E8" w:rsidRPr="00B776E8">
        <w:rPr>
          <w:rFonts w:eastAsia="Calibri" w:cs="Calibri"/>
          <w:szCs w:val="22"/>
          <w:lang w:val="en-GB" w:eastAsia="en-US"/>
        </w:rPr>
        <w:t>j</w:t>
      </w:r>
      <w:r w:rsidRPr="00B776E8">
        <w:rPr>
          <w:rFonts w:eastAsia="Calibri" w:cs="Calibri"/>
          <w:szCs w:val="22"/>
          <w:lang w:val="en-GB" w:eastAsia="en-US"/>
        </w:rPr>
        <w:t>ene</w:t>
      </w:r>
      <w:bookmarkEnd w:id="155"/>
    </w:p>
    <w:p w14:paraId="74C12F5D" w14:textId="3CDEC055" w:rsidR="007067BE" w:rsidRPr="007067BE" w:rsidRDefault="007067BE" w:rsidP="007067BE">
      <w:pPr>
        <w:spacing w:before="0" w:after="160"/>
        <w:rPr>
          <w:rFonts w:eastAsia="Calibri" w:cs="Calibri"/>
          <w:szCs w:val="22"/>
          <w:lang w:val="en-GB" w:eastAsia="en-US"/>
        </w:rPr>
      </w:pPr>
      <w:r w:rsidRPr="007067BE">
        <w:rPr>
          <w:rFonts w:eastAsia="Calibri" w:cs="Calibri"/>
          <w:szCs w:val="22"/>
          <w:lang w:val="en-GB" w:eastAsia="en-US"/>
        </w:rPr>
        <w:t>Trajne hidrografske prom</w:t>
      </w:r>
      <w:r w:rsidR="00B776E8">
        <w:rPr>
          <w:rFonts w:eastAsia="Calibri" w:cs="Calibri"/>
          <w:szCs w:val="22"/>
          <w:lang w:val="en-GB" w:eastAsia="en-US"/>
        </w:rPr>
        <w:t>j</w:t>
      </w:r>
      <w:r w:rsidRPr="007067BE">
        <w:rPr>
          <w:rFonts w:eastAsia="Calibri" w:cs="Calibri"/>
          <w:szCs w:val="22"/>
          <w:lang w:val="en-GB" w:eastAsia="en-US"/>
        </w:rPr>
        <w:t>ene mogu nastati usl</w:t>
      </w:r>
      <w:r w:rsidR="00B776E8">
        <w:rPr>
          <w:rFonts w:eastAsia="Calibri" w:cs="Calibri"/>
          <w:szCs w:val="22"/>
          <w:lang w:val="en-GB" w:eastAsia="en-US"/>
        </w:rPr>
        <w:t>j</w:t>
      </w:r>
      <w:r w:rsidRPr="007067BE">
        <w:rPr>
          <w:rFonts w:eastAsia="Calibri" w:cs="Calibri"/>
          <w:szCs w:val="22"/>
          <w:lang w:val="en-GB" w:eastAsia="en-US"/>
        </w:rPr>
        <w:t>ed prom</w:t>
      </w:r>
      <w:r w:rsidR="00B776E8">
        <w:rPr>
          <w:rFonts w:eastAsia="Calibri" w:cs="Calibri"/>
          <w:szCs w:val="22"/>
          <w:lang w:val="en-GB" w:eastAsia="en-US"/>
        </w:rPr>
        <w:t>j</w:t>
      </w:r>
      <w:r w:rsidRPr="007067BE">
        <w:rPr>
          <w:rFonts w:eastAsia="Calibri" w:cs="Calibri"/>
          <w:szCs w:val="22"/>
          <w:lang w:val="en-GB" w:eastAsia="en-US"/>
        </w:rPr>
        <w:t xml:space="preserve">ena toplotnog </w:t>
      </w:r>
      <w:r w:rsidR="00B776E8">
        <w:rPr>
          <w:rFonts w:eastAsia="Calibri" w:cs="Calibri"/>
          <w:szCs w:val="22"/>
          <w:lang w:val="en-GB" w:eastAsia="en-US"/>
        </w:rPr>
        <w:t xml:space="preserve">režima ili promjena saliniteta, </w:t>
      </w:r>
      <w:r w:rsidRPr="007067BE">
        <w:rPr>
          <w:rFonts w:eastAsia="Calibri" w:cs="Calibri"/>
          <w:szCs w:val="22"/>
          <w:lang w:val="en-GB" w:eastAsia="en-US"/>
        </w:rPr>
        <w:t>prom</w:t>
      </w:r>
      <w:r w:rsidR="00B776E8">
        <w:rPr>
          <w:rFonts w:eastAsia="Calibri" w:cs="Calibri"/>
          <w:szCs w:val="22"/>
          <w:lang w:val="en-GB" w:eastAsia="en-US"/>
        </w:rPr>
        <w:t>j</w:t>
      </w:r>
      <w:r w:rsidRPr="007067BE">
        <w:rPr>
          <w:rFonts w:eastAsia="Calibri" w:cs="Calibri"/>
          <w:szCs w:val="22"/>
          <w:lang w:val="en-GB" w:eastAsia="en-US"/>
        </w:rPr>
        <w:t>ena režima plime i oseke, transporta sedimenta i slatkovodnih voda, dejstva struje ili talasa i prom</w:t>
      </w:r>
      <w:r w:rsidR="00B776E8">
        <w:rPr>
          <w:rFonts w:eastAsia="Calibri" w:cs="Calibri"/>
          <w:szCs w:val="22"/>
          <w:lang w:val="en-GB" w:eastAsia="en-US"/>
        </w:rPr>
        <w:t>jena</w:t>
      </w:r>
      <w:r w:rsidRPr="007067BE">
        <w:rPr>
          <w:rFonts w:eastAsia="Calibri" w:cs="Calibri"/>
          <w:szCs w:val="22"/>
          <w:lang w:val="en-GB" w:eastAsia="en-US"/>
        </w:rPr>
        <w:t xml:space="preserve"> mutnoće. Stepen prom</w:t>
      </w:r>
      <w:r w:rsidR="00B776E8">
        <w:rPr>
          <w:rFonts w:eastAsia="Calibri" w:cs="Calibri"/>
          <w:szCs w:val="22"/>
          <w:lang w:val="en-GB" w:eastAsia="en-US"/>
        </w:rPr>
        <w:t>j</w:t>
      </w:r>
      <w:r w:rsidRPr="007067BE">
        <w:rPr>
          <w:rFonts w:eastAsia="Calibri" w:cs="Calibri"/>
          <w:szCs w:val="22"/>
          <w:lang w:val="en-GB" w:eastAsia="en-US"/>
        </w:rPr>
        <w:t>ene i period tokom kojeg se takva prom</w:t>
      </w:r>
      <w:r w:rsidR="00B776E8">
        <w:rPr>
          <w:rFonts w:eastAsia="Calibri" w:cs="Calibri"/>
          <w:szCs w:val="22"/>
          <w:lang w:val="en-GB" w:eastAsia="en-US"/>
        </w:rPr>
        <w:t>j</w:t>
      </w:r>
      <w:r w:rsidRPr="007067BE">
        <w:rPr>
          <w:rFonts w:eastAsia="Calibri" w:cs="Calibri"/>
          <w:szCs w:val="22"/>
          <w:lang w:val="en-GB" w:eastAsia="en-US"/>
        </w:rPr>
        <w:t>ena dešava zna</w:t>
      </w:r>
      <w:r w:rsidR="00B776E8">
        <w:rPr>
          <w:rFonts w:eastAsia="Calibri" w:cs="Calibri"/>
          <w:szCs w:val="22"/>
          <w:lang w:val="en-GB" w:eastAsia="en-US"/>
        </w:rPr>
        <w:t>čajno</w:t>
      </w:r>
      <w:r w:rsidRPr="007067BE">
        <w:rPr>
          <w:rFonts w:eastAsia="Calibri" w:cs="Calibri"/>
          <w:szCs w:val="22"/>
          <w:lang w:val="en-GB" w:eastAsia="en-US"/>
        </w:rPr>
        <w:t xml:space="preserve"> varira, u zavisnosti od vrste modifikacije. Procena stepena prom</w:t>
      </w:r>
      <w:r w:rsidR="00B776E8">
        <w:rPr>
          <w:rFonts w:eastAsia="Calibri" w:cs="Calibri"/>
          <w:szCs w:val="22"/>
          <w:lang w:val="en-GB" w:eastAsia="en-US"/>
        </w:rPr>
        <w:t>j</w:t>
      </w:r>
      <w:r w:rsidRPr="007067BE">
        <w:rPr>
          <w:rFonts w:eastAsia="Calibri" w:cs="Calibri"/>
          <w:szCs w:val="22"/>
          <w:lang w:val="en-GB" w:eastAsia="en-US"/>
        </w:rPr>
        <w:t>ene može biti povezana i sa voden</w:t>
      </w:r>
      <w:r w:rsidR="00B776E8">
        <w:rPr>
          <w:rFonts w:eastAsia="Calibri" w:cs="Calibri"/>
          <w:szCs w:val="22"/>
          <w:lang w:val="en-GB" w:eastAsia="en-US"/>
        </w:rPr>
        <w:t>im stubom</w:t>
      </w:r>
      <w:r w:rsidRPr="007067BE">
        <w:rPr>
          <w:rFonts w:eastAsia="Calibri" w:cs="Calibri"/>
          <w:szCs w:val="22"/>
          <w:lang w:val="en-GB" w:eastAsia="en-US"/>
        </w:rPr>
        <w:t xml:space="preserve"> i morskim dnom, a time i sa njihovim biološkim zajednicama. Stoga je poznavanje </w:t>
      </w:r>
      <w:r w:rsidR="00B776E8">
        <w:rPr>
          <w:rFonts w:eastAsia="Calibri" w:cs="Calibri"/>
          <w:szCs w:val="22"/>
          <w:lang w:val="en-GB" w:eastAsia="en-US"/>
        </w:rPr>
        <w:t>postojećeg</w:t>
      </w:r>
      <w:r w:rsidRPr="007067BE">
        <w:rPr>
          <w:rFonts w:eastAsia="Calibri" w:cs="Calibri"/>
          <w:szCs w:val="22"/>
          <w:lang w:val="en-GB" w:eastAsia="en-US"/>
        </w:rPr>
        <w:t xml:space="preserve"> stanja fizičkih i hidrografskih uslova jedan od važnih preduslova za postizanje i/ili održavanje dobrog stanja životne sredine. U </w:t>
      </w:r>
      <w:r w:rsidR="00B776E8">
        <w:rPr>
          <w:rFonts w:eastAsia="Calibri" w:cs="Calibri"/>
          <w:szCs w:val="22"/>
          <w:lang w:val="en-GB" w:eastAsia="en-US"/>
        </w:rPr>
        <w:t>doba</w:t>
      </w:r>
      <w:r w:rsidRPr="007067BE">
        <w:rPr>
          <w:rFonts w:eastAsia="Calibri" w:cs="Calibri"/>
          <w:szCs w:val="22"/>
          <w:lang w:val="en-GB" w:eastAsia="en-US"/>
        </w:rPr>
        <w:t xml:space="preserve"> klimatskih prom</w:t>
      </w:r>
      <w:r w:rsidR="00B776E8">
        <w:rPr>
          <w:rFonts w:eastAsia="Calibri" w:cs="Calibri"/>
          <w:szCs w:val="22"/>
          <w:lang w:val="en-GB" w:eastAsia="en-US"/>
        </w:rPr>
        <w:t>j</w:t>
      </w:r>
      <w:r w:rsidRPr="007067BE">
        <w:rPr>
          <w:rFonts w:eastAsia="Calibri" w:cs="Calibri"/>
          <w:szCs w:val="22"/>
          <w:lang w:val="en-GB" w:eastAsia="en-US"/>
        </w:rPr>
        <w:t xml:space="preserve">ena uspostavljeno </w:t>
      </w:r>
      <w:r w:rsidR="00B776E8">
        <w:rPr>
          <w:rFonts w:eastAsia="Calibri" w:cs="Calibri"/>
          <w:szCs w:val="22"/>
          <w:lang w:val="en-GB" w:eastAsia="en-US"/>
        </w:rPr>
        <w:t>postojeće</w:t>
      </w:r>
      <w:r w:rsidRPr="007067BE">
        <w:rPr>
          <w:rFonts w:eastAsia="Calibri" w:cs="Calibri"/>
          <w:szCs w:val="22"/>
          <w:lang w:val="en-GB" w:eastAsia="en-US"/>
        </w:rPr>
        <w:t xml:space="preserve"> stanje treba posmatrati kroz njegovu prom</w:t>
      </w:r>
      <w:r w:rsidR="00B776E8">
        <w:rPr>
          <w:rFonts w:eastAsia="Calibri" w:cs="Calibri"/>
          <w:szCs w:val="22"/>
          <w:lang w:val="en-GB" w:eastAsia="en-US"/>
        </w:rPr>
        <w:t>j</w:t>
      </w:r>
      <w:r w:rsidRPr="007067BE">
        <w:rPr>
          <w:rFonts w:eastAsia="Calibri" w:cs="Calibri"/>
          <w:szCs w:val="22"/>
          <w:lang w:val="en-GB" w:eastAsia="en-US"/>
        </w:rPr>
        <w:t>enljivost, koja se posebno primećuje u Jadranskom moru. Poznata oscilatorna stanja Jadrana (Bimodalni oscilirajući sistem/BIOS), uprkos činjenici da predstavljaju statistički značajnu razliku između srednjih vr</w:t>
      </w:r>
      <w:r w:rsidR="00B776E8">
        <w:rPr>
          <w:rFonts w:eastAsia="Calibri" w:cs="Calibri"/>
          <w:szCs w:val="22"/>
          <w:lang w:val="en-GB" w:eastAsia="en-US"/>
        </w:rPr>
        <w:t>ij</w:t>
      </w:r>
      <w:r w:rsidRPr="007067BE">
        <w:rPr>
          <w:rFonts w:eastAsia="Calibri" w:cs="Calibri"/>
          <w:szCs w:val="22"/>
          <w:lang w:val="en-GB" w:eastAsia="en-US"/>
        </w:rPr>
        <w:t xml:space="preserve">ednosti osnovnih fizičkih parametara, rezultat su prirodnih procesa. U tom svjetlu predstavljeno je </w:t>
      </w:r>
      <w:r w:rsidR="00B776E8">
        <w:rPr>
          <w:rFonts w:eastAsia="Calibri" w:cs="Calibri"/>
          <w:szCs w:val="22"/>
          <w:lang w:val="en-GB" w:eastAsia="en-US"/>
        </w:rPr>
        <w:t>postojeće</w:t>
      </w:r>
      <w:r w:rsidRPr="007067BE">
        <w:rPr>
          <w:rFonts w:eastAsia="Calibri" w:cs="Calibri"/>
          <w:szCs w:val="22"/>
          <w:lang w:val="en-GB" w:eastAsia="en-US"/>
        </w:rPr>
        <w:t xml:space="preserve"> stanje hidrografskih parametara morsk</w:t>
      </w:r>
      <w:r w:rsidR="00B776E8">
        <w:rPr>
          <w:rFonts w:eastAsia="Calibri" w:cs="Calibri"/>
          <w:szCs w:val="22"/>
          <w:lang w:val="en-GB" w:eastAsia="en-US"/>
        </w:rPr>
        <w:t>e sredine</w:t>
      </w:r>
      <w:r w:rsidRPr="007067BE">
        <w:rPr>
          <w:rFonts w:eastAsia="Calibri" w:cs="Calibri"/>
          <w:szCs w:val="22"/>
          <w:lang w:val="en-GB" w:eastAsia="en-US"/>
        </w:rPr>
        <w:t xml:space="preserve"> Crne Gore, kao i Jadrana u cjelini.</w:t>
      </w:r>
    </w:p>
    <w:p w14:paraId="2B2797BB" w14:textId="57249A29" w:rsidR="00495A75" w:rsidRPr="00495A75" w:rsidRDefault="00495A75" w:rsidP="00495A75">
      <w:pPr>
        <w:spacing w:before="0" w:after="160"/>
        <w:rPr>
          <w:rFonts w:eastAsia="Calibri" w:cs="Calibri"/>
          <w:bCs/>
          <w:szCs w:val="22"/>
          <w:lang w:val="en-GB" w:eastAsia="en-US"/>
        </w:rPr>
      </w:pPr>
      <w:bookmarkStart w:id="156" w:name="_Hlk68770732"/>
      <w:r w:rsidRPr="00495A75">
        <w:rPr>
          <w:rFonts w:eastAsia="Calibri" w:cs="Calibri"/>
          <w:b/>
          <w:bCs/>
          <w:szCs w:val="22"/>
          <w:lang w:val="en-GB" w:eastAsia="en-US"/>
        </w:rPr>
        <w:t>Na crnogorskom primorju,</w:t>
      </w:r>
      <w:r w:rsidRPr="00495A75">
        <w:rPr>
          <w:rFonts w:eastAsia="Calibri" w:cs="Calibri"/>
          <w:bCs/>
          <w:szCs w:val="22"/>
          <w:lang w:val="en-GB" w:eastAsia="en-US"/>
        </w:rPr>
        <w:t xml:space="preserve"> dugoročne promjene </w:t>
      </w:r>
      <w:r>
        <w:rPr>
          <w:rFonts w:eastAsia="Calibri" w:cs="Calibri"/>
          <w:bCs/>
          <w:szCs w:val="22"/>
          <w:lang w:val="en-GB" w:eastAsia="en-US"/>
        </w:rPr>
        <w:t>nedavno su postale varijabilnije</w:t>
      </w:r>
      <w:r w:rsidRPr="00495A75">
        <w:rPr>
          <w:rFonts w:eastAsia="Calibri" w:cs="Calibri"/>
          <w:bCs/>
          <w:szCs w:val="22"/>
          <w:lang w:val="en-GB" w:eastAsia="en-US"/>
        </w:rPr>
        <w:t xml:space="preserve"> i sa zapaženijim trendom. Njihov trend uglavnom prati trend uočen duž istočne jadranske obale.</w:t>
      </w:r>
    </w:p>
    <w:p w14:paraId="5FD8B01C" w14:textId="5672EE36" w:rsidR="00495A75" w:rsidRPr="001C6CCA" w:rsidRDefault="00495A75" w:rsidP="00495A75">
      <w:pPr>
        <w:spacing w:before="0" w:after="160"/>
        <w:rPr>
          <w:rFonts w:eastAsia="Calibri" w:cs="Calibri"/>
          <w:bCs/>
          <w:szCs w:val="22"/>
          <w:lang w:val="en-GB" w:eastAsia="en-US"/>
        </w:rPr>
      </w:pPr>
      <w:r w:rsidRPr="00495A75">
        <w:rPr>
          <w:rFonts w:eastAsia="Calibri" w:cs="Calibri"/>
          <w:bCs/>
          <w:szCs w:val="22"/>
          <w:lang w:val="en-GB" w:eastAsia="en-US"/>
        </w:rPr>
        <w:t>U periodu 1984</w:t>
      </w:r>
      <w:r>
        <w:rPr>
          <w:rFonts w:eastAsia="Calibri" w:cs="Calibri"/>
          <w:bCs/>
          <w:szCs w:val="22"/>
          <w:lang w:val="en-GB" w:eastAsia="en-US"/>
        </w:rPr>
        <w:t>.</w:t>
      </w:r>
      <w:r w:rsidRPr="00495A75">
        <w:rPr>
          <w:rFonts w:eastAsia="Calibri" w:cs="Calibri"/>
          <w:bCs/>
          <w:szCs w:val="22"/>
          <w:lang w:val="en-GB" w:eastAsia="en-US"/>
        </w:rPr>
        <w:t xml:space="preserve">-2017. </w:t>
      </w:r>
      <w:r>
        <w:rPr>
          <w:rFonts w:eastAsia="Calibri" w:cs="Calibri"/>
          <w:bCs/>
          <w:szCs w:val="22"/>
          <w:lang w:val="en-GB" w:eastAsia="en-US"/>
        </w:rPr>
        <w:t>godine u</w:t>
      </w:r>
      <w:r w:rsidRPr="00495A75">
        <w:rPr>
          <w:rFonts w:eastAsia="Calibri" w:cs="Calibri"/>
          <w:bCs/>
          <w:szCs w:val="22"/>
          <w:lang w:val="en-GB" w:eastAsia="en-US"/>
        </w:rPr>
        <w:t xml:space="preserve"> Boka-Kotorskom zalivu zab</w:t>
      </w:r>
      <w:r>
        <w:rPr>
          <w:rFonts w:eastAsia="Calibri" w:cs="Calibri"/>
          <w:bCs/>
          <w:szCs w:val="22"/>
          <w:lang w:val="en-GB" w:eastAsia="en-US"/>
        </w:rPr>
        <w:t xml:space="preserve">ilježen je </w:t>
      </w:r>
      <w:r w:rsidRPr="00495A75">
        <w:rPr>
          <w:rFonts w:eastAsia="Calibri" w:cs="Calibri"/>
          <w:bCs/>
          <w:szCs w:val="22"/>
          <w:lang w:val="en-GB" w:eastAsia="en-US"/>
        </w:rPr>
        <w:t>pozitivan trend tem</w:t>
      </w:r>
      <w:r>
        <w:rPr>
          <w:rFonts w:eastAsia="Calibri" w:cs="Calibri"/>
          <w:bCs/>
          <w:szCs w:val="22"/>
          <w:lang w:val="en-GB" w:eastAsia="en-US"/>
        </w:rPr>
        <w:t xml:space="preserve">perature površine mora </w:t>
      </w:r>
      <w:r w:rsidR="00BC117C">
        <w:rPr>
          <w:rFonts w:eastAsia="Calibri" w:cs="Calibri"/>
          <w:bCs/>
          <w:szCs w:val="22"/>
          <w:lang w:val="en-GB" w:eastAsia="en-US"/>
        </w:rPr>
        <w:t xml:space="preserve">(SST) </w:t>
      </w:r>
      <w:r w:rsidRPr="00495A75">
        <w:rPr>
          <w:rFonts w:eastAsia="Calibri" w:cs="Calibri"/>
          <w:bCs/>
          <w:szCs w:val="22"/>
          <w:lang w:val="en-GB" w:eastAsia="en-US"/>
        </w:rPr>
        <w:t>od 0,48</w:t>
      </w:r>
      <w:r w:rsidRPr="001C6CCA">
        <w:rPr>
          <w:rFonts w:eastAsia="Calibri" w:cs="Calibri"/>
          <w:bCs/>
          <w:szCs w:val="22"/>
          <w:lang w:val="en-GB" w:eastAsia="en-US"/>
        </w:rPr>
        <w:t xml:space="preserve"> </w:t>
      </w:r>
      <w:r w:rsidRPr="001C6CCA">
        <w:rPr>
          <w:rFonts w:eastAsia="Calibri" w:cs="Calibri"/>
          <w:bCs/>
          <w:szCs w:val="22"/>
          <w:vertAlign w:val="superscript"/>
          <w:lang w:val="en-GB" w:eastAsia="en-US"/>
        </w:rPr>
        <w:t>0</w:t>
      </w:r>
      <w:r w:rsidRPr="001C6CCA">
        <w:rPr>
          <w:rFonts w:eastAsia="Calibri" w:cs="Calibri"/>
          <w:bCs/>
          <w:szCs w:val="22"/>
          <w:lang w:val="en-GB" w:eastAsia="en-US"/>
        </w:rPr>
        <w:t xml:space="preserve">C </w:t>
      </w:r>
      <w:r w:rsidRPr="00495A75">
        <w:rPr>
          <w:rFonts w:eastAsia="Calibri" w:cs="Calibri"/>
          <w:bCs/>
          <w:szCs w:val="22"/>
          <w:lang w:val="en-GB" w:eastAsia="en-US"/>
        </w:rPr>
        <w:t xml:space="preserve">po deceniji (Violić i sar., 2019). Analizom prosječnih godišnjih vrijednosti temperature </w:t>
      </w:r>
      <w:r>
        <w:rPr>
          <w:rFonts w:eastAsia="Calibri" w:cs="Calibri"/>
          <w:bCs/>
          <w:szCs w:val="22"/>
          <w:lang w:val="en-GB" w:eastAsia="en-US"/>
        </w:rPr>
        <w:t>površine mora</w:t>
      </w:r>
      <w:r w:rsidRPr="00495A75">
        <w:rPr>
          <w:rFonts w:eastAsia="Calibri" w:cs="Calibri"/>
          <w:bCs/>
          <w:szCs w:val="22"/>
          <w:lang w:val="en-GB" w:eastAsia="en-US"/>
        </w:rPr>
        <w:t xml:space="preserve"> duž obale Crne Gore utvrđena je dugoročna varijabilnost koja se poklapa sa opštim trendovima na Jadranu (slika 2.18). Za stanice u Ulcinju i Baru, sa relativno dugim nizom m</w:t>
      </w:r>
      <w:r>
        <w:rPr>
          <w:rFonts w:eastAsia="Calibri" w:cs="Calibri"/>
          <w:bCs/>
          <w:szCs w:val="22"/>
          <w:lang w:val="en-GB" w:eastAsia="en-US"/>
        </w:rPr>
        <w:t>j</w:t>
      </w:r>
      <w:r w:rsidRPr="00495A75">
        <w:rPr>
          <w:rFonts w:eastAsia="Calibri" w:cs="Calibri"/>
          <w:bCs/>
          <w:szCs w:val="22"/>
          <w:lang w:val="en-GB" w:eastAsia="en-US"/>
        </w:rPr>
        <w:t xml:space="preserve">erenja, porast je 1,28 </w:t>
      </w:r>
      <w:r w:rsidRPr="001C6CCA">
        <w:rPr>
          <w:rFonts w:eastAsia="Calibri" w:cs="Calibri"/>
          <w:bCs/>
          <w:szCs w:val="22"/>
          <w:vertAlign w:val="superscript"/>
          <w:lang w:val="en-GB" w:eastAsia="en-US"/>
        </w:rPr>
        <w:t>0</w:t>
      </w:r>
      <w:r w:rsidRPr="001C6CCA">
        <w:rPr>
          <w:rFonts w:eastAsia="Calibri" w:cs="Calibri"/>
          <w:bCs/>
          <w:szCs w:val="22"/>
          <w:lang w:val="en-GB" w:eastAsia="en-US"/>
        </w:rPr>
        <w:t>C</w:t>
      </w:r>
      <w:r w:rsidRPr="00495A75">
        <w:rPr>
          <w:rFonts w:eastAsia="Calibri" w:cs="Calibri"/>
          <w:bCs/>
          <w:szCs w:val="22"/>
          <w:lang w:val="en-GB" w:eastAsia="en-US"/>
        </w:rPr>
        <w:t xml:space="preserve"> /40 godina (Ulcinj), odnosno 1,38 </w:t>
      </w:r>
      <w:r w:rsidRPr="001C6CCA">
        <w:rPr>
          <w:rFonts w:eastAsia="Calibri" w:cs="Calibri"/>
          <w:bCs/>
          <w:szCs w:val="22"/>
          <w:vertAlign w:val="superscript"/>
          <w:lang w:val="en-GB" w:eastAsia="en-US"/>
        </w:rPr>
        <w:t>0</w:t>
      </w:r>
      <w:r w:rsidRPr="001C6CCA">
        <w:rPr>
          <w:rFonts w:eastAsia="Calibri" w:cs="Calibri"/>
          <w:bCs/>
          <w:szCs w:val="22"/>
          <w:lang w:val="en-GB" w:eastAsia="en-US"/>
        </w:rPr>
        <w:t>C</w:t>
      </w:r>
      <w:r w:rsidRPr="00495A75">
        <w:rPr>
          <w:rFonts w:eastAsia="Calibri" w:cs="Calibri"/>
          <w:bCs/>
          <w:szCs w:val="22"/>
          <w:lang w:val="en-GB" w:eastAsia="en-US"/>
        </w:rPr>
        <w:t xml:space="preserve"> </w:t>
      </w:r>
      <w:r>
        <w:rPr>
          <w:rFonts w:eastAsia="Calibri" w:cs="Calibri"/>
          <w:bCs/>
          <w:szCs w:val="22"/>
          <w:lang w:val="en-GB" w:eastAsia="en-US"/>
        </w:rPr>
        <w:t>/</w:t>
      </w:r>
      <w:r w:rsidRPr="00495A75">
        <w:rPr>
          <w:rFonts w:eastAsia="Calibri" w:cs="Calibri"/>
          <w:bCs/>
          <w:szCs w:val="22"/>
          <w:lang w:val="en-GB" w:eastAsia="en-US"/>
        </w:rPr>
        <w:t>40 godina (Bar). Upoređujući dobijene trendove prim</w:t>
      </w:r>
      <w:r>
        <w:rPr>
          <w:rFonts w:eastAsia="Calibri" w:cs="Calibri"/>
          <w:bCs/>
          <w:szCs w:val="22"/>
          <w:lang w:val="en-GB" w:eastAsia="en-US"/>
        </w:rPr>
        <w:t>j</w:t>
      </w:r>
      <w:r w:rsidRPr="00495A75">
        <w:rPr>
          <w:rFonts w:eastAsia="Calibri" w:cs="Calibri"/>
          <w:bCs/>
          <w:szCs w:val="22"/>
          <w:lang w:val="en-GB" w:eastAsia="en-US"/>
        </w:rPr>
        <w:t xml:space="preserve">etno je da odgovarajući linearni trendovi </w:t>
      </w:r>
      <w:r w:rsidRPr="00AA6D51">
        <w:rPr>
          <w:rFonts w:eastAsia="Calibri" w:cs="Calibri"/>
          <w:bCs/>
          <w:szCs w:val="22"/>
          <w:lang w:val="en-GB" w:eastAsia="en-US"/>
        </w:rPr>
        <w:t>opadaju prema jugu. To je posljedica ne samo uticaja morske sredine već i deljovanja preovlađujućih met</w:t>
      </w:r>
      <w:r w:rsidR="00AA6D51" w:rsidRPr="00AA6D51">
        <w:rPr>
          <w:rFonts w:eastAsia="Calibri" w:cs="Calibri"/>
          <w:bCs/>
          <w:szCs w:val="22"/>
          <w:lang w:val="en-GB" w:eastAsia="en-US"/>
        </w:rPr>
        <w:t xml:space="preserve">eoroloških mezoskalnih procesa </w:t>
      </w:r>
      <w:r w:rsidRPr="00AA6D51">
        <w:rPr>
          <w:rFonts w:eastAsia="Calibri" w:cs="Calibri"/>
          <w:bCs/>
          <w:szCs w:val="22"/>
          <w:lang w:val="en-GB" w:eastAsia="en-US"/>
        </w:rPr>
        <w:t>i</w:t>
      </w:r>
      <w:r w:rsidRPr="00495A75">
        <w:rPr>
          <w:rFonts w:eastAsia="Calibri" w:cs="Calibri"/>
          <w:bCs/>
          <w:szCs w:val="22"/>
          <w:lang w:val="en-GB" w:eastAsia="en-US"/>
        </w:rPr>
        <w:t xml:space="preserve"> procesa u razm</w:t>
      </w:r>
      <w:r>
        <w:rPr>
          <w:rFonts w:eastAsia="Calibri" w:cs="Calibri"/>
          <w:bCs/>
          <w:szCs w:val="22"/>
          <w:lang w:val="en-GB" w:eastAsia="en-US"/>
        </w:rPr>
        <w:t>j</w:t>
      </w:r>
      <w:r w:rsidRPr="00495A75">
        <w:rPr>
          <w:rFonts w:eastAsia="Calibri" w:cs="Calibri"/>
          <w:bCs/>
          <w:szCs w:val="22"/>
          <w:lang w:val="en-GB" w:eastAsia="en-US"/>
        </w:rPr>
        <w:t>erama većim od Jadrana (Grbec i sar., 2009). Zbog geografskog položaja Jadrana, veći d</w:t>
      </w:r>
      <w:r>
        <w:rPr>
          <w:rFonts w:eastAsia="Calibri" w:cs="Calibri"/>
          <w:bCs/>
          <w:szCs w:val="22"/>
          <w:lang w:val="en-GB" w:eastAsia="en-US"/>
        </w:rPr>
        <w:t>i</w:t>
      </w:r>
      <w:r w:rsidRPr="00495A75">
        <w:rPr>
          <w:rFonts w:eastAsia="Calibri" w:cs="Calibri"/>
          <w:bCs/>
          <w:szCs w:val="22"/>
          <w:lang w:val="en-GB" w:eastAsia="en-US"/>
        </w:rPr>
        <w:t>o njegove atmosferske prom</w:t>
      </w:r>
      <w:r>
        <w:rPr>
          <w:rFonts w:eastAsia="Calibri" w:cs="Calibri"/>
          <w:bCs/>
          <w:szCs w:val="22"/>
          <w:lang w:val="en-GB" w:eastAsia="en-US"/>
        </w:rPr>
        <w:t>j</w:t>
      </w:r>
      <w:r w:rsidRPr="00495A75">
        <w:rPr>
          <w:rFonts w:eastAsia="Calibri" w:cs="Calibri"/>
          <w:bCs/>
          <w:szCs w:val="22"/>
          <w:lang w:val="en-GB" w:eastAsia="en-US"/>
        </w:rPr>
        <w:t>enljivosti povezan je sa hemisfernim atmosferskim procesima kao što su S</w:t>
      </w:r>
      <w:r>
        <w:rPr>
          <w:rFonts w:eastAsia="Calibri" w:cs="Calibri"/>
          <w:bCs/>
          <w:szCs w:val="22"/>
          <w:lang w:val="en-GB" w:eastAsia="en-US"/>
        </w:rPr>
        <w:t>j</w:t>
      </w:r>
      <w:r w:rsidRPr="00495A75">
        <w:rPr>
          <w:rFonts w:eastAsia="Calibri" w:cs="Calibri"/>
          <w:bCs/>
          <w:szCs w:val="22"/>
          <w:lang w:val="en-GB" w:eastAsia="en-US"/>
        </w:rPr>
        <w:t>evernoatlantske oscilacije (NAO), S</w:t>
      </w:r>
      <w:r>
        <w:rPr>
          <w:rFonts w:eastAsia="Calibri" w:cs="Calibri"/>
          <w:bCs/>
          <w:szCs w:val="22"/>
          <w:lang w:val="en-GB" w:eastAsia="en-US"/>
        </w:rPr>
        <w:t>j</w:t>
      </w:r>
      <w:r w:rsidRPr="00495A75">
        <w:rPr>
          <w:rFonts w:eastAsia="Calibri" w:cs="Calibri"/>
          <w:bCs/>
          <w:szCs w:val="22"/>
          <w:lang w:val="en-GB" w:eastAsia="en-US"/>
        </w:rPr>
        <w:t>everna Afrika - Zapadna Azija (NAVA), Istočni Atlantik (EA) koji utiču na Jadran sa različitim intenzitet i trajanje (Matić, i sar. 2011).</w:t>
      </w:r>
    </w:p>
    <w:bookmarkEnd w:id="156"/>
    <w:p w14:paraId="73FF75B3" w14:textId="20046071" w:rsidR="00BF19E7" w:rsidRPr="001C6CCA" w:rsidRDefault="000413B6" w:rsidP="00AD3938">
      <w:pPr>
        <w:shd w:val="clear" w:color="auto" w:fill="FFFFFF"/>
        <w:tabs>
          <w:tab w:val="left" w:pos="2100"/>
        </w:tabs>
        <w:spacing w:before="120" w:after="0"/>
        <w:ind w:right="5"/>
        <w:rPr>
          <w:rFonts w:eastAsia="Calibri" w:cs="Calibri"/>
          <w:bCs/>
          <w:sz w:val="20"/>
          <w:szCs w:val="20"/>
          <w:lang w:val="en-GB" w:eastAsia="en-US"/>
        </w:rPr>
      </w:pPr>
      <w:r w:rsidRPr="001C6CCA">
        <w:rPr>
          <w:rFonts w:eastAsia="Calibri" w:cs="Calibri"/>
          <w:b/>
          <w:noProof/>
          <w:sz w:val="20"/>
          <w:szCs w:val="20"/>
          <w:lang w:eastAsia="en-US"/>
        </w:rPr>
        <w:drawing>
          <wp:anchor distT="0" distB="0" distL="114300" distR="114300" simplePos="0" relativeHeight="251753472" behindDoc="0" locked="0" layoutInCell="1" allowOverlap="1" wp14:anchorId="0764D481" wp14:editId="1E4F8F17">
            <wp:simplePos x="0" y="0"/>
            <wp:positionH relativeFrom="column">
              <wp:posOffset>-163830</wp:posOffset>
            </wp:positionH>
            <wp:positionV relativeFrom="paragraph">
              <wp:posOffset>0</wp:posOffset>
            </wp:positionV>
            <wp:extent cx="6112510" cy="1627505"/>
            <wp:effectExtent l="0" t="0" r="2540" b="0"/>
            <wp:wrapTopAndBottom/>
            <wp:docPr id="26"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_5.png"/>
                    <pic:cNvPicPr/>
                  </pic:nvPicPr>
                  <pic:blipFill rotWithShape="1">
                    <a:blip r:embed="rId61" cstate="print">
                      <a:extLst>
                        <a:ext uri="{28A0092B-C50C-407E-A947-70E740481C1C}">
                          <a14:useLocalDpi xmlns:a14="http://schemas.microsoft.com/office/drawing/2010/main" val="0"/>
                        </a:ext>
                      </a:extLst>
                    </a:blip>
                    <a:srcRect t="6831" r="573" b="46110"/>
                    <a:stretch/>
                  </pic:blipFill>
                  <pic:spPr bwMode="auto">
                    <a:xfrm>
                      <a:off x="0" y="0"/>
                      <a:ext cx="6112510" cy="162750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2BDADCE" w14:textId="77777777" w:rsidR="000413B6" w:rsidRPr="001C6CCA" w:rsidRDefault="000413B6" w:rsidP="000413B6">
      <w:pPr>
        <w:shd w:val="clear" w:color="auto" w:fill="FFFFFF"/>
        <w:spacing w:before="120" w:after="0" w:line="259" w:lineRule="auto"/>
        <w:ind w:right="5"/>
        <w:jc w:val="center"/>
        <w:rPr>
          <w:rFonts w:eastAsia="Calibri" w:cs="Calibri"/>
          <w:b/>
          <w:sz w:val="20"/>
          <w:szCs w:val="20"/>
          <w:lang w:val="en-GB" w:eastAsia="en-US"/>
        </w:rPr>
      </w:pPr>
      <w:bookmarkStart w:id="157" w:name="_Toc83636909"/>
      <w:r>
        <w:rPr>
          <w:rFonts w:eastAsia="Calibri" w:cs="Calibri"/>
          <w:b/>
          <w:szCs w:val="22"/>
          <w:lang w:val="en-GB" w:eastAsia="en-US"/>
        </w:rPr>
        <w:t>Slika</w:t>
      </w:r>
      <w:r w:rsidRPr="001C6CCA">
        <w:rPr>
          <w:rFonts w:eastAsia="Calibri" w:cs="Calibri"/>
          <w:b/>
          <w:szCs w:val="22"/>
          <w:lang w:val="en-GB" w:eastAsia="en-US"/>
        </w:rPr>
        <w:t xml:space="preserve"> </w:t>
      </w:r>
      <w:r>
        <w:rPr>
          <w:rFonts w:eastAsia="Calibri" w:cs="Calibri"/>
          <w:b/>
          <w:iCs/>
          <w:szCs w:val="22"/>
          <w:lang w:val="en-GB" w:eastAsia="en-US"/>
        </w:rPr>
        <w:fldChar w:fldCharType="begin"/>
      </w:r>
      <w:r>
        <w:rPr>
          <w:rFonts w:eastAsia="Calibri" w:cs="Calibri"/>
          <w:b/>
          <w:iCs/>
          <w:szCs w:val="22"/>
          <w:lang w:val="en-GB" w:eastAsia="en-US"/>
        </w:rPr>
        <w:instrText xml:space="preserve"> STYLEREF 1 \s </w:instrText>
      </w:r>
      <w:r>
        <w:rPr>
          <w:rFonts w:eastAsia="Calibri" w:cs="Calibri"/>
          <w:b/>
          <w:iCs/>
          <w:szCs w:val="22"/>
          <w:lang w:val="en-GB" w:eastAsia="en-US"/>
        </w:rPr>
        <w:fldChar w:fldCharType="separate"/>
      </w:r>
      <w:r w:rsidR="000D1E20">
        <w:rPr>
          <w:rFonts w:eastAsia="Calibri" w:cs="Calibri"/>
          <w:b/>
          <w:iCs/>
          <w:noProof/>
          <w:szCs w:val="22"/>
          <w:lang w:val="en-GB" w:eastAsia="en-US"/>
        </w:rPr>
        <w:t>2</w:t>
      </w:r>
      <w:r>
        <w:rPr>
          <w:rFonts w:eastAsia="Calibri" w:cs="Calibri"/>
          <w:b/>
          <w:iCs/>
          <w:szCs w:val="22"/>
          <w:lang w:val="en-GB" w:eastAsia="en-US"/>
        </w:rPr>
        <w:fldChar w:fldCharType="end"/>
      </w:r>
      <w:r>
        <w:rPr>
          <w:rFonts w:eastAsia="Calibri" w:cs="Calibri"/>
          <w:b/>
          <w:iCs/>
          <w:szCs w:val="22"/>
          <w:lang w:val="en-GB" w:eastAsia="en-US"/>
        </w:rPr>
        <w:t>.</w:t>
      </w:r>
      <w:r>
        <w:rPr>
          <w:rFonts w:eastAsia="Calibri" w:cs="Calibri"/>
          <w:b/>
          <w:iCs/>
          <w:szCs w:val="22"/>
          <w:lang w:val="en-GB" w:eastAsia="en-US"/>
        </w:rPr>
        <w:fldChar w:fldCharType="begin"/>
      </w:r>
      <w:r>
        <w:rPr>
          <w:rFonts w:eastAsia="Calibri" w:cs="Calibri"/>
          <w:b/>
          <w:iCs/>
          <w:szCs w:val="22"/>
          <w:lang w:val="en-GB" w:eastAsia="en-US"/>
        </w:rPr>
        <w:instrText xml:space="preserve"> SEQ Figure \* ARABIC \s 1 </w:instrText>
      </w:r>
      <w:r>
        <w:rPr>
          <w:rFonts w:eastAsia="Calibri" w:cs="Calibri"/>
          <w:b/>
          <w:iCs/>
          <w:szCs w:val="22"/>
          <w:lang w:val="en-GB" w:eastAsia="en-US"/>
        </w:rPr>
        <w:fldChar w:fldCharType="separate"/>
      </w:r>
      <w:r w:rsidR="000D1E20">
        <w:rPr>
          <w:rFonts w:eastAsia="Calibri" w:cs="Calibri"/>
          <w:b/>
          <w:iCs/>
          <w:noProof/>
          <w:szCs w:val="22"/>
          <w:lang w:val="en-GB" w:eastAsia="en-US"/>
        </w:rPr>
        <w:t>14</w:t>
      </w:r>
      <w:r>
        <w:rPr>
          <w:rFonts w:eastAsia="Calibri" w:cs="Calibri"/>
          <w:b/>
          <w:iCs/>
          <w:szCs w:val="22"/>
          <w:lang w:val="en-GB" w:eastAsia="en-US"/>
        </w:rPr>
        <w:fldChar w:fldCharType="end"/>
      </w:r>
      <w:r>
        <w:rPr>
          <w:szCs w:val="22"/>
        </w:rPr>
        <w:t>.</w:t>
      </w:r>
      <w:r w:rsidRPr="001C6CCA">
        <w:rPr>
          <w:rFonts w:eastAsia="Calibri" w:cs="Calibri"/>
          <w:szCs w:val="22"/>
          <w:lang w:val="en-GB" w:eastAsia="en-US"/>
        </w:rPr>
        <w:t xml:space="preserve"> </w:t>
      </w:r>
      <w:r>
        <w:rPr>
          <w:rFonts w:eastAsia="Calibri" w:cs="Calibri"/>
          <w:szCs w:val="22"/>
          <w:lang w:val="en-GB" w:eastAsia="en-US"/>
        </w:rPr>
        <w:t xml:space="preserve"> </w:t>
      </w:r>
      <w:r w:rsidRPr="00495A75">
        <w:rPr>
          <w:rFonts w:eastAsia="Calibri" w:cs="Calibri"/>
          <w:b/>
          <w:szCs w:val="22"/>
          <w:lang w:val="en-GB" w:eastAsia="en-US"/>
        </w:rPr>
        <w:t>Srednji godišnji ciklus SST za odabrane stanice duž crnogorske obale</w:t>
      </w:r>
      <w:bookmarkEnd w:id="157"/>
    </w:p>
    <w:p w14:paraId="5AC7821D" w14:textId="28E1A727" w:rsidR="00BF19E7" w:rsidRPr="00AD3938" w:rsidRDefault="000413B6" w:rsidP="00AD3938">
      <w:pPr>
        <w:shd w:val="clear" w:color="auto" w:fill="FFFFFF"/>
        <w:spacing w:before="120" w:after="0" w:line="259" w:lineRule="auto"/>
        <w:ind w:right="5"/>
        <w:jc w:val="center"/>
        <w:rPr>
          <w:rFonts w:eastAsia="Calibri" w:cs="Calibri"/>
          <w:b/>
          <w:sz w:val="20"/>
          <w:szCs w:val="20"/>
          <w:lang w:val="en-GB" w:eastAsia="en-US"/>
        </w:rPr>
      </w:pPr>
      <w:r w:rsidRPr="001C175B">
        <w:rPr>
          <w:rFonts w:eastAsia="Calibri" w:cs="Calibri"/>
          <w:bCs/>
          <w:noProof/>
          <w:szCs w:val="22"/>
          <w:lang w:eastAsia="en-US"/>
        </w:rPr>
        <w:drawing>
          <wp:anchor distT="0" distB="0" distL="114300" distR="114300" simplePos="0" relativeHeight="251752448" behindDoc="0" locked="0" layoutInCell="1" allowOverlap="1" wp14:anchorId="54B164B7" wp14:editId="040B0FC5">
            <wp:simplePos x="0" y="0"/>
            <wp:positionH relativeFrom="margin">
              <wp:posOffset>-92710</wp:posOffset>
            </wp:positionH>
            <wp:positionV relativeFrom="paragraph">
              <wp:posOffset>330200</wp:posOffset>
            </wp:positionV>
            <wp:extent cx="6045200" cy="1696720"/>
            <wp:effectExtent l="0" t="0" r="0" b="0"/>
            <wp:wrapTopAndBottom/>
            <wp:docPr id="24"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_4_all_annual.png"/>
                    <pic:cNvPicPr/>
                  </pic:nvPicPr>
                  <pic:blipFill rotWithShape="1">
                    <a:blip r:embed="rId62" cstate="print">
                      <a:extLst>
                        <a:ext uri="{28A0092B-C50C-407E-A947-70E740481C1C}">
                          <a14:useLocalDpi xmlns:a14="http://schemas.microsoft.com/office/drawing/2010/main" val="0"/>
                        </a:ext>
                      </a:extLst>
                    </a:blip>
                    <a:srcRect l="1" t="5225" r="2636" b="46297"/>
                    <a:stretch/>
                  </pic:blipFill>
                  <pic:spPr bwMode="auto">
                    <a:xfrm>
                      <a:off x="0" y="0"/>
                      <a:ext cx="6045200" cy="16967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3E46948" w14:textId="1F724FC1" w:rsidR="00BC117C" w:rsidRDefault="000413B6" w:rsidP="004F0F90">
      <w:pPr>
        <w:widowControl w:val="0"/>
        <w:shd w:val="clear" w:color="auto" w:fill="FFFFFF"/>
        <w:spacing w:before="0" w:after="180"/>
        <w:rPr>
          <w:rFonts w:eastAsia="Calibri" w:cs="Calibri"/>
          <w:color w:val="000000"/>
          <w:szCs w:val="22"/>
          <w:lang w:val="en-GB" w:eastAsia="en-US"/>
        </w:rPr>
      </w:pPr>
      <w:r>
        <w:rPr>
          <w:rFonts w:eastAsia="Calibri" w:cs="Calibri"/>
          <w:b/>
          <w:szCs w:val="22"/>
          <w:lang w:val="en-GB" w:eastAsia="en-US"/>
        </w:rPr>
        <w:t xml:space="preserve">                    </w:t>
      </w:r>
      <w:bookmarkStart w:id="158" w:name="_Toc83636910"/>
      <w:r>
        <w:rPr>
          <w:rFonts w:eastAsia="Calibri" w:cs="Calibri"/>
          <w:b/>
          <w:szCs w:val="22"/>
          <w:lang w:val="en-GB" w:eastAsia="en-US"/>
        </w:rPr>
        <w:t xml:space="preserve">Slika </w:t>
      </w:r>
      <w:r>
        <w:rPr>
          <w:rFonts w:eastAsia="Calibri" w:cs="Calibri"/>
          <w:b/>
          <w:iCs/>
          <w:szCs w:val="22"/>
          <w:lang w:val="en-GB" w:eastAsia="en-US"/>
        </w:rPr>
        <w:fldChar w:fldCharType="begin"/>
      </w:r>
      <w:r>
        <w:rPr>
          <w:rFonts w:eastAsia="Calibri" w:cs="Calibri"/>
          <w:b/>
          <w:iCs/>
          <w:szCs w:val="22"/>
          <w:lang w:val="en-GB" w:eastAsia="en-US"/>
        </w:rPr>
        <w:instrText xml:space="preserve"> STYLEREF 1 \s </w:instrText>
      </w:r>
      <w:r>
        <w:rPr>
          <w:rFonts w:eastAsia="Calibri" w:cs="Calibri"/>
          <w:b/>
          <w:iCs/>
          <w:szCs w:val="22"/>
          <w:lang w:val="en-GB" w:eastAsia="en-US"/>
        </w:rPr>
        <w:fldChar w:fldCharType="separate"/>
      </w:r>
      <w:r w:rsidR="000D1E20">
        <w:rPr>
          <w:rFonts w:eastAsia="Calibri" w:cs="Calibri"/>
          <w:b/>
          <w:iCs/>
          <w:noProof/>
          <w:szCs w:val="22"/>
          <w:lang w:val="en-GB" w:eastAsia="en-US"/>
        </w:rPr>
        <w:t>2</w:t>
      </w:r>
      <w:r>
        <w:rPr>
          <w:rFonts w:eastAsia="Calibri" w:cs="Calibri"/>
          <w:b/>
          <w:iCs/>
          <w:szCs w:val="22"/>
          <w:lang w:val="en-GB" w:eastAsia="en-US"/>
        </w:rPr>
        <w:fldChar w:fldCharType="end"/>
      </w:r>
      <w:r>
        <w:rPr>
          <w:rFonts w:eastAsia="Calibri" w:cs="Calibri"/>
          <w:b/>
          <w:iCs/>
          <w:szCs w:val="22"/>
          <w:lang w:val="en-GB" w:eastAsia="en-US"/>
        </w:rPr>
        <w:t>.</w:t>
      </w:r>
      <w:r>
        <w:rPr>
          <w:rFonts w:eastAsia="Calibri" w:cs="Calibri"/>
          <w:b/>
          <w:iCs/>
          <w:szCs w:val="22"/>
          <w:lang w:val="en-GB" w:eastAsia="en-US"/>
        </w:rPr>
        <w:fldChar w:fldCharType="begin"/>
      </w:r>
      <w:r>
        <w:rPr>
          <w:rFonts w:eastAsia="Calibri" w:cs="Calibri"/>
          <w:b/>
          <w:iCs/>
          <w:szCs w:val="22"/>
          <w:lang w:val="en-GB" w:eastAsia="en-US"/>
        </w:rPr>
        <w:instrText xml:space="preserve"> SEQ Figure \* ARABIC \s 1 </w:instrText>
      </w:r>
      <w:r>
        <w:rPr>
          <w:rFonts w:eastAsia="Calibri" w:cs="Calibri"/>
          <w:b/>
          <w:iCs/>
          <w:szCs w:val="22"/>
          <w:lang w:val="en-GB" w:eastAsia="en-US"/>
        </w:rPr>
        <w:fldChar w:fldCharType="separate"/>
      </w:r>
      <w:r w:rsidR="000D1E20">
        <w:rPr>
          <w:rFonts w:eastAsia="Calibri" w:cs="Calibri"/>
          <w:b/>
          <w:iCs/>
          <w:noProof/>
          <w:szCs w:val="22"/>
          <w:lang w:val="en-GB" w:eastAsia="en-US"/>
        </w:rPr>
        <w:t>15</w:t>
      </w:r>
      <w:r>
        <w:rPr>
          <w:rFonts w:eastAsia="Calibri" w:cs="Calibri"/>
          <w:b/>
          <w:iCs/>
          <w:szCs w:val="22"/>
          <w:lang w:val="en-GB" w:eastAsia="en-US"/>
        </w:rPr>
        <w:fldChar w:fldCharType="end"/>
      </w:r>
      <w:r>
        <w:rPr>
          <w:szCs w:val="22"/>
        </w:rPr>
        <w:t>.</w:t>
      </w:r>
      <w:r w:rsidRPr="00BC117C">
        <w:rPr>
          <w:rFonts w:eastAsia="Calibri" w:cs="Calibri"/>
          <w:b/>
          <w:szCs w:val="22"/>
          <w:lang w:val="en-GB" w:eastAsia="en-US"/>
        </w:rPr>
        <w:t xml:space="preserve">  Dugoročni trend SST</w:t>
      </w:r>
      <w:r>
        <w:rPr>
          <w:rFonts w:eastAsia="Calibri" w:cs="Calibri"/>
          <w:szCs w:val="22"/>
          <w:lang w:val="en-GB" w:eastAsia="en-US"/>
        </w:rPr>
        <w:t xml:space="preserve"> </w:t>
      </w:r>
      <w:r w:rsidRPr="00495A75">
        <w:rPr>
          <w:rFonts w:eastAsia="Calibri" w:cs="Calibri"/>
          <w:b/>
          <w:szCs w:val="22"/>
          <w:lang w:val="en-GB" w:eastAsia="en-US"/>
        </w:rPr>
        <w:t>za odabrane stanice duž crnogorske obale</w:t>
      </w:r>
      <w:bookmarkEnd w:id="158"/>
    </w:p>
    <w:p w14:paraId="37DA3825" w14:textId="32F96462" w:rsidR="00BC117C" w:rsidRDefault="00BC117C" w:rsidP="004F0F90">
      <w:pPr>
        <w:widowControl w:val="0"/>
        <w:shd w:val="clear" w:color="auto" w:fill="FFFFFF"/>
        <w:spacing w:before="0" w:after="180"/>
        <w:rPr>
          <w:rFonts w:eastAsia="Calibri" w:cs="Calibri"/>
          <w:color w:val="000000"/>
          <w:szCs w:val="22"/>
          <w:lang w:val="en-GB" w:eastAsia="en-US"/>
        </w:rPr>
      </w:pPr>
      <w:r>
        <w:rPr>
          <w:rFonts w:eastAsia="Calibri" w:cs="Calibri"/>
          <w:color w:val="000000"/>
          <w:szCs w:val="22"/>
          <w:lang w:val="en-GB" w:eastAsia="en-US"/>
        </w:rPr>
        <w:t xml:space="preserve">Ljudske aktivnosti u vodama Crne Gore </w:t>
      </w:r>
      <w:r w:rsidRPr="00BC117C">
        <w:rPr>
          <w:rFonts w:eastAsia="Calibri" w:cs="Calibri"/>
          <w:color w:val="000000"/>
          <w:szCs w:val="22"/>
          <w:lang w:val="en-GB" w:eastAsia="en-US"/>
        </w:rPr>
        <w:t xml:space="preserve">sa potencijalom da trajno promijene hidrografske uslove uglavnom u blizini obale uključuju izgradnju ili proširenje luka, marina i izgradnju postrojenja za prečišćavanje otpadnih voda i kanalizacije. </w:t>
      </w:r>
      <w:r>
        <w:rPr>
          <w:rFonts w:eastAsia="Calibri" w:cs="Calibri"/>
          <w:color w:val="000000"/>
          <w:szCs w:val="22"/>
          <w:lang w:val="en-GB" w:eastAsia="en-US"/>
        </w:rPr>
        <w:t xml:space="preserve">Prema postojećem, priobalno područje </w:t>
      </w:r>
      <w:r w:rsidRPr="00BC117C">
        <w:rPr>
          <w:rFonts w:eastAsia="Calibri" w:cs="Calibri"/>
          <w:color w:val="000000"/>
          <w:szCs w:val="22"/>
          <w:lang w:val="en-GB" w:eastAsia="en-US"/>
        </w:rPr>
        <w:t>je</w:t>
      </w:r>
      <w:r>
        <w:rPr>
          <w:rFonts w:eastAsia="Calibri" w:cs="Calibri"/>
          <w:color w:val="000000"/>
          <w:szCs w:val="22"/>
          <w:lang w:val="en-GB" w:eastAsia="en-US"/>
        </w:rPr>
        <w:t xml:space="preserve"> prilično opterećeno</w:t>
      </w:r>
      <w:r w:rsidRPr="00BC117C">
        <w:rPr>
          <w:rFonts w:eastAsia="Calibri" w:cs="Calibri"/>
          <w:color w:val="000000"/>
          <w:szCs w:val="22"/>
          <w:lang w:val="en-GB" w:eastAsia="en-US"/>
        </w:rPr>
        <w:t xml:space="preserve"> neplaniranom izgradnjom, </w:t>
      </w:r>
      <w:r>
        <w:rPr>
          <w:rFonts w:eastAsia="Calibri" w:cs="Calibri"/>
          <w:color w:val="000000"/>
          <w:szCs w:val="22"/>
          <w:lang w:val="en-GB" w:eastAsia="en-US"/>
        </w:rPr>
        <w:t>izlivanjem otpadnih voda iz marina i kanalizacije</w:t>
      </w:r>
      <w:r w:rsidRPr="00BC117C">
        <w:rPr>
          <w:rFonts w:eastAsia="Calibri" w:cs="Calibri"/>
          <w:color w:val="000000"/>
          <w:szCs w:val="22"/>
          <w:lang w:val="en-GB" w:eastAsia="en-US"/>
        </w:rPr>
        <w:t>. Na prim</w:t>
      </w:r>
      <w:r>
        <w:rPr>
          <w:rFonts w:eastAsia="Calibri" w:cs="Calibri"/>
          <w:color w:val="000000"/>
          <w:szCs w:val="22"/>
          <w:lang w:val="en-GB" w:eastAsia="en-US"/>
        </w:rPr>
        <w:t>j</w:t>
      </w:r>
      <w:r w:rsidRPr="00BC117C">
        <w:rPr>
          <w:rFonts w:eastAsia="Calibri" w:cs="Calibri"/>
          <w:color w:val="000000"/>
          <w:szCs w:val="22"/>
          <w:lang w:val="en-GB" w:eastAsia="en-US"/>
        </w:rPr>
        <w:t xml:space="preserve">er, </w:t>
      </w:r>
      <w:r>
        <w:rPr>
          <w:rFonts w:eastAsia="Calibri" w:cs="Calibri"/>
          <w:color w:val="000000"/>
          <w:szCs w:val="22"/>
          <w:lang w:val="en-GB" w:eastAsia="en-US"/>
        </w:rPr>
        <w:t>u nekim priobalnim</w:t>
      </w:r>
      <w:r w:rsidRPr="00BC117C">
        <w:rPr>
          <w:rFonts w:eastAsia="Calibri" w:cs="Calibri"/>
          <w:color w:val="000000"/>
          <w:szCs w:val="22"/>
          <w:lang w:val="en-GB" w:eastAsia="en-US"/>
        </w:rPr>
        <w:t xml:space="preserve"> područj</w:t>
      </w:r>
      <w:r>
        <w:rPr>
          <w:rFonts w:eastAsia="Calibri" w:cs="Calibri"/>
          <w:color w:val="000000"/>
          <w:szCs w:val="22"/>
          <w:lang w:val="en-GB" w:eastAsia="en-US"/>
        </w:rPr>
        <w:t>ima</w:t>
      </w:r>
      <w:r w:rsidRPr="00BC117C">
        <w:rPr>
          <w:rFonts w:eastAsia="Calibri" w:cs="Calibri"/>
          <w:color w:val="000000"/>
          <w:szCs w:val="22"/>
          <w:lang w:val="en-GB" w:eastAsia="en-US"/>
        </w:rPr>
        <w:t xml:space="preserve"> Bokokotorsk</w:t>
      </w:r>
      <w:r>
        <w:rPr>
          <w:rFonts w:eastAsia="Calibri" w:cs="Calibri"/>
          <w:color w:val="000000"/>
          <w:szCs w:val="22"/>
          <w:lang w:val="en-GB" w:eastAsia="en-US"/>
        </w:rPr>
        <w:t>og zaliva, cirkulacija i hidro</w:t>
      </w:r>
      <w:r w:rsidRPr="00BC117C">
        <w:rPr>
          <w:rFonts w:eastAsia="Calibri" w:cs="Calibri"/>
          <w:color w:val="000000"/>
          <w:szCs w:val="22"/>
          <w:lang w:val="en-GB" w:eastAsia="en-US"/>
        </w:rPr>
        <w:t>morfološk</w:t>
      </w:r>
      <w:r>
        <w:rPr>
          <w:rFonts w:eastAsia="Calibri" w:cs="Calibri"/>
          <w:color w:val="000000"/>
          <w:szCs w:val="22"/>
          <w:lang w:val="en-GB" w:eastAsia="en-US"/>
        </w:rPr>
        <w:t xml:space="preserve">i kvalitet je smanjen </w:t>
      </w:r>
      <w:r w:rsidRPr="00BC117C">
        <w:rPr>
          <w:rFonts w:eastAsia="Calibri" w:cs="Calibri"/>
          <w:color w:val="000000"/>
          <w:szCs w:val="22"/>
          <w:lang w:val="en-GB" w:eastAsia="en-US"/>
        </w:rPr>
        <w:t>što je dovelo do pogoršanja ekološkog kvaliteta. Kumulativni uticaji ovih modifikovanih područja u velikoj m</w:t>
      </w:r>
      <w:r>
        <w:rPr>
          <w:rFonts w:eastAsia="Calibri" w:cs="Calibri"/>
          <w:color w:val="000000"/>
          <w:szCs w:val="22"/>
          <w:lang w:val="en-GB" w:eastAsia="en-US"/>
        </w:rPr>
        <w:t>j</w:t>
      </w:r>
      <w:r w:rsidRPr="00BC117C">
        <w:rPr>
          <w:rFonts w:eastAsia="Calibri" w:cs="Calibri"/>
          <w:color w:val="000000"/>
          <w:szCs w:val="22"/>
          <w:lang w:val="en-GB" w:eastAsia="en-US"/>
        </w:rPr>
        <w:t>eri predstavljaju lokacije na kojima se odvijala značajna obalna infrastrukturna aktivnost, što je rezultiralo velikim modifikacijama obalske linije i/ili sus</w:t>
      </w:r>
      <w:r>
        <w:rPr>
          <w:rFonts w:eastAsia="Calibri" w:cs="Calibri"/>
          <w:color w:val="000000"/>
          <w:szCs w:val="22"/>
          <w:lang w:val="en-GB" w:eastAsia="en-US"/>
        </w:rPr>
        <w:t>j</w:t>
      </w:r>
      <w:r w:rsidRPr="00BC117C">
        <w:rPr>
          <w:rFonts w:eastAsia="Calibri" w:cs="Calibri"/>
          <w:color w:val="000000"/>
          <w:szCs w:val="22"/>
          <w:lang w:val="en-GB" w:eastAsia="en-US"/>
        </w:rPr>
        <w:t>ednih morskih voda.</w:t>
      </w:r>
    </w:p>
    <w:p w14:paraId="248CE276" w14:textId="77777777" w:rsidR="00710AC9" w:rsidRPr="00BC117C" w:rsidRDefault="00710AC9" w:rsidP="004F0F90">
      <w:pPr>
        <w:widowControl w:val="0"/>
        <w:shd w:val="clear" w:color="auto" w:fill="FFFFFF"/>
        <w:spacing w:before="0" w:after="180"/>
        <w:rPr>
          <w:rFonts w:eastAsia="Calibri" w:cs="Calibri"/>
          <w:color w:val="000000"/>
          <w:szCs w:val="22"/>
          <w:lang w:val="en-GB" w:eastAsia="en-US"/>
        </w:rPr>
      </w:pPr>
    </w:p>
    <w:p w14:paraId="1587523C" w14:textId="259948D2" w:rsidR="00BF19E7" w:rsidRPr="001C6CCA" w:rsidRDefault="00BC117C" w:rsidP="00627087">
      <w:pPr>
        <w:pStyle w:val="Heading3"/>
        <w:rPr>
          <w:rFonts w:eastAsia="Calibri"/>
          <w:lang w:val="en-GB" w:eastAsia="en-US"/>
        </w:rPr>
      </w:pPr>
      <w:bookmarkStart w:id="159" w:name="_Toc68078508"/>
      <w:bookmarkStart w:id="160" w:name="_Toc68180773"/>
      <w:bookmarkStart w:id="161" w:name="_Toc83630927"/>
      <w:r>
        <w:rPr>
          <w:rFonts w:eastAsia="Calibri"/>
          <w:lang w:val="en-GB"/>
        </w:rPr>
        <w:t>Pristup procjeni GES-a</w:t>
      </w:r>
      <w:bookmarkEnd w:id="159"/>
      <w:bookmarkEnd w:id="160"/>
      <w:bookmarkEnd w:id="161"/>
    </w:p>
    <w:p w14:paraId="3ADD73B3" w14:textId="1CB9E52F" w:rsidR="00BC117C" w:rsidRPr="001C6CCA" w:rsidRDefault="00BC117C" w:rsidP="004F0F90">
      <w:pPr>
        <w:spacing w:before="0" w:after="180"/>
        <w:rPr>
          <w:rFonts w:eastAsia="Calibri" w:cs="Calibri"/>
          <w:szCs w:val="22"/>
          <w:lang w:val="en-GB" w:eastAsia="en-US"/>
        </w:rPr>
      </w:pPr>
      <w:r w:rsidRPr="00BC117C">
        <w:rPr>
          <w:rFonts w:eastAsia="Calibri" w:cs="Calibri"/>
          <w:szCs w:val="22"/>
          <w:lang w:val="en-GB" w:eastAsia="en-US"/>
        </w:rPr>
        <w:t>Da bi se približili procesu postizanja GES-a za D7, neophodno je sl</w:t>
      </w:r>
      <w:r>
        <w:rPr>
          <w:rFonts w:eastAsia="Calibri" w:cs="Calibri"/>
          <w:szCs w:val="22"/>
          <w:lang w:val="en-GB" w:eastAsia="en-US"/>
        </w:rPr>
        <w:t>ijediti</w:t>
      </w:r>
      <w:r w:rsidRPr="00BC117C">
        <w:rPr>
          <w:rFonts w:eastAsia="Calibri" w:cs="Calibri"/>
          <w:szCs w:val="22"/>
          <w:lang w:val="en-GB" w:eastAsia="en-US"/>
        </w:rPr>
        <w:t xml:space="preserve"> ekosistemski pristup. Naime, da bismo odgovorili na pitanje kako će </w:t>
      </w:r>
      <w:r>
        <w:rPr>
          <w:rFonts w:eastAsia="Calibri" w:cs="Calibri"/>
          <w:szCs w:val="22"/>
          <w:lang w:val="en-GB" w:eastAsia="en-US"/>
        </w:rPr>
        <w:t>određene</w:t>
      </w:r>
      <w:r w:rsidRPr="00BC117C">
        <w:rPr>
          <w:rFonts w:eastAsia="Calibri" w:cs="Calibri"/>
          <w:szCs w:val="22"/>
          <w:lang w:val="en-GB" w:eastAsia="en-US"/>
        </w:rPr>
        <w:t xml:space="preserve"> antropogene/klimatske prom</w:t>
      </w:r>
      <w:r>
        <w:rPr>
          <w:rFonts w:eastAsia="Calibri" w:cs="Calibri"/>
          <w:szCs w:val="22"/>
          <w:lang w:val="en-GB" w:eastAsia="en-US"/>
        </w:rPr>
        <w:t>j</w:t>
      </w:r>
      <w:r w:rsidRPr="00BC117C">
        <w:rPr>
          <w:rFonts w:eastAsia="Calibri" w:cs="Calibri"/>
          <w:szCs w:val="22"/>
          <w:lang w:val="en-GB" w:eastAsia="en-US"/>
        </w:rPr>
        <w:t>ene, koje rezultiraju prom</w:t>
      </w:r>
      <w:r>
        <w:rPr>
          <w:rFonts w:eastAsia="Calibri" w:cs="Calibri"/>
          <w:szCs w:val="22"/>
          <w:lang w:val="en-GB" w:eastAsia="en-US"/>
        </w:rPr>
        <w:t>j</w:t>
      </w:r>
      <w:r w:rsidRPr="00BC117C">
        <w:rPr>
          <w:rFonts w:eastAsia="Calibri" w:cs="Calibri"/>
          <w:szCs w:val="22"/>
          <w:lang w:val="en-GB" w:eastAsia="en-US"/>
        </w:rPr>
        <w:t>enama toplotnog režima, režima</w:t>
      </w:r>
      <w:r>
        <w:rPr>
          <w:rFonts w:eastAsia="Calibri" w:cs="Calibri"/>
          <w:szCs w:val="22"/>
          <w:lang w:val="en-GB" w:eastAsia="en-US"/>
        </w:rPr>
        <w:t xml:space="preserve"> saliniteta</w:t>
      </w:r>
      <w:r w:rsidRPr="00BC117C">
        <w:rPr>
          <w:rFonts w:eastAsia="Calibri" w:cs="Calibri"/>
          <w:szCs w:val="22"/>
          <w:lang w:val="en-GB" w:eastAsia="en-US"/>
        </w:rPr>
        <w:t>, strujanja i na prim</w:t>
      </w:r>
      <w:r w:rsidR="00594DEC">
        <w:rPr>
          <w:rFonts w:eastAsia="Calibri" w:cs="Calibri"/>
          <w:szCs w:val="22"/>
          <w:lang w:val="en-GB" w:eastAsia="en-US"/>
        </w:rPr>
        <w:t>j</w:t>
      </w:r>
      <w:r w:rsidRPr="00BC117C">
        <w:rPr>
          <w:rFonts w:eastAsia="Calibri" w:cs="Calibri"/>
          <w:szCs w:val="22"/>
          <w:lang w:val="en-GB" w:eastAsia="en-US"/>
        </w:rPr>
        <w:t>er talasa, uticati na morski ekosistem, neophodno je prim</w:t>
      </w:r>
      <w:r w:rsidR="00594DEC">
        <w:rPr>
          <w:rFonts w:eastAsia="Calibri" w:cs="Calibri"/>
          <w:szCs w:val="22"/>
          <w:lang w:val="en-GB" w:eastAsia="en-US"/>
        </w:rPr>
        <w:t>j</w:t>
      </w:r>
      <w:r w:rsidRPr="00BC117C">
        <w:rPr>
          <w:rFonts w:eastAsia="Calibri" w:cs="Calibri"/>
          <w:szCs w:val="22"/>
          <w:lang w:val="en-GB" w:eastAsia="en-US"/>
        </w:rPr>
        <w:t>eniti posebne alate poput naprednih statističkih projekcij</w:t>
      </w:r>
      <w:r w:rsidR="00594DEC">
        <w:rPr>
          <w:rFonts w:eastAsia="Calibri" w:cs="Calibri"/>
          <w:szCs w:val="22"/>
          <w:lang w:val="en-GB" w:eastAsia="en-US"/>
        </w:rPr>
        <w:t>a</w:t>
      </w:r>
      <w:r w:rsidRPr="00BC117C">
        <w:rPr>
          <w:rFonts w:eastAsia="Calibri" w:cs="Calibri"/>
          <w:szCs w:val="22"/>
          <w:lang w:val="en-GB" w:eastAsia="en-US"/>
        </w:rPr>
        <w:t xml:space="preserve"> (npr. neuronske mreže, analiza klastera i glavnih komponenata), hidrodinamičko modeliranje, kombinovani modeli atmosfera-more i GIS alati. </w:t>
      </w:r>
      <w:r w:rsidR="00594DEC">
        <w:rPr>
          <w:rFonts w:eastAsia="Calibri" w:cs="Calibri"/>
          <w:szCs w:val="22"/>
          <w:lang w:val="en-GB" w:eastAsia="en-US"/>
        </w:rPr>
        <w:t>Time bi se poboljšalo znanje i ažurirale</w:t>
      </w:r>
      <w:r w:rsidRPr="00BC117C">
        <w:rPr>
          <w:rFonts w:eastAsia="Calibri" w:cs="Calibri"/>
          <w:szCs w:val="22"/>
          <w:lang w:val="en-GB" w:eastAsia="en-US"/>
        </w:rPr>
        <w:t xml:space="preserve"> baze podataka o </w:t>
      </w:r>
      <w:r w:rsidR="00594DEC">
        <w:rPr>
          <w:rFonts w:eastAsia="Calibri" w:cs="Calibri"/>
          <w:szCs w:val="22"/>
          <w:lang w:val="en-GB" w:eastAsia="en-US"/>
        </w:rPr>
        <w:t>postojećem</w:t>
      </w:r>
      <w:r w:rsidRPr="00BC117C">
        <w:rPr>
          <w:rFonts w:eastAsia="Calibri" w:cs="Calibri"/>
          <w:szCs w:val="22"/>
          <w:lang w:val="en-GB" w:eastAsia="en-US"/>
        </w:rPr>
        <w:t xml:space="preserve"> </w:t>
      </w:r>
      <w:r w:rsidR="00594DEC">
        <w:rPr>
          <w:rFonts w:eastAsia="Calibri" w:cs="Calibri"/>
          <w:szCs w:val="22"/>
          <w:lang w:val="en-GB" w:eastAsia="en-US"/>
        </w:rPr>
        <w:t>stepenu opterećenja</w:t>
      </w:r>
      <w:r w:rsidRPr="00BC117C">
        <w:rPr>
          <w:rFonts w:eastAsia="Calibri" w:cs="Calibri"/>
          <w:szCs w:val="22"/>
          <w:lang w:val="en-GB" w:eastAsia="en-US"/>
        </w:rPr>
        <w:t xml:space="preserve"> u priobalnim i otvorenim vodama Crne Gore. GIS alati pomogli bi u zaht</w:t>
      </w:r>
      <w:r w:rsidR="00594DEC">
        <w:rPr>
          <w:rFonts w:eastAsia="Calibri" w:cs="Calibri"/>
          <w:szCs w:val="22"/>
          <w:lang w:val="en-GB" w:eastAsia="en-US"/>
        </w:rPr>
        <w:t>j</w:t>
      </w:r>
      <w:r w:rsidRPr="00BC117C">
        <w:rPr>
          <w:rFonts w:eastAsia="Calibri" w:cs="Calibri"/>
          <w:szCs w:val="22"/>
          <w:lang w:val="en-GB" w:eastAsia="en-US"/>
        </w:rPr>
        <w:t>evnoj prim</w:t>
      </w:r>
      <w:r w:rsidR="00594DEC">
        <w:rPr>
          <w:rFonts w:eastAsia="Calibri" w:cs="Calibri"/>
          <w:szCs w:val="22"/>
          <w:lang w:val="en-GB" w:eastAsia="en-US"/>
        </w:rPr>
        <w:t>j</w:t>
      </w:r>
      <w:r w:rsidRPr="00BC117C">
        <w:rPr>
          <w:rFonts w:eastAsia="Calibri" w:cs="Calibri"/>
          <w:szCs w:val="22"/>
          <w:lang w:val="en-GB" w:eastAsia="en-US"/>
        </w:rPr>
        <w:t xml:space="preserve">eni postojećih propisa i omogućili planiranje koje ne bi </w:t>
      </w:r>
      <w:r w:rsidR="00594DEC">
        <w:rPr>
          <w:rFonts w:eastAsia="Calibri" w:cs="Calibri"/>
          <w:szCs w:val="22"/>
          <w:lang w:val="en-GB" w:eastAsia="en-US"/>
        </w:rPr>
        <w:t xml:space="preserve">pričinjavalo štetu morskoj sredini </w:t>
      </w:r>
      <w:r w:rsidRPr="00BC117C">
        <w:rPr>
          <w:rFonts w:eastAsia="Calibri" w:cs="Calibri"/>
          <w:szCs w:val="22"/>
          <w:lang w:val="en-GB" w:eastAsia="en-US"/>
        </w:rPr>
        <w:t>ili bi šteta prouzrokovana intervencijom bila minimalna. U suprotnom, prim</w:t>
      </w:r>
      <w:r w:rsidR="00594DEC">
        <w:rPr>
          <w:rFonts w:eastAsia="Calibri" w:cs="Calibri"/>
          <w:szCs w:val="22"/>
          <w:lang w:val="en-GB" w:eastAsia="en-US"/>
        </w:rPr>
        <w:t>j</w:t>
      </w:r>
      <w:r w:rsidRPr="00BC117C">
        <w:rPr>
          <w:rFonts w:eastAsia="Calibri" w:cs="Calibri"/>
          <w:szCs w:val="22"/>
          <w:lang w:val="en-GB" w:eastAsia="en-US"/>
        </w:rPr>
        <w:t>ena ovih alata, koji omogućavaju objektivnost u donošenju odluka, bila bi dovoljna da spr</w:t>
      </w:r>
      <w:r w:rsidR="00594DEC">
        <w:rPr>
          <w:rFonts w:eastAsia="Calibri" w:cs="Calibri"/>
          <w:szCs w:val="22"/>
          <w:lang w:val="en-GB" w:eastAsia="en-US"/>
        </w:rPr>
        <w:t>ij</w:t>
      </w:r>
      <w:r w:rsidRPr="00BC117C">
        <w:rPr>
          <w:rFonts w:eastAsia="Calibri" w:cs="Calibri"/>
          <w:szCs w:val="22"/>
          <w:lang w:val="en-GB" w:eastAsia="en-US"/>
        </w:rPr>
        <w:t>eči planiranu aktivnost.</w:t>
      </w:r>
    </w:p>
    <w:p w14:paraId="51CCA67F" w14:textId="1871597A" w:rsidR="00594DEC" w:rsidRDefault="00594DEC" w:rsidP="004F0F90">
      <w:pPr>
        <w:spacing w:before="0" w:after="180"/>
        <w:rPr>
          <w:rFonts w:eastAsia="Calibri" w:cs="Calibri"/>
          <w:szCs w:val="22"/>
          <w:lang w:val="en-GB" w:eastAsia="en-US"/>
        </w:rPr>
      </w:pPr>
      <w:r>
        <w:rPr>
          <w:rFonts w:eastAsia="Calibri" w:cs="Calibri"/>
          <w:szCs w:val="22"/>
          <w:lang w:val="en-GB" w:eastAsia="en-US"/>
        </w:rPr>
        <w:t xml:space="preserve">U slučajevima gdje je to potrebno, </w:t>
      </w:r>
      <w:r w:rsidRPr="00BC117C">
        <w:rPr>
          <w:rFonts w:eastAsia="Calibri" w:cs="Calibri"/>
          <w:szCs w:val="22"/>
          <w:lang w:val="en-GB" w:eastAsia="en-US"/>
        </w:rPr>
        <w:t>koriste se hidrodinamički modeli proc</w:t>
      </w:r>
      <w:r>
        <w:rPr>
          <w:rFonts w:eastAsia="Calibri" w:cs="Calibri"/>
          <w:szCs w:val="22"/>
          <w:lang w:val="en-GB" w:eastAsia="en-US"/>
        </w:rPr>
        <w:t>j</w:t>
      </w:r>
      <w:r w:rsidRPr="00BC117C">
        <w:rPr>
          <w:rFonts w:eastAsia="Calibri" w:cs="Calibri"/>
          <w:szCs w:val="22"/>
          <w:lang w:val="en-GB" w:eastAsia="en-US"/>
        </w:rPr>
        <w:t>ene uticaja na životnu sredinu za proc</w:t>
      </w:r>
      <w:r>
        <w:rPr>
          <w:rFonts w:eastAsia="Calibri" w:cs="Calibri"/>
          <w:szCs w:val="22"/>
          <w:lang w:val="en-GB" w:eastAsia="en-US"/>
        </w:rPr>
        <w:t>j</w:t>
      </w:r>
      <w:r w:rsidRPr="00BC117C">
        <w:rPr>
          <w:rFonts w:eastAsia="Calibri" w:cs="Calibri"/>
          <w:szCs w:val="22"/>
          <w:lang w:val="en-GB" w:eastAsia="en-US"/>
        </w:rPr>
        <w:t xml:space="preserve">enu obima </w:t>
      </w:r>
      <w:r>
        <w:rPr>
          <w:rFonts w:eastAsia="Calibri" w:cs="Calibri"/>
          <w:szCs w:val="22"/>
          <w:lang w:val="en-GB" w:eastAsia="en-US"/>
        </w:rPr>
        <w:t>uticaja</w:t>
      </w:r>
      <w:r w:rsidRPr="00BC117C">
        <w:rPr>
          <w:rFonts w:eastAsia="Calibri" w:cs="Calibri"/>
          <w:szCs w:val="22"/>
          <w:lang w:val="en-GB" w:eastAsia="en-US"/>
        </w:rPr>
        <w:t xml:space="preserve"> svakog </w:t>
      </w:r>
      <w:r>
        <w:rPr>
          <w:rFonts w:eastAsia="Calibri" w:cs="Calibri"/>
          <w:szCs w:val="22"/>
          <w:lang w:val="en-GB" w:eastAsia="en-US"/>
        </w:rPr>
        <w:t>poduhvata koji se odnosi na razvoj</w:t>
      </w:r>
      <w:r w:rsidRPr="00BC117C">
        <w:rPr>
          <w:rFonts w:eastAsia="Calibri" w:cs="Calibri"/>
          <w:szCs w:val="22"/>
          <w:lang w:val="en-GB" w:eastAsia="en-US"/>
        </w:rPr>
        <w:t xml:space="preserve"> infrastrukture. </w:t>
      </w:r>
      <w:r w:rsidRPr="00594DEC">
        <w:rPr>
          <w:rFonts w:eastAsia="Calibri" w:cs="Calibri"/>
          <w:szCs w:val="22"/>
          <w:lang w:val="en-GB" w:eastAsia="en-US"/>
        </w:rPr>
        <w:t>Rezultati primijenjenih</w:t>
      </w:r>
      <w:r w:rsidRPr="00BC117C">
        <w:rPr>
          <w:rFonts w:eastAsia="Calibri" w:cs="Calibri"/>
          <w:szCs w:val="22"/>
          <w:lang w:val="en-GB" w:eastAsia="en-US"/>
        </w:rPr>
        <w:t xml:space="preserve"> modela potvrđuju se terenskim m</w:t>
      </w:r>
      <w:r>
        <w:rPr>
          <w:rFonts w:eastAsia="Calibri" w:cs="Calibri"/>
          <w:szCs w:val="22"/>
          <w:lang w:val="en-GB" w:eastAsia="en-US"/>
        </w:rPr>
        <w:t>j</w:t>
      </w:r>
      <w:r w:rsidRPr="00BC117C">
        <w:rPr>
          <w:rFonts w:eastAsia="Calibri" w:cs="Calibri"/>
          <w:szCs w:val="22"/>
          <w:lang w:val="en-GB" w:eastAsia="en-US"/>
        </w:rPr>
        <w:t>erenjima, a u n</w:t>
      </w:r>
      <w:r>
        <w:rPr>
          <w:rFonts w:eastAsia="Calibri" w:cs="Calibri"/>
          <w:szCs w:val="22"/>
          <w:lang w:val="en-GB" w:eastAsia="en-US"/>
        </w:rPr>
        <w:t>edostatku relevantnih podataka koriste se drugi izvori</w:t>
      </w:r>
      <w:r w:rsidRPr="00BC117C">
        <w:rPr>
          <w:rFonts w:eastAsia="Calibri" w:cs="Calibri"/>
          <w:szCs w:val="22"/>
          <w:lang w:val="en-GB" w:eastAsia="en-US"/>
        </w:rPr>
        <w:t xml:space="preserve"> podataka i informacija. Za </w:t>
      </w:r>
      <w:r>
        <w:rPr>
          <w:rFonts w:eastAsia="Calibri" w:cs="Calibri"/>
          <w:szCs w:val="22"/>
          <w:lang w:val="en-GB" w:eastAsia="en-US"/>
        </w:rPr>
        <w:t>pri</w:t>
      </w:r>
      <w:r w:rsidRPr="00BC117C">
        <w:rPr>
          <w:rFonts w:eastAsia="Calibri" w:cs="Calibri"/>
          <w:szCs w:val="22"/>
          <w:lang w:val="en-GB" w:eastAsia="en-US"/>
        </w:rPr>
        <w:t>obalne vode koriste se podaci o hidromorfologiji i relevantne proc</w:t>
      </w:r>
      <w:r>
        <w:rPr>
          <w:rFonts w:eastAsia="Calibri" w:cs="Calibri"/>
          <w:szCs w:val="22"/>
          <w:lang w:val="en-GB" w:eastAsia="en-US"/>
        </w:rPr>
        <w:t>j</w:t>
      </w:r>
      <w:r w:rsidRPr="00BC117C">
        <w:rPr>
          <w:rFonts w:eastAsia="Calibri" w:cs="Calibri"/>
          <w:szCs w:val="22"/>
          <w:lang w:val="en-GB" w:eastAsia="en-US"/>
        </w:rPr>
        <w:t>en</w:t>
      </w:r>
      <w:r>
        <w:rPr>
          <w:rFonts w:eastAsia="Calibri" w:cs="Calibri"/>
          <w:szCs w:val="22"/>
          <w:lang w:val="en-GB" w:eastAsia="en-US"/>
        </w:rPr>
        <w:t>e na osnovu Direktive 2000/60/</w:t>
      </w:r>
      <w:r w:rsidR="00AA6D51">
        <w:rPr>
          <w:rFonts w:eastAsia="Calibri" w:cs="Calibri"/>
          <w:szCs w:val="22"/>
          <w:lang w:val="en-GB" w:eastAsia="en-US"/>
        </w:rPr>
        <w:t>EC.</w:t>
      </w:r>
    </w:p>
    <w:p w14:paraId="124B6E22" w14:textId="2286823E" w:rsidR="00BC117C" w:rsidRPr="001C6CCA" w:rsidRDefault="00BC117C" w:rsidP="00BC117C">
      <w:pPr>
        <w:spacing w:before="0" w:after="180"/>
        <w:rPr>
          <w:rFonts w:eastAsia="Calibri" w:cs="Calibri"/>
          <w:szCs w:val="22"/>
          <w:lang w:val="en-GB" w:eastAsia="en-US"/>
        </w:rPr>
      </w:pPr>
      <w:r w:rsidRPr="00BC117C">
        <w:rPr>
          <w:rFonts w:eastAsia="Calibri" w:cs="Calibri"/>
          <w:szCs w:val="22"/>
          <w:lang w:val="en-GB" w:eastAsia="en-US"/>
        </w:rPr>
        <w:t>Područje Crne Gore je okeanografski vrlo specifično i klimatski osjetljivo, pa se u svjetlu klimatskih promjena (porast nivoa mora, zagrijavanje) predlaže da se intervencijama i planiranjem aktivnosti u moru uzme u obzir njegova kumulativna ranjivost. Za pretpostaviti je da je oscilatorni karakter južnog Jadrana i razmjena vode sa Mediteranom kontrolisan mehanizmom BIOS</w:t>
      </w:r>
      <w:r w:rsidR="00594DEC">
        <w:rPr>
          <w:rFonts w:eastAsia="Calibri" w:cs="Calibri"/>
          <w:szCs w:val="22"/>
          <w:lang w:val="en-GB" w:eastAsia="en-US"/>
        </w:rPr>
        <w:t>,</w:t>
      </w:r>
      <w:r w:rsidRPr="00BC117C">
        <w:rPr>
          <w:rFonts w:eastAsia="Calibri" w:cs="Calibri"/>
          <w:szCs w:val="22"/>
          <w:lang w:val="en-GB" w:eastAsia="en-US"/>
        </w:rPr>
        <w:t xml:space="preserve"> značaj</w:t>
      </w:r>
      <w:r w:rsidR="00304702">
        <w:rPr>
          <w:rFonts w:eastAsia="Calibri" w:cs="Calibri"/>
          <w:szCs w:val="22"/>
          <w:lang w:val="en-GB" w:eastAsia="en-US"/>
        </w:rPr>
        <w:t>an s</w:t>
      </w:r>
      <w:r w:rsidRPr="00BC117C">
        <w:rPr>
          <w:rFonts w:eastAsia="Calibri" w:cs="Calibri"/>
          <w:szCs w:val="22"/>
          <w:lang w:val="en-GB" w:eastAsia="en-US"/>
        </w:rPr>
        <w:t xml:space="preserve">a stanovišta hidrografske varijabilnosti. Unošenjem hidrografskih podataka u GIS alate i preklapanjem sa postojećim infrastrukturnim objektima, buduće infrastrukturne intervencije mogle bi se realizovati upravo na takav način da se očuva dobro stanje životne sredine. Pritom </w:t>
      </w:r>
      <w:r w:rsidR="00304702">
        <w:rPr>
          <w:rFonts w:eastAsia="Calibri" w:cs="Calibri"/>
          <w:szCs w:val="22"/>
          <w:lang w:val="en-GB" w:eastAsia="en-US"/>
        </w:rPr>
        <w:t xml:space="preserve">treba da se poštuju </w:t>
      </w:r>
      <w:r w:rsidRPr="00BC117C">
        <w:rPr>
          <w:rFonts w:eastAsia="Calibri" w:cs="Calibri"/>
          <w:szCs w:val="22"/>
          <w:lang w:val="en-GB" w:eastAsia="en-US"/>
        </w:rPr>
        <w:t>nacionaln</w:t>
      </w:r>
      <w:r w:rsidR="00304702">
        <w:rPr>
          <w:rFonts w:eastAsia="Calibri" w:cs="Calibri"/>
          <w:szCs w:val="22"/>
          <w:lang w:val="en-GB" w:eastAsia="en-US"/>
        </w:rPr>
        <w:t>i propisi o izradi studija</w:t>
      </w:r>
      <w:r w:rsidRPr="00BC117C">
        <w:rPr>
          <w:rFonts w:eastAsia="Calibri" w:cs="Calibri"/>
          <w:szCs w:val="22"/>
          <w:lang w:val="en-GB" w:eastAsia="en-US"/>
        </w:rPr>
        <w:t xml:space="preserve"> uticaja na životnu sredinu i stratešk</w:t>
      </w:r>
      <w:r w:rsidR="00304702">
        <w:rPr>
          <w:rFonts w:eastAsia="Calibri" w:cs="Calibri"/>
          <w:szCs w:val="22"/>
          <w:lang w:val="en-GB" w:eastAsia="en-US"/>
        </w:rPr>
        <w:t>ih studija</w:t>
      </w:r>
      <w:r w:rsidRPr="00BC117C">
        <w:rPr>
          <w:rFonts w:eastAsia="Calibri" w:cs="Calibri"/>
          <w:szCs w:val="22"/>
          <w:lang w:val="en-GB" w:eastAsia="en-US"/>
        </w:rPr>
        <w:t>.</w:t>
      </w:r>
    </w:p>
    <w:p w14:paraId="5B828519" w14:textId="77777777" w:rsidR="00304702" w:rsidRPr="009E2C74" w:rsidRDefault="00304702" w:rsidP="009E2C74">
      <w:pPr>
        <w:autoSpaceDE w:val="0"/>
        <w:autoSpaceDN w:val="0"/>
        <w:adjustRightInd w:val="0"/>
        <w:spacing w:before="0" w:after="180"/>
        <w:jc w:val="left"/>
        <w:rPr>
          <w:rFonts w:eastAsia="Calibri" w:cs="ArialMT"/>
          <w:szCs w:val="22"/>
          <w:lang w:val="en-GB" w:eastAsia="en-US"/>
        </w:rPr>
      </w:pPr>
      <w:r w:rsidRPr="009E2C74">
        <w:rPr>
          <w:rFonts w:eastAsia="Calibri" w:cs="ArialMT"/>
          <w:szCs w:val="22"/>
          <w:lang w:val="en-GB" w:eastAsia="en-US"/>
        </w:rPr>
        <w:t>Uzimajući u obzir hidrografske i okeanografske specifičnosti u Crnoj Gori, posebno sistem morskih struja i razmjene vode sa Mediteranom, koji se kontroliše BIOS mehanizmom, i pod uticajem klimatskih promjena, prilikom postizanja GES-a treba uzeti u obzir nekoliko činjenica:</w:t>
      </w:r>
    </w:p>
    <w:p w14:paraId="3B38367B" w14:textId="53C8BB7A" w:rsidR="009E2C74" w:rsidRDefault="00304702" w:rsidP="00C52E6F">
      <w:pPr>
        <w:pStyle w:val="ListParagraph"/>
        <w:numPr>
          <w:ilvl w:val="0"/>
          <w:numId w:val="66"/>
        </w:numPr>
        <w:autoSpaceDE w:val="0"/>
        <w:autoSpaceDN w:val="0"/>
        <w:adjustRightInd w:val="0"/>
        <w:spacing w:before="0" w:after="180"/>
        <w:jc w:val="left"/>
        <w:rPr>
          <w:rFonts w:eastAsia="Calibri" w:cs="ArialMT"/>
          <w:szCs w:val="22"/>
          <w:lang w:val="en-GB" w:eastAsia="en-US"/>
        </w:rPr>
      </w:pPr>
      <w:r w:rsidRPr="009E2C74">
        <w:rPr>
          <w:rFonts w:eastAsia="Calibri" w:cs="ArialMT"/>
          <w:szCs w:val="22"/>
          <w:lang w:val="en-GB" w:eastAsia="en-US"/>
        </w:rPr>
        <w:t>širenje štete prouzrokovane antropogenom aktivnošću, posebno na području B</w:t>
      </w:r>
      <w:r w:rsidR="009E2C74">
        <w:rPr>
          <w:rFonts w:eastAsia="Calibri" w:cs="ArialMT"/>
          <w:szCs w:val="22"/>
          <w:lang w:val="en-GB" w:eastAsia="en-US"/>
        </w:rPr>
        <w:t>okokotorskog zaliva</w:t>
      </w:r>
      <w:r w:rsidRPr="009E2C74">
        <w:rPr>
          <w:rFonts w:eastAsia="Calibri" w:cs="ArialMT"/>
          <w:szCs w:val="22"/>
          <w:lang w:val="en-GB" w:eastAsia="en-US"/>
        </w:rPr>
        <w:t xml:space="preserve"> i područjima koja su već značajno opterećena;</w:t>
      </w:r>
    </w:p>
    <w:p w14:paraId="1745ED2D" w14:textId="771ED009" w:rsidR="009E2C74" w:rsidRDefault="00304702" w:rsidP="00C52E6F">
      <w:pPr>
        <w:pStyle w:val="ListParagraph"/>
        <w:numPr>
          <w:ilvl w:val="0"/>
          <w:numId w:val="66"/>
        </w:numPr>
        <w:autoSpaceDE w:val="0"/>
        <w:autoSpaceDN w:val="0"/>
        <w:adjustRightInd w:val="0"/>
        <w:spacing w:before="0" w:after="180"/>
        <w:jc w:val="left"/>
        <w:rPr>
          <w:rFonts w:eastAsia="Calibri" w:cs="ArialMT"/>
          <w:szCs w:val="22"/>
          <w:lang w:val="en-GB" w:eastAsia="en-US"/>
        </w:rPr>
      </w:pPr>
      <w:r w:rsidRPr="009E2C74">
        <w:rPr>
          <w:rFonts w:eastAsia="Calibri" w:cs="ArialMT"/>
          <w:szCs w:val="22"/>
          <w:lang w:val="en-GB" w:eastAsia="en-US"/>
        </w:rPr>
        <w:t>procijeniti u kojoj mjeri je</w:t>
      </w:r>
      <w:r w:rsidR="009E2C74">
        <w:rPr>
          <w:rFonts w:eastAsia="Calibri" w:cs="ArialMT"/>
          <w:szCs w:val="22"/>
          <w:lang w:val="en-GB" w:eastAsia="en-US"/>
        </w:rPr>
        <w:t xml:space="preserve"> antropogena aktivnost uticala i/ili</w:t>
      </w:r>
      <w:r w:rsidRPr="009E2C74">
        <w:rPr>
          <w:rFonts w:eastAsia="Calibri" w:cs="ArialMT"/>
          <w:szCs w:val="22"/>
          <w:lang w:val="en-GB" w:eastAsia="en-US"/>
        </w:rPr>
        <w:t xml:space="preserve"> uništila ukupnu površinu bento</w:t>
      </w:r>
      <w:r w:rsidR="0077485A">
        <w:rPr>
          <w:rFonts w:eastAsia="Calibri" w:cs="ArialMT"/>
          <w:szCs w:val="22"/>
          <w:lang w:val="en-GB" w:eastAsia="en-US"/>
        </w:rPr>
        <w:t>s</w:t>
      </w:r>
      <w:r w:rsidRPr="009E2C74">
        <w:rPr>
          <w:rFonts w:eastAsia="Calibri" w:cs="ArialMT"/>
          <w:szCs w:val="22"/>
          <w:lang w:val="en-GB" w:eastAsia="en-US"/>
        </w:rPr>
        <w:t>kog staništa;</w:t>
      </w:r>
    </w:p>
    <w:p w14:paraId="1FC7E03F" w14:textId="2DE64406" w:rsidR="00304702" w:rsidRDefault="00304702" w:rsidP="00C52E6F">
      <w:pPr>
        <w:pStyle w:val="ListParagraph"/>
        <w:numPr>
          <w:ilvl w:val="0"/>
          <w:numId w:val="66"/>
        </w:numPr>
        <w:autoSpaceDE w:val="0"/>
        <w:autoSpaceDN w:val="0"/>
        <w:adjustRightInd w:val="0"/>
        <w:spacing w:before="0" w:after="180"/>
        <w:jc w:val="left"/>
        <w:rPr>
          <w:rFonts w:eastAsia="Calibri" w:cs="ArialMT"/>
          <w:szCs w:val="22"/>
          <w:lang w:val="en-GB" w:eastAsia="en-US"/>
        </w:rPr>
      </w:pPr>
      <w:r w:rsidRPr="009E2C74">
        <w:rPr>
          <w:rFonts w:eastAsia="Calibri" w:cs="ArialMT"/>
          <w:szCs w:val="22"/>
          <w:lang w:val="en-GB" w:eastAsia="en-US"/>
        </w:rPr>
        <w:t>uticaj klimatskih prom</w:t>
      </w:r>
      <w:r w:rsidR="009E2C74">
        <w:rPr>
          <w:rFonts w:eastAsia="Calibri" w:cs="ArialMT"/>
          <w:szCs w:val="22"/>
          <w:lang w:val="en-GB" w:eastAsia="en-US"/>
        </w:rPr>
        <w:t>j</w:t>
      </w:r>
      <w:r w:rsidRPr="009E2C74">
        <w:rPr>
          <w:rFonts w:eastAsia="Calibri" w:cs="ArialMT"/>
          <w:szCs w:val="22"/>
          <w:lang w:val="en-GB" w:eastAsia="en-US"/>
        </w:rPr>
        <w:t>ena na prom</w:t>
      </w:r>
      <w:r w:rsidR="009E2C74">
        <w:rPr>
          <w:rFonts w:eastAsia="Calibri" w:cs="ArialMT"/>
          <w:szCs w:val="22"/>
          <w:lang w:val="en-GB" w:eastAsia="en-US"/>
        </w:rPr>
        <w:t>j</w:t>
      </w:r>
      <w:r w:rsidRPr="009E2C74">
        <w:rPr>
          <w:rFonts w:eastAsia="Calibri" w:cs="ArialMT"/>
          <w:szCs w:val="22"/>
          <w:lang w:val="en-GB" w:eastAsia="en-US"/>
        </w:rPr>
        <w:t>enljivost parametara koji određuju hidrografsko i okeanografsko stanje područja.</w:t>
      </w:r>
    </w:p>
    <w:p w14:paraId="67F03869" w14:textId="73D6409B" w:rsidR="00AA6D51" w:rsidRPr="00AD3938" w:rsidRDefault="00AD451F" w:rsidP="006951FF">
      <w:pPr>
        <w:spacing w:before="0" w:after="180"/>
        <w:rPr>
          <w:rFonts w:eastAsia="Calibri" w:cs="ArialMT"/>
          <w:szCs w:val="22"/>
          <w:lang w:val="en-GB" w:eastAsia="en-US"/>
        </w:rPr>
      </w:pPr>
      <w:r w:rsidRPr="00AA6D51">
        <w:rPr>
          <w:rFonts w:eastAsia="Calibri" w:cs="ArialMT"/>
          <w:szCs w:val="22"/>
          <w:lang w:val="en-GB" w:eastAsia="en-US"/>
        </w:rPr>
        <w:t>Postizanje GES-a za D7 je veoma složeno zbog svog odnosa sa drugim deskriptorima. Imajući u vidu hidrografske uslove i promjene izazvane promjenama temperature, saliniteta, strujanja, turbulencije i promjenama u sistemu talasa, dobro ekološko stanje postiže se samo u slučaju kada granice propisanih kriterijuma za ostale deskriptore nisu prekoračene.  Promjene u hidrografskim uslovima mogu nastati zbog izgradnje fizičkih građevina (u Crnoj Gori su to uglavnom luke i marine) ili morskog transporta. Tokom ovih intervencija morsko dno se mijenja, dok se lokalno, unutar područja uticaja, mijenjaju se i drugi parametri u ekosistemu. Prema tome, D7 je u stalnoj vezi sa drugim ODMS deskriptorima kroz relevantne deskriptore.</w:t>
      </w:r>
    </w:p>
    <w:p w14:paraId="49F1BFC4" w14:textId="04DE9786" w:rsidR="00BF19E7" w:rsidRPr="001C6CCA" w:rsidRDefault="00304702" w:rsidP="00627087">
      <w:pPr>
        <w:pStyle w:val="Heading3"/>
        <w:rPr>
          <w:rFonts w:eastAsia="Calibri"/>
          <w:lang w:val="en-GB" w:eastAsia="en-US"/>
        </w:rPr>
      </w:pPr>
      <w:bookmarkStart w:id="162" w:name="_Toc68078509"/>
      <w:bookmarkStart w:id="163" w:name="_Toc68180774"/>
      <w:bookmarkStart w:id="164" w:name="_Toc83630928"/>
      <w:r>
        <w:rPr>
          <w:rFonts w:eastAsia="Calibri"/>
          <w:lang w:val="en-GB"/>
        </w:rPr>
        <w:t>Postizanje GES-a</w:t>
      </w:r>
      <w:bookmarkEnd w:id="162"/>
      <w:bookmarkEnd w:id="163"/>
      <w:bookmarkEnd w:id="164"/>
    </w:p>
    <w:p w14:paraId="0A331D26" w14:textId="282FC21C" w:rsidR="00AD451F" w:rsidRPr="001C6CCA" w:rsidRDefault="00AD451F" w:rsidP="00AD451F">
      <w:pPr>
        <w:spacing w:before="0" w:after="180"/>
        <w:rPr>
          <w:rFonts w:eastAsia="Calibri" w:cs="ArialMT"/>
          <w:szCs w:val="22"/>
          <w:lang w:val="en-GB" w:eastAsia="en-US"/>
        </w:rPr>
      </w:pPr>
      <w:r w:rsidRPr="00304702">
        <w:rPr>
          <w:rFonts w:eastAsia="Calibri" w:cs="ArialMT"/>
          <w:szCs w:val="22"/>
          <w:lang w:val="en-GB" w:eastAsia="en-US"/>
        </w:rPr>
        <w:t>Postizanje GES-a za D7 je veoma složeno zbog svog odnosa sa drugim deskriptorima</w:t>
      </w:r>
      <w:r>
        <w:rPr>
          <w:rFonts w:eastAsia="Calibri" w:cs="ArialMT"/>
          <w:szCs w:val="22"/>
          <w:lang w:val="en-GB" w:eastAsia="en-US"/>
        </w:rPr>
        <w:t xml:space="preserve">. Imajući u vidu </w:t>
      </w:r>
      <w:r w:rsidRPr="00304702">
        <w:rPr>
          <w:rFonts w:eastAsia="Calibri" w:cs="ArialMT"/>
          <w:szCs w:val="22"/>
          <w:lang w:val="en-GB" w:eastAsia="en-US"/>
        </w:rPr>
        <w:t>hidrografsk</w:t>
      </w:r>
      <w:r>
        <w:rPr>
          <w:rFonts w:eastAsia="Calibri" w:cs="ArialMT"/>
          <w:szCs w:val="22"/>
          <w:lang w:val="en-GB" w:eastAsia="en-US"/>
        </w:rPr>
        <w:t>e uslove</w:t>
      </w:r>
      <w:r w:rsidRPr="00304702">
        <w:rPr>
          <w:rFonts w:eastAsia="Calibri" w:cs="ArialMT"/>
          <w:szCs w:val="22"/>
          <w:lang w:val="en-GB" w:eastAsia="en-US"/>
        </w:rPr>
        <w:t xml:space="preserve"> i prom</w:t>
      </w:r>
      <w:r>
        <w:rPr>
          <w:rFonts w:eastAsia="Calibri" w:cs="ArialMT"/>
          <w:szCs w:val="22"/>
          <w:lang w:val="en-GB" w:eastAsia="en-US"/>
        </w:rPr>
        <w:t>j</w:t>
      </w:r>
      <w:r w:rsidRPr="00304702">
        <w:rPr>
          <w:rFonts w:eastAsia="Calibri" w:cs="ArialMT"/>
          <w:szCs w:val="22"/>
          <w:lang w:val="en-GB" w:eastAsia="en-US"/>
        </w:rPr>
        <w:t>ene izazvane prom</w:t>
      </w:r>
      <w:r>
        <w:rPr>
          <w:rFonts w:eastAsia="Calibri" w:cs="ArialMT"/>
          <w:szCs w:val="22"/>
          <w:lang w:val="en-GB" w:eastAsia="en-US"/>
        </w:rPr>
        <w:t>j</w:t>
      </w:r>
      <w:r w:rsidRPr="00304702">
        <w:rPr>
          <w:rFonts w:eastAsia="Calibri" w:cs="ArialMT"/>
          <w:szCs w:val="22"/>
          <w:lang w:val="en-GB" w:eastAsia="en-US"/>
        </w:rPr>
        <w:t>enama temperature, s</w:t>
      </w:r>
      <w:r>
        <w:rPr>
          <w:rFonts w:eastAsia="Calibri" w:cs="ArialMT"/>
          <w:szCs w:val="22"/>
          <w:lang w:val="en-GB" w:eastAsia="en-US"/>
        </w:rPr>
        <w:t>aliniteta, strujanja</w:t>
      </w:r>
      <w:r w:rsidRPr="00304702">
        <w:rPr>
          <w:rFonts w:eastAsia="Calibri" w:cs="ArialMT"/>
          <w:szCs w:val="22"/>
          <w:lang w:val="en-GB" w:eastAsia="en-US"/>
        </w:rPr>
        <w:t>, turbulencije i prom</w:t>
      </w:r>
      <w:r>
        <w:rPr>
          <w:rFonts w:eastAsia="Calibri" w:cs="ArialMT"/>
          <w:szCs w:val="22"/>
          <w:lang w:val="en-GB" w:eastAsia="en-US"/>
        </w:rPr>
        <w:t>jenama u sistemu talasa, d</w:t>
      </w:r>
      <w:r w:rsidRPr="00304702">
        <w:rPr>
          <w:rFonts w:eastAsia="Calibri" w:cs="ArialMT"/>
          <w:szCs w:val="22"/>
          <w:lang w:val="en-GB" w:eastAsia="en-US"/>
        </w:rPr>
        <w:t>ob</w:t>
      </w:r>
      <w:r>
        <w:rPr>
          <w:rFonts w:eastAsia="Calibri" w:cs="ArialMT"/>
          <w:szCs w:val="22"/>
          <w:lang w:val="en-GB" w:eastAsia="en-US"/>
        </w:rPr>
        <w:t>ro ekološko stanje</w:t>
      </w:r>
      <w:r w:rsidRPr="00304702">
        <w:rPr>
          <w:rFonts w:eastAsia="Calibri" w:cs="ArialMT"/>
          <w:szCs w:val="22"/>
          <w:lang w:val="en-GB" w:eastAsia="en-US"/>
        </w:rPr>
        <w:t xml:space="preserve"> posti</w:t>
      </w:r>
      <w:r>
        <w:rPr>
          <w:rFonts w:eastAsia="Calibri" w:cs="ArialMT"/>
          <w:szCs w:val="22"/>
          <w:lang w:val="en-GB" w:eastAsia="en-US"/>
        </w:rPr>
        <w:t xml:space="preserve">že se </w:t>
      </w:r>
      <w:r w:rsidRPr="00304702">
        <w:rPr>
          <w:rFonts w:eastAsia="Calibri" w:cs="ArialMT"/>
          <w:szCs w:val="22"/>
          <w:lang w:val="en-GB" w:eastAsia="en-US"/>
        </w:rPr>
        <w:t>samo u slučaju kada granice propisanih kriterijuma za ostale deskriptore nisu prekoračene</w:t>
      </w:r>
      <w:r>
        <w:rPr>
          <w:rFonts w:eastAsia="Calibri" w:cs="ArialMT"/>
          <w:szCs w:val="22"/>
          <w:lang w:val="en-GB" w:eastAsia="en-US"/>
        </w:rPr>
        <w:t xml:space="preserve"> (tabela 2.22). </w:t>
      </w:r>
      <w:r w:rsidRPr="00304702">
        <w:rPr>
          <w:rFonts w:eastAsia="Calibri" w:cs="ArialMT"/>
          <w:szCs w:val="22"/>
          <w:lang w:val="en-GB" w:eastAsia="en-US"/>
        </w:rPr>
        <w:t xml:space="preserve"> Promjene u hidrografskim uslovima mogu nastati zbog izgradnje fizičkih građevina (u Crnoj Gori su to uglavnom luke i marine) ili morskog transporta. Tokom ovih intervencija morsko dno se m</w:t>
      </w:r>
      <w:r>
        <w:rPr>
          <w:rFonts w:eastAsia="Calibri" w:cs="ArialMT"/>
          <w:szCs w:val="22"/>
          <w:lang w:val="en-GB" w:eastAsia="en-US"/>
        </w:rPr>
        <w:t>ij</w:t>
      </w:r>
      <w:r w:rsidRPr="00304702">
        <w:rPr>
          <w:rFonts w:eastAsia="Calibri" w:cs="ArialMT"/>
          <w:szCs w:val="22"/>
          <w:lang w:val="en-GB" w:eastAsia="en-US"/>
        </w:rPr>
        <w:t>enja, dok se lokalno, unutar područja uticaja, m</w:t>
      </w:r>
      <w:r>
        <w:rPr>
          <w:rFonts w:eastAsia="Calibri" w:cs="ArialMT"/>
          <w:szCs w:val="22"/>
          <w:lang w:val="en-GB" w:eastAsia="en-US"/>
        </w:rPr>
        <w:t>ij</w:t>
      </w:r>
      <w:r w:rsidRPr="00304702">
        <w:rPr>
          <w:rFonts w:eastAsia="Calibri" w:cs="ArialMT"/>
          <w:szCs w:val="22"/>
          <w:lang w:val="en-GB" w:eastAsia="en-US"/>
        </w:rPr>
        <w:t xml:space="preserve">enjaju </w:t>
      </w:r>
      <w:r>
        <w:rPr>
          <w:rFonts w:eastAsia="Calibri" w:cs="ArialMT"/>
          <w:szCs w:val="22"/>
          <w:lang w:val="en-GB" w:eastAsia="en-US"/>
        </w:rPr>
        <w:t xml:space="preserve">se </w:t>
      </w:r>
      <w:r w:rsidRPr="00304702">
        <w:rPr>
          <w:rFonts w:eastAsia="Calibri" w:cs="ArialMT"/>
          <w:szCs w:val="22"/>
          <w:lang w:val="en-GB" w:eastAsia="en-US"/>
        </w:rPr>
        <w:t xml:space="preserve">i drugi parametri u ekosistemu. </w:t>
      </w:r>
      <w:r>
        <w:rPr>
          <w:rFonts w:eastAsia="Calibri" w:cs="ArialMT"/>
          <w:szCs w:val="22"/>
          <w:lang w:val="en-GB" w:eastAsia="en-US"/>
        </w:rPr>
        <w:t xml:space="preserve">Prema tome, </w:t>
      </w:r>
      <w:r w:rsidRPr="00304702">
        <w:rPr>
          <w:rFonts w:eastAsia="Calibri" w:cs="ArialMT"/>
          <w:szCs w:val="22"/>
          <w:lang w:val="en-GB" w:eastAsia="en-US"/>
        </w:rPr>
        <w:t xml:space="preserve">D7 </w:t>
      </w:r>
      <w:r>
        <w:rPr>
          <w:rFonts w:eastAsia="Calibri" w:cs="ArialMT"/>
          <w:szCs w:val="22"/>
          <w:lang w:val="en-GB" w:eastAsia="en-US"/>
        </w:rPr>
        <w:t xml:space="preserve">je </w:t>
      </w:r>
      <w:r w:rsidRPr="00304702">
        <w:rPr>
          <w:rFonts w:eastAsia="Calibri" w:cs="ArialMT"/>
          <w:szCs w:val="22"/>
          <w:lang w:val="en-GB" w:eastAsia="en-US"/>
        </w:rPr>
        <w:t xml:space="preserve">u stalnoj vezi sa drugim </w:t>
      </w:r>
      <w:r>
        <w:rPr>
          <w:rFonts w:eastAsia="Calibri" w:cs="ArialMT"/>
          <w:szCs w:val="22"/>
          <w:lang w:val="en-GB" w:eastAsia="en-US"/>
        </w:rPr>
        <w:t>ODMS</w:t>
      </w:r>
      <w:r w:rsidRPr="00304702">
        <w:rPr>
          <w:rFonts w:eastAsia="Calibri" w:cs="ArialMT"/>
          <w:szCs w:val="22"/>
          <w:lang w:val="en-GB" w:eastAsia="en-US"/>
        </w:rPr>
        <w:t xml:space="preserve"> deskriptorima kroz relevantne deskriptore.</w:t>
      </w:r>
    </w:p>
    <w:p w14:paraId="4AA096DB" w14:textId="77777777" w:rsidR="00BF19E7" w:rsidRPr="001C6CCA" w:rsidRDefault="00BF19E7" w:rsidP="00F65CFF">
      <w:pPr>
        <w:autoSpaceDE w:val="0"/>
        <w:autoSpaceDN w:val="0"/>
        <w:adjustRightInd w:val="0"/>
        <w:spacing w:before="0" w:after="0" w:line="240" w:lineRule="auto"/>
        <w:jc w:val="left"/>
        <w:rPr>
          <w:rFonts w:eastAsia="Calibri" w:cs="ArialMT"/>
          <w:sz w:val="20"/>
          <w:szCs w:val="20"/>
          <w:lang w:val="en-GB" w:eastAsia="en-US"/>
        </w:rPr>
      </w:pPr>
    </w:p>
    <w:p w14:paraId="0DC83025" w14:textId="4709D464" w:rsidR="00BF19E7" w:rsidRPr="001C6CCA" w:rsidRDefault="00BF19E7" w:rsidP="00627087">
      <w:pPr>
        <w:spacing w:before="0" w:line="259" w:lineRule="auto"/>
        <w:rPr>
          <w:rFonts w:eastAsia="Calibri"/>
          <w:b/>
          <w:sz w:val="20"/>
          <w:szCs w:val="20"/>
          <w:lang w:val="en-GB" w:eastAsia="en-US"/>
        </w:rPr>
      </w:pPr>
      <w:bookmarkStart w:id="165" w:name="_Toc83643168"/>
      <w:r w:rsidRPr="001C6CCA">
        <w:rPr>
          <w:rFonts w:eastAsia="Calibri"/>
          <w:b/>
          <w:sz w:val="20"/>
          <w:szCs w:val="20"/>
          <w:lang w:val="en-GB" w:eastAsia="en-US"/>
        </w:rPr>
        <w:t>Ta</w:t>
      </w:r>
      <w:r w:rsidRPr="001C6CCA">
        <w:rPr>
          <w:rFonts w:eastAsia="Calibri"/>
          <w:b/>
          <w:szCs w:val="22"/>
          <w:lang w:val="en-GB" w:eastAsia="en-US"/>
        </w:rPr>
        <w:t>b</w:t>
      </w:r>
      <w:r w:rsidR="009E2C74">
        <w:rPr>
          <w:rFonts w:eastAsia="Calibri"/>
          <w:b/>
          <w:szCs w:val="22"/>
          <w:lang w:val="en-GB" w:eastAsia="en-US"/>
        </w:rPr>
        <w:t>ela</w:t>
      </w:r>
      <w:r w:rsidRPr="001C6CCA">
        <w:rPr>
          <w:rFonts w:eastAsia="Calibri"/>
          <w:b/>
          <w:szCs w:val="22"/>
          <w:lang w:val="en-GB" w:eastAsia="en-US"/>
        </w:rPr>
        <w:t xml:space="preserve"> </w:t>
      </w:r>
      <w:r w:rsidR="003415D9" w:rsidRPr="00D932B6">
        <w:rPr>
          <w:b/>
          <w:szCs w:val="22"/>
        </w:rPr>
        <w:fldChar w:fldCharType="begin"/>
      </w:r>
      <w:r w:rsidR="003415D9" w:rsidRPr="00D932B6">
        <w:rPr>
          <w:b/>
          <w:szCs w:val="22"/>
        </w:rPr>
        <w:instrText xml:space="preserve"> STYLEREF 1 \s </w:instrText>
      </w:r>
      <w:r w:rsidR="003415D9" w:rsidRPr="00D932B6">
        <w:rPr>
          <w:b/>
          <w:szCs w:val="22"/>
        </w:rPr>
        <w:fldChar w:fldCharType="separate"/>
      </w:r>
      <w:r w:rsidR="000D1E20">
        <w:rPr>
          <w:b/>
          <w:noProof/>
          <w:szCs w:val="22"/>
        </w:rPr>
        <w:t>2</w:t>
      </w:r>
      <w:r w:rsidR="003415D9" w:rsidRPr="00D932B6">
        <w:rPr>
          <w:b/>
          <w:szCs w:val="22"/>
        </w:rPr>
        <w:fldChar w:fldCharType="end"/>
      </w:r>
      <w:r w:rsidR="003415D9" w:rsidRPr="00D932B6">
        <w:rPr>
          <w:b/>
          <w:szCs w:val="22"/>
        </w:rPr>
        <w:t>.</w:t>
      </w:r>
      <w:r w:rsidR="003415D9" w:rsidRPr="00D932B6">
        <w:rPr>
          <w:b/>
          <w:szCs w:val="22"/>
        </w:rPr>
        <w:fldChar w:fldCharType="begin"/>
      </w:r>
      <w:r w:rsidR="003415D9" w:rsidRPr="00D932B6">
        <w:rPr>
          <w:b/>
          <w:szCs w:val="22"/>
        </w:rPr>
        <w:instrText xml:space="preserve"> SEQ Table \* ARABIC \s 1 </w:instrText>
      </w:r>
      <w:r w:rsidR="003415D9" w:rsidRPr="00D932B6">
        <w:rPr>
          <w:b/>
          <w:szCs w:val="22"/>
        </w:rPr>
        <w:fldChar w:fldCharType="separate"/>
      </w:r>
      <w:r w:rsidR="000D1E20">
        <w:rPr>
          <w:b/>
          <w:noProof/>
          <w:szCs w:val="22"/>
        </w:rPr>
        <w:t>10</w:t>
      </w:r>
      <w:r w:rsidR="003415D9" w:rsidRPr="00D932B6">
        <w:rPr>
          <w:b/>
          <w:szCs w:val="22"/>
        </w:rPr>
        <w:fldChar w:fldCharType="end"/>
      </w:r>
      <w:r w:rsidR="003415D9">
        <w:rPr>
          <w:b/>
          <w:szCs w:val="22"/>
        </w:rPr>
        <w:t>.</w:t>
      </w:r>
      <w:r w:rsidR="003415D9" w:rsidRPr="001C6CCA">
        <w:rPr>
          <w:rFonts w:eastAsia="Calibri" w:cs="Calibri"/>
          <w:b/>
          <w:szCs w:val="22"/>
          <w:lang w:val="en-GB" w:eastAsia="en-US"/>
        </w:rPr>
        <w:t xml:space="preserve"> </w:t>
      </w:r>
      <w:r w:rsidRPr="001C6CCA">
        <w:rPr>
          <w:rFonts w:eastAsia="Calibri"/>
          <w:b/>
          <w:szCs w:val="22"/>
          <w:lang w:val="en-GB" w:eastAsia="en-US"/>
        </w:rPr>
        <w:t xml:space="preserve"> </w:t>
      </w:r>
      <w:r w:rsidR="00960C00">
        <w:rPr>
          <w:rFonts w:eastAsia="Calibri"/>
          <w:b/>
          <w:szCs w:val="22"/>
          <w:lang w:val="en-GB" w:eastAsia="en-US"/>
        </w:rPr>
        <w:t>P</w:t>
      </w:r>
      <w:r w:rsidR="00CC6C64">
        <w:rPr>
          <w:rFonts w:eastAsia="Calibri"/>
          <w:b/>
          <w:szCs w:val="22"/>
          <w:lang w:val="en-GB" w:eastAsia="en-US"/>
        </w:rPr>
        <w:t xml:space="preserve">rocjena </w:t>
      </w:r>
      <w:r w:rsidR="00960C00">
        <w:rPr>
          <w:rFonts w:eastAsia="Calibri"/>
          <w:b/>
          <w:szCs w:val="22"/>
          <w:lang w:val="en-GB" w:eastAsia="en-US"/>
        </w:rPr>
        <w:t xml:space="preserve">GES-a </w:t>
      </w:r>
      <w:r w:rsidR="00CC6C64">
        <w:rPr>
          <w:rFonts w:eastAsia="Calibri"/>
          <w:b/>
          <w:szCs w:val="22"/>
          <w:lang w:val="en-GB" w:eastAsia="en-US"/>
        </w:rPr>
        <w:t xml:space="preserve">za </w:t>
      </w:r>
      <w:r w:rsidRPr="001C6CCA">
        <w:rPr>
          <w:rFonts w:eastAsia="Calibri"/>
          <w:b/>
          <w:szCs w:val="22"/>
          <w:lang w:val="en-GB" w:eastAsia="en-US"/>
        </w:rPr>
        <w:t>D7</w:t>
      </w:r>
      <w:r w:rsidR="00AD5E23" w:rsidRPr="001C6CCA">
        <w:rPr>
          <w:rFonts w:eastAsia="Calibri"/>
          <w:b/>
          <w:szCs w:val="22"/>
          <w:lang w:val="en-GB" w:eastAsia="en-US"/>
        </w:rPr>
        <w:t xml:space="preserve"> </w:t>
      </w:r>
      <w:r w:rsidR="00CC6C64" w:rsidRPr="00CC6C64">
        <w:rPr>
          <w:rFonts w:eastAsia="Calibri"/>
          <w:b/>
          <w:szCs w:val="22"/>
          <w:lang w:val="en-GB" w:eastAsia="en-US"/>
        </w:rPr>
        <w:t xml:space="preserve">prema kriterijumima </w:t>
      </w:r>
      <w:r w:rsidR="00710AC9">
        <w:rPr>
          <w:rFonts w:eastAsia="Calibri"/>
          <w:b/>
          <w:szCs w:val="22"/>
          <w:lang w:val="en-GB" w:eastAsia="en-US"/>
        </w:rPr>
        <w:t xml:space="preserve">iz </w:t>
      </w:r>
      <w:r w:rsidR="00CC6C64">
        <w:rPr>
          <w:rFonts w:eastAsia="Calibri"/>
          <w:b/>
          <w:szCs w:val="22"/>
          <w:lang w:val="en-GB" w:eastAsia="en-US"/>
        </w:rPr>
        <w:t>Odluke</w:t>
      </w:r>
      <w:r w:rsidR="00CC6C64" w:rsidRPr="00CC6C64">
        <w:rPr>
          <w:rFonts w:eastAsia="Calibri"/>
          <w:b/>
          <w:szCs w:val="22"/>
          <w:lang w:val="en-GB" w:eastAsia="en-US"/>
        </w:rPr>
        <w:t xml:space="preserve"> Komisije</w:t>
      </w:r>
      <w:r w:rsidR="00AD5E23" w:rsidRPr="001C6CCA">
        <w:rPr>
          <w:rFonts w:eastAsia="Calibri"/>
          <w:b/>
          <w:szCs w:val="22"/>
          <w:lang w:val="en-GB" w:eastAsia="en-US"/>
        </w:rPr>
        <w:t xml:space="preserve"> 217/845/EU</w:t>
      </w:r>
      <w:bookmarkEnd w:id="165"/>
    </w:p>
    <w:tbl>
      <w:tblPr>
        <w:tblStyle w:val="GolderTable9"/>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400"/>
        <w:gridCol w:w="6621"/>
      </w:tblGrid>
      <w:tr w:rsidR="00AD3938" w:rsidRPr="001C6CCA" w14:paraId="02A73490" w14:textId="77777777" w:rsidTr="00A81581">
        <w:tc>
          <w:tcPr>
            <w:tcW w:w="902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62C20A19" w14:textId="77777777" w:rsidR="00AD3938" w:rsidRDefault="00AD3938" w:rsidP="00C44CA3">
            <w:pPr>
              <w:spacing w:before="0" w:after="0" w:line="240" w:lineRule="auto"/>
              <w:jc w:val="center"/>
              <w:rPr>
                <w:b/>
                <w:color w:val="FFFFFF" w:themeColor="background1"/>
                <w:lang w:val="en-GB" w:eastAsia="en-US"/>
              </w:rPr>
            </w:pPr>
            <w:r>
              <w:rPr>
                <w:b/>
                <w:color w:val="FFFFFF" w:themeColor="background1"/>
                <w:lang w:val="en-GB" w:eastAsia="en-US"/>
              </w:rPr>
              <w:t>Područje procjene: nacionalni nivo - Crnogorski dio Jadrana</w:t>
            </w:r>
          </w:p>
          <w:p w14:paraId="612C7C3E" w14:textId="4F67F8D6" w:rsidR="00A81581" w:rsidRPr="0084232F" w:rsidRDefault="00A81581" w:rsidP="00C44CA3">
            <w:pPr>
              <w:spacing w:before="0" w:after="0" w:line="240" w:lineRule="auto"/>
              <w:jc w:val="center"/>
              <w:rPr>
                <w:b/>
                <w:color w:val="FFFFFF" w:themeColor="background1"/>
                <w:lang w:val="en-GB" w:eastAsia="en-US"/>
              </w:rPr>
            </w:pPr>
          </w:p>
        </w:tc>
      </w:tr>
      <w:tr w:rsidR="00BF19E7" w:rsidRPr="001C6CCA" w14:paraId="2DB1DC2F" w14:textId="77777777" w:rsidTr="00A81581">
        <w:tc>
          <w:tcPr>
            <w:tcW w:w="2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53EBB416" w14:textId="05D9FD04" w:rsidR="00BF19E7" w:rsidRPr="0084232F" w:rsidRDefault="00AD451F" w:rsidP="00F65CFF">
            <w:pPr>
              <w:spacing w:before="0" w:after="0" w:line="240" w:lineRule="auto"/>
              <w:rPr>
                <w:b/>
                <w:color w:val="FFFFFF" w:themeColor="background1"/>
                <w:lang w:val="en-GB" w:eastAsia="en-US"/>
              </w:rPr>
            </w:pPr>
            <w:r w:rsidRPr="0084232F">
              <w:rPr>
                <w:b/>
                <w:color w:val="FFFFFF" w:themeColor="background1"/>
                <w:lang w:val="en-GB" w:eastAsia="en-US"/>
              </w:rPr>
              <w:t>Kriterijum</w:t>
            </w:r>
          </w:p>
        </w:tc>
        <w:tc>
          <w:tcPr>
            <w:tcW w:w="66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505959B9" w14:textId="11EA7F7B" w:rsidR="008B2E8B" w:rsidRPr="0084232F" w:rsidRDefault="008B2E8B" w:rsidP="00F65CFF">
            <w:pPr>
              <w:spacing w:before="0" w:after="0" w:line="240" w:lineRule="auto"/>
              <w:rPr>
                <w:b/>
                <w:color w:val="FFFFFF" w:themeColor="background1"/>
                <w:lang w:val="en-GB" w:eastAsia="en-US"/>
              </w:rPr>
            </w:pPr>
            <w:r w:rsidRPr="0084232F">
              <w:rPr>
                <w:b/>
                <w:color w:val="FFFFFF" w:themeColor="background1"/>
                <w:lang w:val="en-GB" w:eastAsia="en-US"/>
              </w:rPr>
              <w:t>GES</w:t>
            </w:r>
          </w:p>
          <w:p w14:paraId="0B53ECD8" w14:textId="77777777" w:rsidR="00BF19E7" w:rsidRPr="0084232F" w:rsidRDefault="00BF19E7" w:rsidP="00F65CFF">
            <w:pPr>
              <w:spacing w:before="0" w:after="0" w:line="240" w:lineRule="auto"/>
              <w:rPr>
                <w:b/>
                <w:color w:val="FFFFFF" w:themeColor="background1"/>
                <w:lang w:val="en-GB" w:eastAsia="en-US"/>
              </w:rPr>
            </w:pPr>
          </w:p>
        </w:tc>
      </w:tr>
      <w:tr w:rsidR="00BF19E7" w:rsidRPr="001C6CCA" w14:paraId="68B617A5" w14:textId="77777777" w:rsidTr="00A81581">
        <w:tc>
          <w:tcPr>
            <w:tcW w:w="2400" w:type="dxa"/>
            <w:tcBorders>
              <w:top w:val="single" w:sz="4" w:space="0" w:color="FFFFFF" w:themeColor="background1"/>
            </w:tcBorders>
          </w:tcPr>
          <w:p w14:paraId="1B58B604" w14:textId="77777777" w:rsidR="00BF19E7" w:rsidRPr="001C6CCA" w:rsidRDefault="00BF19E7" w:rsidP="00F65CFF">
            <w:pPr>
              <w:spacing w:before="0" w:after="0" w:line="240" w:lineRule="auto"/>
              <w:jc w:val="left"/>
              <w:rPr>
                <w:sz w:val="20"/>
                <w:szCs w:val="20"/>
                <w:lang w:val="en-GB" w:eastAsia="en-US"/>
              </w:rPr>
            </w:pPr>
            <w:r w:rsidRPr="001C6CCA">
              <w:rPr>
                <w:b/>
                <w:sz w:val="20"/>
                <w:szCs w:val="20"/>
                <w:lang w:val="en-GB" w:eastAsia="en-US"/>
              </w:rPr>
              <w:t>D7C1:</w:t>
            </w:r>
            <w:r w:rsidRPr="001C6CCA">
              <w:rPr>
                <w:sz w:val="20"/>
                <w:szCs w:val="20"/>
                <w:lang w:val="en-GB" w:eastAsia="en-US"/>
              </w:rPr>
              <w:t xml:space="preserve"> </w:t>
            </w:r>
          </w:p>
          <w:p w14:paraId="354B811C" w14:textId="639148A3" w:rsidR="00AD451F" w:rsidRPr="001C6CCA" w:rsidRDefault="00AD451F" w:rsidP="00AD451F">
            <w:pPr>
              <w:spacing w:before="0" w:after="0" w:line="240" w:lineRule="auto"/>
              <w:rPr>
                <w:sz w:val="20"/>
                <w:szCs w:val="20"/>
                <w:lang w:val="en-GB" w:eastAsia="en-US"/>
              </w:rPr>
            </w:pPr>
            <w:r w:rsidRPr="00B609F5">
              <w:rPr>
                <w:sz w:val="20"/>
                <w:szCs w:val="20"/>
                <w:lang w:val="en-GB" w:eastAsia="en-US"/>
              </w:rPr>
              <w:t xml:space="preserve">Prostorni opseg i rasprostranjenost trajne promjene hidrografskih uslova </w:t>
            </w:r>
          </w:p>
        </w:tc>
        <w:tc>
          <w:tcPr>
            <w:tcW w:w="6621" w:type="dxa"/>
            <w:tcBorders>
              <w:top w:val="single" w:sz="4" w:space="0" w:color="FFFFFF" w:themeColor="background1"/>
            </w:tcBorders>
          </w:tcPr>
          <w:p w14:paraId="7199F407" w14:textId="77777777" w:rsidR="00AD451F" w:rsidRDefault="00AD451F" w:rsidP="00F65CFF">
            <w:pPr>
              <w:autoSpaceDE w:val="0"/>
              <w:autoSpaceDN w:val="0"/>
              <w:adjustRightInd w:val="0"/>
              <w:spacing w:before="0" w:after="0" w:line="240" w:lineRule="auto"/>
              <w:jc w:val="left"/>
              <w:rPr>
                <w:rFonts w:cs="Calibri"/>
                <w:sz w:val="20"/>
                <w:szCs w:val="20"/>
                <w:lang w:val="en-GB" w:eastAsia="en-US"/>
              </w:rPr>
            </w:pPr>
          </w:p>
          <w:p w14:paraId="52B61E27" w14:textId="0656194E" w:rsidR="00AD451F" w:rsidRPr="00AD451F" w:rsidRDefault="00AD451F" w:rsidP="00AD451F">
            <w:pPr>
              <w:autoSpaceDE w:val="0"/>
              <w:autoSpaceDN w:val="0"/>
              <w:adjustRightInd w:val="0"/>
              <w:spacing w:before="0" w:after="0" w:line="240" w:lineRule="auto"/>
              <w:jc w:val="left"/>
              <w:rPr>
                <w:rFonts w:cs="Calibri"/>
                <w:sz w:val="20"/>
                <w:szCs w:val="20"/>
                <w:lang w:val="en-GB" w:eastAsia="en-US"/>
              </w:rPr>
            </w:pPr>
            <w:r w:rsidRPr="00AD451F">
              <w:rPr>
                <w:rFonts w:cs="Calibri"/>
                <w:sz w:val="20"/>
                <w:szCs w:val="20"/>
                <w:lang w:val="en-GB" w:eastAsia="en-US"/>
              </w:rPr>
              <w:t>Hidrografska svojstva ne ukazuju na trajne promjene hidrografskih uslova  Jadranskog mora</w:t>
            </w:r>
            <w:r>
              <w:rPr>
                <w:rFonts w:cs="Calibri"/>
                <w:sz w:val="20"/>
                <w:szCs w:val="20"/>
                <w:lang w:val="en-GB" w:eastAsia="en-US"/>
              </w:rPr>
              <w:t xml:space="preserve"> Crne Gore</w:t>
            </w:r>
            <w:r w:rsidRPr="00AD451F">
              <w:rPr>
                <w:rFonts w:cs="Calibri"/>
                <w:sz w:val="20"/>
                <w:szCs w:val="20"/>
                <w:lang w:val="en-GB" w:eastAsia="en-US"/>
              </w:rPr>
              <w:t>.</w:t>
            </w:r>
          </w:p>
          <w:p w14:paraId="2FAFB023" w14:textId="77777777" w:rsidR="00AD451F" w:rsidRPr="00AD451F" w:rsidRDefault="00AD451F" w:rsidP="00AD451F">
            <w:pPr>
              <w:autoSpaceDE w:val="0"/>
              <w:autoSpaceDN w:val="0"/>
              <w:adjustRightInd w:val="0"/>
              <w:spacing w:before="0" w:after="0" w:line="240" w:lineRule="auto"/>
              <w:jc w:val="left"/>
              <w:rPr>
                <w:rFonts w:cs="Calibri"/>
                <w:sz w:val="20"/>
                <w:szCs w:val="20"/>
                <w:lang w:val="en-GB" w:eastAsia="en-US"/>
              </w:rPr>
            </w:pPr>
          </w:p>
          <w:p w14:paraId="6696FE44" w14:textId="77777777" w:rsidR="00BF19E7" w:rsidRPr="001C6CCA" w:rsidRDefault="00BF19E7" w:rsidP="00F65CFF">
            <w:pPr>
              <w:tabs>
                <w:tab w:val="left" w:pos="1230"/>
              </w:tabs>
              <w:spacing w:before="0" w:after="0" w:line="240" w:lineRule="auto"/>
              <w:rPr>
                <w:rFonts w:cs="Calibri"/>
                <w:sz w:val="20"/>
                <w:szCs w:val="20"/>
                <w:lang w:val="en-GB" w:eastAsia="en-US"/>
              </w:rPr>
            </w:pPr>
          </w:p>
          <w:p w14:paraId="49A5623A" w14:textId="77777777" w:rsidR="00BF19E7" w:rsidRPr="001C6CCA" w:rsidRDefault="00BF19E7" w:rsidP="00F65CFF">
            <w:pPr>
              <w:tabs>
                <w:tab w:val="left" w:pos="1230"/>
              </w:tabs>
              <w:spacing w:before="0" w:after="0" w:line="240" w:lineRule="auto"/>
              <w:rPr>
                <w:sz w:val="20"/>
                <w:szCs w:val="20"/>
                <w:lang w:val="en-GB" w:eastAsia="en-US"/>
              </w:rPr>
            </w:pPr>
          </w:p>
        </w:tc>
      </w:tr>
      <w:tr w:rsidR="00BF19E7" w:rsidRPr="001C6CCA" w14:paraId="2B82B0BF" w14:textId="77777777" w:rsidTr="00AD3938">
        <w:tc>
          <w:tcPr>
            <w:tcW w:w="2400" w:type="dxa"/>
          </w:tcPr>
          <w:p w14:paraId="2CB60735" w14:textId="77777777" w:rsidR="00BF19E7" w:rsidRPr="001C6CCA" w:rsidRDefault="00BF19E7" w:rsidP="00F65CFF">
            <w:pPr>
              <w:spacing w:before="0" w:after="0" w:line="240" w:lineRule="auto"/>
              <w:rPr>
                <w:b/>
                <w:sz w:val="20"/>
                <w:szCs w:val="20"/>
                <w:lang w:val="en-GB" w:eastAsia="en-US"/>
              </w:rPr>
            </w:pPr>
            <w:r w:rsidRPr="001C6CCA">
              <w:rPr>
                <w:b/>
                <w:sz w:val="20"/>
                <w:szCs w:val="20"/>
                <w:lang w:val="en-GB" w:eastAsia="en-US"/>
              </w:rPr>
              <w:t>D7C2:</w:t>
            </w:r>
          </w:p>
          <w:p w14:paraId="3A4D479C" w14:textId="24228447" w:rsidR="00BF19E7" w:rsidRPr="001C6CCA" w:rsidRDefault="00AD451F" w:rsidP="00AD451F">
            <w:pPr>
              <w:spacing w:after="0" w:line="240" w:lineRule="auto"/>
              <w:rPr>
                <w:sz w:val="20"/>
                <w:szCs w:val="20"/>
                <w:lang w:val="en-GB" w:eastAsia="en-US"/>
              </w:rPr>
            </w:pPr>
            <w:r w:rsidRPr="00B609F5">
              <w:rPr>
                <w:sz w:val="20"/>
                <w:szCs w:val="20"/>
                <w:lang w:val="en-GB" w:eastAsia="en-US"/>
              </w:rPr>
              <w:t>Površina svakog tipa bent</w:t>
            </w:r>
            <w:r>
              <w:rPr>
                <w:sz w:val="20"/>
                <w:szCs w:val="20"/>
                <w:lang w:val="en-GB" w:eastAsia="en-US"/>
              </w:rPr>
              <w:t>ičkog</w:t>
            </w:r>
            <w:r w:rsidRPr="00B609F5">
              <w:rPr>
                <w:sz w:val="20"/>
                <w:szCs w:val="20"/>
                <w:lang w:val="en-GB" w:eastAsia="en-US"/>
              </w:rPr>
              <w:t xml:space="preserve"> staništa koje je pretrpjelo štetu usljed trajnih</w:t>
            </w:r>
            <w:r>
              <w:rPr>
                <w:sz w:val="20"/>
                <w:szCs w:val="20"/>
                <w:lang w:val="en-GB" w:eastAsia="en-US"/>
              </w:rPr>
              <w:t xml:space="preserve"> promjena hidrografskih uslova.</w:t>
            </w:r>
          </w:p>
        </w:tc>
        <w:tc>
          <w:tcPr>
            <w:tcW w:w="6621" w:type="dxa"/>
          </w:tcPr>
          <w:p w14:paraId="3A2F32C6" w14:textId="77777777" w:rsidR="00AD451F" w:rsidRPr="00AD451F" w:rsidRDefault="00AD451F" w:rsidP="00AD451F">
            <w:pPr>
              <w:autoSpaceDE w:val="0"/>
              <w:autoSpaceDN w:val="0"/>
              <w:adjustRightInd w:val="0"/>
              <w:spacing w:before="0" w:after="0" w:line="240" w:lineRule="auto"/>
              <w:jc w:val="left"/>
              <w:rPr>
                <w:rFonts w:cs="Calibri"/>
                <w:sz w:val="20"/>
                <w:szCs w:val="20"/>
                <w:lang w:val="en-GB" w:eastAsia="en-US"/>
              </w:rPr>
            </w:pPr>
            <w:r w:rsidRPr="00AD451F">
              <w:rPr>
                <w:rFonts w:cs="Calibri"/>
                <w:sz w:val="20"/>
                <w:szCs w:val="20"/>
                <w:lang w:val="en-GB" w:eastAsia="en-US"/>
              </w:rPr>
              <w:t>Ovaj kriterijum je usko povezan sa D6C1 i D6C2</w:t>
            </w:r>
          </w:p>
          <w:p w14:paraId="3FBB9F96" w14:textId="619C885E" w:rsidR="00AD451F" w:rsidRPr="001C6CCA" w:rsidRDefault="00AD451F" w:rsidP="00AD451F">
            <w:pPr>
              <w:autoSpaceDE w:val="0"/>
              <w:autoSpaceDN w:val="0"/>
              <w:adjustRightInd w:val="0"/>
              <w:spacing w:before="0" w:after="0" w:line="240" w:lineRule="auto"/>
              <w:jc w:val="left"/>
              <w:rPr>
                <w:rFonts w:cs="Calibri"/>
                <w:sz w:val="20"/>
                <w:szCs w:val="20"/>
                <w:lang w:val="en-GB" w:eastAsia="en-US"/>
              </w:rPr>
            </w:pPr>
            <w:r w:rsidRPr="00AD451F">
              <w:rPr>
                <w:rFonts w:cs="Calibri"/>
                <w:sz w:val="20"/>
                <w:szCs w:val="20"/>
                <w:lang w:val="en-GB" w:eastAsia="en-US"/>
              </w:rPr>
              <w:t>Međutim, pretpostavlja se da bi se pod ovim opisom trebale uzeti u obzir samo velike aktivnosti koje zaht</w:t>
            </w:r>
            <w:r>
              <w:rPr>
                <w:rFonts w:cs="Calibri"/>
                <w:sz w:val="20"/>
                <w:szCs w:val="20"/>
                <w:lang w:val="en-GB" w:eastAsia="en-US"/>
              </w:rPr>
              <w:t>j</w:t>
            </w:r>
            <w:r w:rsidRPr="00AD451F">
              <w:rPr>
                <w:rFonts w:cs="Calibri"/>
                <w:sz w:val="20"/>
                <w:szCs w:val="20"/>
                <w:lang w:val="en-GB" w:eastAsia="en-US"/>
              </w:rPr>
              <w:t>evaju proc</w:t>
            </w:r>
            <w:r>
              <w:rPr>
                <w:rFonts w:cs="Calibri"/>
                <w:sz w:val="20"/>
                <w:szCs w:val="20"/>
                <w:lang w:val="en-GB" w:eastAsia="en-US"/>
              </w:rPr>
              <w:t>j</w:t>
            </w:r>
            <w:r w:rsidRPr="00AD451F">
              <w:rPr>
                <w:rFonts w:cs="Calibri"/>
                <w:sz w:val="20"/>
                <w:szCs w:val="20"/>
                <w:lang w:val="en-GB" w:eastAsia="en-US"/>
              </w:rPr>
              <w:t>enu uticaja na životnu sredinu (EIA). U takvoj proc</w:t>
            </w:r>
            <w:r>
              <w:rPr>
                <w:rFonts w:cs="Calibri"/>
                <w:sz w:val="20"/>
                <w:szCs w:val="20"/>
                <w:lang w:val="en-GB" w:eastAsia="en-US"/>
              </w:rPr>
              <w:t>j</w:t>
            </w:r>
            <w:r w:rsidRPr="00AD451F">
              <w:rPr>
                <w:rFonts w:cs="Calibri"/>
                <w:sz w:val="20"/>
                <w:szCs w:val="20"/>
                <w:lang w:val="en-GB" w:eastAsia="en-US"/>
              </w:rPr>
              <w:t xml:space="preserve">eni moraju se uzeti u obzir svi relevantni uticaji na životnu sredinu i shodno tome, štetni </w:t>
            </w:r>
            <w:r>
              <w:rPr>
                <w:rFonts w:cs="Calibri"/>
                <w:sz w:val="20"/>
                <w:szCs w:val="20"/>
                <w:lang w:val="en-GB" w:eastAsia="en-US"/>
              </w:rPr>
              <w:t xml:space="preserve">uticaji koji se odnose na ovaj </w:t>
            </w:r>
            <w:r w:rsidRPr="00AD451F">
              <w:rPr>
                <w:rFonts w:cs="Calibri"/>
                <w:sz w:val="20"/>
                <w:szCs w:val="20"/>
                <w:lang w:val="en-GB" w:eastAsia="en-US"/>
              </w:rPr>
              <w:t xml:space="preserve">GES deskriptor </w:t>
            </w:r>
            <w:r>
              <w:rPr>
                <w:rFonts w:cs="Calibri"/>
                <w:sz w:val="20"/>
                <w:szCs w:val="20"/>
                <w:lang w:val="en-GB" w:eastAsia="en-US"/>
              </w:rPr>
              <w:t xml:space="preserve">treba da budu razmotreni u </w:t>
            </w:r>
            <w:r w:rsidRPr="00AD451F">
              <w:rPr>
                <w:rFonts w:cs="Calibri"/>
                <w:sz w:val="20"/>
                <w:szCs w:val="20"/>
                <w:lang w:val="en-GB" w:eastAsia="en-US"/>
              </w:rPr>
              <w:t>proc</w:t>
            </w:r>
            <w:r>
              <w:rPr>
                <w:rFonts w:cs="Calibri"/>
                <w:sz w:val="20"/>
                <w:szCs w:val="20"/>
                <w:lang w:val="en-GB" w:eastAsia="en-US"/>
              </w:rPr>
              <w:t>j</w:t>
            </w:r>
            <w:r w:rsidRPr="00AD451F">
              <w:rPr>
                <w:rFonts w:cs="Calibri"/>
                <w:sz w:val="20"/>
                <w:szCs w:val="20"/>
                <w:lang w:val="en-GB" w:eastAsia="en-US"/>
              </w:rPr>
              <w:t>e</w:t>
            </w:r>
            <w:r>
              <w:rPr>
                <w:rFonts w:cs="Calibri"/>
                <w:sz w:val="20"/>
                <w:szCs w:val="20"/>
                <w:lang w:val="en-GB" w:eastAsia="en-US"/>
              </w:rPr>
              <w:t>ni</w:t>
            </w:r>
            <w:r w:rsidRPr="00AD451F">
              <w:rPr>
                <w:rFonts w:cs="Calibri"/>
                <w:sz w:val="20"/>
                <w:szCs w:val="20"/>
                <w:lang w:val="en-GB" w:eastAsia="en-US"/>
              </w:rPr>
              <w:t xml:space="preserve"> uticaja na životnu sredinu</w:t>
            </w:r>
            <w:r>
              <w:rPr>
                <w:rFonts w:cs="Calibri"/>
                <w:sz w:val="20"/>
                <w:szCs w:val="20"/>
                <w:lang w:val="en-GB" w:eastAsia="en-US"/>
              </w:rPr>
              <w:t>.</w:t>
            </w:r>
          </w:p>
          <w:p w14:paraId="05EE8C22" w14:textId="77777777" w:rsidR="00AD451F" w:rsidRPr="001C6CCA" w:rsidRDefault="00AD451F" w:rsidP="00F65CFF">
            <w:pPr>
              <w:spacing w:before="0" w:after="0" w:line="240" w:lineRule="auto"/>
              <w:rPr>
                <w:sz w:val="20"/>
                <w:szCs w:val="20"/>
                <w:lang w:val="en-GB" w:eastAsia="en-US"/>
              </w:rPr>
            </w:pPr>
          </w:p>
        </w:tc>
      </w:tr>
    </w:tbl>
    <w:p w14:paraId="4FC3524C" w14:textId="77777777" w:rsidR="00BF19E7" w:rsidRPr="001C6CCA" w:rsidRDefault="00BF19E7" w:rsidP="00F65CFF">
      <w:pPr>
        <w:spacing w:before="0" w:after="0" w:line="259" w:lineRule="auto"/>
        <w:rPr>
          <w:rFonts w:eastAsia="Calibri" w:cs="Calibri"/>
          <w:b/>
          <w:bCs/>
          <w:color w:val="000000"/>
          <w:sz w:val="20"/>
          <w:szCs w:val="20"/>
          <w:lang w:val="en-GB" w:eastAsia="en-US"/>
        </w:rPr>
      </w:pPr>
    </w:p>
    <w:p w14:paraId="3DCB81A2" w14:textId="19E89430" w:rsidR="00AD451F" w:rsidRPr="008B2E8B" w:rsidRDefault="00AD451F" w:rsidP="00710AC9">
      <w:pPr>
        <w:pStyle w:val="Heading3"/>
        <w:ind w:left="1560" w:hanging="709"/>
        <w:rPr>
          <w:rFonts w:eastAsia="Calibri" w:cs="ArialMT"/>
          <w:szCs w:val="22"/>
          <w:lang w:val="en-GB" w:eastAsia="en-US"/>
        </w:rPr>
      </w:pPr>
      <w:bookmarkStart w:id="166" w:name="_Toc83630929"/>
      <w:r w:rsidRPr="00AD451F">
        <w:rPr>
          <w:rFonts w:eastAsia="Calibri" w:cs="ArialMT"/>
          <w:szCs w:val="22"/>
          <w:lang w:val="en-GB" w:eastAsia="en-US"/>
        </w:rPr>
        <w:t xml:space="preserve">Pristup </w:t>
      </w:r>
      <w:r w:rsidR="008B2E8B">
        <w:rPr>
          <w:rFonts w:eastAsia="Calibri" w:cs="ArialMT"/>
          <w:szCs w:val="22"/>
          <w:lang w:val="en-GB" w:eastAsia="en-US"/>
        </w:rPr>
        <w:t xml:space="preserve">definisanju </w:t>
      </w:r>
      <w:r w:rsidRPr="00AD451F">
        <w:rPr>
          <w:rFonts w:eastAsia="Calibri" w:cs="ArialMT"/>
          <w:szCs w:val="22"/>
          <w:lang w:val="en-GB" w:eastAsia="en-US"/>
        </w:rPr>
        <w:t xml:space="preserve">ciljeva </w:t>
      </w:r>
      <w:r w:rsidR="008B2E8B" w:rsidRPr="008B2E8B">
        <w:rPr>
          <w:rFonts w:eastAsia="Calibri" w:cs="ArialMT"/>
          <w:szCs w:val="22"/>
          <w:lang w:val="en-GB" w:eastAsia="en-US"/>
        </w:rPr>
        <w:t>za ostvarivanje/održavanje GES-a za D</w:t>
      </w:r>
      <w:r w:rsidR="008B2E8B">
        <w:rPr>
          <w:rFonts w:eastAsia="Calibri" w:cs="ArialMT"/>
          <w:szCs w:val="22"/>
          <w:lang w:val="en-GB" w:eastAsia="en-US"/>
        </w:rPr>
        <w:t>7</w:t>
      </w:r>
      <w:bookmarkEnd w:id="166"/>
    </w:p>
    <w:p w14:paraId="1ABA6BB9" w14:textId="7A5BA985" w:rsidR="00AD451F" w:rsidRPr="001C6CCA" w:rsidRDefault="00AD451F" w:rsidP="004F0F90">
      <w:pPr>
        <w:autoSpaceDE w:val="0"/>
        <w:autoSpaceDN w:val="0"/>
        <w:adjustRightInd w:val="0"/>
        <w:spacing w:before="0" w:after="160"/>
        <w:rPr>
          <w:rFonts w:eastAsia="Calibri" w:cs="Arial"/>
          <w:color w:val="000000"/>
          <w:szCs w:val="22"/>
          <w:lang w:val="en-GB" w:eastAsia="en-US"/>
        </w:rPr>
      </w:pPr>
      <w:r w:rsidRPr="00AD451F">
        <w:rPr>
          <w:rFonts w:eastAsia="Calibri" w:cs="Arial"/>
          <w:color w:val="000000"/>
          <w:szCs w:val="22"/>
          <w:lang w:val="en-GB" w:eastAsia="en-US"/>
        </w:rPr>
        <w:t>Naše razum</w:t>
      </w:r>
      <w:r w:rsidR="00590711">
        <w:rPr>
          <w:rFonts w:eastAsia="Calibri" w:cs="Arial"/>
          <w:color w:val="000000"/>
          <w:szCs w:val="22"/>
          <w:lang w:val="en-GB" w:eastAsia="en-US"/>
        </w:rPr>
        <w:t>ij</w:t>
      </w:r>
      <w:r w:rsidRPr="00AD451F">
        <w:rPr>
          <w:rFonts w:eastAsia="Calibri" w:cs="Arial"/>
          <w:color w:val="000000"/>
          <w:szCs w:val="22"/>
          <w:lang w:val="en-GB" w:eastAsia="en-US"/>
        </w:rPr>
        <w:t>evanje ovog GES deskriptora usredsređeno je na razvoj velikih razm</w:t>
      </w:r>
      <w:r w:rsidR="006951FF">
        <w:rPr>
          <w:rFonts w:eastAsia="Calibri" w:cs="Arial"/>
          <w:color w:val="000000"/>
          <w:szCs w:val="22"/>
          <w:lang w:val="en-GB" w:eastAsia="en-US"/>
        </w:rPr>
        <w:t>j</w:t>
      </w:r>
      <w:r w:rsidRPr="00AD451F">
        <w:rPr>
          <w:rFonts w:eastAsia="Calibri" w:cs="Arial"/>
          <w:color w:val="000000"/>
          <w:szCs w:val="22"/>
          <w:lang w:val="en-GB" w:eastAsia="en-US"/>
        </w:rPr>
        <w:t>era koji negativno utiče na fizičke funkcije i komponente ekosistema. U tom kontekstu, cilj bi zaht</w:t>
      </w:r>
      <w:r w:rsidR="006951FF">
        <w:rPr>
          <w:rFonts w:eastAsia="Calibri" w:cs="Arial"/>
          <w:color w:val="000000"/>
          <w:szCs w:val="22"/>
          <w:lang w:val="en-GB" w:eastAsia="en-US"/>
        </w:rPr>
        <w:t>ij</w:t>
      </w:r>
      <w:r w:rsidRPr="00AD451F">
        <w:rPr>
          <w:rFonts w:eastAsia="Calibri" w:cs="Arial"/>
          <w:color w:val="000000"/>
          <w:szCs w:val="22"/>
          <w:lang w:val="en-GB" w:eastAsia="en-US"/>
        </w:rPr>
        <w:t>evao da se sv</w:t>
      </w:r>
      <w:r w:rsidR="006951FF">
        <w:rPr>
          <w:rFonts w:eastAsia="Calibri" w:cs="Arial"/>
          <w:color w:val="000000"/>
          <w:szCs w:val="22"/>
          <w:lang w:val="en-GB" w:eastAsia="en-US"/>
        </w:rPr>
        <w:t>a nova razvojna dešavanja</w:t>
      </w:r>
      <w:r w:rsidRPr="00AD451F">
        <w:rPr>
          <w:rFonts w:eastAsia="Calibri" w:cs="Arial"/>
          <w:color w:val="000000"/>
          <w:szCs w:val="22"/>
          <w:lang w:val="en-GB" w:eastAsia="en-US"/>
        </w:rPr>
        <w:t xml:space="preserve"> nastave </w:t>
      </w:r>
      <w:r w:rsidR="006951FF">
        <w:rPr>
          <w:rFonts w:eastAsia="Calibri" w:cs="Arial"/>
          <w:color w:val="000000"/>
          <w:szCs w:val="22"/>
          <w:lang w:val="en-GB" w:eastAsia="en-US"/>
        </w:rPr>
        <w:t xml:space="preserve">usklađivati </w:t>
      </w:r>
      <w:r w:rsidRPr="00AD451F">
        <w:rPr>
          <w:rFonts w:eastAsia="Calibri" w:cs="Arial"/>
          <w:color w:val="000000"/>
          <w:szCs w:val="22"/>
          <w:lang w:val="en-GB" w:eastAsia="en-US"/>
        </w:rPr>
        <w:t>sa postojećim regulatornim režimom, a trebalo bi sl</w:t>
      </w:r>
      <w:r w:rsidR="006951FF">
        <w:rPr>
          <w:rFonts w:eastAsia="Calibri" w:cs="Arial"/>
          <w:color w:val="000000"/>
          <w:szCs w:val="22"/>
          <w:lang w:val="en-GB" w:eastAsia="en-US"/>
        </w:rPr>
        <w:t>ij</w:t>
      </w:r>
      <w:r w:rsidRPr="00AD451F">
        <w:rPr>
          <w:rFonts w:eastAsia="Calibri" w:cs="Arial"/>
          <w:color w:val="000000"/>
          <w:szCs w:val="22"/>
          <w:lang w:val="en-GB" w:eastAsia="en-US"/>
        </w:rPr>
        <w:t>editi sm</w:t>
      </w:r>
      <w:r w:rsidR="006951FF">
        <w:rPr>
          <w:rFonts w:eastAsia="Calibri" w:cs="Arial"/>
          <w:color w:val="000000"/>
          <w:szCs w:val="22"/>
          <w:lang w:val="en-GB" w:eastAsia="en-US"/>
        </w:rPr>
        <w:t>j</w:t>
      </w:r>
      <w:r w:rsidRPr="00AD451F">
        <w:rPr>
          <w:rFonts w:eastAsia="Calibri" w:cs="Arial"/>
          <w:color w:val="000000"/>
          <w:szCs w:val="22"/>
          <w:lang w:val="en-GB" w:eastAsia="en-US"/>
        </w:rPr>
        <w:t>ernice kako bi se osiguralo da se regulatorne proc</w:t>
      </w:r>
      <w:r w:rsidR="006951FF">
        <w:rPr>
          <w:rFonts w:eastAsia="Calibri" w:cs="Arial"/>
          <w:color w:val="000000"/>
          <w:szCs w:val="22"/>
          <w:lang w:val="en-GB" w:eastAsia="en-US"/>
        </w:rPr>
        <w:t>j</w:t>
      </w:r>
      <w:r w:rsidRPr="00AD451F">
        <w:rPr>
          <w:rFonts w:eastAsia="Calibri" w:cs="Arial"/>
          <w:color w:val="000000"/>
          <w:szCs w:val="22"/>
          <w:lang w:val="en-GB" w:eastAsia="en-US"/>
        </w:rPr>
        <w:t>ene preduzimaju na način koji obezb</w:t>
      </w:r>
      <w:r w:rsidR="006951FF">
        <w:rPr>
          <w:rFonts w:eastAsia="Calibri" w:cs="Arial"/>
          <w:color w:val="000000"/>
          <w:szCs w:val="22"/>
          <w:lang w:val="en-GB" w:eastAsia="en-US"/>
        </w:rPr>
        <w:t>j</w:t>
      </w:r>
      <w:r w:rsidRPr="00AD451F">
        <w:rPr>
          <w:rFonts w:eastAsia="Calibri" w:cs="Arial"/>
          <w:color w:val="000000"/>
          <w:szCs w:val="22"/>
          <w:lang w:val="en-GB" w:eastAsia="en-US"/>
        </w:rPr>
        <w:t xml:space="preserve">eđuje odgovarajuće razmatranje svih potencijalnih kumulativnih i kombinovanih uticaja na životnu sredinu na najprikladnije prostorne </w:t>
      </w:r>
      <w:r w:rsidR="006951FF">
        <w:rPr>
          <w:rFonts w:eastAsia="Calibri" w:cs="Arial"/>
          <w:color w:val="000000"/>
          <w:szCs w:val="22"/>
          <w:lang w:val="en-GB" w:eastAsia="en-US"/>
        </w:rPr>
        <w:t>razmjere</w:t>
      </w:r>
      <w:r w:rsidRPr="00AD451F">
        <w:rPr>
          <w:rFonts w:eastAsia="Calibri" w:cs="Arial"/>
          <w:color w:val="000000"/>
          <w:szCs w:val="22"/>
          <w:lang w:val="en-GB" w:eastAsia="en-US"/>
        </w:rPr>
        <w:t xml:space="preserve"> kako GES ne bi bio ugrožen (EIA) (Tabela 2.23).</w:t>
      </w:r>
    </w:p>
    <w:p w14:paraId="26321E23" w14:textId="77777777" w:rsidR="00BF19E7" w:rsidRPr="001C6CCA" w:rsidRDefault="00BF19E7" w:rsidP="00F65CFF">
      <w:pPr>
        <w:spacing w:before="0" w:after="0" w:line="259" w:lineRule="auto"/>
        <w:rPr>
          <w:rFonts w:eastAsia="Calibri" w:cs="Calibri"/>
          <w:b/>
          <w:bCs/>
          <w:sz w:val="20"/>
          <w:szCs w:val="20"/>
          <w:lang w:val="en-GB" w:eastAsia="en-US"/>
        </w:rPr>
      </w:pPr>
    </w:p>
    <w:p w14:paraId="38049DF3" w14:textId="77777777" w:rsidR="008D515E" w:rsidRDefault="008D515E" w:rsidP="004C3A51">
      <w:pPr>
        <w:spacing w:before="0" w:after="160" w:line="259" w:lineRule="auto"/>
        <w:rPr>
          <w:rFonts w:eastAsia="Calibri" w:cs="Calibri"/>
          <w:b/>
          <w:bCs/>
          <w:szCs w:val="22"/>
          <w:lang w:val="en-GB" w:eastAsia="en-US"/>
        </w:rPr>
      </w:pPr>
    </w:p>
    <w:p w14:paraId="242C51EA" w14:textId="77777777" w:rsidR="008D515E" w:rsidRDefault="008D515E" w:rsidP="004C3A51">
      <w:pPr>
        <w:spacing w:before="0" w:after="160" w:line="259" w:lineRule="auto"/>
        <w:rPr>
          <w:rFonts w:eastAsia="Calibri" w:cs="Calibri"/>
          <w:b/>
          <w:bCs/>
          <w:szCs w:val="22"/>
          <w:lang w:val="en-GB" w:eastAsia="en-US"/>
        </w:rPr>
      </w:pPr>
    </w:p>
    <w:p w14:paraId="534F414B" w14:textId="77777777" w:rsidR="008D515E" w:rsidRDefault="008D515E" w:rsidP="004C3A51">
      <w:pPr>
        <w:spacing w:before="0" w:after="160" w:line="259" w:lineRule="auto"/>
        <w:rPr>
          <w:rFonts w:eastAsia="Calibri" w:cs="Calibri"/>
          <w:b/>
          <w:bCs/>
          <w:szCs w:val="22"/>
          <w:lang w:val="en-GB" w:eastAsia="en-US"/>
        </w:rPr>
      </w:pPr>
    </w:p>
    <w:p w14:paraId="2582D18B" w14:textId="4D57E06B" w:rsidR="00AD451F" w:rsidRPr="00590711" w:rsidRDefault="00BF19E7" w:rsidP="004C3A51">
      <w:pPr>
        <w:spacing w:before="0" w:after="160" w:line="259" w:lineRule="auto"/>
        <w:rPr>
          <w:rFonts w:eastAsia="Calibri" w:cs="Calibri"/>
          <w:b/>
          <w:bCs/>
          <w:szCs w:val="22"/>
          <w:lang w:val="en-GB" w:eastAsia="en-US"/>
        </w:rPr>
      </w:pPr>
      <w:bookmarkStart w:id="167" w:name="_Toc83643169"/>
      <w:r w:rsidRPr="001C6CCA">
        <w:rPr>
          <w:rFonts w:eastAsia="Calibri" w:cs="Calibri"/>
          <w:b/>
          <w:bCs/>
          <w:szCs w:val="22"/>
          <w:lang w:val="en-GB" w:eastAsia="en-US"/>
        </w:rPr>
        <w:t>Tab</w:t>
      </w:r>
      <w:r w:rsidR="00AD451F">
        <w:rPr>
          <w:rFonts w:eastAsia="Calibri" w:cs="Calibri"/>
          <w:b/>
          <w:bCs/>
          <w:szCs w:val="22"/>
          <w:lang w:val="en-GB" w:eastAsia="en-US"/>
        </w:rPr>
        <w:t>ela</w:t>
      </w:r>
      <w:r w:rsidRPr="001C6CCA">
        <w:rPr>
          <w:rFonts w:eastAsia="Calibri" w:cs="Calibri"/>
          <w:b/>
          <w:bCs/>
          <w:szCs w:val="22"/>
          <w:lang w:val="en-GB" w:eastAsia="en-US"/>
        </w:rPr>
        <w:t xml:space="preserve"> </w:t>
      </w:r>
      <w:r w:rsidR="003415D9" w:rsidRPr="00D932B6">
        <w:rPr>
          <w:b/>
          <w:szCs w:val="22"/>
        </w:rPr>
        <w:fldChar w:fldCharType="begin"/>
      </w:r>
      <w:r w:rsidR="003415D9" w:rsidRPr="00D932B6">
        <w:rPr>
          <w:b/>
          <w:szCs w:val="22"/>
        </w:rPr>
        <w:instrText xml:space="preserve"> STYLEREF 1 \s </w:instrText>
      </w:r>
      <w:r w:rsidR="003415D9" w:rsidRPr="00D932B6">
        <w:rPr>
          <w:b/>
          <w:szCs w:val="22"/>
        </w:rPr>
        <w:fldChar w:fldCharType="separate"/>
      </w:r>
      <w:r w:rsidR="000D1E20">
        <w:rPr>
          <w:b/>
          <w:noProof/>
          <w:szCs w:val="22"/>
        </w:rPr>
        <w:t>2</w:t>
      </w:r>
      <w:r w:rsidR="003415D9" w:rsidRPr="00D932B6">
        <w:rPr>
          <w:b/>
          <w:szCs w:val="22"/>
        </w:rPr>
        <w:fldChar w:fldCharType="end"/>
      </w:r>
      <w:r w:rsidR="003415D9" w:rsidRPr="00D932B6">
        <w:rPr>
          <w:b/>
          <w:szCs w:val="22"/>
        </w:rPr>
        <w:t>.</w:t>
      </w:r>
      <w:r w:rsidR="003415D9" w:rsidRPr="00D932B6">
        <w:rPr>
          <w:b/>
          <w:szCs w:val="22"/>
        </w:rPr>
        <w:fldChar w:fldCharType="begin"/>
      </w:r>
      <w:r w:rsidR="003415D9" w:rsidRPr="00D932B6">
        <w:rPr>
          <w:b/>
          <w:szCs w:val="22"/>
        </w:rPr>
        <w:instrText xml:space="preserve"> SEQ Table \* ARABIC \s 1 </w:instrText>
      </w:r>
      <w:r w:rsidR="003415D9" w:rsidRPr="00D932B6">
        <w:rPr>
          <w:b/>
          <w:szCs w:val="22"/>
        </w:rPr>
        <w:fldChar w:fldCharType="separate"/>
      </w:r>
      <w:r w:rsidR="000D1E20">
        <w:rPr>
          <w:b/>
          <w:noProof/>
          <w:szCs w:val="22"/>
        </w:rPr>
        <w:t>11</w:t>
      </w:r>
      <w:r w:rsidR="003415D9" w:rsidRPr="00D932B6">
        <w:rPr>
          <w:b/>
          <w:szCs w:val="22"/>
        </w:rPr>
        <w:fldChar w:fldCharType="end"/>
      </w:r>
      <w:r w:rsidR="003415D9">
        <w:rPr>
          <w:b/>
          <w:szCs w:val="22"/>
        </w:rPr>
        <w:t>.</w:t>
      </w:r>
      <w:r w:rsidR="003415D9" w:rsidRPr="001C6CCA">
        <w:rPr>
          <w:rFonts w:eastAsia="Calibri" w:cs="Calibri"/>
          <w:b/>
          <w:szCs w:val="22"/>
          <w:lang w:val="en-GB" w:eastAsia="en-US"/>
        </w:rPr>
        <w:t xml:space="preserve"> </w:t>
      </w:r>
      <w:r w:rsidR="008B2E8B">
        <w:rPr>
          <w:rFonts w:eastAsia="Calibri" w:cs="Calibri"/>
          <w:b/>
          <w:szCs w:val="22"/>
          <w:lang w:val="sr-Latn-ME" w:eastAsia="en-US"/>
        </w:rPr>
        <w:t xml:space="preserve">Ciljevi koji vode ka napretku u postizanju GES-a za Deskriptor </w:t>
      </w:r>
      <w:r w:rsidR="000619C2">
        <w:rPr>
          <w:rFonts w:eastAsia="Calibri" w:cs="Calibri"/>
          <w:b/>
          <w:szCs w:val="22"/>
          <w:lang w:val="sr-Latn-ME" w:eastAsia="en-US"/>
        </w:rPr>
        <w:t>7</w:t>
      </w:r>
      <w:bookmarkEnd w:id="167"/>
    </w:p>
    <w:tbl>
      <w:tblPr>
        <w:tblStyle w:val="GolderTable9"/>
        <w:tblW w:w="9351"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578"/>
        <w:gridCol w:w="6782"/>
        <w:gridCol w:w="991"/>
      </w:tblGrid>
      <w:tr w:rsidR="00AD3938" w:rsidRPr="001C6CCA" w14:paraId="198ADFF3" w14:textId="77777777" w:rsidTr="00605469">
        <w:tc>
          <w:tcPr>
            <w:tcW w:w="935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2BE75A5A" w14:textId="77777777" w:rsidR="00AD3938" w:rsidRDefault="00AD3938" w:rsidP="00AD3938">
            <w:pPr>
              <w:autoSpaceDE w:val="0"/>
              <w:autoSpaceDN w:val="0"/>
              <w:adjustRightInd w:val="0"/>
              <w:spacing w:before="0" w:after="0" w:line="240" w:lineRule="auto"/>
              <w:jc w:val="center"/>
              <w:rPr>
                <w:rFonts w:cs="Calibri"/>
                <w:b/>
                <w:color w:val="FFFFFF" w:themeColor="background1"/>
                <w:lang w:val="en-GB" w:eastAsia="en-US"/>
              </w:rPr>
            </w:pPr>
            <w:r>
              <w:rPr>
                <w:rFonts w:cs="Calibri"/>
                <w:b/>
                <w:color w:val="FFFFFF" w:themeColor="background1"/>
                <w:lang w:val="en-GB" w:eastAsia="en-US"/>
              </w:rPr>
              <w:t>Područje procjene: nacionalni nivo – crnogorski dio Jadrana</w:t>
            </w:r>
          </w:p>
          <w:p w14:paraId="4F917037" w14:textId="490A518D" w:rsidR="00A81581" w:rsidRPr="0084232F" w:rsidRDefault="00A81581" w:rsidP="00AD3938">
            <w:pPr>
              <w:autoSpaceDE w:val="0"/>
              <w:autoSpaceDN w:val="0"/>
              <w:adjustRightInd w:val="0"/>
              <w:spacing w:before="0" w:after="0" w:line="240" w:lineRule="auto"/>
              <w:jc w:val="center"/>
              <w:rPr>
                <w:rFonts w:cs="Calibri"/>
                <w:b/>
                <w:color w:val="FFFFFF" w:themeColor="background1"/>
                <w:lang w:val="en-GB" w:eastAsia="en-US"/>
              </w:rPr>
            </w:pPr>
          </w:p>
        </w:tc>
      </w:tr>
      <w:tr w:rsidR="00BF19E7" w:rsidRPr="001C6CCA" w14:paraId="174DD7FE" w14:textId="77777777" w:rsidTr="00605469">
        <w:tc>
          <w:tcPr>
            <w:tcW w:w="15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FBBBFA4" w14:textId="67961DD8" w:rsidR="00BF19E7" w:rsidRPr="0084232F" w:rsidRDefault="00590711" w:rsidP="00F65CFF">
            <w:pPr>
              <w:spacing w:before="0" w:after="0" w:line="240" w:lineRule="auto"/>
              <w:jc w:val="left"/>
              <w:rPr>
                <w:rFonts w:cs="Calibri"/>
                <w:b/>
                <w:color w:val="FFFFFF" w:themeColor="background1"/>
                <w:lang w:val="en-GB" w:eastAsia="en-US"/>
              </w:rPr>
            </w:pPr>
            <w:r w:rsidRPr="0084232F">
              <w:rPr>
                <w:rFonts w:cs="Calibri"/>
                <w:b/>
                <w:color w:val="FFFFFF" w:themeColor="background1"/>
                <w:lang w:val="en-GB" w:eastAsia="en-US"/>
              </w:rPr>
              <w:t>Kriterijum</w:t>
            </w:r>
          </w:p>
        </w:tc>
        <w:tc>
          <w:tcPr>
            <w:tcW w:w="67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60B402C4" w14:textId="6B0C0804" w:rsidR="00BF19E7" w:rsidRPr="0084232F" w:rsidRDefault="00590711" w:rsidP="00C71A12">
            <w:pPr>
              <w:autoSpaceDE w:val="0"/>
              <w:autoSpaceDN w:val="0"/>
              <w:adjustRightInd w:val="0"/>
              <w:spacing w:before="0" w:after="0" w:line="240" w:lineRule="auto"/>
              <w:jc w:val="center"/>
              <w:rPr>
                <w:rFonts w:cs="Calibri"/>
                <w:b/>
                <w:color w:val="FFFFFF" w:themeColor="background1"/>
                <w:lang w:val="en-GB" w:eastAsia="en-US"/>
              </w:rPr>
            </w:pPr>
            <w:r w:rsidRPr="0084232F">
              <w:rPr>
                <w:rFonts w:cs="Calibri"/>
                <w:b/>
                <w:color w:val="FFFFFF" w:themeColor="background1"/>
                <w:lang w:val="en-GB" w:eastAsia="en-US"/>
              </w:rPr>
              <w:t>Cilj</w:t>
            </w:r>
          </w:p>
          <w:p w14:paraId="74DB13B5" w14:textId="77777777" w:rsidR="00BF19E7" w:rsidRPr="0084232F" w:rsidRDefault="00BF19E7" w:rsidP="00F65CFF">
            <w:pPr>
              <w:autoSpaceDE w:val="0"/>
              <w:autoSpaceDN w:val="0"/>
              <w:adjustRightInd w:val="0"/>
              <w:spacing w:before="0" w:after="0" w:line="240" w:lineRule="auto"/>
              <w:jc w:val="left"/>
              <w:rPr>
                <w:rFonts w:cs="Calibri"/>
                <w:b/>
                <w:color w:val="FFFFFF" w:themeColor="background1"/>
                <w:lang w:val="en-GB" w:eastAsia="en-US"/>
              </w:rPr>
            </w:pPr>
          </w:p>
        </w:tc>
        <w:tc>
          <w:tcPr>
            <w:tcW w:w="9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13900649" w14:textId="5F538D46" w:rsidR="00BF19E7" w:rsidRPr="0084232F" w:rsidRDefault="00590711" w:rsidP="00590711">
            <w:pPr>
              <w:autoSpaceDE w:val="0"/>
              <w:autoSpaceDN w:val="0"/>
              <w:adjustRightInd w:val="0"/>
              <w:spacing w:before="0" w:after="0" w:line="240" w:lineRule="auto"/>
              <w:jc w:val="left"/>
              <w:rPr>
                <w:rFonts w:cs="Calibri"/>
                <w:b/>
                <w:color w:val="FFFFFF" w:themeColor="background1"/>
                <w:lang w:val="en-GB" w:eastAsia="en-US"/>
              </w:rPr>
            </w:pPr>
            <w:r w:rsidRPr="0084232F">
              <w:rPr>
                <w:rFonts w:cs="Calibri"/>
                <w:b/>
                <w:color w:val="FFFFFF" w:themeColor="background1"/>
                <w:lang w:val="en-GB" w:eastAsia="en-US"/>
              </w:rPr>
              <w:t>Kod cilja</w:t>
            </w:r>
          </w:p>
        </w:tc>
      </w:tr>
      <w:tr w:rsidR="00BF19E7" w:rsidRPr="001C6CCA" w14:paraId="44B22C38" w14:textId="77777777" w:rsidTr="00605469">
        <w:tc>
          <w:tcPr>
            <w:tcW w:w="1578" w:type="dxa"/>
            <w:tcBorders>
              <w:top w:val="single" w:sz="4" w:space="0" w:color="FFFFFF" w:themeColor="background1"/>
            </w:tcBorders>
          </w:tcPr>
          <w:p w14:paraId="2063EAF7" w14:textId="77777777" w:rsidR="00BF19E7" w:rsidRPr="001C6CCA" w:rsidRDefault="00BF19E7" w:rsidP="00F65CFF">
            <w:pPr>
              <w:autoSpaceDE w:val="0"/>
              <w:autoSpaceDN w:val="0"/>
              <w:adjustRightInd w:val="0"/>
              <w:spacing w:before="0" w:after="0" w:line="240" w:lineRule="auto"/>
              <w:jc w:val="left"/>
              <w:rPr>
                <w:b/>
                <w:sz w:val="20"/>
                <w:szCs w:val="20"/>
                <w:lang w:val="en-GB" w:eastAsia="en-US"/>
              </w:rPr>
            </w:pPr>
            <w:r w:rsidRPr="001C6CCA">
              <w:rPr>
                <w:b/>
                <w:sz w:val="20"/>
                <w:szCs w:val="20"/>
                <w:lang w:val="en-GB" w:eastAsia="en-US"/>
              </w:rPr>
              <w:t>D7C1</w:t>
            </w:r>
          </w:p>
          <w:p w14:paraId="3439C858" w14:textId="7998659B" w:rsidR="00BF19E7" w:rsidRPr="001C6CCA" w:rsidRDefault="006951FF" w:rsidP="00F65CFF">
            <w:pPr>
              <w:autoSpaceDE w:val="0"/>
              <w:autoSpaceDN w:val="0"/>
              <w:adjustRightInd w:val="0"/>
              <w:spacing w:before="0" w:after="0" w:line="240" w:lineRule="auto"/>
              <w:jc w:val="left"/>
              <w:rPr>
                <w:b/>
                <w:sz w:val="20"/>
                <w:szCs w:val="20"/>
                <w:lang w:val="en-GB" w:eastAsia="en-US"/>
              </w:rPr>
            </w:pPr>
            <w:r w:rsidRPr="006951FF">
              <w:rPr>
                <w:rFonts w:cs="Arial"/>
                <w:iCs/>
                <w:color w:val="000000"/>
                <w:sz w:val="20"/>
                <w:szCs w:val="20"/>
                <w:lang w:val="en-GB" w:eastAsia="en-US"/>
              </w:rPr>
              <w:t>Prostorne karakteristike trajnih prom</w:t>
            </w:r>
            <w:r>
              <w:rPr>
                <w:rFonts w:cs="Arial"/>
                <w:iCs/>
                <w:color w:val="000000"/>
                <w:sz w:val="20"/>
                <w:szCs w:val="20"/>
                <w:lang w:val="en-GB" w:eastAsia="en-US"/>
              </w:rPr>
              <w:t>j</w:t>
            </w:r>
            <w:r w:rsidRPr="006951FF">
              <w:rPr>
                <w:rFonts w:cs="Arial"/>
                <w:iCs/>
                <w:color w:val="000000"/>
                <w:sz w:val="20"/>
                <w:szCs w:val="20"/>
                <w:lang w:val="en-GB" w:eastAsia="en-US"/>
              </w:rPr>
              <w:t>ena</w:t>
            </w:r>
          </w:p>
        </w:tc>
        <w:tc>
          <w:tcPr>
            <w:tcW w:w="6782" w:type="dxa"/>
            <w:vMerge w:val="restart"/>
            <w:tcBorders>
              <w:top w:val="single" w:sz="4" w:space="0" w:color="FFFFFF" w:themeColor="background1"/>
              <w:right w:val="single" w:sz="4" w:space="0" w:color="auto"/>
            </w:tcBorders>
          </w:tcPr>
          <w:p w14:paraId="45F35F72" w14:textId="77777777" w:rsidR="00A81581" w:rsidRDefault="00A81581" w:rsidP="00F65CFF">
            <w:pPr>
              <w:autoSpaceDE w:val="0"/>
              <w:autoSpaceDN w:val="0"/>
              <w:adjustRightInd w:val="0"/>
              <w:spacing w:before="0" w:after="0"/>
              <w:rPr>
                <w:rFonts w:cs="Calibri"/>
                <w:color w:val="000000"/>
                <w:sz w:val="20"/>
                <w:szCs w:val="20"/>
                <w:lang w:val="en-GB" w:eastAsia="en-US"/>
              </w:rPr>
            </w:pPr>
          </w:p>
          <w:p w14:paraId="6024BF3C" w14:textId="77777777" w:rsidR="00A81581" w:rsidRDefault="00A81581" w:rsidP="00F65CFF">
            <w:pPr>
              <w:autoSpaceDE w:val="0"/>
              <w:autoSpaceDN w:val="0"/>
              <w:adjustRightInd w:val="0"/>
              <w:spacing w:before="0" w:after="0"/>
              <w:rPr>
                <w:rFonts w:cs="Calibri"/>
                <w:color w:val="000000"/>
                <w:sz w:val="20"/>
                <w:szCs w:val="20"/>
                <w:lang w:val="en-GB" w:eastAsia="en-US"/>
              </w:rPr>
            </w:pPr>
          </w:p>
          <w:p w14:paraId="4153424A" w14:textId="24A16ECF" w:rsidR="006951FF" w:rsidRPr="001C6CCA" w:rsidRDefault="006951FF" w:rsidP="00F65CFF">
            <w:pPr>
              <w:autoSpaceDE w:val="0"/>
              <w:autoSpaceDN w:val="0"/>
              <w:adjustRightInd w:val="0"/>
              <w:spacing w:before="0" w:after="0"/>
              <w:rPr>
                <w:rFonts w:cs="Calibri"/>
                <w:color w:val="000000"/>
                <w:sz w:val="20"/>
                <w:szCs w:val="20"/>
                <w:lang w:val="en-GB" w:eastAsia="en-US"/>
              </w:rPr>
            </w:pPr>
            <w:r w:rsidRPr="006951FF">
              <w:rPr>
                <w:rFonts w:cs="Calibri"/>
                <w:color w:val="000000"/>
                <w:sz w:val="20"/>
                <w:szCs w:val="20"/>
                <w:lang w:val="en-GB" w:eastAsia="en-US"/>
              </w:rPr>
              <w:t>Svi značajni razvoji morske infrastrukture moraju biti u skladu sa postojećim zakonskim zaht</w:t>
            </w:r>
            <w:r>
              <w:rPr>
                <w:rFonts w:cs="Calibri"/>
                <w:color w:val="000000"/>
                <w:sz w:val="20"/>
                <w:szCs w:val="20"/>
                <w:lang w:val="en-GB" w:eastAsia="en-US"/>
              </w:rPr>
              <w:t>j</w:t>
            </w:r>
            <w:r w:rsidRPr="006951FF">
              <w:rPr>
                <w:rFonts w:cs="Calibri"/>
                <w:color w:val="000000"/>
                <w:sz w:val="20"/>
                <w:szCs w:val="20"/>
                <w:lang w:val="en-GB" w:eastAsia="en-US"/>
              </w:rPr>
              <w:t xml:space="preserve">evima kroz </w:t>
            </w:r>
            <w:r>
              <w:rPr>
                <w:rFonts w:cs="Calibri"/>
                <w:color w:val="000000"/>
                <w:sz w:val="20"/>
                <w:szCs w:val="20"/>
                <w:lang w:val="en-GB" w:eastAsia="en-US"/>
              </w:rPr>
              <w:t>postojeće</w:t>
            </w:r>
            <w:r w:rsidRPr="006951FF">
              <w:rPr>
                <w:rFonts w:cs="Calibri"/>
                <w:color w:val="000000"/>
                <w:sz w:val="20"/>
                <w:szCs w:val="20"/>
                <w:lang w:val="en-GB" w:eastAsia="en-US"/>
              </w:rPr>
              <w:t xml:space="preserve"> uslove izdavanja morskih dozvola kako bi se osiguralo da </w:t>
            </w:r>
            <w:r>
              <w:rPr>
                <w:rFonts w:cs="Calibri"/>
                <w:color w:val="000000"/>
                <w:sz w:val="20"/>
                <w:szCs w:val="20"/>
                <w:lang w:val="en-GB" w:eastAsia="en-US"/>
              </w:rPr>
              <w:t xml:space="preserve">utiču </w:t>
            </w:r>
            <w:r w:rsidRPr="006951FF">
              <w:rPr>
                <w:rFonts w:cs="Calibri"/>
                <w:color w:val="000000"/>
                <w:sz w:val="20"/>
                <w:szCs w:val="20"/>
                <w:lang w:val="en-GB" w:eastAsia="en-US"/>
              </w:rPr>
              <w:t>negativno na morski ekosistem.</w:t>
            </w:r>
          </w:p>
          <w:p w14:paraId="30E58A98" w14:textId="77777777" w:rsidR="00BF19E7" w:rsidRPr="001C6CCA" w:rsidRDefault="00BF19E7" w:rsidP="00F65CFF">
            <w:pPr>
              <w:autoSpaceDE w:val="0"/>
              <w:autoSpaceDN w:val="0"/>
              <w:adjustRightInd w:val="0"/>
              <w:spacing w:before="0" w:after="0"/>
              <w:rPr>
                <w:rFonts w:cs="Arial"/>
                <w:color w:val="000000"/>
                <w:sz w:val="20"/>
                <w:szCs w:val="20"/>
                <w:lang w:val="en-GB" w:eastAsia="en-US"/>
              </w:rPr>
            </w:pPr>
          </w:p>
          <w:p w14:paraId="7102C680" w14:textId="77777777" w:rsidR="00BF19E7" w:rsidRPr="001C6CCA" w:rsidRDefault="00BF19E7" w:rsidP="00F65CFF">
            <w:pPr>
              <w:autoSpaceDE w:val="0"/>
              <w:autoSpaceDN w:val="0"/>
              <w:adjustRightInd w:val="0"/>
              <w:spacing w:before="0" w:after="0" w:line="240" w:lineRule="auto"/>
              <w:jc w:val="left"/>
              <w:rPr>
                <w:rFonts w:cs="Calibri"/>
                <w:color w:val="000000"/>
                <w:sz w:val="20"/>
                <w:szCs w:val="20"/>
                <w:lang w:val="en-GB" w:eastAsia="en-US"/>
              </w:rPr>
            </w:pPr>
          </w:p>
        </w:tc>
        <w:tc>
          <w:tcPr>
            <w:tcW w:w="991" w:type="dxa"/>
            <w:vMerge w:val="restart"/>
            <w:tcBorders>
              <w:top w:val="single" w:sz="4" w:space="0" w:color="FFFFFF" w:themeColor="background1"/>
              <w:left w:val="single" w:sz="4" w:space="0" w:color="auto"/>
            </w:tcBorders>
          </w:tcPr>
          <w:p w14:paraId="1286222D" w14:textId="77777777" w:rsidR="00BF19E7" w:rsidRPr="001C6CCA" w:rsidRDefault="00BF19E7" w:rsidP="00F65CFF">
            <w:pPr>
              <w:autoSpaceDE w:val="0"/>
              <w:autoSpaceDN w:val="0"/>
              <w:adjustRightInd w:val="0"/>
              <w:spacing w:before="0" w:after="0"/>
              <w:jc w:val="left"/>
              <w:rPr>
                <w:rFonts w:cs="Calibri"/>
                <w:b/>
                <w:color w:val="000000"/>
                <w:sz w:val="20"/>
                <w:szCs w:val="20"/>
                <w:lang w:val="en-GB" w:eastAsia="en-US"/>
              </w:rPr>
            </w:pPr>
          </w:p>
          <w:p w14:paraId="3ED9CD9F" w14:textId="77777777" w:rsidR="00BF19E7" w:rsidRPr="001C6CCA" w:rsidRDefault="00BF19E7" w:rsidP="00F65CFF">
            <w:pPr>
              <w:autoSpaceDE w:val="0"/>
              <w:autoSpaceDN w:val="0"/>
              <w:adjustRightInd w:val="0"/>
              <w:spacing w:before="0" w:after="0"/>
              <w:jc w:val="left"/>
              <w:rPr>
                <w:rFonts w:cs="Calibri"/>
                <w:b/>
                <w:color w:val="000000"/>
                <w:sz w:val="20"/>
                <w:szCs w:val="20"/>
                <w:lang w:val="en-GB" w:eastAsia="en-US"/>
              </w:rPr>
            </w:pPr>
            <w:r w:rsidRPr="001C6CCA">
              <w:rPr>
                <w:rFonts w:cs="Calibri"/>
                <w:b/>
                <w:color w:val="000000"/>
                <w:sz w:val="20"/>
                <w:szCs w:val="20"/>
                <w:lang w:val="en-GB" w:eastAsia="en-US"/>
              </w:rPr>
              <w:t>D7T1</w:t>
            </w:r>
          </w:p>
        </w:tc>
      </w:tr>
      <w:tr w:rsidR="00BF19E7" w:rsidRPr="001C6CCA" w14:paraId="5AB6DBDB" w14:textId="77777777" w:rsidTr="00035B39">
        <w:tc>
          <w:tcPr>
            <w:tcW w:w="1578" w:type="dxa"/>
          </w:tcPr>
          <w:p w14:paraId="025749EC" w14:textId="77777777" w:rsidR="00BF19E7" w:rsidRPr="001C6CCA" w:rsidRDefault="00BF19E7" w:rsidP="00F65CFF">
            <w:pPr>
              <w:spacing w:before="0" w:after="0" w:line="240" w:lineRule="auto"/>
              <w:jc w:val="left"/>
              <w:rPr>
                <w:b/>
                <w:sz w:val="20"/>
                <w:szCs w:val="20"/>
                <w:lang w:val="en-GB" w:eastAsia="en-US"/>
              </w:rPr>
            </w:pPr>
            <w:r w:rsidRPr="001C6CCA">
              <w:rPr>
                <w:b/>
                <w:sz w:val="20"/>
                <w:szCs w:val="20"/>
                <w:lang w:val="en-GB" w:eastAsia="en-US"/>
              </w:rPr>
              <w:t>D7C2</w:t>
            </w:r>
          </w:p>
          <w:p w14:paraId="69BB9396" w14:textId="41730639" w:rsidR="00BF19E7" w:rsidRPr="001C6CCA" w:rsidRDefault="006951FF" w:rsidP="00F65CFF">
            <w:pPr>
              <w:spacing w:before="0" w:after="0" w:line="240" w:lineRule="auto"/>
              <w:jc w:val="left"/>
              <w:rPr>
                <w:b/>
                <w:sz w:val="20"/>
                <w:szCs w:val="20"/>
                <w:lang w:val="en-GB" w:eastAsia="en-US"/>
              </w:rPr>
            </w:pPr>
            <w:r w:rsidRPr="006951FF">
              <w:rPr>
                <w:rFonts w:cs="Arial"/>
                <w:iCs/>
                <w:color w:val="000000"/>
                <w:sz w:val="20"/>
                <w:szCs w:val="20"/>
                <w:lang w:val="en-GB" w:eastAsia="en-US"/>
              </w:rPr>
              <w:t>Uticaj trajnih hidrografskih prom</w:t>
            </w:r>
            <w:r>
              <w:rPr>
                <w:rFonts w:cs="Arial"/>
                <w:iCs/>
                <w:color w:val="000000"/>
                <w:sz w:val="20"/>
                <w:szCs w:val="20"/>
                <w:lang w:val="en-GB" w:eastAsia="en-US"/>
              </w:rPr>
              <w:t>j</w:t>
            </w:r>
            <w:r w:rsidRPr="006951FF">
              <w:rPr>
                <w:rFonts w:cs="Arial"/>
                <w:iCs/>
                <w:color w:val="000000"/>
                <w:sz w:val="20"/>
                <w:szCs w:val="20"/>
                <w:lang w:val="en-GB" w:eastAsia="en-US"/>
              </w:rPr>
              <w:t>ena</w:t>
            </w:r>
          </w:p>
        </w:tc>
        <w:tc>
          <w:tcPr>
            <w:tcW w:w="6782" w:type="dxa"/>
            <w:vMerge/>
            <w:tcBorders>
              <w:right w:val="single" w:sz="4" w:space="0" w:color="auto"/>
            </w:tcBorders>
          </w:tcPr>
          <w:p w14:paraId="5C19CBD1" w14:textId="77777777" w:rsidR="00BF19E7" w:rsidRPr="001C6CCA" w:rsidRDefault="00BF19E7" w:rsidP="00F65CFF">
            <w:pPr>
              <w:autoSpaceDE w:val="0"/>
              <w:autoSpaceDN w:val="0"/>
              <w:adjustRightInd w:val="0"/>
              <w:spacing w:before="0" w:after="0"/>
              <w:rPr>
                <w:rFonts w:cs="Calibri"/>
                <w:color w:val="000000"/>
                <w:sz w:val="20"/>
                <w:szCs w:val="20"/>
                <w:lang w:val="en-GB" w:eastAsia="en-US"/>
              </w:rPr>
            </w:pPr>
          </w:p>
        </w:tc>
        <w:tc>
          <w:tcPr>
            <w:tcW w:w="991" w:type="dxa"/>
            <w:vMerge/>
            <w:tcBorders>
              <w:left w:val="single" w:sz="4" w:space="0" w:color="auto"/>
            </w:tcBorders>
          </w:tcPr>
          <w:p w14:paraId="64ACF81A" w14:textId="77777777" w:rsidR="00BF19E7" w:rsidRPr="001C6CCA" w:rsidRDefault="00BF19E7" w:rsidP="00F65CFF">
            <w:pPr>
              <w:autoSpaceDE w:val="0"/>
              <w:autoSpaceDN w:val="0"/>
              <w:adjustRightInd w:val="0"/>
              <w:spacing w:before="0" w:after="0"/>
              <w:jc w:val="left"/>
              <w:rPr>
                <w:rFonts w:cs="Calibri"/>
                <w:b/>
                <w:color w:val="000000"/>
                <w:sz w:val="20"/>
                <w:szCs w:val="20"/>
                <w:lang w:val="en-GB" w:eastAsia="en-US"/>
              </w:rPr>
            </w:pPr>
          </w:p>
        </w:tc>
      </w:tr>
      <w:tr w:rsidR="00BF19E7" w:rsidRPr="001C6CCA" w14:paraId="6F9B91B3" w14:textId="77777777" w:rsidTr="00035B39">
        <w:tc>
          <w:tcPr>
            <w:tcW w:w="1578" w:type="dxa"/>
          </w:tcPr>
          <w:p w14:paraId="341D354E" w14:textId="5F595053" w:rsidR="00BF19E7" w:rsidRPr="001C6CCA" w:rsidRDefault="006951FF" w:rsidP="00F65CFF">
            <w:pPr>
              <w:autoSpaceDE w:val="0"/>
              <w:autoSpaceDN w:val="0"/>
              <w:adjustRightInd w:val="0"/>
              <w:spacing w:before="0" w:after="0" w:line="240" w:lineRule="auto"/>
              <w:jc w:val="left"/>
              <w:rPr>
                <w:rFonts w:cs="Calibri"/>
                <w:b/>
                <w:color w:val="000000"/>
                <w:sz w:val="20"/>
                <w:szCs w:val="20"/>
                <w:lang w:val="en-GB" w:eastAsia="en-US"/>
              </w:rPr>
            </w:pPr>
            <w:r w:rsidRPr="006951FF">
              <w:rPr>
                <w:rFonts w:cs="Calibri"/>
                <w:b/>
                <w:color w:val="000000"/>
                <w:sz w:val="20"/>
                <w:szCs w:val="20"/>
                <w:lang w:val="en-GB" w:eastAsia="en-US"/>
              </w:rPr>
              <w:t>Indikatori koji se koriste za proc</w:t>
            </w:r>
            <w:r>
              <w:rPr>
                <w:rFonts w:cs="Calibri"/>
                <w:b/>
                <w:color w:val="000000"/>
                <w:sz w:val="20"/>
                <w:szCs w:val="20"/>
                <w:lang w:val="en-GB" w:eastAsia="en-US"/>
              </w:rPr>
              <w:t>j</w:t>
            </w:r>
            <w:r w:rsidRPr="006951FF">
              <w:rPr>
                <w:rFonts w:cs="Calibri"/>
                <w:b/>
                <w:color w:val="000000"/>
                <w:sz w:val="20"/>
                <w:szCs w:val="20"/>
                <w:lang w:val="en-GB" w:eastAsia="en-US"/>
              </w:rPr>
              <w:t>enu statusa</w:t>
            </w:r>
          </w:p>
        </w:tc>
        <w:tc>
          <w:tcPr>
            <w:tcW w:w="7773" w:type="dxa"/>
            <w:gridSpan w:val="2"/>
          </w:tcPr>
          <w:p w14:paraId="341E8A55" w14:textId="07FE5686" w:rsidR="006951FF" w:rsidRDefault="00960E3C" w:rsidP="00960E3C">
            <w:pPr>
              <w:autoSpaceDE w:val="0"/>
              <w:autoSpaceDN w:val="0"/>
              <w:adjustRightInd w:val="0"/>
              <w:spacing w:before="0" w:after="0" w:line="240" w:lineRule="auto"/>
              <w:contextualSpacing/>
              <w:jc w:val="left"/>
              <w:rPr>
                <w:rFonts w:cs="Calibri"/>
                <w:color w:val="000000"/>
                <w:sz w:val="20"/>
                <w:szCs w:val="20"/>
                <w:lang w:val="en-GB" w:eastAsia="en-US"/>
              </w:rPr>
            </w:pPr>
            <w:r w:rsidRPr="00960E3C">
              <w:rPr>
                <w:rFonts w:cs="Calibri"/>
                <w:b/>
                <w:color w:val="000000"/>
                <w:sz w:val="20"/>
                <w:szCs w:val="20"/>
                <w:lang w:val="en-GB" w:eastAsia="en-US"/>
              </w:rPr>
              <w:t>D7C1.1:</w:t>
            </w:r>
            <w:r>
              <w:rPr>
                <w:rFonts w:cs="Calibri"/>
                <w:color w:val="000000"/>
                <w:sz w:val="20"/>
                <w:szCs w:val="20"/>
                <w:lang w:val="en-GB" w:eastAsia="en-US"/>
              </w:rPr>
              <w:t xml:space="preserve"> </w:t>
            </w:r>
            <w:r w:rsidR="006951FF">
              <w:rPr>
                <w:rFonts w:cs="Calibri"/>
                <w:color w:val="000000"/>
                <w:sz w:val="20"/>
                <w:szCs w:val="20"/>
                <w:lang w:val="en-GB" w:eastAsia="en-US"/>
              </w:rPr>
              <w:t>T</w:t>
            </w:r>
            <w:r w:rsidR="006951FF" w:rsidRPr="006951FF">
              <w:rPr>
                <w:rFonts w:cs="Calibri"/>
                <w:color w:val="000000"/>
                <w:sz w:val="20"/>
                <w:szCs w:val="20"/>
                <w:lang w:val="en-GB" w:eastAsia="en-US"/>
              </w:rPr>
              <w:t>emperatura i s</w:t>
            </w:r>
            <w:r w:rsidR="006951FF">
              <w:rPr>
                <w:rFonts w:cs="Calibri"/>
                <w:color w:val="000000"/>
                <w:sz w:val="20"/>
                <w:szCs w:val="20"/>
                <w:lang w:val="en-GB" w:eastAsia="en-US"/>
              </w:rPr>
              <w:t>alinitet</w:t>
            </w:r>
          </w:p>
          <w:p w14:paraId="1762D81A" w14:textId="314746B1" w:rsidR="006951FF" w:rsidRDefault="00960E3C" w:rsidP="00960E3C">
            <w:pPr>
              <w:autoSpaceDE w:val="0"/>
              <w:autoSpaceDN w:val="0"/>
              <w:adjustRightInd w:val="0"/>
              <w:spacing w:before="0" w:after="0" w:line="240" w:lineRule="auto"/>
              <w:contextualSpacing/>
              <w:jc w:val="left"/>
              <w:rPr>
                <w:rFonts w:cs="Calibri"/>
                <w:color w:val="000000"/>
                <w:sz w:val="20"/>
                <w:szCs w:val="20"/>
                <w:lang w:val="en-GB" w:eastAsia="en-US"/>
              </w:rPr>
            </w:pPr>
            <w:r w:rsidRPr="00960E3C">
              <w:rPr>
                <w:rFonts w:cs="Calibri"/>
                <w:b/>
                <w:color w:val="000000"/>
                <w:sz w:val="20"/>
                <w:szCs w:val="20"/>
                <w:lang w:val="en-GB" w:eastAsia="en-US"/>
              </w:rPr>
              <w:t>D7C1.2:</w:t>
            </w:r>
            <w:r>
              <w:rPr>
                <w:rFonts w:cs="Calibri"/>
                <w:color w:val="000000"/>
                <w:sz w:val="20"/>
                <w:szCs w:val="20"/>
                <w:lang w:val="en-GB" w:eastAsia="en-US"/>
              </w:rPr>
              <w:t xml:space="preserve"> </w:t>
            </w:r>
            <w:r w:rsidR="006951FF" w:rsidRPr="006951FF">
              <w:rPr>
                <w:rFonts w:cs="Calibri"/>
                <w:color w:val="000000"/>
                <w:sz w:val="20"/>
                <w:szCs w:val="20"/>
                <w:lang w:val="en-GB" w:eastAsia="en-US"/>
              </w:rPr>
              <w:t>Morske struje</w:t>
            </w:r>
          </w:p>
          <w:p w14:paraId="7422F59B" w14:textId="0AFCB25B" w:rsidR="006951FF" w:rsidRDefault="00960E3C" w:rsidP="00960E3C">
            <w:pPr>
              <w:autoSpaceDE w:val="0"/>
              <w:autoSpaceDN w:val="0"/>
              <w:adjustRightInd w:val="0"/>
              <w:spacing w:before="0" w:after="0" w:line="240" w:lineRule="auto"/>
              <w:contextualSpacing/>
              <w:jc w:val="left"/>
              <w:rPr>
                <w:rFonts w:cs="Calibri"/>
                <w:color w:val="000000"/>
                <w:sz w:val="20"/>
                <w:szCs w:val="20"/>
                <w:lang w:val="en-GB" w:eastAsia="en-US"/>
              </w:rPr>
            </w:pPr>
            <w:r w:rsidRPr="00960E3C">
              <w:rPr>
                <w:rFonts w:cs="Calibri"/>
                <w:b/>
                <w:color w:val="000000"/>
                <w:sz w:val="20"/>
                <w:szCs w:val="20"/>
                <w:lang w:val="en-GB" w:eastAsia="en-US"/>
              </w:rPr>
              <w:t>D7C2.1:</w:t>
            </w:r>
            <w:r>
              <w:rPr>
                <w:rFonts w:cs="Calibri"/>
                <w:color w:val="000000"/>
                <w:sz w:val="20"/>
                <w:szCs w:val="20"/>
                <w:lang w:val="en-GB" w:eastAsia="en-US"/>
              </w:rPr>
              <w:t xml:space="preserve"> </w:t>
            </w:r>
            <w:r w:rsidR="006951FF" w:rsidRPr="006951FF">
              <w:rPr>
                <w:rFonts w:cs="Calibri"/>
                <w:color w:val="000000"/>
                <w:sz w:val="20"/>
                <w:szCs w:val="20"/>
                <w:lang w:val="en-GB" w:eastAsia="en-US"/>
              </w:rPr>
              <w:t>Talasi</w:t>
            </w:r>
          </w:p>
          <w:p w14:paraId="2DF1D2D3" w14:textId="219EC451" w:rsidR="006951FF" w:rsidRDefault="00960E3C" w:rsidP="00960E3C">
            <w:pPr>
              <w:autoSpaceDE w:val="0"/>
              <w:autoSpaceDN w:val="0"/>
              <w:adjustRightInd w:val="0"/>
              <w:spacing w:before="0" w:after="0" w:line="240" w:lineRule="auto"/>
              <w:contextualSpacing/>
              <w:jc w:val="left"/>
              <w:rPr>
                <w:rFonts w:cs="Calibri"/>
                <w:color w:val="000000"/>
                <w:sz w:val="20"/>
                <w:szCs w:val="20"/>
                <w:lang w:val="en-GB" w:eastAsia="en-US"/>
              </w:rPr>
            </w:pPr>
            <w:r w:rsidRPr="00960E3C">
              <w:rPr>
                <w:rFonts w:cs="Calibri"/>
                <w:b/>
                <w:color w:val="000000"/>
                <w:sz w:val="20"/>
                <w:szCs w:val="20"/>
                <w:lang w:val="en-GB" w:eastAsia="en-US"/>
              </w:rPr>
              <w:t>D7C2.2</w:t>
            </w:r>
            <w:r>
              <w:rPr>
                <w:rFonts w:cs="Calibri"/>
                <w:color w:val="000000"/>
                <w:sz w:val="20"/>
                <w:szCs w:val="20"/>
                <w:lang w:val="en-GB" w:eastAsia="en-US"/>
              </w:rPr>
              <w:t xml:space="preserve">: </w:t>
            </w:r>
            <w:r w:rsidR="006951FF">
              <w:rPr>
                <w:rFonts w:cs="Calibri"/>
                <w:color w:val="000000"/>
                <w:sz w:val="20"/>
                <w:szCs w:val="20"/>
                <w:lang w:val="en-GB" w:eastAsia="en-US"/>
              </w:rPr>
              <w:t>Prozirnost</w:t>
            </w:r>
          </w:p>
          <w:p w14:paraId="6F7827CB" w14:textId="170C768C" w:rsidR="006951FF" w:rsidRPr="006951FF" w:rsidRDefault="00960E3C" w:rsidP="00960E3C">
            <w:pPr>
              <w:autoSpaceDE w:val="0"/>
              <w:autoSpaceDN w:val="0"/>
              <w:adjustRightInd w:val="0"/>
              <w:spacing w:before="0" w:after="0" w:line="240" w:lineRule="auto"/>
              <w:contextualSpacing/>
              <w:jc w:val="left"/>
              <w:rPr>
                <w:rFonts w:cs="Calibri"/>
                <w:color w:val="000000"/>
                <w:sz w:val="20"/>
                <w:szCs w:val="20"/>
                <w:lang w:val="en-GB" w:eastAsia="en-US"/>
              </w:rPr>
            </w:pPr>
            <w:r w:rsidRPr="00960E3C">
              <w:rPr>
                <w:rFonts w:cs="Calibri"/>
                <w:b/>
                <w:color w:val="000000"/>
                <w:sz w:val="20"/>
                <w:szCs w:val="20"/>
                <w:lang w:val="en-GB" w:eastAsia="en-US"/>
              </w:rPr>
              <w:t>D7C2.3</w:t>
            </w:r>
            <w:r>
              <w:rPr>
                <w:rFonts w:cs="Calibri"/>
                <w:color w:val="000000"/>
                <w:sz w:val="20"/>
                <w:szCs w:val="20"/>
                <w:lang w:val="en-GB" w:eastAsia="en-US"/>
              </w:rPr>
              <w:t xml:space="preserve">: </w:t>
            </w:r>
            <w:r w:rsidR="006951FF" w:rsidRPr="006951FF">
              <w:rPr>
                <w:rFonts w:cs="Calibri"/>
                <w:color w:val="000000"/>
                <w:sz w:val="20"/>
                <w:szCs w:val="20"/>
                <w:lang w:val="en-GB" w:eastAsia="en-US"/>
              </w:rPr>
              <w:t>Nivo mora</w:t>
            </w:r>
          </w:p>
        </w:tc>
      </w:tr>
    </w:tbl>
    <w:p w14:paraId="3E318314" w14:textId="77777777" w:rsidR="00BF19E7" w:rsidRPr="001C6CCA" w:rsidRDefault="00BF19E7" w:rsidP="00F65CFF">
      <w:pPr>
        <w:spacing w:before="0" w:after="0" w:line="259" w:lineRule="auto"/>
        <w:rPr>
          <w:rFonts w:eastAsia="Calibri"/>
          <w:b/>
          <w:sz w:val="20"/>
          <w:szCs w:val="20"/>
          <w:u w:val="single"/>
          <w:lang w:val="en-GB" w:eastAsia="en-US"/>
        </w:rPr>
      </w:pPr>
    </w:p>
    <w:p w14:paraId="273589B8" w14:textId="5AC7996C" w:rsidR="006951FF" w:rsidRPr="006951FF" w:rsidRDefault="006951FF" w:rsidP="006951FF">
      <w:pPr>
        <w:spacing w:before="0" w:after="160"/>
        <w:rPr>
          <w:rFonts w:eastAsia="Calibri"/>
          <w:szCs w:val="22"/>
          <w:lang w:val="en-GB" w:eastAsia="en-US"/>
        </w:rPr>
      </w:pPr>
      <w:r w:rsidRPr="006951FF">
        <w:rPr>
          <w:rFonts w:eastAsia="Calibri"/>
          <w:szCs w:val="22"/>
          <w:lang w:val="en-GB" w:eastAsia="en-US"/>
        </w:rPr>
        <w:t xml:space="preserve">Iako nisu definisani na regionalnom nivou, </w:t>
      </w:r>
      <w:r w:rsidRPr="009A76C9">
        <w:rPr>
          <w:rFonts w:eastAsia="Calibri"/>
          <w:b/>
          <w:szCs w:val="22"/>
          <w:lang w:val="en-GB" w:eastAsia="en-US"/>
        </w:rPr>
        <w:t>metodološki standardi</w:t>
      </w:r>
      <w:r w:rsidRPr="006951FF">
        <w:rPr>
          <w:rFonts w:eastAsia="Calibri"/>
          <w:szCs w:val="22"/>
          <w:lang w:val="en-GB" w:eastAsia="en-US"/>
        </w:rPr>
        <w:t xml:space="preserve"> koji bi doprin</w:t>
      </w:r>
      <w:r w:rsidR="009A76C9">
        <w:rPr>
          <w:rFonts w:eastAsia="Calibri"/>
          <w:szCs w:val="22"/>
          <w:lang w:val="en-GB" w:eastAsia="en-US"/>
        </w:rPr>
        <w:t>j</w:t>
      </w:r>
      <w:r w:rsidRPr="006951FF">
        <w:rPr>
          <w:rFonts w:eastAsia="Calibri"/>
          <w:szCs w:val="22"/>
          <w:lang w:val="en-GB" w:eastAsia="en-US"/>
        </w:rPr>
        <w:t>eli postizanju GES-a treba da se definišu poštujući pristup ekosistema. Da bi se to postiglo, potrebno je:</w:t>
      </w:r>
    </w:p>
    <w:p w14:paraId="4369B317" w14:textId="77777777" w:rsidR="009A76C9" w:rsidRDefault="006951FF" w:rsidP="00C52E6F">
      <w:pPr>
        <w:pStyle w:val="ListParagraph"/>
        <w:numPr>
          <w:ilvl w:val="0"/>
          <w:numId w:val="67"/>
        </w:numPr>
        <w:spacing w:before="0" w:after="160"/>
        <w:rPr>
          <w:rFonts w:eastAsia="Calibri"/>
          <w:szCs w:val="22"/>
          <w:lang w:val="en-GB" w:eastAsia="en-US"/>
        </w:rPr>
      </w:pPr>
      <w:r w:rsidRPr="009A76C9">
        <w:rPr>
          <w:rFonts w:eastAsia="Calibri"/>
          <w:szCs w:val="22"/>
          <w:lang w:val="en-GB" w:eastAsia="en-US"/>
        </w:rPr>
        <w:t>prim</w:t>
      </w:r>
      <w:r w:rsidR="009A76C9">
        <w:rPr>
          <w:rFonts w:eastAsia="Calibri"/>
          <w:szCs w:val="22"/>
          <w:lang w:val="en-GB" w:eastAsia="en-US"/>
        </w:rPr>
        <w:t>ij</w:t>
      </w:r>
      <w:r w:rsidRPr="009A76C9">
        <w:rPr>
          <w:rFonts w:eastAsia="Calibri"/>
          <w:szCs w:val="22"/>
          <w:lang w:val="en-GB" w:eastAsia="en-US"/>
        </w:rPr>
        <w:t>eniti hidrodinamičko i ekološko modeliranje</w:t>
      </w:r>
    </w:p>
    <w:p w14:paraId="0A93D76D" w14:textId="77777777" w:rsidR="009A76C9" w:rsidRDefault="006951FF" w:rsidP="00C52E6F">
      <w:pPr>
        <w:pStyle w:val="ListParagraph"/>
        <w:numPr>
          <w:ilvl w:val="0"/>
          <w:numId w:val="67"/>
        </w:numPr>
        <w:spacing w:before="0" w:after="160"/>
        <w:rPr>
          <w:rFonts w:eastAsia="Calibri"/>
          <w:szCs w:val="22"/>
          <w:lang w:val="en-GB" w:eastAsia="en-US"/>
        </w:rPr>
      </w:pPr>
      <w:r w:rsidRPr="009A76C9">
        <w:rPr>
          <w:rFonts w:eastAsia="Calibri"/>
          <w:szCs w:val="22"/>
          <w:lang w:val="en-GB" w:eastAsia="en-US"/>
        </w:rPr>
        <w:t xml:space="preserve">izraditi GIS mape </w:t>
      </w:r>
      <w:r w:rsidR="009A76C9">
        <w:rPr>
          <w:rFonts w:eastAsia="Calibri"/>
          <w:szCs w:val="22"/>
          <w:lang w:val="en-GB" w:eastAsia="en-US"/>
        </w:rPr>
        <w:t>trenutnog</w:t>
      </w:r>
      <w:r w:rsidRPr="009A76C9">
        <w:rPr>
          <w:rFonts w:eastAsia="Calibri"/>
          <w:szCs w:val="22"/>
          <w:lang w:val="en-GB" w:eastAsia="en-US"/>
        </w:rPr>
        <w:t xml:space="preserve"> stanja postojec</w:t>
      </w:r>
      <w:r w:rsidR="009A76C9">
        <w:rPr>
          <w:rFonts w:eastAsia="Calibri"/>
          <w:szCs w:val="22"/>
          <w:lang w:val="en-GB" w:eastAsia="en-US"/>
        </w:rPr>
        <w:t>́ih intervencija u životnoj</w:t>
      </w:r>
      <w:r w:rsidRPr="009A76C9">
        <w:rPr>
          <w:rFonts w:eastAsia="Calibri"/>
          <w:szCs w:val="22"/>
          <w:lang w:val="en-GB" w:eastAsia="en-US"/>
        </w:rPr>
        <w:t xml:space="preserve"> sredinu i hidrografskih i ekoloških karakteristika područja,</w:t>
      </w:r>
    </w:p>
    <w:p w14:paraId="1CBBD054" w14:textId="3FDC1614" w:rsidR="006951FF" w:rsidRPr="009A76C9" w:rsidRDefault="006951FF" w:rsidP="00C52E6F">
      <w:pPr>
        <w:pStyle w:val="ListParagraph"/>
        <w:numPr>
          <w:ilvl w:val="0"/>
          <w:numId w:val="67"/>
        </w:numPr>
        <w:spacing w:before="0" w:after="160"/>
        <w:rPr>
          <w:rFonts w:eastAsia="Calibri"/>
          <w:szCs w:val="22"/>
          <w:lang w:val="en-GB" w:eastAsia="en-US"/>
        </w:rPr>
      </w:pPr>
      <w:r w:rsidRPr="009A76C9">
        <w:rPr>
          <w:rFonts w:eastAsia="Calibri"/>
          <w:szCs w:val="22"/>
          <w:lang w:val="en-GB" w:eastAsia="en-US"/>
        </w:rPr>
        <w:t>u cilju donošenja odluka prilikom planiranja budućih aktivnosti i intervencija u morsko</w:t>
      </w:r>
      <w:r w:rsidR="009A76C9">
        <w:rPr>
          <w:rFonts w:eastAsia="Calibri"/>
          <w:szCs w:val="22"/>
          <w:lang w:val="en-GB" w:eastAsia="en-US"/>
        </w:rPr>
        <w:t>j sredini</w:t>
      </w:r>
      <w:r w:rsidRPr="009A76C9">
        <w:rPr>
          <w:rFonts w:eastAsia="Calibri"/>
          <w:szCs w:val="22"/>
          <w:lang w:val="en-GB" w:eastAsia="en-US"/>
        </w:rPr>
        <w:t xml:space="preserve"> kombin</w:t>
      </w:r>
      <w:r w:rsidR="009A76C9">
        <w:rPr>
          <w:rFonts w:eastAsia="Calibri"/>
          <w:szCs w:val="22"/>
          <w:lang w:val="en-GB" w:eastAsia="en-US"/>
        </w:rPr>
        <w:t xml:space="preserve">ovati </w:t>
      </w:r>
      <w:r w:rsidRPr="009A76C9">
        <w:rPr>
          <w:rFonts w:eastAsia="Calibri"/>
          <w:szCs w:val="22"/>
          <w:lang w:val="en-GB" w:eastAsia="en-US"/>
        </w:rPr>
        <w:t>rezultate hidrodinamičkog i ekološkog modeliranja sa GIS mapama.</w:t>
      </w:r>
    </w:p>
    <w:p w14:paraId="3ACA5559" w14:textId="60F60C37" w:rsidR="009A76C9" w:rsidRPr="009A76C9" w:rsidRDefault="006951FF" w:rsidP="009A76C9">
      <w:pPr>
        <w:spacing w:before="0" w:after="160"/>
        <w:rPr>
          <w:rFonts w:eastAsia="Calibri"/>
          <w:szCs w:val="22"/>
          <w:lang w:val="en-GB" w:eastAsia="en-US"/>
        </w:rPr>
      </w:pPr>
      <w:r w:rsidRPr="006951FF">
        <w:rPr>
          <w:rFonts w:eastAsia="Calibri"/>
          <w:szCs w:val="22"/>
          <w:lang w:val="en-GB" w:eastAsia="en-US"/>
        </w:rPr>
        <w:t>Pri tome</w:t>
      </w:r>
      <w:r w:rsidR="009A76C9">
        <w:rPr>
          <w:rFonts w:eastAsia="Calibri"/>
          <w:szCs w:val="22"/>
          <w:lang w:val="en-GB" w:eastAsia="en-US"/>
        </w:rPr>
        <w:t xml:space="preserve"> potrebno je procijeniti</w:t>
      </w:r>
      <w:r w:rsidRPr="006951FF">
        <w:rPr>
          <w:rFonts w:eastAsia="Calibri"/>
          <w:szCs w:val="22"/>
          <w:lang w:val="en-GB" w:eastAsia="en-US"/>
        </w:rPr>
        <w:t xml:space="preserve"> ekološke </w:t>
      </w:r>
      <w:r w:rsidR="009A76C9" w:rsidRPr="00AA6D51">
        <w:rPr>
          <w:rFonts w:eastAsia="Calibri"/>
          <w:szCs w:val="22"/>
          <w:lang w:val="en-GB" w:eastAsia="en-US"/>
        </w:rPr>
        <w:t>indikatore</w:t>
      </w:r>
      <w:r w:rsidRPr="00AA6D51">
        <w:rPr>
          <w:rFonts w:eastAsia="Calibri"/>
          <w:szCs w:val="22"/>
          <w:lang w:val="en-GB" w:eastAsia="en-US"/>
        </w:rPr>
        <w:t xml:space="preserve">. </w:t>
      </w:r>
      <w:r w:rsidRPr="00AA6D51">
        <w:rPr>
          <w:rFonts w:eastAsia="Calibri"/>
          <w:b/>
          <w:szCs w:val="22"/>
          <w:lang w:val="en-GB" w:eastAsia="en-US"/>
        </w:rPr>
        <w:t>Metodologija za proc</w:t>
      </w:r>
      <w:r w:rsidR="009A76C9" w:rsidRPr="00AA6D51">
        <w:rPr>
          <w:rFonts w:eastAsia="Calibri"/>
          <w:b/>
          <w:szCs w:val="22"/>
          <w:lang w:val="en-GB" w:eastAsia="en-US"/>
        </w:rPr>
        <w:t>j</w:t>
      </w:r>
      <w:r w:rsidRPr="00AA6D51">
        <w:rPr>
          <w:rFonts w:eastAsia="Calibri"/>
          <w:b/>
          <w:szCs w:val="22"/>
          <w:lang w:val="en-GB" w:eastAsia="en-US"/>
        </w:rPr>
        <w:t xml:space="preserve">enu </w:t>
      </w:r>
      <w:r w:rsidR="00AA6D51" w:rsidRPr="00AA6D51">
        <w:rPr>
          <w:rFonts w:eastAsia="Calibri"/>
          <w:b/>
          <w:szCs w:val="22"/>
          <w:lang w:val="en-GB" w:eastAsia="en-US"/>
        </w:rPr>
        <w:t xml:space="preserve">indikatora </w:t>
      </w:r>
      <w:r w:rsidRPr="00AA6D51">
        <w:rPr>
          <w:rFonts w:eastAsia="Calibri"/>
          <w:szCs w:val="22"/>
          <w:lang w:val="en-GB" w:eastAsia="en-US"/>
        </w:rPr>
        <w:t>može</w:t>
      </w:r>
      <w:r w:rsidRPr="006951FF">
        <w:rPr>
          <w:rFonts w:eastAsia="Calibri"/>
          <w:szCs w:val="22"/>
          <w:lang w:val="en-GB" w:eastAsia="en-US"/>
        </w:rPr>
        <w:t xml:space="preserve"> se pod</w:t>
      </w:r>
      <w:r w:rsidR="009A76C9">
        <w:rPr>
          <w:rFonts w:eastAsia="Calibri"/>
          <w:szCs w:val="22"/>
          <w:lang w:val="en-GB" w:eastAsia="en-US"/>
        </w:rPr>
        <w:t>ij</w:t>
      </w:r>
      <w:r w:rsidRPr="006951FF">
        <w:rPr>
          <w:rFonts w:eastAsia="Calibri"/>
          <w:szCs w:val="22"/>
          <w:lang w:val="en-GB" w:eastAsia="en-US"/>
        </w:rPr>
        <w:t>eliti u tri glavna koraka:</w:t>
      </w:r>
    </w:p>
    <w:p w14:paraId="00256370" w14:textId="0D1A4480" w:rsidR="006951FF" w:rsidRPr="006951FF" w:rsidRDefault="009A76C9" w:rsidP="00C52E6F">
      <w:pPr>
        <w:pStyle w:val="ListParagraph"/>
        <w:numPr>
          <w:ilvl w:val="0"/>
          <w:numId w:val="47"/>
        </w:numPr>
        <w:spacing w:before="0" w:after="160"/>
        <w:rPr>
          <w:rFonts w:eastAsia="Calibri"/>
          <w:szCs w:val="22"/>
          <w:lang w:val="en-GB" w:eastAsia="en-US"/>
        </w:rPr>
      </w:pPr>
      <w:r>
        <w:rPr>
          <w:rFonts w:eastAsia="Calibri"/>
          <w:szCs w:val="22"/>
          <w:lang w:val="en-GB" w:eastAsia="en-US"/>
        </w:rPr>
        <w:t>U</w:t>
      </w:r>
      <w:r w:rsidR="006951FF" w:rsidRPr="006951FF">
        <w:rPr>
          <w:rFonts w:eastAsia="Calibri"/>
          <w:szCs w:val="22"/>
          <w:lang w:val="en-GB" w:eastAsia="en-US"/>
        </w:rPr>
        <w:t xml:space="preserve">tvrđivanje okeanografskih i hidrografskih karakteristika područja, </w:t>
      </w:r>
      <w:r>
        <w:rPr>
          <w:rFonts w:eastAsia="Calibri"/>
          <w:szCs w:val="22"/>
          <w:lang w:val="en-GB" w:eastAsia="en-US"/>
        </w:rPr>
        <w:t>monitoring</w:t>
      </w:r>
      <w:r w:rsidR="006951FF" w:rsidRPr="006951FF">
        <w:rPr>
          <w:rFonts w:eastAsia="Calibri"/>
          <w:szCs w:val="22"/>
          <w:lang w:val="en-GB" w:eastAsia="en-US"/>
        </w:rPr>
        <w:t xml:space="preserve"> i modeliranje osnovnih hidrografskih uslova u sadašnjoj i budućoj klimi</w:t>
      </w:r>
    </w:p>
    <w:p w14:paraId="356464DA" w14:textId="469601E6" w:rsidR="006951FF" w:rsidRPr="006951FF" w:rsidRDefault="006951FF" w:rsidP="00C52E6F">
      <w:pPr>
        <w:pStyle w:val="ListParagraph"/>
        <w:numPr>
          <w:ilvl w:val="0"/>
          <w:numId w:val="47"/>
        </w:numPr>
        <w:spacing w:before="0" w:after="160"/>
        <w:rPr>
          <w:rFonts w:eastAsia="Calibri"/>
          <w:szCs w:val="22"/>
          <w:lang w:val="en-GB" w:eastAsia="en-US"/>
        </w:rPr>
      </w:pPr>
      <w:r w:rsidRPr="006951FF">
        <w:rPr>
          <w:rFonts w:eastAsia="Calibri"/>
          <w:szCs w:val="22"/>
          <w:lang w:val="en-GB" w:eastAsia="en-US"/>
        </w:rPr>
        <w:t>Proc</w:t>
      </w:r>
      <w:r w:rsidR="009A76C9">
        <w:rPr>
          <w:rFonts w:eastAsia="Calibri"/>
          <w:szCs w:val="22"/>
          <w:lang w:val="en-GB" w:eastAsia="en-US"/>
        </w:rPr>
        <w:t>j</w:t>
      </w:r>
      <w:r w:rsidRPr="006951FF">
        <w:rPr>
          <w:rFonts w:eastAsia="Calibri"/>
          <w:szCs w:val="22"/>
          <w:lang w:val="en-GB" w:eastAsia="en-US"/>
        </w:rPr>
        <w:t>ena hidrografskih prom</w:t>
      </w:r>
      <w:r w:rsidR="009A76C9">
        <w:rPr>
          <w:rFonts w:eastAsia="Calibri"/>
          <w:szCs w:val="22"/>
          <w:lang w:val="en-GB" w:eastAsia="en-US"/>
        </w:rPr>
        <w:t>j</w:t>
      </w:r>
      <w:r w:rsidRPr="006951FF">
        <w:rPr>
          <w:rFonts w:eastAsia="Calibri"/>
          <w:szCs w:val="22"/>
          <w:lang w:val="en-GB" w:eastAsia="en-US"/>
        </w:rPr>
        <w:t>ena izazvanih novom antropogenom intervencijom pomoću alata za modeliranje</w:t>
      </w:r>
    </w:p>
    <w:p w14:paraId="27CCBE1E" w14:textId="37D834E1" w:rsidR="00BF19E7" w:rsidRPr="00710AC9" w:rsidRDefault="006951FF" w:rsidP="00C52E6F">
      <w:pPr>
        <w:pStyle w:val="ListParagraph"/>
        <w:numPr>
          <w:ilvl w:val="0"/>
          <w:numId w:val="47"/>
        </w:numPr>
        <w:spacing w:before="0" w:after="160"/>
        <w:rPr>
          <w:rFonts w:eastAsia="Calibri" w:cs="Calibri"/>
          <w:b/>
          <w:sz w:val="20"/>
          <w:szCs w:val="20"/>
          <w:lang w:val="en-GB" w:eastAsia="en-US"/>
        </w:rPr>
      </w:pPr>
      <w:r w:rsidRPr="006951FF">
        <w:rPr>
          <w:rFonts w:eastAsia="Calibri"/>
          <w:szCs w:val="22"/>
          <w:lang w:val="en-GB" w:eastAsia="en-US"/>
        </w:rPr>
        <w:t>Proc</w:t>
      </w:r>
      <w:r w:rsidR="009A76C9">
        <w:rPr>
          <w:rFonts w:eastAsia="Calibri"/>
          <w:szCs w:val="22"/>
          <w:lang w:val="en-GB" w:eastAsia="en-US"/>
        </w:rPr>
        <w:t>j</w:t>
      </w:r>
      <w:r w:rsidRPr="006951FF">
        <w:rPr>
          <w:rFonts w:eastAsia="Calibri"/>
          <w:szCs w:val="22"/>
          <w:lang w:val="en-GB" w:eastAsia="en-US"/>
        </w:rPr>
        <w:t>ena staništa koja su direktno pogođena hidrografskim prom</w:t>
      </w:r>
      <w:r w:rsidR="009A76C9">
        <w:rPr>
          <w:rFonts w:eastAsia="Calibri"/>
          <w:szCs w:val="22"/>
          <w:lang w:val="en-GB" w:eastAsia="en-US"/>
        </w:rPr>
        <w:t xml:space="preserve">jenama (GIS alati – upoređivanje presjekom </w:t>
      </w:r>
      <w:r w:rsidRPr="006951FF">
        <w:rPr>
          <w:rFonts w:eastAsia="Calibri"/>
          <w:szCs w:val="22"/>
          <w:lang w:val="en-GB" w:eastAsia="en-US"/>
        </w:rPr>
        <w:t>hidrografskih prom</w:t>
      </w:r>
      <w:r w:rsidR="009A76C9">
        <w:rPr>
          <w:rFonts w:eastAsia="Calibri"/>
          <w:szCs w:val="22"/>
          <w:lang w:val="en-GB" w:eastAsia="en-US"/>
        </w:rPr>
        <w:t>j</w:t>
      </w:r>
      <w:r w:rsidRPr="006951FF">
        <w:rPr>
          <w:rFonts w:eastAsia="Calibri"/>
          <w:szCs w:val="22"/>
          <w:lang w:val="en-GB" w:eastAsia="en-US"/>
        </w:rPr>
        <w:t>ena i mapa staništa). Obim staništa koja su direktno pogođena hidrografskim prom</w:t>
      </w:r>
      <w:r w:rsidR="009A76C9">
        <w:rPr>
          <w:rFonts w:eastAsia="Calibri"/>
          <w:szCs w:val="22"/>
          <w:lang w:val="en-GB" w:eastAsia="en-US"/>
        </w:rPr>
        <w:t>j</w:t>
      </w:r>
      <w:r w:rsidRPr="006951FF">
        <w:rPr>
          <w:rFonts w:eastAsia="Calibri"/>
          <w:szCs w:val="22"/>
          <w:lang w:val="en-GB" w:eastAsia="en-US"/>
        </w:rPr>
        <w:t>enama proc</w:t>
      </w:r>
      <w:r w:rsidR="009A76C9">
        <w:rPr>
          <w:rFonts w:eastAsia="Calibri"/>
          <w:szCs w:val="22"/>
          <w:lang w:val="en-GB" w:eastAsia="en-US"/>
        </w:rPr>
        <w:t>ij</w:t>
      </w:r>
      <w:r w:rsidRPr="006951FF">
        <w:rPr>
          <w:rFonts w:eastAsia="Calibri"/>
          <w:szCs w:val="22"/>
          <w:lang w:val="en-GB" w:eastAsia="en-US"/>
        </w:rPr>
        <w:t>enjuje se povezivanjem mape rasprostranjenosti pojedinih bento</w:t>
      </w:r>
      <w:r w:rsidR="0077485A">
        <w:rPr>
          <w:rFonts w:eastAsia="Calibri"/>
          <w:szCs w:val="22"/>
          <w:lang w:val="en-GB" w:eastAsia="en-US"/>
        </w:rPr>
        <w:t>s</w:t>
      </w:r>
      <w:r w:rsidRPr="006951FF">
        <w:rPr>
          <w:rFonts w:eastAsia="Calibri"/>
          <w:szCs w:val="22"/>
          <w:lang w:val="en-GB" w:eastAsia="en-US"/>
        </w:rPr>
        <w:t>kih staništa sa mapom pritiska. U tu svrhu su neophodni povezani hidrodinamički i ekološki modeli.</w:t>
      </w:r>
      <w:r w:rsidR="00BF19E7" w:rsidRPr="001C6CCA">
        <w:rPr>
          <w:rFonts w:eastAsia="Calibri"/>
          <w:szCs w:val="22"/>
          <w:lang w:val="en-GB" w:eastAsia="en-US"/>
        </w:rPr>
        <w:tab/>
      </w:r>
    </w:p>
    <w:p w14:paraId="7C715BCC" w14:textId="77777777" w:rsidR="00710AC9" w:rsidRPr="001C6CCA" w:rsidRDefault="00710AC9" w:rsidP="00C52E6F">
      <w:pPr>
        <w:pStyle w:val="ListParagraph"/>
        <w:numPr>
          <w:ilvl w:val="0"/>
          <w:numId w:val="47"/>
        </w:numPr>
        <w:spacing w:before="0" w:after="160"/>
        <w:rPr>
          <w:rFonts w:eastAsia="Calibri" w:cs="Calibri"/>
          <w:b/>
          <w:sz w:val="20"/>
          <w:szCs w:val="20"/>
          <w:lang w:val="en-GB" w:eastAsia="en-US"/>
        </w:rPr>
      </w:pPr>
    </w:p>
    <w:p w14:paraId="282C6848" w14:textId="3BC68390" w:rsidR="00BF19E7" w:rsidRPr="001C6CCA" w:rsidRDefault="009A76C9" w:rsidP="004C3A51">
      <w:pPr>
        <w:pStyle w:val="Heading3"/>
        <w:spacing w:after="160"/>
        <w:rPr>
          <w:rFonts w:eastAsia="Calibri"/>
          <w:lang w:val="en-GB" w:eastAsia="en-US"/>
        </w:rPr>
      </w:pPr>
      <w:bookmarkStart w:id="168" w:name="_Toc68078511"/>
      <w:bookmarkStart w:id="169" w:name="_Toc68180776"/>
      <w:bookmarkStart w:id="170" w:name="_Toc83630930"/>
      <w:r>
        <w:rPr>
          <w:rFonts w:eastAsia="Calibri"/>
          <w:lang w:val="en-GB"/>
        </w:rPr>
        <w:t>Povezanost sa ostalim Deskriptorima</w:t>
      </w:r>
      <w:bookmarkStart w:id="171" w:name="_Hlk65678581"/>
      <w:bookmarkEnd w:id="168"/>
      <w:bookmarkEnd w:id="169"/>
      <w:bookmarkEnd w:id="170"/>
    </w:p>
    <w:bookmarkEnd w:id="171"/>
    <w:p w14:paraId="4EBAF584" w14:textId="5992A5C9" w:rsidR="006951FF" w:rsidRPr="001C6CCA" w:rsidRDefault="006951FF" w:rsidP="004F0F90">
      <w:pPr>
        <w:spacing w:before="0" w:after="160"/>
        <w:rPr>
          <w:szCs w:val="22"/>
          <w:lang w:val="en-GB" w:eastAsia="hr-HR"/>
        </w:rPr>
      </w:pPr>
      <w:r w:rsidRPr="006951FF">
        <w:rPr>
          <w:szCs w:val="22"/>
          <w:lang w:val="en-GB" w:eastAsia="hr-HR"/>
        </w:rPr>
        <w:t>Poznavanje uzročno-posl</w:t>
      </w:r>
      <w:r w:rsidR="009A76C9">
        <w:rPr>
          <w:szCs w:val="22"/>
          <w:lang w:val="en-GB" w:eastAsia="hr-HR"/>
        </w:rPr>
        <w:t>j</w:t>
      </w:r>
      <w:r w:rsidRPr="006951FF">
        <w:rPr>
          <w:szCs w:val="22"/>
          <w:lang w:val="en-GB" w:eastAsia="hr-HR"/>
        </w:rPr>
        <w:t>edičnih veza između prom</w:t>
      </w:r>
      <w:r w:rsidR="009A76C9">
        <w:rPr>
          <w:szCs w:val="22"/>
          <w:lang w:val="en-GB" w:eastAsia="hr-HR"/>
        </w:rPr>
        <w:t>j</w:t>
      </w:r>
      <w:r w:rsidRPr="006951FF">
        <w:rPr>
          <w:szCs w:val="22"/>
          <w:lang w:val="en-GB" w:eastAsia="hr-HR"/>
        </w:rPr>
        <w:t>ena hidrografskih uslova i morskih ekosistema jedan je od načina za dokumentovanje odnosa između D7 i drugih deskriptora. U Jadranskom moru nekoliko naučnih radova i istraživanja dokumentovalo je vezu između brojnih parametara unutar ekosistema u sadašnjoj i budućoj klimi (vid</w:t>
      </w:r>
      <w:r w:rsidR="009A76C9">
        <w:rPr>
          <w:szCs w:val="22"/>
          <w:lang w:val="en-GB" w:eastAsia="hr-HR"/>
        </w:rPr>
        <w:t>jeti,</w:t>
      </w:r>
      <w:r w:rsidRPr="006951FF">
        <w:rPr>
          <w:szCs w:val="22"/>
          <w:lang w:val="en-GB" w:eastAsia="hr-HR"/>
        </w:rPr>
        <w:t xml:space="preserve"> na prim</w:t>
      </w:r>
      <w:r w:rsidR="009A76C9">
        <w:rPr>
          <w:szCs w:val="22"/>
          <w:lang w:val="en-GB" w:eastAsia="hr-HR"/>
        </w:rPr>
        <w:t>j</w:t>
      </w:r>
      <w:r w:rsidRPr="006951FF">
        <w:rPr>
          <w:szCs w:val="22"/>
          <w:lang w:val="en-GB" w:eastAsia="hr-HR"/>
        </w:rPr>
        <w:t>er, Ninčević-Gladan i sar., 2009; Šol</w:t>
      </w:r>
      <w:r w:rsidR="009A76C9">
        <w:rPr>
          <w:szCs w:val="22"/>
          <w:lang w:val="en-GB" w:eastAsia="hr-HR"/>
        </w:rPr>
        <w:t>ić i sar., 2019; Grbec i sar.</w:t>
      </w:r>
      <w:r w:rsidRPr="006951FF">
        <w:rPr>
          <w:szCs w:val="22"/>
          <w:lang w:val="en-GB" w:eastAsia="hr-HR"/>
        </w:rPr>
        <w:t>, 2015). Pored toga, hidrografski podaci su takođe relevantni za proc</w:t>
      </w:r>
      <w:r w:rsidR="009A76C9">
        <w:rPr>
          <w:szCs w:val="22"/>
          <w:lang w:val="en-GB" w:eastAsia="hr-HR"/>
        </w:rPr>
        <w:t>j</w:t>
      </w:r>
      <w:r w:rsidRPr="006951FF">
        <w:rPr>
          <w:szCs w:val="22"/>
          <w:lang w:val="en-GB" w:eastAsia="hr-HR"/>
        </w:rPr>
        <w:t>enu D1, D2, D3, D4, D5, D6, D9 i D10. Detaljne informacije o međusobn</w:t>
      </w:r>
      <w:r w:rsidR="009A76C9">
        <w:rPr>
          <w:szCs w:val="22"/>
          <w:lang w:val="en-GB" w:eastAsia="hr-HR"/>
        </w:rPr>
        <w:t xml:space="preserve">oj povezanosti </w:t>
      </w:r>
      <w:r w:rsidRPr="006951FF">
        <w:rPr>
          <w:szCs w:val="22"/>
          <w:lang w:val="en-GB" w:eastAsia="hr-HR"/>
        </w:rPr>
        <w:t>D7 sa ostalim deskriptorima u crnogorskom dijelu Jadranskog mora opisane su u tabeli 2.24.</w:t>
      </w:r>
    </w:p>
    <w:p w14:paraId="7E460711" w14:textId="77777777" w:rsidR="00014B8D" w:rsidRPr="001C6CCA" w:rsidRDefault="00014B8D" w:rsidP="001E437E">
      <w:pPr>
        <w:spacing w:before="0" w:line="259" w:lineRule="auto"/>
        <w:rPr>
          <w:rFonts w:eastAsia="Calibri"/>
          <w:b/>
          <w:sz w:val="20"/>
          <w:szCs w:val="20"/>
          <w:lang w:val="en-GB" w:eastAsia="en-US"/>
        </w:rPr>
      </w:pPr>
    </w:p>
    <w:p w14:paraId="5D708C09" w14:textId="1A860B5A" w:rsidR="00BF19E7" w:rsidRPr="001C6CCA" w:rsidRDefault="00BF19E7" w:rsidP="004C3A51">
      <w:pPr>
        <w:spacing w:before="0" w:after="160" w:line="259" w:lineRule="auto"/>
        <w:rPr>
          <w:rFonts w:eastAsia="Calibri"/>
          <w:sz w:val="20"/>
          <w:szCs w:val="20"/>
          <w:lang w:val="en-GB" w:eastAsia="en-US"/>
        </w:rPr>
      </w:pPr>
      <w:bookmarkStart w:id="172" w:name="_Toc83643170"/>
      <w:r w:rsidRPr="001C6CCA">
        <w:rPr>
          <w:rFonts w:eastAsia="Calibri"/>
          <w:b/>
          <w:szCs w:val="22"/>
          <w:lang w:val="en-GB" w:eastAsia="en-US"/>
        </w:rPr>
        <w:t>Tab</w:t>
      </w:r>
      <w:r w:rsidR="009A76C9">
        <w:rPr>
          <w:rFonts w:eastAsia="Calibri"/>
          <w:b/>
          <w:szCs w:val="22"/>
          <w:lang w:val="en-GB" w:eastAsia="en-US"/>
        </w:rPr>
        <w:t>ela</w:t>
      </w:r>
      <w:r w:rsidR="001E437E" w:rsidRPr="001C6CCA">
        <w:rPr>
          <w:rFonts w:eastAsia="Calibri"/>
          <w:b/>
          <w:szCs w:val="22"/>
          <w:lang w:val="en-GB" w:eastAsia="en-US"/>
        </w:rPr>
        <w:t xml:space="preserve"> </w:t>
      </w:r>
      <w:r w:rsidR="003415D9" w:rsidRPr="00D932B6">
        <w:rPr>
          <w:b/>
          <w:szCs w:val="22"/>
        </w:rPr>
        <w:fldChar w:fldCharType="begin"/>
      </w:r>
      <w:r w:rsidR="003415D9" w:rsidRPr="00D932B6">
        <w:rPr>
          <w:b/>
          <w:szCs w:val="22"/>
        </w:rPr>
        <w:instrText xml:space="preserve"> STYLEREF 1 \s </w:instrText>
      </w:r>
      <w:r w:rsidR="003415D9" w:rsidRPr="00D932B6">
        <w:rPr>
          <w:b/>
          <w:szCs w:val="22"/>
        </w:rPr>
        <w:fldChar w:fldCharType="separate"/>
      </w:r>
      <w:r w:rsidR="000D1E20">
        <w:rPr>
          <w:b/>
          <w:noProof/>
          <w:szCs w:val="22"/>
        </w:rPr>
        <w:t>2</w:t>
      </w:r>
      <w:r w:rsidR="003415D9" w:rsidRPr="00D932B6">
        <w:rPr>
          <w:b/>
          <w:szCs w:val="22"/>
        </w:rPr>
        <w:fldChar w:fldCharType="end"/>
      </w:r>
      <w:r w:rsidR="003415D9" w:rsidRPr="00D932B6">
        <w:rPr>
          <w:b/>
          <w:szCs w:val="22"/>
        </w:rPr>
        <w:t>.</w:t>
      </w:r>
      <w:r w:rsidR="003415D9" w:rsidRPr="00D932B6">
        <w:rPr>
          <w:b/>
          <w:szCs w:val="22"/>
        </w:rPr>
        <w:fldChar w:fldCharType="begin"/>
      </w:r>
      <w:r w:rsidR="003415D9" w:rsidRPr="00D932B6">
        <w:rPr>
          <w:b/>
          <w:szCs w:val="22"/>
        </w:rPr>
        <w:instrText xml:space="preserve"> SEQ Table \* ARABIC \s 1 </w:instrText>
      </w:r>
      <w:r w:rsidR="003415D9" w:rsidRPr="00D932B6">
        <w:rPr>
          <w:b/>
          <w:szCs w:val="22"/>
        </w:rPr>
        <w:fldChar w:fldCharType="separate"/>
      </w:r>
      <w:r w:rsidR="000D1E20">
        <w:rPr>
          <w:b/>
          <w:noProof/>
          <w:szCs w:val="22"/>
        </w:rPr>
        <w:t>12</w:t>
      </w:r>
      <w:r w:rsidR="003415D9" w:rsidRPr="00D932B6">
        <w:rPr>
          <w:b/>
          <w:szCs w:val="22"/>
        </w:rPr>
        <w:fldChar w:fldCharType="end"/>
      </w:r>
      <w:r w:rsidR="003415D9">
        <w:rPr>
          <w:b/>
          <w:szCs w:val="22"/>
        </w:rPr>
        <w:t>.</w:t>
      </w:r>
      <w:r w:rsidR="003415D9" w:rsidRPr="001C6CCA">
        <w:rPr>
          <w:rFonts w:eastAsia="Calibri" w:cs="Calibri"/>
          <w:b/>
          <w:szCs w:val="22"/>
          <w:lang w:val="en-GB" w:eastAsia="en-US"/>
        </w:rPr>
        <w:t xml:space="preserve"> </w:t>
      </w:r>
      <w:r w:rsidR="009A76C9">
        <w:rPr>
          <w:rFonts w:eastAsia="Calibri" w:cs="Calibri"/>
          <w:b/>
          <w:szCs w:val="22"/>
          <w:lang w:val="en-GB" w:eastAsia="en-US"/>
        </w:rPr>
        <w:t xml:space="preserve">Povezanost </w:t>
      </w:r>
      <w:r w:rsidRPr="001C6CCA">
        <w:rPr>
          <w:rFonts w:eastAsia="Calibri"/>
          <w:b/>
          <w:szCs w:val="22"/>
          <w:lang w:val="en-GB" w:eastAsia="en-US"/>
        </w:rPr>
        <w:t xml:space="preserve">D7 </w:t>
      </w:r>
      <w:r w:rsidR="009A76C9">
        <w:rPr>
          <w:rFonts w:eastAsia="Calibri"/>
          <w:b/>
          <w:szCs w:val="22"/>
          <w:lang w:val="en-GB" w:eastAsia="en-US"/>
        </w:rPr>
        <w:t>sa ostalim deskriptorima</w:t>
      </w:r>
      <w:bookmarkEnd w:id="172"/>
      <w:r w:rsidRPr="001C6CCA">
        <w:rPr>
          <w:rFonts w:eastAsia="Calibri"/>
          <w:sz w:val="20"/>
          <w:szCs w:val="20"/>
          <w:lang w:val="en-GB" w:eastAsia="en-US"/>
        </w:rPr>
        <w:t xml:space="preserve"> </w:t>
      </w:r>
    </w:p>
    <w:tbl>
      <w:tblPr>
        <w:tblStyle w:val="GolderTable9"/>
        <w:tblW w:w="9351"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236"/>
        <w:gridCol w:w="8115"/>
      </w:tblGrid>
      <w:tr w:rsidR="00BF19E7" w:rsidRPr="001C6CCA" w14:paraId="62967827" w14:textId="77777777" w:rsidTr="00605469">
        <w:trPr>
          <w:trHeight w:val="368"/>
          <w:tblHeader/>
        </w:trPr>
        <w:tc>
          <w:tcPr>
            <w:tcW w:w="11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41B92224" w14:textId="77777777" w:rsidR="00BF19E7" w:rsidRPr="0084232F" w:rsidRDefault="00BF19E7" w:rsidP="00F65CFF">
            <w:pPr>
              <w:spacing w:before="0" w:after="0" w:line="240" w:lineRule="auto"/>
              <w:rPr>
                <w:color w:val="FFFFFF" w:themeColor="background1"/>
                <w:lang w:val="en-GB" w:eastAsia="en-US"/>
              </w:rPr>
            </w:pPr>
          </w:p>
          <w:p w14:paraId="765F95FE" w14:textId="60407C05" w:rsidR="00BF19E7" w:rsidRPr="0084232F" w:rsidRDefault="00BF19E7" w:rsidP="00590711">
            <w:pPr>
              <w:spacing w:before="0" w:after="0" w:line="240" w:lineRule="auto"/>
              <w:jc w:val="center"/>
              <w:rPr>
                <w:b/>
                <w:color w:val="FFFFFF" w:themeColor="background1"/>
                <w:lang w:val="en-GB" w:eastAsia="en-US"/>
              </w:rPr>
            </w:pPr>
            <w:r w:rsidRPr="0084232F">
              <w:rPr>
                <w:b/>
                <w:color w:val="FFFFFF" w:themeColor="background1"/>
                <w:lang w:val="en-GB" w:eastAsia="en-US"/>
              </w:rPr>
              <w:t>De</w:t>
            </w:r>
            <w:r w:rsidR="00590711" w:rsidRPr="0084232F">
              <w:rPr>
                <w:b/>
                <w:color w:val="FFFFFF" w:themeColor="background1"/>
                <w:lang w:val="en-GB" w:eastAsia="en-US"/>
              </w:rPr>
              <w:t>skriptori</w:t>
            </w:r>
          </w:p>
        </w:tc>
        <w:tc>
          <w:tcPr>
            <w:tcW w:w="82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4C0A2616" w14:textId="77777777" w:rsidR="00BF19E7" w:rsidRPr="0084232F" w:rsidRDefault="00BF19E7" w:rsidP="00F65CFF">
            <w:pPr>
              <w:spacing w:before="0" w:after="0" w:line="240" w:lineRule="auto"/>
              <w:jc w:val="center"/>
              <w:rPr>
                <w:b/>
                <w:color w:val="FFFFFF" w:themeColor="background1"/>
                <w:lang w:val="en-GB" w:eastAsia="en-US"/>
              </w:rPr>
            </w:pPr>
          </w:p>
          <w:p w14:paraId="3C63FABA" w14:textId="4D56DEE9" w:rsidR="00BF19E7" w:rsidRPr="0084232F" w:rsidRDefault="009A76C9" w:rsidP="009A76C9">
            <w:pPr>
              <w:spacing w:before="0" w:after="0" w:line="240" w:lineRule="auto"/>
              <w:jc w:val="center"/>
              <w:rPr>
                <w:b/>
                <w:color w:val="FFFFFF" w:themeColor="background1"/>
                <w:lang w:val="en-GB" w:eastAsia="en-US"/>
              </w:rPr>
            </w:pPr>
            <w:r w:rsidRPr="0084232F">
              <w:rPr>
                <w:b/>
                <w:color w:val="FFFFFF" w:themeColor="background1"/>
                <w:lang w:val="en-GB" w:eastAsia="en-US"/>
              </w:rPr>
              <w:t>Povezanost</w:t>
            </w:r>
            <w:r w:rsidR="00590711" w:rsidRPr="0084232F">
              <w:rPr>
                <w:b/>
                <w:color w:val="FFFFFF" w:themeColor="background1"/>
                <w:lang w:val="en-GB" w:eastAsia="en-US"/>
              </w:rPr>
              <w:t xml:space="preserve"> </w:t>
            </w:r>
            <w:r w:rsidR="001E437E" w:rsidRPr="0084232F">
              <w:rPr>
                <w:b/>
                <w:color w:val="FFFFFF" w:themeColor="background1"/>
                <w:lang w:val="en-GB" w:eastAsia="en-US"/>
              </w:rPr>
              <w:t xml:space="preserve">D7 </w:t>
            </w:r>
            <w:r w:rsidR="00590711" w:rsidRPr="0084232F">
              <w:rPr>
                <w:b/>
                <w:color w:val="FFFFFF" w:themeColor="background1"/>
                <w:lang w:val="en-GB" w:eastAsia="en-US"/>
              </w:rPr>
              <w:t>sa ostalim deskriptorima</w:t>
            </w:r>
          </w:p>
        </w:tc>
      </w:tr>
      <w:tr w:rsidR="001E437E" w:rsidRPr="001C6CCA" w14:paraId="7C8D9273" w14:textId="77777777" w:rsidTr="00605469">
        <w:tc>
          <w:tcPr>
            <w:tcW w:w="1129" w:type="dxa"/>
            <w:tcBorders>
              <w:top w:val="single" w:sz="4" w:space="0" w:color="FFFFFF" w:themeColor="background1"/>
            </w:tcBorders>
          </w:tcPr>
          <w:p w14:paraId="0574A76F" w14:textId="77777777" w:rsidR="001E437E" w:rsidRPr="001C6CCA" w:rsidRDefault="001E437E" w:rsidP="00F65CFF">
            <w:pPr>
              <w:spacing w:before="0" w:after="0" w:line="240" w:lineRule="auto"/>
              <w:rPr>
                <w:b/>
                <w:lang w:val="en-GB" w:eastAsia="en-US"/>
              </w:rPr>
            </w:pPr>
          </w:p>
          <w:p w14:paraId="674811BB" w14:textId="77777777" w:rsidR="001E437E" w:rsidRPr="001C6CCA" w:rsidRDefault="001E437E" w:rsidP="00F65CFF">
            <w:pPr>
              <w:spacing w:before="0" w:after="0" w:line="240" w:lineRule="auto"/>
              <w:rPr>
                <w:b/>
                <w:lang w:val="en-GB" w:eastAsia="en-US"/>
              </w:rPr>
            </w:pPr>
            <w:r w:rsidRPr="001C6CCA">
              <w:rPr>
                <w:b/>
                <w:lang w:val="en-GB" w:eastAsia="en-US"/>
              </w:rPr>
              <w:t>D1</w:t>
            </w:r>
          </w:p>
        </w:tc>
        <w:tc>
          <w:tcPr>
            <w:tcW w:w="8222" w:type="dxa"/>
            <w:tcBorders>
              <w:top w:val="single" w:sz="4" w:space="0" w:color="FFFFFF" w:themeColor="background1"/>
            </w:tcBorders>
          </w:tcPr>
          <w:p w14:paraId="7FC5AE9D" w14:textId="2F7DF850" w:rsidR="009A76C9" w:rsidRPr="009A76C9" w:rsidRDefault="009A76C9" w:rsidP="009A76C9">
            <w:pPr>
              <w:spacing w:before="0" w:after="0" w:line="240" w:lineRule="auto"/>
              <w:jc w:val="left"/>
              <w:rPr>
                <w:lang w:val="en-GB" w:eastAsia="en-US"/>
              </w:rPr>
            </w:pPr>
            <w:r w:rsidRPr="009A76C9">
              <w:rPr>
                <w:lang w:val="en-GB" w:eastAsia="en-US"/>
              </w:rPr>
              <w:t>Kretanje vode i režimi temperature/</w:t>
            </w:r>
            <w:r>
              <w:rPr>
                <w:lang w:val="en-GB" w:eastAsia="en-US"/>
              </w:rPr>
              <w:t>saliniteta</w:t>
            </w:r>
            <w:r w:rsidRPr="009A76C9">
              <w:rPr>
                <w:lang w:val="en-GB" w:eastAsia="en-US"/>
              </w:rPr>
              <w:t xml:space="preserve"> direktno utiču na tip</w:t>
            </w:r>
            <w:r>
              <w:rPr>
                <w:lang w:val="en-GB" w:eastAsia="en-US"/>
              </w:rPr>
              <w:t>/</w:t>
            </w:r>
            <w:r w:rsidRPr="009A76C9">
              <w:rPr>
                <w:lang w:val="en-GB" w:eastAsia="en-US"/>
              </w:rPr>
              <w:t>prom</w:t>
            </w:r>
            <w:r>
              <w:rPr>
                <w:lang w:val="en-GB" w:eastAsia="en-US"/>
              </w:rPr>
              <w:t>j</w:t>
            </w:r>
            <w:r w:rsidRPr="009A76C9">
              <w:rPr>
                <w:lang w:val="en-GB" w:eastAsia="en-US"/>
              </w:rPr>
              <w:t>ene sedimenta.</w:t>
            </w:r>
          </w:p>
          <w:p w14:paraId="498B356E" w14:textId="69137392" w:rsidR="009A76C9" w:rsidRPr="001C6CCA" w:rsidRDefault="009A76C9" w:rsidP="009A76C9">
            <w:pPr>
              <w:spacing w:before="0" w:after="0" w:line="240" w:lineRule="auto"/>
              <w:jc w:val="left"/>
              <w:rPr>
                <w:lang w:val="en-GB" w:eastAsia="en-US"/>
              </w:rPr>
            </w:pPr>
            <w:r w:rsidRPr="009A76C9">
              <w:rPr>
                <w:lang w:val="en-GB" w:eastAsia="en-US"/>
              </w:rPr>
              <w:t xml:space="preserve">Kretanje vode i </w:t>
            </w:r>
            <w:r w:rsidR="00460090" w:rsidRPr="009A76C9">
              <w:rPr>
                <w:lang w:val="en-GB" w:eastAsia="en-US"/>
              </w:rPr>
              <w:t>režimi temperature/</w:t>
            </w:r>
            <w:r w:rsidR="00460090">
              <w:rPr>
                <w:lang w:val="en-GB" w:eastAsia="en-US"/>
              </w:rPr>
              <w:t>saliniteta</w:t>
            </w:r>
            <w:r w:rsidR="00460090" w:rsidRPr="009A76C9">
              <w:rPr>
                <w:lang w:val="en-GB" w:eastAsia="en-US"/>
              </w:rPr>
              <w:t xml:space="preserve"> </w:t>
            </w:r>
            <w:r w:rsidRPr="009A76C9">
              <w:rPr>
                <w:lang w:val="en-GB" w:eastAsia="en-US"/>
              </w:rPr>
              <w:t>igraju značajnu ulogu u određivanju sastava vrsta staništa</w:t>
            </w:r>
            <w:r w:rsidR="00460090">
              <w:rPr>
                <w:lang w:val="en-GB" w:eastAsia="en-US"/>
              </w:rPr>
              <w:t>/zajednica.</w:t>
            </w:r>
          </w:p>
        </w:tc>
      </w:tr>
      <w:tr w:rsidR="001E437E" w:rsidRPr="001C6CCA" w14:paraId="4C59F437" w14:textId="77777777" w:rsidTr="0000126F">
        <w:tc>
          <w:tcPr>
            <w:tcW w:w="1129" w:type="dxa"/>
          </w:tcPr>
          <w:p w14:paraId="31544F2C" w14:textId="77777777" w:rsidR="001E437E" w:rsidRPr="001C6CCA" w:rsidRDefault="001E437E" w:rsidP="00F65CFF">
            <w:pPr>
              <w:spacing w:before="0" w:after="0" w:line="240" w:lineRule="auto"/>
              <w:rPr>
                <w:b/>
                <w:lang w:val="en-GB" w:eastAsia="en-US"/>
              </w:rPr>
            </w:pPr>
            <w:r w:rsidRPr="001C6CCA">
              <w:rPr>
                <w:b/>
                <w:lang w:val="en-GB" w:eastAsia="en-US"/>
              </w:rPr>
              <w:t>D2</w:t>
            </w:r>
          </w:p>
        </w:tc>
        <w:tc>
          <w:tcPr>
            <w:tcW w:w="8222" w:type="dxa"/>
          </w:tcPr>
          <w:p w14:paraId="3F481BA9" w14:textId="3A71B4A5" w:rsidR="00460090" w:rsidRPr="001C6CCA" w:rsidRDefault="00460090" w:rsidP="00460090">
            <w:pPr>
              <w:spacing w:before="0" w:after="0" w:line="240" w:lineRule="auto"/>
              <w:jc w:val="left"/>
              <w:rPr>
                <w:lang w:val="en-GB" w:eastAsia="en-US"/>
              </w:rPr>
            </w:pPr>
            <w:r w:rsidRPr="009A76C9">
              <w:rPr>
                <w:lang w:val="en-GB" w:eastAsia="en-US"/>
              </w:rPr>
              <w:t>Prom</w:t>
            </w:r>
            <w:r>
              <w:rPr>
                <w:lang w:val="en-GB" w:eastAsia="en-US"/>
              </w:rPr>
              <w:t>j</w:t>
            </w:r>
            <w:r w:rsidRPr="009A76C9">
              <w:rPr>
                <w:lang w:val="en-GB" w:eastAsia="en-US"/>
              </w:rPr>
              <w:t xml:space="preserve">ene u hidrografskim režimima utiču na pojavu i rasprostranjenost </w:t>
            </w:r>
            <w:r>
              <w:rPr>
                <w:lang w:val="en-GB" w:eastAsia="en-US"/>
              </w:rPr>
              <w:t>stranih vrsta.</w:t>
            </w:r>
          </w:p>
        </w:tc>
      </w:tr>
      <w:tr w:rsidR="001E437E" w:rsidRPr="001C6CCA" w14:paraId="0BF37183" w14:textId="77777777" w:rsidTr="0000126F">
        <w:tc>
          <w:tcPr>
            <w:tcW w:w="1129" w:type="dxa"/>
          </w:tcPr>
          <w:p w14:paraId="7D09A1AE" w14:textId="77777777" w:rsidR="001E437E" w:rsidRPr="001C6CCA" w:rsidRDefault="001E437E" w:rsidP="00F65CFF">
            <w:pPr>
              <w:spacing w:before="0" w:after="0" w:line="240" w:lineRule="auto"/>
              <w:rPr>
                <w:b/>
                <w:lang w:val="en-GB" w:eastAsia="en-US"/>
              </w:rPr>
            </w:pPr>
            <w:r w:rsidRPr="001C6CCA">
              <w:rPr>
                <w:b/>
                <w:lang w:val="en-GB" w:eastAsia="en-US"/>
              </w:rPr>
              <w:t>D3</w:t>
            </w:r>
          </w:p>
        </w:tc>
        <w:tc>
          <w:tcPr>
            <w:tcW w:w="8222" w:type="dxa"/>
          </w:tcPr>
          <w:p w14:paraId="2A8D5B47" w14:textId="1AD0B0C9" w:rsidR="00460090" w:rsidRPr="001C6CCA" w:rsidRDefault="00460090" w:rsidP="00460090">
            <w:pPr>
              <w:spacing w:before="0" w:after="0" w:line="240" w:lineRule="auto"/>
              <w:jc w:val="left"/>
              <w:rPr>
                <w:lang w:val="en-GB" w:eastAsia="en-US"/>
              </w:rPr>
            </w:pPr>
            <w:r w:rsidRPr="009A76C9">
              <w:rPr>
                <w:lang w:val="en-GB" w:eastAsia="en-US"/>
              </w:rPr>
              <w:t>Prom</w:t>
            </w:r>
            <w:r>
              <w:rPr>
                <w:lang w:val="en-GB" w:eastAsia="en-US"/>
              </w:rPr>
              <w:t>j</w:t>
            </w:r>
            <w:r w:rsidRPr="009A76C9">
              <w:rPr>
                <w:lang w:val="en-GB" w:eastAsia="en-US"/>
              </w:rPr>
              <w:t>ene u hidrografskim režimima mogle bi uticati na trendove u biomasi mr</w:t>
            </w:r>
            <w:r>
              <w:rPr>
                <w:lang w:val="en-GB" w:eastAsia="en-US"/>
              </w:rPr>
              <w:t>ijestilišta.</w:t>
            </w:r>
          </w:p>
        </w:tc>
      </w:tr>
      <w:tr w:rsidR="001E437E" w:rsidRPr="001C6CCA" w14:paraId="209D82DA" w14:textId="77777777" w:rsidTr="0000126F">
        <w:tc>
          <w:tcPr>
            <w:tcW w:w="1129" w:type="dxa"/>
          </w:tcPr>
          <w:p w14:paraId="2E2DD5A7" w14:textId="77777777" w:rsidR="001E437E" w:rsidRPr="001C6CCA" w:rsidRDefault="001E437E" w:rsidP="00F65CFF">
            <w:pPr>
              <w:spacing w:before="0" w:after="0" w:line="240" w:lineRule="auto"/>
              <w:rPr>
                <w:b/>
                <w:lang w:val="en-GB" w:eastAsia="en-US"/>
              </w:rPr>
            </w:pPr>
          </w:p>
          <w:p w14:paraId="2F6A215D" w14:textId="77777777" w:rsidR="001E437E" w:rsidRPr="001C6CCA" w:rsidRDefault="001E437E" w:rsidP="00F65CFF">
            <w:pPr>
              <w:spacing w:before="0" w:after="0" w:line="240" w:lineRule="auto"/>
              <w:rPr>
                <w:b/>
                <w:lang w:val="en-GB" w:eastAsia="en-US"/>
              </w:rPr>
            </w:pPr>
            <w:r w:rsidRPr="001C6CCA">
              <w:rPr>
                <w:b/>
                <w:lang w:val="en-GB" w:eastAsia="en-US"/>
              </w:rPr>
              <w:t>D4</w:t>
            </w:r>
          </w:p>
        </w:tc>
        <w:tc>
          <w:tcPr>
            <w:tcW w:w="8222" w:type="dxa"/>
          </w:tcPr>
          <w:p w14:paraId="158EC162" w14:textId="4EC9F8CA" w:rsidR="00460090" w:rsidRPr="001C6CCA" w:rsidRDefault="00460090" w:rsidP="00AA6D51">
            <w:pPr>
              <w:spacing w:before="0" w:after="0" w:line="240" w:lineRule="auto"/>
              <w:jc w:val="left"/>
              <w:rPr>
                <w:lang w:val="en-GB" w:eastAsia="en-US"/>
              </w:rPr>
            </w:pPr>
            <w:r w:rsidRPr="009A76C9">
              <w:rPr>
                <w:lang w:val="en-GB" w:eastAsia="en-US"/>
              </w:rPr>
              <w:t>Prom</w:t>
            </w:r>
            <w:r>
              <w:rPr>
                <w:lang w:val="en-GB" w:eastAsia="en-US"/>
              </w:rPr>
              <w:t>j</w:t>
            </w:r>
            <w:r w:rsidRPr="009A76C9">
              <w:rPr>
                <w:lang w:val="en-GB" w:eastAsia="en-US"/>
              </w:rPr>
              <w:t>ene hidrografskih uslova i vertikalno m</w:t>
            </w:r>
            <w:r>
              <w:rPr>
                <w:lang w:val="en-GB" w:eastAsia="en-US"/>
              </w:rPr>
              <w:t>ij</w:t>
            </w:r>
            <w:r w:rsidRPr="009A76C9">
              <w:rPr>
                <w:lang w:val="en-GB" w:eastAsia="en-US"/>
              </w:rPr>
              <w:t>ešanje i raslojavanje imaju značajan uticaj na m</w:t>
            </w:r>
            <w:r w:rsidR="00AA6D51">
              <w:rPr>
                <w:lang w:val="en-GB" w:eastAsia="en-US"/>
              </w:rPr>
              <w:t>orske prehrambene mreže</w:t>
            </w:r>
          </w:p>
        </w:tc>
      </w:tr>
      <w:tr w:rsidR="001E437E" w:rsidRPr="001C6CCA" w14:paraId="17A88FEB" w14:textId="77777777" w:rsidTr="0000126F">
        <w:tc>
          <w:tcPr>
            <w:tcW w:w="1129" w:type="dxa"/>
          </w:tcPr>
          <w:p w14:paraId="1C262E89" w14:textId="77777777" w:rsidR="001E437E" w:rsidRPr="001C6CCA" w:rsidRDefault="001E437E" w:rsidP="00F65CFF">
            <w:pPr>
              <w:spacing w:before="0" w:after="0" w:line="240" w:lineRule="auto"/>
              <w:rPr>
                <w:b/>
                <w:lang w:val="en-GB" w:eastAsia="en-US"/>
              </w:rPr>
            </w:pPr>
          </w:p>
          <w:p w14:paraId="7FD3F37D" w14:textId="77777777" w:rsidR="001E437E" w:rsidRPr="001C6CCA" w:rsidRDefault="001E437E" w:rsidP="00F65CFF">
            <w:pPr>
              <w:spacing w:before="0" w:after="0" w:line="240" w:lineRule="auto"/>
              <w:rPr>
                <w:b/>
                <w:lang w:val="en-GB" w:eastAsia="en-US"/>
              </w:rPr>
            </w:pPr>
            <w:r w:rsidRPr="001C6CCA">
              <w:rPr>
                <w:b/>
                <w:lang w:val="en-GB" w:eastAsia="en-US"/>
              </w:rPr>
              <w:t>D5</w:t>
            </w:r>
          </w:p>
        </w:tc>
        <w:tc>
          <w:tcPr>
            <w:tcW w:w="8222" w:type="dxa"/>
          </w:tcPr>
          <w:p w14:paraId="5199E30F" w14:textId="396C208D" w:rsidR="00460090" w:rsidRPr="001C6CCA" w:rsidRDefault="00460090" w:rsidP="00460090">
            <w:pPr>
              <w:spacing w:before="0" w:after="0" w:line="240" w:lineRule="auto"/>
              <w:jc w:val="left"/>
              <w:rPr>
                <w:lang w:val="en-GB" w:eastAsia="en-US"/>
              </w:rPr>
            </w:pPr>
            <w:r w:rsidRPr="009A76C9">
              <w:rPr>
                <w:lang w:val="en-GB" w:eastAsia="en-US"/>
              </w:rPr>
              <w:t xml:space="preserve">Informacije o ključnim hidrografskim parametrima su relevantne za tumačenje rezultata eutrofikacije. Šema tipologije za mediteranske </w:t>
            </w:r>
            <w:r>
              <w:rPr>
                <w:lang w:val="en-GB" w:eastAsia="en-US"/>
              </w:rPr>
              <w:t>pri</w:t>
            </w:r>
            <w:r w:rsidRPr="009A76C9">
              <w:rPr>
                <w:lang w:val="en-GB" w:eastAsia="en-US"/>
              </w:rPr>
              <w:t>obalne vode zasniva se na osnovnim hidrogr</w:t>
            </w:r>
            <w:r>
              <w:rPr>
                <w:lang w:val="en-GB" w:eastAsia="en-US"/>
              </w:rPr>
              <w:t>afskim podacima (temperatura, salinitet</w:t>
            </w:r>
            <w:r w:rsidRPr="009A76C9">
              <w:rPr>
                <w:lang w:val="en-GB" w:eastAsia="en-US"/>
              </w:rPr>
              <w:t xml:space="preserve"> i gustina).</w:t>
            </w:r>
          </w:p>
        </w:tc>
      </w:tr>
      <w:tr w:rsidR="001E437E" w:rsidRPr="001C6CCA" w14:paraId="3CAD7B63" w14:textId="77777777" w:rsidTr="0000126F">
        <w:tc>
          <w:tcPr>
            <w:tcW w:w="1129" w:type="dxa"/>
          </w:tcPr>
          <w:p w14:paraId="4F4233BC" w14:textId="77777777" w:rsidR="001E437E" w:rsidRPr="001C6CCA" w:rsidRDefault="001E437E" w:rsidP="00F65CFF">
            <w:pPr>
              <w:spacing w:before="0" w:after="0" w:line="240" w:lineRule="auto"/>
              <w:rPr>
                <w:b/>
                <w:lang w:val="en-GB" w:eastAsia="en-US"/>
              </w:rPr>
            </w:pPr>
          </w:p>
          <w:p w14:paraId="39C7954E" w14:textId="77777777" w:rsidR="001E437E" w:rsidRPr="001C6CCA" w:rsidRDefault="001E437E" w:rsidP="00F65CFF">
            <w:pPr>
              <w:spacing w:before="0" w:after="0" w:line="240" w:lineRule="auto"/>
              <w:rPr>
                <w:b/>
                <w:lang w:val="en-GB" w:eastAsia="en-US"/>
              </w:rPr>
            </w:pPr>
            <w:r w:rsidRPr="001C6CCA">
              <w:rPr>
                <w:b/>
                <w:lang w:val="en-GB" w:eastAsia="en-US"/>
              </w:rPr>
              <w:t>D6</w:t>
            </w:r>
          </w:p>
        </w:tc>
        <w:tc>
          <w:tcPr>
            <w:tcW w:w="8222" w:type="dxa"/>
          </w:tcPr>
          <w:p w14:paraId="76CD4A6F" w14:textId="7C998577" w:rsidR="00460090" w:rsidRPr="001C6CCA" w:rsidRDefault="00460090" w:rsidP="00460090">
            <w:pPr>
              <w:spacing w:before="0" w:after="0" w:line="240" w:lineRule="auto"/>
              <w:jc w:val="left"/>
              <w:rPr>
                <w:lang w:val="en-GB" w:eastAsia="en-US"/>
              </w:rPr>
            </w:pPr>
            <w:r w:rsidRPr="009A76C9">
              <w:rPr>
                <w:lang w:val="en-GB" w:eastAsia="en-US"/>
              </w:rPr>
              <w:t>Fizičke prom</w:t>
            </w:r>
            <w:r>
              <w:rPr>
                <w:lang w:val="en-GB" w:eastAsia="en-US"/>
              </w:rPr>
              <w:t>j</w:t>
            </w:r>
            <w:r w:rsidRPr="009A76C9">
              <w:rPr>
                <w:lang w:val="en-GB" w:eastAsia="en-US"/>
              </w:rPr>
              <w:t xml:space="preserve">ene integriteta morskog </w:t>
            </w:r>
            <w:r>
              <w:rPr>
                <w:lang w:val="en-GB" w:eastAsia="en-US"/>
              </w:rPr>
              <w:t>dna</w:t>
            </w:r>
            <w:r w:rsidRPr="009A76C9">
              <w:rPr>
                <w:lang w:val="en-GB" w:eastAsia="en-US"/>
              </w:rPr>
              <w:t xml:space="preserve"> usl</w:t>
            </w:r>
            <w:r>
              <w:rPr>
                <w:lang w:val="en-GB" w:eastAsia="en-US"/>
              </w:rPr>
              <w:t>j</w:t>
            </w:r>
            <w:r w:rsidRPr="009A76C9">
              <w:rPr>
                <w:lang w:val="en-GB" w:eastAsia="en-US"/>
              </w:rPr>
              <w:t>ed v</w:t>
            </w:r>
            <w:r>
              <w:rPr>
                <w:lang w:val="en-GB" w:eastAsia="en-US"/>
              </w:rPr>
              <w:t>j</w:t>
            </w:r>
            <w:r w:rsidRPr="009A76C9">
              <w:rPr>
                <w:lang w:val="en-GB" w:eastAsia="en-US"/>
              </w:rPr>
              <w:t>eštačkih struktura mogle bi imati direktan uticaj na prom</w:t>
            </w:r>
            <w:r>
              <w:rPr>
                <w:lang w:val="en-GB" w:eastAsia="en-US"/>
              </w:rPr>
              <w:t>jene hidrografskih uslova.</w:t>
            </w:r>
          </w:p>
        </w:tc>
      </w:tr>
      <w:tr w:rsidR="001E437E" w:rsidRPr="001C6CCA" w14:paraId="57F9BEC5" w14:textId="77777777" w:rsidTr="0000126F">
        <w:tc>
          <w:tcPr>
            <w:tcW w:w="1129" w:type="dxa"/>
          </w:tcPr>
          <w:p w14:paraId="0B16AF15" w14:textId="77777777" w:rsidR="001E437E" w:rsidRPr="001C6CCA" w:rsidRDefault="001E437E" w:rsidP="00F65CFF">
            <w:pPr>
              <w:spacing w:before="0" w:after="0" w:line="240" w:lineRule="auto"/>
              <w:rPr>
                <w:b/>
                <w:lang w:val="en-GB" w:eastAsia="en-US"/>
              </w:rPr>
            </w:pPr>
          </w:p>
          <w:p w14:paraId="00477B65" w14:textId="77777777" w:rsidR="001E437E" w:rsidRPr="001C6CCA" w:rsidRDefault="001E437E" w:rsidP="00F65CFF">
            <w:pPr>
              <w:spacing w:before="0" w:after="0" w:line="240" w:lineRule="auto"/>
              <w:rPr>
                <w:b/>
                <w:lang w:val="en-GB" w:eastAsia="en-US"/>
              </w:rPr>
            </w:pPr>
            <w:r w:rsidRPr="001C6CCA">
              <w:rPr>
                <w:b/>
                <w:lang w:val="en-GB" w:eastAsia="en-US"/>
              </w:rPr>
              <w:t>D9</w:t>
            </w:r>
          </w:p>
        </w:tc>
        <w:tc>
          <w:tcPr>
            <w:tcW w:w="8222" w:type="dxa"/>
          </w:tcPr>
          <w:p w14:paraId="51557F19" w14:textId="09540FB7" w:rsidR="00460090" w:rsidRPr="001C6CCA" w:rsidRDefault="00460090" w:rsidP="00460090">
            <w:pPr>
              <w:spacing w:before="0" w:after="0" w:line="240" w:lineRule="auto"/>
              <w:jc w:val="left"/>
              <w:rPr>
                <w:lang w:val="en-GB" w:eastAsia="en-US"/>
              </w:rPr>
            </w:pPr>
            <w:r w:rsidRPr="009A76C9">
              <w:rPr>
                <w:lang w:val="en-GB" w:eastAsia="en-US"/>
              </w:rPr>
              <w:t xml:space="preserve">Zagađivači se mogu distribuirati ili transportovati po </w:t>
            </w:r>
            <w:r>
              <w:rPr>
                <w:lang w:val="en-GB" w:eastAsia="en-US"/>
              </w:rPr>
              <w:t>životnoj sredini</w:t>
            </w:r>
            <w:r w:rsidRPr="009A76C9">
              <w:rPr>
                <w:lang w:val="en-GB" w:eastAsia="en-US"/>
              </w:rPr>
              <w:t xml:space="preserve"> hidrografskim procesima. Zagađivači ostaju u vodi, posebno u sedimentu, iz kojih se mogu</w:t>
            </w:r>
            <w:r>
              <w:rPr>
                <w:lang w:val="en-GB" w:eastAsia="en-US"/>
              </w:rPr>
              <w:t xml:space="preserve"> ponovo raspršiti </w:t>
            </w:r>
            <w:r w:rsidRPr="009A76C9">
              <w:rPr>
                <w:lang w:val="en-GB" w:eastAsia="en-US"/>
              </w:rPr>
              <w:t>u zavisnosti od struja, talasa i turbulencije</w:t>
            </w:r>
            <w:r>
              <w:rPr>
                <w:lang w:val="en-GB" w:eastAsia="en-US"/>
              </w:rPr>
              <w:t>.</w:t>
            </w:r>
          </w:p>
        </w:tc>
      </w:tr>
      <w:tr w:rsidR="001E437E" w:rsidRPr="001C6CCA" w14:paraId="13CD7386" w14:textId="77777777" w:rsidTr="0000126F">
        <w:tc>
          <w:tcPr>
            <w:tcW w:w="1129" w:type="dxa"/>
          </w:tcPr>
          <w:p w14:paraId="7A55F42F" w14:textId="77777777" w:rsidR="001E437E" w:rsidRPr="001C6CCA" w:rsidRDefault="001E437E" w:rsidP="00F65CFF">
            <w:pPr>
              <w:spacing w:before="0" w:after="0" w:line="240" w:lineRule="auto"/>
              <w:rPr>
                <w:b/>
                <w:lang w:val="en-GB" w:eastAsia="en-US"/>
              </w:rPr>
            </w:pPr>
            <w:r w:rsidRPr="001C6CCA">
              <w:rPr>
                <w:b/>
                <w:lang w:val="en-GB" w:eastAsia="en-US"/>
              </w:rPr>
              <w:t>D10</w:t>
            </w:r>
          </w:p>
        </w:tc>
        <w:tc>
          <w:tcPr>
            <w:tcW w:w="8222" w:type="dxa"/>
          </w:tcPr>
          <w:p w14:paraId="766ECD78" w14:textId="039F0E15" w:rsidR="00460090" w:rsidRPr="001C6CCA" w:rsidRDefault="00460090" w:rsidP="004F0F90">
            <w:pPr>
              <w:spacing w:before="0" w:after="0" w:line="240" w:lineRule="auto"/>
              <w:jc w:val="left"/>
              <w:rPr>
                <w:lang w:val="en-GB" w:eastAsia="en-US"/>
              </w:rPr>
            </w:pPr>
            <w:r w:rsidRPr="009A76C9">
              <w:rPr>
                <w:lang w:val="en-GB" w:eastAsia="en-US"/>
              </w:rPr>
              <w:t>Hidrografski uslovi, posebno morske struje, imaju značajan uticaj na kretanje morskog otpada.</w:t>
            </w:r>
          </w:p>
        </w:tc>
      </w:tr>
    </w:tbl>
    <w:p w14:paraId="350F63EB" w14:textId="77777777" w:rsidR="00BF19E7" w:rsidRDefault="00BF19E7" w:rsidP="00F65CFF">
      <w:pPr>
        <w:widowControl w:val="0"/>
        <w:shd w:val="clear" w:color="auto" w:fill="FFFFFF"/>
        <w:spacing w:before="0" w:after="0"/>
        <w:ind w:right="5"/>
        <w:rPr>
          <w:rFonts w:eastAsia="Calibri" w:cs="Calibri"/>
          <w:b/>
          <w:sz w:val="20"/>
          <w:szCs w:val="20"/>
          <w:lang w:val="en-GB" w:eastAsia="en-US"/>
        </w:rPr>
      </w:pPr>
    </w:p>
    <w:p w14:paraId="5B46F751" w14:textId="77777777" w:rsidR="003C159B" w:rsidRPr="001C6CCA" w:rsidRDefault="003C159B" w:rsidP="00F65CFF">
      <w:pPr>
        <w:widowControl w:val="0"/>
        <w:shd w:val="clear" w:color="auto" w:fill="FFFFFF"/>
        <w:spacing w:before="0" w:after="0"/>
        <w:ind w:right="5"/>
        <w:rPr>
          <w:rFonts w:eastAsia="Calibri" w:cs="Calibri"/>
          <w:b/>
          <w:sz w:val="20"/>
          <w:szCs w:val="20"/>
          <w:lang w:val="en-GB" w:eastAsia="en-US"/>
        </w:rPr>
      </w:pPr>
    </w:p>
    <w:p w14:paraId="2A791061" w14:textId="131F7D3D" w:rsidR="00BF19E7" w:rsidRPr="001C6CCA" w:rsidRDefault="00460090" w:rsidP="001E437E">
      <w:pPr>
        <w:pStyle w:val="Heading3"/>
        <w:rPr>
          <w:rFonts w:eastAsia="Calibri"/>
          <w:spacing w:val="5"/>
          <w:lang w:val="en-GB" w:eastAsia="en-US"/>
        </w:rPr>
      </w:pPr>
      <w:bookmarkStart w:id="173" w:name="_Toc68078512"/>
      <w:bookmarkStart w:id="174" w:name="_Toc68180777"/>
      <w:bookmarkStart w:id="175" w:name="_Toc83630931"/>
      <w:r>
        <w:rPr>
          <w:rFonts w:eastAsia="Calibri"/>
          <w:lang w:val="en-GB" w:eastAsia="en-US"/>
        </w:rPr>
        <w:t>Nedostaci i potrebe</w:t>
      </w:r>
      <w:bookmarkEnd w:id="173"/>
      <w:bookmarkEnd w:id="174"/>
      <w:r w:rsidR="00E24841">
        <w:rPr>
          <w:rFonts w:eastAsia="Calibri"/>
          <w:lang w:val="en-GB" w:eastAsia="en-US"/>
        </w:rPr>
        <w:t xml:space="preserve"> za unapređenjem</w:t>
      </w:r>
      <w:bookmarkEnd w:id="175"/>
    </w:p>
    <w:p w14:paraId="01762332" w14:textId="4A9AE185" w:rsidR="00BF19E7" w:rsidRPr="001C6CCA" w:rsidRDefault="00590711" w:rsidP="00F65CFF">
      <w:pPr>
        <w:spacing w:before="0" w:after="0" w:line="259" w:lineRule="auto"/>
        <w:rPr>
          <w:rFonts w:eastAsia="Calibri" w:cs="Calibri"/>
          <w:b/>
          <w:color w:val="000000"/>
          <w:szCs w:val="22"/>
          <w:lang w:val="en-GB" w:eastAsia="en-US"/>
        </w:rPr>
      </w:pPr>
      <w:r>
        <w:rPr>
          <w:rFonts w:eastAsia="Calibri" w:cs="Calibri"/>
          <w:b/>
          <w:color w:val="000000"/>
          <w:szCs w:val="22"/>
          <w:lang w:val="en-GB" w:eastAsia="en-US"/>
        </w:rPr>
        <w:t>Nedostaci</w:t>
      </w:r>
    </w:p>
    <w:p w14:paraId="58EB71A7" w14:textId="77777777" w:rsidR="004F0F90" w:rsidRPr="001C6CCA" w:rsidRDefault="004F0F90" w:rsidP="00F65CFF">
      <w:pPr>
        <w:spacing w:before="0" w:after="0" w:line="259" w:lineRule="auto"/>
        <w:rPr>
          <w:rFonts w:eastAsia="Calibri" w:cs="Calibri"/>
          <w:b/>
          <w:color w:val="000000"/>
          <w:szCs w:val="22"/>
          <w:lang w:val="en-GB" w:eastAsia="en-US"/>
        </w:rPr>
      </w:pPr>
    </w:p>
    <w:p w14:paraId="33FC5B09" w14:textId="186B7745" w:rsidR="00460090" w:rsidRPr="001C6CCA" w:rsidRDefault="00460090" w:rsidP="004F0F90">
      <w:pPr>
        <w:spacing w:before="0" w:after="160"/>
        <w:rPr>
          <w:rFonts w:eastAsia="Calibri" w:cs="Calibri"/>
          <w:color w:val="000000"/>
          <w:szCs w:val="22"/>
          <w:lang w:val="en-GB" w:eastAsia="en-US"/>
        </w:rPr>
      </w:pPr>
      <w:r>
        <w:rPr>
          <w:rFonts w:eastAsia="Calibri" w:cs="Calibri"/>
          <w:color w:val="000000"/>
          <w:szCs w:val="22"/>
          <w:lang w:val="en-GB" w:eastAsia="en-US"/>
        </w:rPr>
        <w:t>D</w:t>
      </w:r>
      <w:r w:rsidRPr="00460090">
        <w:rPr>
          <w:rFonts w:eastAsia="Calibri" w:cs="Calibri"/>
          <w:color w:val="000000"/>
          <w:szCs w:val="22"/>
          <w:lang w:val="en-GB" w:eastAsia="en-US"/>
        </w:rPr>
        <w:t>ugoročni podaci o temperaturi i s</w:t>
      </w:r>
      <w:r>
        <w:rPr>
          <w:rFonts w:eastAsia="Calibri" w:cs="Calibri"/>
          <w:color w:val="000000"/>
          <w:szCs w:val="22"/>
          <w:lang w:val="en-GB" w:eastAsia="en-US"/>
        </w:rPr>
        <w:t>alinitetu</w:t>
      </w:r>
      <w:r w:rsidRPr="00460090">
        <w:rPr>
          <w:rFonts w:eastAsia="Calibri" w:cs="Calibri"/>
          <w:color w:val="000000"/>
          <w:szCs w:val="22"/>
          <w:lang w:val="en-GB" w:eastAsia="en-US"/>
        </w:rPr>
        <w:t xml:space="preserve"> mora (od površine do dna) i prozirnosti vode</w:t>
      </w:r>
      <w:r>
        <w:rPr>
          <w:rFonts w:eastAsia="Calibri" w:cs="Calibri"/>
          <w:color w:val="000000"/>
          <w:szCs w:val="22"/>
          <w:lang w:val="en-GB" w:eastAsia="en-US"/>
        </w:rPr>
        <w:t xml:space="preserve"> nisu dostupni za otvoreno more Crne Gore. Raspoloživi su samo podaci o temperaturi površine mora </w:t>
      </w:r>
      <w:r w:rsidRPr="00460090">
        <w:rPr>
          <w:rFonts w:eastAsia="Calibri" w:cs="Calibri"/>
          <w:color w:val="000000"/>
          <w:szCs w:val="22"/>
          <w:lang w:val="en-GB" w:eastAsia="en-US"/>
        </w:rPr>
        <w:t xml:space="preserve"> (SST) i prozirnost</w:t>
      </w:r>
      <w:r>
        <w:rPr>
          <w:rFonts w:eastAsia="Calibri" w:cs="Calibri"/>
          <w:color w:val="000000"/>
          <w:szCs w:val="22"/>
          <w:lang w:val="en-GB" w:eastAsia="en-US"/>
        </w:rPr>
        <w:t>i</w:t>
      </w:r>
      <w:r w:rsidRPr="00460090">
        <w:rPr>
          <w:rFonts w:eastAsia="Calibri" w:cs="Calibri"/>
          <w:color w:val="000000"/>
          <w:szCs w:val="22"/>
          <w:lang w:val="en-GB" w:eastAsia="en-US"/>
        </w:rPr>
        <w:t xml:space="preserve"> duž obale za nekoliko lokacija. Pored toga, ne postoje instrumentalna m</w:t>
      </w:r>
      <w:r>
        <w:rPr>
          <w:rFonts w:eastAsia="Calibri" w:cs="Calibri"/>
          <w:color w:val="000000"/>
          <w:szCs w:val="22"/>
          <w:lang w:val="en-GB" w:eastAsia="en-US"/>
        </w:rPr>
        <w:t>j</w:t>
      </w:r>
      <w:r w:rsidRPr="00460090">
        <w:rPr>
          <w:rFonts w:eastAsia="Calibri" w:cs="Calibri"/>
          <w:color w:val="000000"/>
          <w:szCs w:val="22"/>
          <w:lang w:val="en-GB" w:eastAsia="en-US"/>
        </w:rPr>
        <w:t>erenja talasa i struja. U svrhu proc</w:t>
      </w:r>
      <w:r>
        <w:rPr>
          <w:rFonts w:eastAsia="Calibri" w:cs="Calibri"/>
          <w:color w:val="000000"/>
          <w:szCs w:val="22"/>
          <w:lang w:val="en-GB" w:eastAsia="en-US"/>
        </w:rPr>
        <w:t>jene</w:t>
      </w:r>
      <w:r w:rsidRPr="00460090">
        <w:rPr>
          <w:rFonts w:eastAsia="Calibri" w:cs="Calibri"/>
          <w:color w:val="000000"/>
          <w:szCs w:val="22"/>
          <w:lang w:val="en-GB" w:eastAsia="en-US"/>
        </w:rPr>
        <w:t xml:space="preserve"> relevantnih kriterijuma z</w:t>
      </w:r>
      <w:r>
        <w:rPr>
          <w:rFonts w:eastAsia="Calibri" w:cs="Calibri"/>
          <w:color w:val="000000"/>
          <w:szCs w:val="22"/>
          <w:lang w:val="en-GB" w:eastAsia="en-US"/>
        </w:rPr>
        <w:t>a ekološki cilj D7, hidrografski monitoring</w:t>
      </w:r>
      <w:r w:rsidRPr="00460090">
        <w:rPr>
          <w:rFonts w:eastAsia="Calibri" w:cs="Calibri"/>
          <w:color w:val="000000"/>
          <w:szCs w:val="22"/>
          <w:lang w:val="en-GB" w:eastAsia="en-US"/>
        </w:rPr>
        <w:t xml:space="preserve"> treba da obuhvati osnovne </w:t>
      </w:r>
      <w:r>
        <w:rPr>
          <w:rFonts w:eastAsia="Calibri" w:cs="Calibri"/>
          <w:color w:val="000000"/>
          <w:szCs w:val="22"/>
          <w:lang w:val="en-GB" w:eastAsia="en-US"/>
        </w:rPr>
        <w:t>hidrografske podatke (npr. t</w:t>
      </w:r>
      <w:r w:rsidRPr="00460090">
        <w:rPr>
          <w:rFonts w:eastAsia="Calibri" w:cs="Calibri"/>
          <w:color w:val="000000"/>
          <w:szCs w:val="22"/>
          <w:lang w:val="en-GB" w:eastAsia="en-US"/>
        </w:rPr>
        <w:t>emperatura, s</w:t>
      </w:r>
      <w:r>
        <w:rPr>
          <w:rFonts w:eastAsia="Calibri" w:cs="Calibri"/>
          <w:color w:val="000000"/>
          <w:szCs w:val="22"/>
          <w:lang w:val="en-GB" w:eastAsia="en-US"/>
        </w:rPr>
        <w:t>alinitet</w:t>
      </w:r>
      <w:r w:rsidRPr="00460090">
        <w:rPr>
          <w:rFonts w:eastAsia="Calibri" w:cs="Calibri"/>
          <w:color w:val="000000"/>
          <w:szCs w:val="22"/>
          <w:lang w:val="en-GB" w:eastAsia="en-US"/>
        </w:rPr>
        <w:t>, prozirnost vode/dubin</w:t>
      </w:r>
      <w:r>
        <w:rPr>
          <w:rFonts w:eastAsia="Calibri" w:cs="Calibri"/>
          <w:color w:val="000000"/>
          <w:szCs w:val="22"/>
          <w:lang w:val="en-GB" w:eastAsia="en-US"/>
        </w:rPr>
        <w:t>a</w:t>
      </w:r>
      <w:r w:rsidRPr="00460090">
        <w:rPr>
          <w:rFonts w:eastAsia="Calibri" w:cs="Calibri"/>
          <w:color w:val="000000"/>
          <w:szCs w:val="22"/>
          <w:lang w:val="en-GB" w:eastAsia="en-US"/>
        </w:rPr>
        <w:t xml:space="preserve"> Secchi diska), koji su potrebni za bolje razum</w:t>
      </w:r>
      <w:r>
        <w:rPr>
          <w:rFonts w:eastAsia="Calibri" w:cs="Calibri"/>
          <w:color w:val="000000"/>
          <w:szCs w:val="22"/>
          <w:lang w:val="en-GB" w:eastAsia="en-US"/>
        </w:rPr>
        <w:t>ij</w:t>
      </w:r>
      <w:r w:rsidRPr="00460090">
        <w:rPr>
          <w:rFonts w:eastAsia="Calibri" w:cs="Calibri"/>
          <w:color w:val="000000"/>
          <w:szCs w:val="22"/>
          <w:lang w:val="en-GB" w:eastAsia="en-US"/>
        </w:rPr>
        <w:t xml:space="preserve">evanje okeanskih procesa, posebno u </w:t>
      </w:r>
      <w:r>
        <w:rPr>
          <w:rFonts w:eastAsia="Calibri" w:cs="Calibri"/>
          <w:color w:val="000000"/>
          <w:szCs w:val="22"/>
          <w:lang w:val="en-GB" w:eastAsia="en-US"/>
        </w:rPr>
        <w:t>doba</w:t>
      </w:r>
      <w:r w:rsidRPr="00460090">
        <w:rPr>
          <w:rFonts w:eastAsia="Calibri" w:cs="Calibri"/>
          <w:color w:val="000000"/>
          <w:szCs w:val="22"/>
          <w:lang w:val="en-GB" w:eastAsia="en-US"/>
        </w:rPr>
        <w:t xml:space="preserve"> globalnih klimatskih prom</w:t>
      </w:r>
      <w:r>
        <w:rPr>
          <w:rFonts w:eastAsia="Calibri" w:cs="Calibri"/>
          <w:color w:val="000000"/>
          <w:szCs w:val="22"/>
          <w:lang w:val="en-GB" w:eastAsia="en-US"/>
        </w:rPr>
        <w:t>jena</w:t>
      </w:r>
      <w:r w:rsidRPr="00460090">
        <w:rPr>
          <w:rFonts w:eastAsia="Calibri" w:cs="Calibri"/>
          <w:color w:val="000000"/>
          <w:szCs w:val="22"/>
          <w:lang w:val="en-GB" w:eastAsia="en-US"/>
        </w:rPr>
        <w:t xml:space="preserve">. </w:t>
      </w:r>
      <w:r>
        <w:rPr>
          <w:rFonts w:eastAsia="Calibri" w:cs="Calibri"/>
          <w:color w:val="000000"/>
          <w:szCs w:val="22"/>
          <w:lang w:val="en-GB" w:eastAsia="en-US"/>
        </w:rPr>
        <w:t xml:space="preserve">Imajući u vidu </w:t>
      </w:r>
      <w:r w:rsidRPr="00460090">
        <w:rPr>
          <w:rFonts w:eastAsia="Calibri" w:cs="Calibri"/>
          <w:color w:val="000000"/>
          <w:szCs w:val="22"/>
          <w:lang w:val="en-GB" w:eastAsia="en-US"/>
        </w:rPr>
        <w:t xml:space="preserve"> da Crna Gora nema dovoljno stručnjaka u oblasti fizičke okeanografije, neophodno je njihovo obrazovanje. Ovo bi premostilo</w:t>
      </w:r>
      <w:r w:rsidR="00807778">
        <w:rPr>
          <w:rFonts w:eastAsia="Calibri" w:cs="Calibri"/>
          <w:color w:val="000000"/>
          <w:szCs w:val="22"/>
          <w:lang w:val="en-GB" w:eastAsia="en-US"/>
        </w:rPr>
        <w:t xml:space="preserve"> nedostatke u znanju.</w:t>
      </w:r>
      <w:r w:rsidRPr="00460090">
        <w:rPr>
          <w:rFonts w:eastAsia="Calibri" w:cs="Calibri"/>
          <w:color w:val="000000"/>
          <w:szCs w:val="22"/>
          <w:lang w:val="en-GB" w:eastAsia="en-US"/>
        </w:rPr>
        <w:t xml:space="preserve"> Pored toga, bilo bi moguće uspostaviti odgovarajuće m</w:t>
      </w:r>
      <w:r w:rsidR="00807778">
        <w:rPr>
          <w:rFonts w:eastAsia="Calibri" w:cs="Calibri"/>
          <w:color w:val="000000"/>
          <w:szCs w:val="22"/>
          <w:lang w:val="en-GB" w:eastAsia="en-US"/>
        </w:rPr>
        <w:t>j</w:t>
      </w:r>
      <w:r w:rsidRPr="00460090">
        <w:rPr>
          <w:rFonts w:eastAsia="Calibri" w:cs="Calibri"/>
          <w:color w:val="000000"/>
          <w:szCs w:val="22"/>
          <w:lang w:val="en-GB" w:eastAsia="en-US"/>
        </w:rPr>
        <w:t xml:space="preserve">erenje osnovnih okeanografskih parametara, u skladu sa fizičkim procesima relevantnim za područje istraživanja. Analizirajući dostupne hidrografske podatke i znanje o mogućim ili/i već uspostavljenim raznim intervencijama u </w:t>
      </w:r>
      <w:r w:rsidR="00807778">
        <w:rPr>
          <w:rFonts w:eastAsia="Calibri" w:cs="Calibri"/>
          <w:color w:val="000000"/>
          <w:szCs w:val="22"/>
          <w:lang w:val="en-GB" w:eastAsia="en-US"/>
        </w:rPr>
        <w:t>pri</w:t>
      </w:r>
      <w:r w:rsidRPr="00460090">
        <w:rPr>
          <w:rFonts w:eastAsia="Calibri" w:cs="Calibri"/>
          <w:color w:val="000000"/>
          <w:szCs w:val="22"/>
          <w:lang w:val="en-GB" w:eastAsia="en-US"/>
        </w:rPr>
        <w:t xml:space="preserve">obalnom i otvorenom moru, koje su usko povezane sa postizanjem GES-a u okviru D7, </w:t>
      </w:r>
      <w:r w:rsidR="00807778">
        <w:rPr>
          <w:rFonts w:eastAsia="Calibri" w:cs="Calibri"/>
          <w:color w:val="000000"/>
          <w:szCs w:val="22"/>
          <w:lang w:val="en-GB" w:eastAsia="en-US"/>
        </w:rPr>
        <w:t xml:space="preserve">nedostaci </w:t>
      </w:r>
      <w:r w:rsidRPr="00460090">
        <w:rPr>
          <w:rFonts w:eastAsia="Calibri" w:cs="Calibri"/>
          <w:color w:val="000000"/>
          <w:szCs w:val="22"/>
          <w:lang w:val="en-GB" w:eastAsia="en-US"/>
        </w:rPr>
        <w:t>se mogu pod</w:t>
      </w:r>
      <w:r w:rsidR="00807778">
        <w:rPr>
          <w:rFonts w:eastAsia="Calibri" w:cs="Calibri"/>
          <w:color w:val="000000"/>
          <w:szCs w:val="22"/>
          <w:lang w:val="en-GB" w:eastAsia="en-US"/>
        </w:rPr>
        <w:t>ij</w:t>
      </w:r>
      <w:r w:rsidRPr="00460090">
        <w:rPr>
          <w:rFonts w:eastAsia="Calibri" w:cs="Calibri"/>
          <w:color w:val="000000"/>
          <w:szCs w:val="22"/>
          <w:lang w:val="en-GB" w:eastAsia="en-US"/>
        </w:rPr>
        <w:t>eliti u tri grupe:</w:t>
      </w:r>
    </w:p>
    <w:p w14:paraId="670884A8" w14:textId="21B55947" w:rsidR="00460090" w:rsidRPr="00807778" w:rsidRDefault="00460090" w:rsidP="00460090">
      <w:pPr>
        <w:widowControl w:val="0"/>
        <w:shd w:val="clear" w:color="auto" w:fill="FFFFFF"/>
        <w:spacing w:before="0" w:after="160"/>
        <w:ind w:right="5"/>
        <w:rPr>
          <w:rFonts w:eastAsia="Calibri" w:cs="Calibri"/>
          <w:szCs w:val="22"/>
          <w:lang w:val="en-GB" w:eastAsia="en-US"/>
        </w:rPr>
      </w:pPr>
      <w:r w:rsidRPr="00807778">
        <w:rPr>
          <w:rFonts w:eastAsia="Calibri" w:cs="Calibri"/>
          <w:i/>
          <w:szCs w:val="22"/>
          <w:lang w:val="en-GB" w:eastAsia="en-US"/>
        </w:rPr>
        <w:t>Pritisci -</w:t>
      </w:r>
      <w:r w:rsidRPr="00807778">
        <w:rPr>
          <w:rFonts w:eastAsia="Calibri" w:cs="Calibri"/>
          <w:szCs w:val="22"/>
          <w:lang w:val="en-GB" w:eastAsia="en-US"/>
        </w:rPr>
        <w:t xml:space="preserve"> odnos</w:t>
      </w:r>
      <w:r w:rsidR="00807778">
        <w:rPr>
          <w:rFonts w:eastAsia="Calibri" w:cs="Calibri"/>
          <w:szCs w:val="22"/>
          <w:lang w:val="en-GB" w:eastAsia="en-US"/>
        </w:rPr>
        <w:t>e</w:t>
      </w:r>
      <w:r w:rsidRPr="00807778">
        <w:rPr>
          <w:rFonts w:eastAsia="Calibri" w:cs="Calibri"/>
          <w:szCs w:val="22"/>
          <w:lang w:val="en-GB" w:eastAsia="en-US"/>
        </w:rPr>
        <w:t xml:space="preserve"> se na nedovoljno poznavanje ekoloških intervencija koje se rade ili se planiraju;</w:t>
      </w:r>
    </w:p>
    <w:p w14:paraId="4CD60F07" w14:textId="77777777" w:rsidR="00460090" w:rsidRPr="00807778" w:rsidRDefault="00460090" w:rsidP="00460090">
      <w:pPr>
        <w:widowControl w:val="0"/>
        <w:shd w:val="clear" w:color="auto" w:fill="FFFFFF"/>
        <w:spacing w:before="0" w:after="160"/>
        <w:ind w:right="5"/>
        <w:rPr>
          <w:rFonts w:eastAsia="Calibri" w:cs="Calibri"/>
          <w:szCs w:val="22"/>
          <w:lang w:val="en-GB" w:eastAsia="en-US"/>
        </w:rPr>
      </w:pPr>
      <w:r w:rsidRPr="00807778">
        <w:rPr>
          <w:rFonts w:eastAsia="Calibri" w:cs="Calibri"/>
          <w:i/>
          <w:szCs w:val="22"/>
          <w:lang w:val="en-GB" w:eastAsia="en-US"/>
        </w:rPr>
        <w:t>Znanje -</w:t>
      </w:r>
      <w:r w:rsidRPr="00807778">
        <w:rPr>
          <w:rFonts w:eastAsia="Calibri" w:cs="Calibri"/>
          <w:szCs w:val="22"/>
          <w:lang w:val="en-GB" w:eastAsia="en-US"/>
        </w:rPr>
        <w:t xml:space="preserve"> prvenstveno se odnosi na bolje poznavanje hidrografskih procesa koji su specifični za vode Crne Gore. Takođe se odnosi na obrazovanje stručnjaka za fizičku okeanografiju;</w:t>
      </w:r>
    </w:p>
    <w:p w14:paraId="4B0B4BE5" w14:textId="62D8A47E" w:rsidR="00460090" w:rsidRPr="00807778" w:rsidRDefault="00460090" w:rsidP="00460090">
      <w:pPr>
        <w:widowControl w:val="0"/>
        <w:shd w:val="clear" w:color="auto" w:fill="FFFFFF"/>
        <w:spacing w:before="0" w:after="160"/>
        <w:ind w:right="5"/>
        <w:rPr>
          <w:rFonts w:eastAsia="Calibri" w:cs="Calibri"/>
          <w:szCs w:val="22"/>
          <w:lang w:val="en-GB" w:eastAsia="en-US"/>
        </w:rPr>
      </w:pPr>
      <w:r w:rsidRPr="00807778">
        <w:rPr>
          <w:rFonts w:eastAsia="Calibri" w:cs="Calibri"/>
          <w:i/>
          <w:szCs w:val="22"/>
          <w:lang w:val="en-GB" w:eastAsia="en-US"/>
        </w:rPr>
        <w:t xml:space="preserve">Podaci </w:t>
      </w:r>
      <w:r w:rsidRPr="00807778">
        <w:rPr>
          <w:rFonts w:eastAsia="Calibri" w:cs="Calibri"/>
          <w:szCs w:val="22"/>
          <w:lang w:val="en-GB" w:eastAsia="en-US"/>
        </w:rPr>
        <w:t>- s obzirom na to da su podaci o osnovnim okeanografskim parametrima oskudni, kako prost</w:t>
      </w:r>
      <w:r w:rsidR="00807778">
        <w:rPr>
          <w:rFonts w:eastAsia="Calibri" w:cs="Calibri"/>
          <w:szCs w:val="22"/>
          <w:lang w:val="en-GB" w:eastAsia="en-US"/>
        </w:rPr>
        <w:t xml:space="preserve">orno tako i vremenski, neophodno je uspostavljenje </w:t>
      </w:r>
      <w:r w:rsidRPr="00807778">
        <w:rPr>
          <w:rFonts w:eastAsia="Calibri" w:cs="Calibri"/>
          <w:szCs w:val="22"/>
          <w:lang w:val="en-GB" w:eastAsia="en-US"/>
        </w:rPr>
        <w:t xml:space="preserve">relevantnog </w:t>
      </w:r>
      <w:r w:rsidR="00807778">
        <w:rPr>
          <w:rFonts w:eastAsia="Calibri" w:cs="Calibri"/>
          <w:szCs w:val="22"/>
          <w:lang w:val="en-GB" w:eastAsia="en-US"/>
        </w:rPr>
        <w:t>monitoriga</w:t>
      </w:r>
      <w:r w:rsidRPr="00807778">
        <w:rPr>
          <w:rFonts w:eastAsia="Calibri" w:cs="Calibri"/>
          <w:szCs w:val="22"/>
          <w:lang w:val="en-GB" w:eastAsia="en-US"/>
        </w:rPr>
        <w:t>.</w:t>
      </w:r>
    </w:p>
    <w:p w14:paraId="3D3BE1BC" w14:textId="4FDF47B5" w:rsidR="0005763C" w:rsidRPr="00807778" w:rsidRDefault="00460090" w:rsidP="00460090">
      <w:pPr>
        <w:widowControl w:val="0"/>
        <w:shd w:val="clear" w:color="auto" w:fill="FFFFFF"/>
        <w:spacing w:before="0" w:after="160"/>
        <w:ind w:right="5"/>
        <w:rPr>
          <w:rFonts w:eastAsia="Calibri" w:cs="Calibri"/>
          <w:szCs w:val="22"/>
          <w:lang w:val="en-GB" w:eastAsia="en-US"/>
        </w:rPr>
      </w:pPr>
      <w:r w:rsidRPr="00807778">
        <w:rPr>
          <w:rFonts w:eastAsia="Calibri" w:cs="Calibri"/>
          <w:szCs w:val="22"/>
          <w:lang w:val="en-GB" w:eastAsia="en-US"/>
        </w:rPr>
        <w:t>Meta</w:t>
      </w:r>
      <w:r w:rsidR="00807778">
        <w:rPr>
          <w:rFonts w:eastAsia="Calibri" w:cs="Calibri"/>
          <w:szCs w:val="22"/>
          <w:lang w:val="en-GB" w:eastAsia="en-US"/>
        </w:rPr>
        <w:t>-</w:t>
      </w:r>
      <w:r w:rsidRPr="00807778">
        <w:rPr>
          <w:rFonts w:eastAsia="Calibri" w:cs="Calibri"/>
          <w:szCs w:val="22"/>
          <w:lang w:val="en-GB" w:eastAsia="en-US"/>
        </w:rPr>
        <w:t>analiza postojeć</w:t>
      </w:r>
      <w:r w:rsidR="00807778">
        <w:rPr>
          <w:rFonts w:eastAsia="Calibri" w:cs="Calibri"/>
          <w:szCs w:val="22"/>
          <w:lang w:val="en-GB" w:eastAsia="en-US"/>
        </w:rPr>
        <w:t>e</w:t>
      </w:r>
      <w:r w:rsidRPr="00807778">
        <w:rPr>
          <w:rFonts w:eastAsia="Calibri" w:cs="Calibri"/>
          <w:szCs w:val="22"/>
          <w:lang w:val="en-GB" w:eastAsia="en-US"/>
        </w:rPr>
        <w:t xml:space="preserve"> literatur</w:t>
      </w:r>
      <w:r w:rsidR="00807778">
        <w:rPr>
          <w:rFonts w:eastAsia="Calibri" w:cs="Calibri"/>
          <w:szCs w:val="22"/>
          <w:lang w:val="en-GB" w:eastAsia="en-US"/>
        </w:rPr>
        <w:t>e</w:t>
      </w:r>
      <w:r w:rsidRPr="00807778">
        <w:rPr>
          <w:rFonts w:eastAsia="Calibri" w:cs="Calibri"/>
          <w:szCs w:val="22"/>
          <w:lang w:val="en-GB" w:eastAsia="en-US"/>
        </w:rPr>
        <w:t xml:space="preserve"> o </w:t>
      </w:r>
      <w:r w:rsidR="00807778">
        <w:rPr>
          <w:rFonts w:eastAsia="Calibri" w:cs="Calibri"/>
          <w:szCs w:val="22"/>
          <w:lang w:val="en-GB" w:eastAsia="en-US"/>
        </w:rPr>
        <w:t xml:space="preserve">nedostacima u pritiscima/znanju/podacima </w:t>
      </w:r>
      <w:r w:rsidRPr="00807778">
        <w:rPr>
          <w:rFonts w:eastAsia="Calibri" w:cs="Calibri"/>
          <w:szCs w:val="22"/>
          <w:lang w:val="en-GB" w:eastAsia="en-US"/>
        </w:rPr>
        <w:t xml:space="preserve">rezimiranih za mora južnog Sredozemlja (Crise, </w:t>
      </w:r>
      <w:r w:rsidR="00807778">
        <w:rPr>
          <w:rFonts w:eastAsia="Calibri" w:cs="Calibri"/>
          <w:szCs w:val="22"/>
          <w:lang w:val="en-GB" w:eastAsia="en-US"/>
        </w:rPr>
        <w:t>I sar</w:t>
      </w:r>
      <w:r w:rsidRPr="00807778">
        <w:rPr>
          <w:rFonts w:eastAsia="Calibri" w:cs="Calibri"/>
          <w:szCs w:val="22"/>
          <w:lang w:val="en-GB" w:eastAsia="en-US"/>
        </w:rPr>
        <w:t xml:space="preserve">., 2015) daje uvid u </w:t>
      </w:r>
      <w:r w:rsidR="00807778">
        <w:rPr>
          <w:rFonts w:eastAsia="Calibri" w:cs="Calibri"/>
          <w:szCs w:val="22"/>
          <w:lang w:val="en-GB" w:eastAsia="en-US"/>
        </w:rPr>
        <w:t xml:space="preserve">nedostatke </w:t>
      </w:r>
      <w:r w:rsidRPr="00807778">
        <w:rPr>
          <w:rFonts w:eastAsia="Calibri" w:cs="Calibri"/>
          <w:szCs w:val="22"/>
          <w:lang w:val="en-GB" w:eastAsia="en-US"/>
        </w:rPr>
        <w:t>u vodama Crne Gore. Glavne poteškoće se manifestuju u nemogućnosti razdvajanja uticaja koji su rezultat direktnog antropogenog uticaja i onih koji su posl</w:t>
      </w:r>
      <w:r w:rsidR="00807778">
        <w:rPr>
          <w:rFonts w:eastAsia="Calibri" w:cs="Calibri"/>
          <w:szCs w:val="22"/>
          <w:lang w:val="en-GB" w:eastAsia="en-US"/>
        </w:rPr>
        <w:t>j</w:t>
      </w:r>
      <w:r w:rsidRPr="00807778">
        <w:rPr>
          <w:rFonts w:eastAsia="Calibri" w:cs="Calibri"/>
          <w:szCs w:val="22"/>
          <w:lang w:val="en-GB" w:eastAsia="en-US"/>
        </w:rPr>
        <w:t>edica klimatskih prom</w:t>
      </w:r>
      <w:r w:rsidR="00807778">
        <w:rPr>
          <w:rFonts w:eastAsia="Calibri" w:cs="Calibri"/>
          <w:szCs w:val="22"/>
          <w:lang w:val="en-GB" w:eastAsia="en-US"/>
        </w:rPr>
        <w:t>j</w:t>
      </w:r>
      <w:r w:rsidRPr="00807778">
        <w:rPr>
          <w:rFonts w:eastAsia="Calibri" w:cs="Calibri"/>
          <w:szCs w:val="22"/>
          <w:lang w:val="en-GB" w:eastAsia="en-US"/>
        </w:rPr>
        <w:t>ena.</w:t>
      </w:r>
    </w:p>
    <w:p w14:paraId="7A3864EC" w14:textId="7C942248" w:rsidR="00460090" w:rsidRPr="00460090" w:rsidRDefault="00460090" w:rsidP="00460090">
      <w:pPr>
        <w:widowControl w:val="0"/>
        <w:shd w:val="clear" w:color="auto" w:fill="FFFFFF"/>
        <w:spacing w:before="0" w:after="160"/>
        <w:ind w:right="5"/>
        <w:rPr>
          <w:rFonts w:eastAsia="Calibri" w:cs="Calibri"/>
          <w:b/>
          <w:szCs w:val="22"/>
          <w:lang w:val="en-GB" w:eastAsia="en-US"/>
        </w:rPr>
      </w:pPr>
      <w:r w:rsidRPr="00460090">
        <w:rPr>
          <w:rFonts w:eastAsia="Calibri" w:cs="Calibri"/>
          <w:b/>
          <w:szCs w:val="22"/>
          <w:lang w:val="en-GB" w:eastAsia="en-US"/>
        </w:rPr>
        <w:t>Razvojn</w:t>
      </w:r>
      <w:r w:rsidR="00807778">
        <w:rPr>
          <w:rFonts w:eastAsia="Calibri" w:cs="Calibri"/>
          <w:b/>
          <w:szCs w:val="22"/>
          <w:lang w:val="en-GB" w:eastAsia="en-US"/>
        </w:rPr>
        <w:t>e</w:t>
      </w:r>
      <w:r w:rsidRPr="00460090">
        <w:rPr>
          <w:rFonts w:eastAsia="Calibri" w:cs="Calibri"/>
          <w:b/>
          <w:szCs w:val="22"/>
          <w:lang w:val="en-GB" w:eastAsia="en-US"/>
        </w:rPr>
        <w:t xml:space="preserve"> </w:t>
      </w:r>
      <w:r w:rsidR="00807778">
        <w:rPr>
          <w:rFonts w:eastAsia="Calibri" w:cs="Calibri"/>
          <w:b/>
          <w:szCs w:val="22"/>
          <w:lang w:val="en-GB" w:eastAsia="en-US"/>
        </w:rPr>
        <w:t>potrebe</w:t>
      </w:r>
    </w:p>
    <w:p w14:paraId="6736A192" w14:textId="4B5851FD" w:rsidR="00460090" w:rsidRPr="00807778" w:rsidRDefault="00460090" w:rsidP="00460090">
      <w:pPr>
        <w:widowControl w:val="0"/>
        <w:shd w:val="clear" w:color="auto" w:fill="FFFFFF"/>
        <w:spacing w:before="0" w:after="160"/>
        <w:ind w:right="5"/>
        <w:rPr>
          <w:rFonts w:eastAsia="Calibri" w:cs="Calibri"/>
          <w:szCs w:val="22"/>
          <w:lang w:val="en-GB" w:eastAsia="en-US"/>
        </w:rPr>
      </w:pPr>
      <w:r w:rsidRPr="00807778">
        <w:rPr>
          <w:rFonts w:eastAsia="Calibri" w:cs="Calibri"/>
          <w:szCs w:val="22"/>
          <w:lang w:val="en-GB" w:eastAsia="en-US"/>
        </w:rPr>
        <w:t>Mjere i razvojni postupci koji se mogu primijeniti u cilju postizanja ili očuvanja GES-a su prvenstveno dobro definisana mjerenja onih hidrografskih parametara koji u većoj mjeri određuju dinamiku voda</w:t>
      </w:r>
      <w:r w:rsidR="00807778">
        <w:rPr>
          <w:rFonts w:eastAsia="Calibri" w:cs="Calibri"/>
          <w:szCs w:val="22"/>
          <w:lang w:val="en-GB" w:eastAsia="en-US"/>
        </w:rPr>
        <w:t xml:space="preserve"> u Crnoj Gori</w:t>
      </w:r>
      <w:r w:rsidRPr="00807778">
        <w:rPr>
          <w:rFonts w:eastAsia="Calibri" w:cs="Calibri"/>
          <w:szCs w:val="22"/>
          <w:lang w:val="en-GB" w:eastAsia="en-US"/>
        </w:rPr>
        <w:t xml:space="preserve">. Na osnovu ovih dobro definisanih </w:t>
      </w:r>
      <w:r w:rsidR="00807778">
        <w:rPr>
          <w:rFonts w:eastAsia="Calibri" w:cs="Calibri"/>
          <w:szCs w:val="22"/>
          <w:lang w:val="en-GB" w:eastAsia="en-US"/>
        </w:rPr>
        <w:t xml:space="preserve">propratnih aktivnosti moguće </w:t>
      </w:r>
      <w:r w:rsidRPr="00807778">
        <w:rPr>
          <w:rFonts w:eastAsia="Calibri" w:cs="Calibri"/>
          <w:szCs w:val="22"/>
          <w:lang w:val="en-GB" w:eastAsia="en-US"/>
        </w:rPr>
        <w:t>je smanjiti nedostatke utvrđene u osnovnoj studiji. Granične vr</w:t>
      </w:r>
      <w:r w:rsidR="00807778">
        <w:rPr>
          <w:rFonts w:eastAsia="Calibri" w:cs="Calibri"/>
          <w:szCs w:val="22"/>
          <w:lang w:val="en-GB" w:eastAsia="en-US"/>
        </w:rPr>
        <w:t>ij</w:t>
      </w:r>
      <w:r w:rsidRPr="00807778">
        <w:rPr>
          <w:rFonts w:eastAsia="Calibri" w:cs="Calibri"/>
          <w:szCs w:val="22"/>
          <w:lang w:val="en-GB" w:eastAsia="en-US"/>
        </w:rPr>
        <w:t xml:space="preserve">ednosti D7 definisane su u odnosu na </w:t>
      </w:r>
      <w:r w:rsidR="00807778" w:rsidRPr="00807778">
        <w:rPr>
          <w:rFonts w:eastAsia="Calibri" w:cs="Calibri"/>
          <w:szCs w:val="22"/>
          <w:lang w:val="en-GB" w:eastAsia="en-US"/>
        </w:rPr>
        <w:t xml:space="preserve">štetne </w:t>
      </w:r>
      <w:r w:rsidR="00807778">
        <w:rPr>
          <w:rFonts w:eastAsia="Calibri" w:cs="Calibri"/>
          <w:szCs w:val="22"/>
          <w:lang w:val="en-GB" w:eastAsia="en-US"/>
        </w:rPr>
        <w:t>uticaje</w:t>
      </w:r>
      <w:r w:rsidRPr="00807778">
        <w:rPr>
          <w:rFonts w:eastAsia="Calibri" w:cs="Calibri"/>
          <w:szCs w:val="22"/>
          <w:lang w:val="en-GB" w:eastAsia="en-US"/>
        </w:rPr>
        <w:t xml:space="preserve"> povezane sa D1 i D2, D3, D4, D5, D6, D9 i D10. Tokom bilo koje intervencije, za koju možemo očekivati trajne prom</w:t>
      </w:r>
      <w:r w:rsidR="00807778">
        <w:rPr>
          <w:rFonts w:eastAsia="Calibri" w:cs="Calibri"/>
          <w:szCs w:val="22"/>
          <w:lang w:val="en-GB" w:eastAsia="en-US"/>
        </w:rPr>
        <w:t>j</w:t>
      </w:r>
      <w:r w:rsidRPr="00807778">
        <w:rPr>
          <w:rFonts w:eastAsia="Calibri" w:cs="Calibri"/>
          <w:szCs w:val="22"/>
          <w:lang w:val="en-GB" w:eastAsia="en-US"/>
        </w:rPr>
        <w:t>ene hidr</w:t>
      </w:r>
      <w:r w:rsidR="00807778">
        <w:rPr>
          <w:rFonts w:eastAsia="Calibri" w:cs="Calibri"/>
          <w:szCs w:val="22"/>
          <w:lang w:val="en-GB" w:eastAsia="en-US"/>
        </w:rPr>
        <w:t>ografskih</w:t>
      </w:r>
      <w:r w:rsidRPr="00807778">
        <w:rPr>
          <w:rFonts w:eastAsia="Calibri" w:cs="Calibri"/>
          <w:szCs w:val="22"/>
          <w:lang w:val="en-GB" w:eastAsia="en-US"/>
        </w:rPr>
        <w:t xml:space="preserve"> </w:t>
      </w:r>
      <w:r w:rsidR="00807778">
        <w:rPr>
          <w:rFonts w:eastAsia="Calibri" w:cs="Calibri"/>
          <w:szCs w:val="22"/>
          <w:lang w:val="en-GB" w:eastAsia="en-US"/>
        </w:rPr>
        <w:t>uslova</w:t>
      </w:r>
      <w:r w:rsidRPr="00807778">
        <w:rPr>
          <w:rFonts w:eastAsia="Calibri" w:cs="Calibri"/>
          <w:szCs w:val="22"/>
          <w:lang w:val="en-GB" w:eastAsia="en-US"/>
        </w:rPr>
        <w:t xml:space="preserve"> (više od 10 godina), širenje (u </w:t>
      </w:r>
      <w:r w:rsidR="00807778" w:rsidRPr="001C6CCA">
        <w:rPr>
          <w:rFonts w:eastAsia="Calibri" w:cs="Calibri"/>
          <w:szCs w:val="22"/>
          <w:lang w:val="en-GB" w:eastAsia="en-US"/>
        </w:rPr>
        <w:t>km</w:t>
      </w:r>
      <w:r w:rsidR="00807778" w:rsidRPr="001C6CCA">
        <w:rPr>
          <w:rFonts w:eastAsia="Calibri" w:cs="Calibri"/>
          <w:szCs w:val="22"/>
          <w:vertAlign w:val="superscript"/>
          <w:lang w:val="en-GB" w:eastAsia="en-US"/>
        </w:rPr>
        <w:t>2</w:t>
      </w:r>
      <w:r w:rsidR="00807778" w:rsidRPr="001C6CCA">
        <w:rPr>
          <w:rFonts w:eastAsia="Calibri" w:cs="Calibri"/>
          <w:szCs w:val="22"/>
          <w:lang w:val="en-GB" w:eastAsia="en-US"/>
        </w:rPr>
        <w:t xml:space="preserve">) </w:t>
      </w:r>
      <w:r w:rsidRPr="00807778">
        <w:rPr>
          <w:rFonts w:eastAsia="Calibri" w:cs="Calibri"/>
          <w:szCs w:val="22"/>
          <w:lang w:val="en-GB" w:eastAsia="en-US"/>
        </w:rPr>
        <w:t>negativnog uticaja može se proc</w:t>
      </w:r>
      <w:r w:rsidR="00807778">
        <w:rPr>
          <w:rFonts w:eastAsia="Calibri" w:cs="Calibri"/>
          <w:szCs w:val="22"/>
          <w:lang w:val="en-GB" w:eastAsia="en-US"/>
        </w:rPr>
        <w:t>ij</w:t>
      </w:r>
      <w:r w:rsidRPr="00807778">
        <w:rPr>
          <w:rFonts w:eastAsia="Calibri" w:cs="Calibri"/>
          <w:szCs w:val="22"/>
          <w:lang w:val="en-GB" w:eastAsia="en-US"/>
        </w:rPr>
        <w:t>eniti koristeći odgovarajuće hidrodinamičke modele za određeni slučaj.</w:t>
      </w:r>
    </w:p>
    <w:p w14:paraId="21B7479D" w14:textId="5424E6B5" w:rsidR="00807778" w:rsidRDefault="00807778" w:rsidP="004F0F90">
      <w:pPr>
        <w:shd w:val="clear" w:color="auto" w:fill="FFFFFF"/>
        <w:spacing w:before="0" w:after="160"/>
        <w:rPr>
          <w:rFonts w:cs="Calibri"/>
          <w:spacing w:val="5"/>
          <w:szCs w:val="22"/>
          <w:lang w:val="en-GB" w:eastAsia="hr-HR"/>
        </w:rPr>
      </w:pPr>
      <w:r w:rsidRPr="00807778">
        <w:rPr>
          <w:rFonts w:cs="Calibri"/>
          <w:spacing w:val="5"/>
          <w:szCs w:val="22"/>
          <w:lang w:val="en-GB" w:eastAsia="hr-HR"/>
        </w:rPr>
        <w:t>Dinamika mora je vrlo složena, status okeana u datom trenutku rezultat je mehanizama koji se kreću od dekadnih (poput S</w:t>
      </w:r>
      <w:r>
        <w:rPr>
          <w:rFonts w:cs="Calibri"/>
          <w:spacing w:val="5"/>
          <w:szCs w:val="22"/>
          <w:lang w:val="en-GB" w:eastAsia="hr-HR"/>
        </w:rPr>
        <w:t>j</w:t>
      </w:r>
      <w:r w:rsidRPr="00807778">
        <w:rPr>
          <w:rFonts w:cs="Calibri"/>
          <w:spacing w:val="5"/>
          <w:szCs w:val="22"/>
          <w:lang w:val="en-GB" w:eastAsia="hr-HR"/>
        </w:rPr>
        <w:t>evernoatlantskih oscilacija) do kraćih vremenskih razm</w:t>
      </w:r>
      <w:r>
        <w:rPr>
          <w:rFonts w:cs="Calibri"/>
          <w:spacing w:val="5"/>
          <w:szCs w:val="22"/>
          <w:lang w:val="en-GB" w:eastAsia="hr-HR"/>
        </w:rPr>
        <w:t>j</w:t>
      </w:r>
      <w:r w:rsidRPr="00807778">
        <w:rPr>
          <w:rFonts w:cs="Calibri"/>
          <w:spacing w:val="5"/>
          <w:szCs w:val="22"/>
          <w:lang w:val="en-GB" w:eastAsia="hr-HR"/>
        </w:rPr>
        <w:t>era (kao što je v</w:t>
      </w:r>
      <w:r>
        <w:rPr>
          <w:rFonts w:cs="Calibri"/>
          <w:spacing w:val="5"/>
          <w:szCs w:val="22"/>
          <w:lang w:val="en-GB" w:eastAsia="hr-HR"/>
        </w:rPr>
        <w:t>j</w:t>
      </w:r>
      <w:r w:rsidRPr="00807778">
        <w:rPr>
          <w:rFonts w:cs="Calibri"/>
          <w:spacing w:val="5"/>
          <w:szCs w:val="22"/>
          <w:lang w:val="en-GB" w:eastAsia="hr-HR"/>
        </w:rPr>
        <w:t xml:space="preserve">etar ili </w:t>
      </w:r>
      <w:r>
        <w:rPr>
          <w:rFonts w:cs="Calibri"/>
          <w:spacing w:val="5"/>
          <w:szCs w:val="22"/>
          <w:lang w:val="en-GB" w:eastAsia="hr-HR"/>
        </w:rPr>
        <w:t xml:space="preserve">prodor </w:t>
      </w:r>
      <w:r w:rsidRPr="00807778">
        <w:rPr>
          <w:rFonts w:cs="Calibri"/>
          <w:spacing w:val="5"/>
          <w:szCs w:val="22"/>
          <w:lang w:val="en-GB" w:eastAsia="hr-HR"/>
        </w:rPr>
        <w:t>r</w:t>
      </w:r>
      <w:r>
        <w:rPr>
          <w:rFonts w:cs="Calibri"/>
          <w:spacing w:val="5"/>
          <w:szCs w:val="22"/>
          <w:lang w:val="en-GB" w:eastAsia="hr-HR"/>
        </w:rPr>
        <w:t>ij</w:t>
      </w:r>
      <w:r w:rsidRPr="00807778">
        <w:rPr>
          <w:rFonts w:cs="Calibri"/>
          <w:spacing w:val="5"/>
          <w:szCs w:val="22"/>
          <w:lang w:val="en-GB" w:eastAsia="hr-HR"/>
        </w:rPr>
        <w:t>eka). Zbog toga su potrebni veliki skupovi podataka da bi se posmatral</w:t>
      </w:r>
      <w:r>
        <w:rPr>
          <w:rFonts w:cs="Calibri"/>
          <w:spacing w:val="5"/>
          <w:szCs w:val="22"/>
          <w:lang w:val="en-GB" w:eastAsia="hr-HR"/>
        </w:rPr>
        <w:t xml:space="preserve">e I detektovale promjene </w:t>
      </w:r>
      <w:r w:rsidRPr="00807778">
        <w:rPr>
          <w:rFonts w:cs="Calibri"/>
          <w:spacing w:val="5"/>
          <w:szCs w:val="22"/>
          <w:lang w:val="en-GB" w:eastAsia="hr-HR"/>
        </w:rPr>
        <w:t>u stanju životne sredine. Trenutno ne postoje dugoročni okeanografski podaci (temperatura, s</w:t>
      </w:r>
      <w:r>
        <w:rPr>
          <w:rFonts w:cs="Calibri"/>
          <w:spacing w:val="5"/>
          <w:szCs w:val="22"/>
          <w:lang w:val="en-GB" w:eastAsia="hr-HR"/>
        </w:rPr>
        <w:t>alinitet</w:t>
      </w:r>
      <w:r w:rsidRPr="00807778">
        <w:rPr>
          <w:rFonts w:cs="Calibri"/>
          <w:spacing w:val="5"/>
          <w:szCs w:val="22"/>
          <w:lang w:val="en-GB" w:eastAsia="hr-HR"/>
        </w:rPr>
        <w:t>, strujanja, statistika talasa vjetra) za otvoren</w:t>
      </w:r>
      <w:r>
        <w:rPr>
          <w:rFonts w:cs="Calibri"/>
          <w:spacing w:val="5"/>
          <w:szCs w:val="22"/>
          <w:lang w:val="en-GB" w:eastAsia="hr-HR"/>
        </w:rPr>
        <w:t>o more Crne Gore</w:t>
      </w:r>
      <w:r w:rsidRPr="00807778">
        <w:rPr>
          <w:rFonts w:cs="Calibri"/>
          <w:spacing w:val="5"/>
          <w:szCs w:val="22"/>
          <w:lang w:val="en-GB" w:eastAsia="hr-HR"/>
        </w:rPr>
        <w:t>. Dakle, prim</w:t>
      </w:r>
      <w:r>
        <w:rPr>
          <w:rFonts w:cs="Calibri"/>
          <w:spacing w:val="5"/>
          <w:szCs w:val="22"/>
          <w:lang w:val="en-GB" w:eastAsia="hr-HR"/>
        </w:rPr>
        <w:t>j</w:t>
      </w:r>
      <w:r w:rsidRPr="00807778">
        <w:rPr>
          <w:rFonts w:cs="Calibri"/>
          <w:spacing w:val="5"/>
          <w:szCs w:val="22"/>
          <w:lang w:val="en-GB" w:eastAsia="hr-HR"/>
        </w:rPr>
        <w:t xml:space="preserve">ena sistema </w:t>
      </w:r>
      <w:r>
        <w:rPr>
          <w:rFonts w:cs="Calibri"/>
          <w:spacing w:val="5"/>
          <w:szCs w:val="22"/>
          <w:lang w:val="en-GB" w:eastAsia="hr-HR"/>
        </w:rPr>
        <w:t>monitoringa</w:t>
      </w:r>
      <w:r w:rsidRPr="00807778">
        <w:rPr>
          <w:rFonts w:cs="Calibri"/>
          <w:spacing w:val="5"/>
          <w:szCs w:val="22"/>
          <w:lang w:val="en-GB" w:eastAsia="hr-HR"/>
        </w:rPr>
        <w:t xml:space="preserve"> može poslužiti kao dobar način za </w:t>
      </w:r>
      <w:r w:rsidR="005C7FC2" w:rsidRPr="005C7FC2">
        <w:rPr>
          <w:rFonts w:cs="Calibri"/>
          <w:spacing w:val="5"/>
          <w:szCs w:val="22"/>
          <w:lang w:val="en-GB" w:eastAsia="hr-HR"/>
        </w:rPr>
        <w:t xml:space="preserve">premošćivanje </w:t>
      </w:r>
      <w:r w:rsidR="005C7FC2">
        <w:rPr>
          <w:rFonts w:cs="Calibri"/>
          <w:spacing w:val="5"/>
          <w:szCs w:val="22"/>
          <w:lang w:val="en-GB" w:eastAsia="hr-HR"/>
        </w:rPr>
        <w:t>nedostataka u znanju</w:t>
      </w:r>
      <w:r w:rsidRPr="00807778">
        <w:rPr>
          <w:rFonts w:cs="Calibri"/>
          <w:spacing w:val="5"/>
          <w:szCs w:val="22"/>
          <w:lang w:val="en-GB" w:eastAsia="hr-HR"/>
        </w:rPr>
        <w:t>. Da bi se postigao GES, neophodno je stvoriti GIS baze svih relevantnih opterećenja (infrastruktura, pomorski saobraćaj, proširenje i izgradnja luka i marina, geo-morfološke i klimatske karakteristike područja). Tek nakon takvog saznanja o trenutnim i planiranim intervencijama moguće je definisati relevantne sm</w:t>
      </w:r>
      <w:r w:rsidR="005C7FC2">
        <w:rPr>
          <w:rFonts w:cs="Calibri"/>
          <w:spacing w:val="5"/>
          <w:szCs w:val="22"/>
          <w:lang w:val="en-GB" w:eastAsia="hr-HR"/>
        </w:rPr>
        <w:t>j</w:t>
      </w:r>
      <w:r w:rsidRPr="00807778">
        <w:rPr>
          <w:rFonts w:cs="Calibri"/>
          <w:spacing w:val="5"/>
          <w:szCs w:val="22"/>
          <w:lang w:val="en-GB" w:eastAsia="hr-HR"/>
        </w:rPr>
        <w:t>ernice za postizanje GES-a. Budući da D7 ima značajan uticaj na veći broj D</w:t>
      </w:r>
      <w:r w:rsidR="005C7FC2">
        <w:rPr>
          <w:rFonts w:cs="Calibri"/>
          <w:spacing w:val="5"/>
          <w:szCs w:val="22"/>
          <w:lang w:val="en-GB" w:eastAsia="hr-HR"/>
        </w:rPr>
        <w:t>eskriptora</w:t>
      </w:r>
      <w:r w:rsidRPr="00807778">
        <w:rPr>
          <w:rFonts w:cs="Calibri"/>
          <w:spacing w:val="5"/>
          <w:szCs w:val="22"/>
          <w:lang w:val="en-GB" w:eastAsia="hr-HR"/>
        </w:rPr>
        <w:t>, GES se postiže u zavisnosti od sprečavanja štetnih</w:t>
      </w:r>
      <w:r w:rsidR="005C7FC2">
        <w:rPr>
          <w:rFonts w:cs="Calibri"/>
          <w:spacing w:val="5"/>
          <w:szCs w:val="22"/>
          <w:lang w:val="en-GB" w:eastAsia="hr-HR"/>
        </w:rPr>
        <w:t xml:space="preserve"> uticaja</w:t>
      </w:r>
      <w:r w:rsidRPr="00807778">
        <w:rPr>
          <w:rFonts w:cs="Calibri"/>
          <w:spacing w:val="5"/>
          <w:szCs w:val="22"/>
          <w:lang w:val="en-GB" w:eastAsia="hr-HR"/>
        </w:rPr>
        <w:t xml:space="preserve"> na određenu komponentu ekosistema.</w:t>
      </w:r>
    </w:p>
    <w:p w14:paraId="26B391C9" w14:textId="77777777" w:rsidR="00965760" w:rsidRDefault="00965760" w:rsidP="004F0F90">
      <w:pPr>
        <w:shd w:val="clear" w:color="auto" w:fill="FFFFFF"/>
        <w:spacing w:before="0" w:after="160"/>
        <w:rPr>
          <w:rFonts w:cs="Calibri"/>
          <w:spacing w:val="5"/>
          <w:szCs w:val="22"/>
          <w:lang w:val="en-GB" w:eastAsia="hr-HR"/>
        </w:rPr>
      </w:pPr>
    </w:p>
    <w:p w14:paraId="42D926B3" w14:textId="289F7941" w:rsidR="00085672" w:rsidRPr="00085672" w:rsidRDefault="00085672" w:rsidP="007E5CB3">
      <w:pPr>
        <w:pStyle w:val="Heading2"/>
        <w:ind w:left="567" w:hanging="425"/>
        <w:jc w:val="left"/>
        <w:rPr>
          <w:rFonts w:eastAsia="Calibri"/>
          <w:lang w:val="en-GB" w:eastAsia="en-US"/>
        </w:rPr>
      </w:pPr>
      <w:bookmarkStart w:id="176" w:name="_Toc83630932"/>
      <w:r w:rsidRPr="00085672">
        <w:rPr>
          <w:rFonts w:eastAsia="Calibri"/>
          <w:color w:val="365F91"/>
          <w:lang w:val="en-GB"/>
        </w:rPr>
        <w:t xml:space="preserve">KONCENTRACIJE </w:t>
      </w:r>
      <w:r w:rsidR="007E5CB3">
        <w:rPr>
          <w:rFonts w:eastAsia="Calibri"/>
          <w:color w:val="365F91"/>
          <w:lang w:val="en-GB"/>
        </w:rPr>
        <w:t>ZAGAĐUJUĆIH MATERIJA (</w:t>
      </w:r>
      <w:r w:rsidRPr="00085672">
        <w:rPr>
          <w:rFonts w:eastAsia="Calibri"/>
          <w:color w:val="365F91"/>
          <w:lang w:val="en-GB"/>
        </w:rPr>
        <w:t>KONTAMINANTA</w:t>
      </w:r>
      <w:r w:rsidR="007E5CB3">
        <w:rPr>
          <w:rFonts w:eastAsia="Calibri"/>
          <w:color w:val="365F91"/>
          <w:lang w:val="en-GB"/>
        </w:rPr>
        <w:t xml:space="preserve">) </w:t>
      </w:r>
      <w:r w:rsidRPr="00085672">
        <w:rPr>
          <w:rFonts w:eastAsia="Calibri"/>
          <w:color w:val="365F91"/>
          <w:lang w:val="en-GB"/>
        </w:rPr>
        <w:t>(DESKRIPTOR 8)</w:t>
      </w:r>
      <w:bookmarkEnd w:id="176"/>
    </w:p>
    <w:p w14:paraId="239151F6" w14:textId="77777777" w:rsidR="00085672" w:rsidRPr="005A1C76" w:rsidRDefault="00085672" w:rsidP="00085672">
      <w:pPr>
        <w:autoSpaceDE w:val="0"/>
        <w:autoSpaceDN w:val="0"/>
        <w:adjustRightInd w:val="0"/>
        <w:spacing w:line="240" w:lineRule="auto"/>
        <w:rPr>
          <w:rFonts w:eastAsia="Calibri" w:cs="Calibri"/>
          <w:b/>
          <w:bCs/>
          <w:color w:val="000000"/>
          <w:lang w:val="en-GB"/>
        </w:rPr>
      </w:pPr>
      <w:bookmarkStart w:id="177" w:name="_Toc68078514"/>
      <w:bookmarkStart w:id="178" w:name="_Toc68180779"/>
      <w:r w:rsidRPr="005A1C76">
        <w:rPr>
          <w:rFonts w:eastAsia="Calibri" w:cs="Calibri"/>
          <w:b/>
          <w:bCs/>
          <w:color w:val="000000"/>
          <w:lang w:val="en-GB"/>
        </w:rPr>
        <w:t>Uvod</w:t>
      </w:r>
    </w:p>
    <w:p w14:paraId="19021273" w14:textId="20D0074F" w:rsidR="00085672" w:rsidRPr="005A1C76" w:rsidRDefault="00085672" w:rsidP="00085672">
      <w:pPr>
        <w:autoSpaceDE w:val="0"/>
        <w:autoSpaceDN w:val="0"/>
        <w:adjustRightInd w:val="0"/>
        <w:rPr>
          <w:rFonts w:eastAsia="Calibri" w:cs="Calibri"/>
          <w:lang w:val="en-GB"/>
        </w:rPr>
      </w:pPr>
      <w:bookmarkStart w:id="179" w:name="_Hlk67847133"/>
      <w:r w:rsidRPr="005A1C76">
        <w:rPr>
          <w:rFonts w:eastAsia="Calibri" w:cs="Calibri"/>
          <w:lang w:val="en-GB"/>
        </w:rPr>
        <w:t>Karakteristike dobrog stanja životne sredine (GES) za Deskriptor 8 – Kontaminanti u morskom sredini su koncentracije zagađivača u morskom okruženju (tj. u vodi, sedimentu i bioti) unutar dogovorenih nivoa pri čemu se štetni efekti na organizme, populacije, zajednice i biološk</w:t>
      </w:r>
      <w:r w:rsidR="007E5CB3">
        <w:rPr>
          <w:rFonts w:eastAsia="Calibri" w:cs="Calibri"/>
          <w:lang w:val="en-GB"/>
        </w:rPr>
        <w:t>e</w:t>
      </w:r>
      <w:r w:rsidRPr="005A1C76">
        <w:rPr>
          <w:rFonts w:eastAsia="Calibri" w:cs="Calibri"/>
          <w:lang w:val="en-GB"/>
        </w:rPr>
        <w:t xml:space="preserve"> proces</w:t>
      </w:r>
      <w:r w:rsidR="007E5CB3">
        <w:rPr>
          <w:rFonts w:eastAsia="Calibri" w:cs="Calibri"/>
          <w:lang w:val="en-GB"/>
        </w:rPr>
        <w:t>e</w:t>
      </w:r>
      <w:r w:rsidRPr="005A1C76">
        <w:rPr>
          <w:rFonts w:eastAsia="Calibri" w:cs="Calibri"/>
          <w:lang w:val="en-GB"/>
        </w:rPr>
        <w:t xml:space="preserve"> ne dešavaju. Ovi zagađivači uključuju sintetička jedinjenja (npr. pesticidi, antifugalna sredstva, farmaceutski proizvodi itd.), nesintetička jedinjenja (npr. teški metali, ugljovodonici itd.) i druge supstance koje se smatraju zagađivačima, bilo da su čvrste, tečne ili gasovite.</w:t>
      </w:r>
    </w:p>
    <w:bookmarkEnd w:id="179"/>
    <w:p w14:paraId="7F8A9593" w14:textId="77777777" w:rsidR="00085672" w:rsidRPr="005A1C76" w:rsidRDefault="00085672" w:rsidP="00085672">
      <w:pPr>
        <w:autoSpaceDE w:val="0"/>
        <w:autoSpaceDN w:val="0"/>
        <w:adjustRightInd w:val="0"/>
        <w:spacing w:after="0" w:line="240" w:lineRule="auto"/>
        <w:rPr>
          <w:rFonts w:eastAsia="Calibri" w:cs="Calibri"/>
          <w:b/>
          <w:color w:val="000000"/>
          <w:sz w:val="20"/>
          <w:szCs w:val="20"/>
          <w:lang w:val="en-GB"/>
        </w:rPr>
      </w:pPr>
      <w:r w:rsidRPr="005A1C76">
        <w:rPr>
          <w:rFonts w:cs="Stag Sans Semibold"/>
          <w:b/>
          <w:bCs/>
          <w:noProof/>
          <w:color w:val="000000"/>
          <w:sz w:val="20"/>
          <w:szCs w:val="20"/>
          <w:lang w:eastAsia="en-US"/>
        </w:rPr>
        <mc:AlternateContent>
          <mc:Choice Requires="wps">
            <w:drawing>
              <wp:anchor distT="0" distB="0" distL="114300" distR="114300" simplePos="0" relativeHeight="251817984" behindDoc="0" locked="0" layoutInCell="1" allowOverlap="1" wp14:anchorId="5DDDCE84" wp14:editId="21488C40">
                <wp:simplePos x="0" y="0"/>
                <wp:positionH relativeFrom="margin">
                  <wp:align>left</wp:align>
                </wp:positionH>
                <wp:positionV relativeFrom="paragraph">
                  <wp:posOffset>12066</wp:posOffset>
                </wp:positionV>
                <wp:extent cx="5966460" cy="552450"/>
                <wp:effectExtent l="0" t="0" r="0" b="0"/>
                <wp:wrapNone/>
                <wp:docPr id="91" name="Rectangle: Rounded Corners 91"/>
                <wp:cNvGraphicFramePr/>
                <a:graphic xmlns:a="http://schemas.openxmlformats.org/drawingml/2006/main">
                  <a:graphicData uri="http://schemas.microsoft.com/office/word/2010/wordprocessingShape">
                    <wps:wsp>
                      <wps:cNvSpPr/>
                      <wps:spPr>
                        <a:xfrm>
                          <a:off x="0" y="0"/>
                          <a:ext cx="5966460" cy="552450"/>
                        </a:xfrm>
                        <a:prstGeom prst="roundRect">
                          <a:avLst/>
                        </a:prstGeom>
                        <a:solidFill>
                          <a:srgbClr val="4F81BD">
                            <a:lumMod val="20000"/>
                            <a:lumOff val="80000"/>
                            <a:alpha val="84000"/>
                          </a:srgbClr>
                        </a:solidFill>
                        <a:ln w="25400" cap="flat" cmpd="sng" algn="ctr">
                          <a:noFill/>
                          <a:prstDash val="solid"/>
                        </a:ln>
                        <a:effectLst/>
                      </wps:spPr>
                      <wps:txbx>
                        <w:txbxContent>
                          <w:p w14:paraId="0DC0412F" w14:textId="77777777" w:rsidR="00515997" w:rsidRPr="00A52E7D" w:rsidRDefault="00515997" w:rsidP="00085672">
                            <w:pPr>
                              <w:autoSpaceDE w:val="0"/>
                              <w:autoSpaceDN w:val="0"/>
                              <w:adjustRightInd w:val="0"/>
                              <w:spacing w:after="240"/>
                              <w:rPr>
                                <w:rFonts w:eastAsia="Calibri" w:cs="Calibri"/>
                                <w:b/>
                                <w:i/>
                                <w:color w:val="000000"/>
                              </w:rPr>
                            </w:pPr>
                            <w:r w:rsidRPr="005A1C76">
                              <w:rPr>
                                <w:b/>
                                <w:color w:val="000000"/>
                                <w14:textOutline w14:w="9525" w14:cap="rnd" w14:cmpd="sng" w14:algn="ctr">
                                  <w14:noFill/>
                                  <w14:prstDash w14:val="solid"/>
                                  <w14:bevel/>
                                </w14:textOutline>
                              </w:rPr>
                              <w:t>GES definicija za deskriptor 8: Kontaminanti su na nivou koji ne dovodi do efekata zagađenja.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DDCE84" id="Rectangle: Rounded Corners 91" o:spid="_x0000_s1058" style="position:absolute;left:0;text-align:left;margin-left:0;margin-top:.95pt;width:469.8pt;height:43.5pt;z-index:251817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" fillcolor="#dce6f2" stroked="f" strokeweight="2pt">
                <v:fill opacity="54998f"/>
                <v:textbox>
                  <w:txbxContent>
                    <w:p w14:paraId="0DC0412F" w14:textId="77777777" w:rsidR="00515997" w:rsidRPr="00A52E7D" w:rsidRDefault="00515997" w:rsidP="00085672">
                      <w:pPr>
                        <w:autoSpaceDE w:val="0"/>
                        <w:autoSpaceDN w:val="0"/>
                        <w:adjustRightInd w:val="0"/>
                        <w:spacing w:after="240"/>
                        <w:rPr>
                          <w:rFonts w:eastAsia="Calibri" w:cs="Calibri"/>
                          <w:b/>
                          <w:i/>
                          <w:color w:val="000000"/>
                        </w:rPr>
                      </w:pPr>
                      <w:r w:rsidRPr="005A1C76">
                        <w:rPr>
                          <w:b/>
                          <w:color w:val="000000"/>
                          <w14:textOutline w14:w="9525" w14:cap="rnd" w14:cmpd="sng" w14:algn="ctr">
                            <w14:noFill/>
                            <w14:prstDash w14:val="solid"/>
                            <w14:bevel/>
                          </w14:textOutline>
                        </w:rPr>
                        <w:t>GES definicija za deskriptor 8: Kontaminanti su na nivou koji ne dovodi do efekata zagađenja.</w:t>
                      </w:r>
                    </w:p>
                  </w:txbxContent>
                </v:textbox>
                <w10:wrap anchorx="margin"/>
              </v:roundrect>
            </w:pict>
          </mc:Fallback>
        </mc:AlternateContent>
      </w:r>
    </w:p>
    <w:p w14:paraId="02991367" w14:textId="77777777" w:rsidR="00085672" w:rsidRPr="005A1C76" w:rsidRDefault="00085672" w:rsidP="00085672">
      <w:pPr>
        <w:autoSpaceDE w:val="0"/>
        <w:autoSpaceDN w:val="0"/>
        <w:adjustRightInd w:val="0"/>
        <w:spacing w:after="0" w:line="240" w:lineRule="auto"/>
        <w:rPr>
          <w:rFonts w:eastAsia="Calibri" w:cs="Calibri"/>
          <w:b/>
          <w:color w:val="000000"/>
          <w:sz w:val="20"/>
          <w:szCs w:val="20"/>
          <w:lang w:val="en-GB"/>
        </w:rPr>
      </w:pPr>
    </w:p>
    <w:p w14:paraId="19D2EC02" w14:textId="77777777" w:rsidR="003C159B" w:rsidRPr="003C159B" w:rsidRDefault="003C159B" w:rsidP="003C159B">
      <w:pPr>
        <w:rPr>
          <w:lang w:val="en-GB" w:eastAsia="en-US"/>
        </w:rPr>
      </w:pPr>
    </w:p>
    <w:p w14:paraId="13EB6B4D" w14:textId="27D8163E" w:rsidR="00085672" w:rsidRPr="00085672" w:rsidRDefault="007E5CB3" w:rsidP="00085672">
      <w:pPr>
        <w:pStyle w:val="Heading3"/>
        <w:spacing w:before="0" w:after="160"/>
        <w:rPr>
          <w:lang w:val="en-GB" w:eastAsia="en-US"/>
        </w:rPr>
      </w:pPr>
      <w:bookmarkStart w:id="180" w:name="_Toc83630933"/>
      <w:bookmarkEnd w:id="177"/>
      <w:bookmarkEnd w:id="178"/>
      <w:r>
        <w:rPr>
          <w:color w:val="365F91"/>
          <w:lang w:val="en-GB"/>
        </w:rPr>
        <w:t>Relevantni p</w:t>
      </w:r>
      <w:r w:rsidR="00085672" w:rsidRPr="00085672">
        <w:rPr>
          <w:color w:val="365F91"/>
          <w:lang w:val="en-GB"/>
        </w:rPr>
        <w:t>ritisci i uticaji</w:t>
      </w:r>
      <w:bookmarkEnd w:id="180"/>
    </w:p>
    <w:p w14:paraId="20E5333D" w14:textId="77777777" w:rsidR="00085672" w:rsidRPr="00085672" w:rsidRDefault="00085672" w:rsidP="00085672">
      <w:pPr>
        <w:rPr>
          <w:lang w:val="en-GB" w:eastAsia="en-US"/>
        </w:rPr>
      </w:pPr>
    </w:p>
    <w:p w14:paraId="0B01F552" w14:textId="29670225" w:rsidR="00085672" w:rsidRPr="005A1C76" w:rsidRDefault="00085672" w:rsidP="00085672">
      <w:pPr>
        <w:spacing w:after="0"/>
        <w:rPr>
          <w:sz w:val="20"/>
          <w:szCs w:val="20"/>
          <w:lang w:val="en-GB"/>
        </w:rPr>
      </w:pPr>
      <w:r w:rsidRPr="005A1C76">
        <w:rPr>
          <w:rFonts w:eastAsia="Calibri"/>
          <w:lang w:val="en-GB"/>
        </w:rPr>
        <w:t xml:space="preserve">Obalno područje Crne Gore jedno je od najcjenjenijih nacionalnih resursa, koje karakterišu složeni odnosi između ljudskih aktivnosti i životne sredine. Različite aktivnosti u morskim i obalnim područjima dovode do niza pritisaka koji generišu uticaje na morski ekosistem. Opšti pregled glavnih pritisaka i uticaja na morski ekosistem Crne Gore dat je u Nacionalnom akcionom planu za sprovođenje LBS protokola i njegovih regionalnih planova u okviru SAP-MED sa ciljem postizanja dobrog stanja životne sredine za zagađenje u skladu sa ECAP ekološkim ciljevima, januar 2016, (NAP). Glavni cilj NAP-a bio je pružanje podrške primjeni protokola vezanog za kopnene izvore zagađenja (LBS) i njegovih regionalnih planova sa ciljem postizanja GES-a za ekološki cilj koji se odnosi na zagađenje. </w:t>
      </w:r>
      <w:r w:rsidRPr="005A1C76">
        <w:rPr>
          <w:lang w:val="en-GB"/>
        </w:rPr>
        <w:t xml:space="preserve">U tabeli 2.25 dati su procijenjeni trenutni pritisci i pritisci </w:t>
      </w:r>
      <w:r w:rsidR="00A0605E">
        <w:rPr>
          <w:lang w:val="en-GB"/>
        </w:rPr>
        <w:t xml:space="preserve">projektovani </w:t>
      </w:r>
      <w:r w:rsidRPr="005A1C76">
        <w:rPr>
          <w:lang w:val="en-GB"/>
        </w:rPr>
        <w:t>do 2030. godine za zagađivače u morskom ekosistemu Crne Gore</w:t>
      </w:r>
      <w:r w:rsidRPr="005A1C76">
        <w:rPr>
          <w:vertAlign w:val="superscript"/>
          <w:lang w:val="en-GB"/>
        </w:rPr>
        <w:footnoteReference w:id="29"/>
      </w:r>
      <w:r w:rsidRPr="005A1C76">
        <w:rPr>
          <w:lang w:val="en-GB"/>
        </w:rPr>
        <w:t>.</w:t>
      </w:r>
    </w:p>
    <w:p w14:paraId="695AD15C" w14:textId="77777777" w:rsidR="00132374" w:rsidRPr="001C6CCA" w:rsidRDefault="00132374" w:rsidP="00F65CFF">
      <w:pPr>
        <w:spacing w:before="0" w:after="0" w:line="259" w:lineRule="auto"/>
        <w:rPr>
          <w:sz w:val="20"/>
          <w:szCs w:val="20"/>
          <w:lang w:val="en-GB" w:eastAsia="en-US"/>
        </w:rPr>
      </w:pPr>
    </w:p>
    <w:p w14:paraId="3C97AB46" w14:textId="35F32432" w:rsidR="00FE1488" w:rsidRDefault="00FE1488" w:rsidP="00F65CFF">
      <w:pPr>
        <w:spacing w:before="0" w:after="0" w:line="259" w:lineRule="auto"/>
        <w:rPr>
          <w:b/>
          <w:lang w:val="en-GB"/>
        </w:rPr>
      </w:pPr>
      <w:bookmarkStart w:id="181" w:name="_Toc83643171"/>
      <w:r w:rsidRPr="001C6CCA">
        <w:rPr>
          <w:b/>
          <w:szCs w:val="22"/>
          <w:lang w:val="en-GB" w:eastAsia="en-US"/>
        </w:rPr>
        <w:t>Tab</w:t>
      </w:r>
      <w:r w:rsidR="00085672">
        <w:rPr>
          <w:b/>
          <w:szCs w:val="22"/>
          <w:lang w:val="en-GB" w:eastAsia="en-US"/>
        </w:rPr>
        <w:t>ela</w:t>
      </w:r>
      <w:r w:rsidR="001E437E" w:rsidRPr="001C6CCA">
        <w:rPr>
          <w:b/>
          <w:szCs w:val="22"/>
          <w:lang w:val="en-GB" w:eastAsia="en-US"/>
        </w:rPr>
        <w:t xml:space="preserve"> </w:t>
      </w:r>
      <w:r w:rsidR="003415D9" w:rsidRPr="00D932B6">
        <w:rPr>
          <w:b/>
          <w:szCs w:val="22"/>
        </w:rPr>
        <w:fldChar w:fldCharType="begin"/>
      </w:r>
      <w:r w:rsidR="003415D9" w:rsidRPr="00D932B6">
        <w:rPr>
          <w:b/>
          <w:szCs w:val="22"/>
        </w:rPr>
        <w:instrText xml:space="preserve"> STYLEREF 1 \s </w:instrText>
      </w:r>
      <w:r w:rsidR="003415D9" w:rsidRPr="00D932B6">
        <w:rPr>
          <w:b/>
          <w:szCs w:val="22"/>
        </w:rPr>
        <w:fldChar w:fldCharType="separate"/>
      </w:r>
      <w:r w:rsidR="000D1E20">
        <w:rPr>
          <w:b/>
          <w:noProof/>
          <w:szCs w:val="22"/>
        </w:rPr>
        <w:t>2</w:t>
      </w:r>
      <w:r w:rsidR="003415D9" w:rsidRPr="00D932B6">
        <w:rPr>
          <w:b/>
          <w:szCs w:val="22"/>
        </w:rPr>
        <w:fldChar w:fldCharType="end"/>
      </w:r>
      <w:r w:rsidR="003415D9" w:rsidRPr="00D932B6">
        <w:rPr>
          <w:b/>
          <w:szCs w:val="22"/>
        </w:rPr>
        <w:t>.</w:t>
      </w:r>
      <w:r w:rsidR="003415D9" w:rsidRPr="00D932B6">
        <w:rPr>
          <w:b/>
          <w:szCs w:val="22"/>
        </w:rPr>
        <w:fldChar w:fldCharType="begin"/>
      </w:r>
      <w:r w:rsidR="003415D9" w:rsidRPr="00D932B6">
        <w:rPr>
          <w:b/>
          <w:szCs w:val="22"/>
        </w:rPr>
        <w:instrText xml:space="preserve"> SEQ Table \* ARABIC \s 1 </w:instrText>
      </w:r>
      <w:r w:rsidR="003415D9" w:rsidRPr="00D932B6">
        <w:rPr>
          <w:b/>
          <w:szCs w:val="22"/>
        </w:rPr>
        <w:fldChar w:fldCharType="separate"/>
      </w:r>
      <w:r w:rsidR="000D1E20">
        <w:rPr>
          <w:b/>
          <w:noProof/>
          <w:szCs w:val="22"/>
        </w:rPr>
        <w:t>13</w:t>
      </w:r>
      <w:r w:rsidR="003415D9" w:rsidRPr="00D932B6">
        <w:rPr>
          <w:b/>
          <w:szCs w:val="22"/>
        </w:rPr>
        <w:fldChar w:fldCharType="end"/>
      </w:r>
      <w:r w:rsidR="003415D9">
        <w:rPr>
          <w:b/>
          <w:szCs w:val="22"/>
        </w:rPr>
        <w:t>.</w:t>
      </w:r>
      <w:r w:rsidR="003415D9" w:rsidRPr="001C6CCA">
        <w:rPr>
          <w:rFonts w:eastAsia="Calibri" w:cs="Calibri"/>
          <w:b/>
          <w:szCs w:val="22"/>
          <w:lang w:val="en-GB" w:eastAsia="en-US"/>
        </w:rPr>
        <w:t xml:space="preserve"> </w:t>
      </w:r>
      <w:r w:rsidR="00085672" w:rsidRPr="005A1C76">
        <w:rPr>
          <w:b/>
          <w:lang w:val="en-GB"/>
        </w:rPr>
        <w:t xml:space="preserve">Trenutni i projektovani pritisci za Deskriptor 8 u CG dijelu Jadranskog mora prema podacima </w:t>
      </w:r>
      <w:r w:rsidR="00A0605E">
        <w:rPr>
          <w:b/>
          <w:lang w:val="en-GB"/>
        </w:rPr>
        <w:t>iz početne procjene.</w:t>
      </w:r>
      <w:bookmarkEnd w:id="181"/>
    </w:p>
    <w:tbl>
      <w:tblPr>
        <w:tblStyle w:val="GridTable4-Accent51"/>
        <w:tblW w:w="0" w:type="auto"/>
        <w:tblLook w:val="04A0" w:firstRow="1" w:lastRow="0" w:firstColumn="1" w:lastColumn="0" w:noHBand="0" w:noVBand="1"/>
      </w:tblPr>
      <w:tblGrid>
        <w:gridCol w:w="1667"/>
        <w:gridCol w:w="2847"/>
        <w:gridCol w:w="2251"/>
        <w:gridCol w:w="2256"/>
      </w:tblGrid>
      <w:tr w:rsidR="00085672" w:rsidRPr="005A1C76" w14:paraId="00781F2E" w14:textId="77777777" w:rsidTr="000856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1F497D"/>
          </w:tcPr>
          <w:p w14:paraId="0F00FAEE" w14:textId="77777777" w:rsidR="00085672" w:rsidRPr="005A1C76" w:rsidRDefault="00085672" w:rsidP="00085672">
            <w:pPr>
              <w:rPr>
                <w:sz w:val="20"/>
                <w:szCs w:val="20"/>
                <w:lang w:val="en-GB"/>
              </w:rPr>
            </w:pPr>
            <w:r w:rsidRPr="005A1C76">
              <w:rPr>
                <w:rFonts w:cs="Calibri"/>
                <w:sz w:val="20"/>
                <w:szCs w:val="20"/>
                <w:lang w:val="en-GB"/>
              </w:rPr>
              <w:t>Pomorske aktivnosti</w:t>
            </w:r>
          </w:p>
        </w:tc>
        <w:tc>
          <w:tcPr>
            <w:tcW w:w="2978" w:type="dxa"/>
            <w:shd w:val="clear" w:color="auto" w:fill="1F497D"/>
          </w:tcPr>
          <w:p w14:paraId="33A73D33" w14:textId="77777777" w:rsidR="00085672" w:rsidRPr="005A1C76" w:rsidRDefault="00085672" w:rsidP="00085672">
            <w:pPr>
              <w:jc w:val="center"/>
              <w:cnfStyle w:val="100000000000" w:firstRow="1" w:lastRow="0" w:firstColumn="0" w:lastColumn="0" w:oddVBand="0" w:evenVBand="0" w:oddHBand="0" w:evenHBand="0" w:firstRowFirstColumn="0" w:firstRowLastColumn="0" w:lastRowFirstColumn="0" w:lastRowLastColumn="0"/>
              <w:rPr>
                <w:sz w:val="20"/>
                <w:szCs w:val="20"/>
                <w:lang w:val="en-GB"/>
              </w:rPr>
            </w:pPr>
            <w:r w:rsidRPr="005A1C76">
              <w:rPr>
                <w:rFonts w:cs="Calibri"/>
                <w:sz w:val="20"/>
                <w:szCs w:val="20"/>
                <w:lang w:val="en-GB"/>
              </w:rPr>
              <w:t>Trenutni pritisci</w:t>
            </w:r>
          </w:p>
        </w:tc>
        <w:tc>
          <w:tcPr>
            <w:tcW w:w="2338" w:type="dxa"/>
            <w:shd w:val="clear" w:color="auto" w:fill="1F497D"/>
          </w:tcPr>
          <w:p w14:paraId="31E3A4F8" w14:textId="481F1595" w:rsidR="00085672" w:rsidRPr="005A1C76" w:rsidRDefault="00085672" w:rsidP="00085672">
            <w:pPr>
              <w:cnfStyle w:val="100000000000" w:firstRow="1" w:lastRow="0" w:firstColumn="0" w:lastColumn="0" w:oddVBand="0" w:evenVBand="0" w:oddHBand="0" w:evenHBand="0" w:firstRowFirstColumn="0" w:firstRowLastColumn="0" w:lastRowFirstColumn="0" w:lastRowLastColumn="0"/>
              <w:rPr>
                <w:sz w:val="20"/>
                <w:szCs w:val="20"/>
                <w:lang w:val="en-GB"/>
              </w:rPr>
            </w:pPr>
            <w:r w:rsidRPr="005A1C76">
              <w:rPr>
                <w:rFonts w:cs="Calibri"/>
                <w:sz w:val="20"/>
                <w:szCs w:val="20"/>
                <w:lang w:val="en-GB"/>
              </w:rPr>
              <w:t>Pr</w:t>
            </w:r>
            <w:r w:rsidR="00A0605E">
              <w:rPr>
                <w:rFonts w:cs="Calibri"/>
                <w:sz w:val="20"/>
                <w:szCs w:val="20"/>
                <w:lang w:val="en-GB"/>
              </w:rPr>
              <w:t xml:space="preserve">ojektovani </w:t>
            </w:r>
            <w:r w:rsidRPr="005A1C76">
              <w:rPr>
                <w:rFonts w:cs="Calibri"/>
                <w:sz w:val="20"/>
                <w:szCs w:val="20"/>
                <w:lang w:val="en-GB"/>
              </w:rPr>
              <w:t>pritisci do 2030</w:t>
            </w:r>
            <w:r w:rsidRPr="005A1C76">
              <w:rPr>
                <w:sz w:val="20"/>
                <w:szCs w:val="20"/>
                <w:vertAlign w:val="superscript"/>
                <w:lang w:val="en-GB"/>
              </w:rPr>
              <w:footnoteReference w:id="30"/>
            </w:r>
            <w:r w:rsidRPr="005A1C76">
              <w:rPr>
                <w:rFonts w:cs="Calibri"/>
                <w:sz w:val="20"/>
                <w:szCs w:val="20"/>
                <w:lang w:val="en-GB"/>
              </w:rPr>
              <w:t xml:space="preserve">  </w:t>
            </w:r>
          </w:p>
        </w:tc>
        <w:tc>
          <w:tcPr>
            <w:tcW w:w="2338" w:type="dxa"/>
            <w:shd w:val="clear" w:color="auto" w:fill="1F497D"/>
          </w:tcPr>
          <w:p w14:paraId="053C96F6" w14:textId="77777777" w:rsidR="00085672" w:rsidRPr="005A1C76" w:rsidRDefault="00085672" w:rsidP="00085672">
            <w:pPr>
              <w:cnfStyle w:val="100000000000" w:firstRow="1" w:lastRow="0" w:firstColumn="0" w:lastColumn="0" w:oddVBand="0" w:evenVBand="0" w:oddHBand="0" w:evenHBand="0" w:firstRowFirstColumn="0" w:firstRowLastColumn="0" w:lastRowFirstColumn="0" w:lastRowLastColumn="0"/>
              <w:rPr>
                <w:sz w:val="20"/>
                <w:szCs w:val="20"/>
                <w:lang w:val="en-GB"/>
              </w:rPr>
            </w:pPr>
            <w:r w:rsidRPr="005A1C76">
              <w:rPr>
                <w:sz w:val="20"/>
                <w:szCs w:val="20"/>
                <w:lang w:val="en-GB"/>
              </w:rPr>
              <w:t xml:space="preserve">Projektovano stanje morskog ekosistema </w:t>
            </w:r>
          </w:p>
        </w:tc>
      </w:tr>
      <w:tr w:rsidR="00085672" w:rsidRPr="005A1C76" w14:paraId="10516631" w14:textId="77777777" w:rsidTr="000856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B50E9F3" w14:textId="77777777" w:rsidR="00085672" w:rsidRPr="005A1C76" w:rsidRDefault="00085672" w:rsidP="00085672">
            <w:pPr>
              <w:rPr>
                <w:sz w:val="20"/>
                <w:szCs w:val="20"/>
                <w:lang w:val="en-GB"/>
              </w:rPr>
            </w:pPr>
            <w:r w:rsidRPr="005A1C76">
              <w:rPr>
                <w:rFonts w:cs="Calibri"/>
                <w:sz w:val="20"/>
                <w:szCs w:val="20"/>
                <w:lang w:val="en-GB"/>
              </w:rPr>
              <w:t>Nautički turizam</w:t>
            </w:r>
          </w:p>
        </w:tc>
        <w:tc>
          <w:tcPr>
            <w:tcW w:w="2978" w:type="dxa"/>
          </w:tcPr>
          <w:p w14:paraId="0A2BD8A3" w14:textId="77777777" w:rsidR="00085672" w:rsidRPr="005A1C76" w:rsidRDefault="00085672" w:rsidP="00085672">
            <w:pPr>
              <w:cnfStyle w:val="000000100000" w:firstRow="0" w:lastRow="0" w:firstColumn="0" w:lastColumn="0" w:oddVBand="0" w:evenVBand="0" w:oddHBand="1" w:evenHBand="0" w:firstRowFirstColumn="0" w:firstRowLastColumn="0" w:lastRowFirstColumn="0" w:lastRowLastColumn="0"/>
              <w:rPr>
                <w:sz w:val="20"/>
                <w:szCs w:val="20"/>
                <w:lang w:val="en-GB"/>
              </w:rPr>
            </w:pPr>
            <w:r w:rsidRPr="005A1C76">
              <w:rPr>
                <w:rFonts w:cs="Calibri"/>
                <w:sz w:val="20"/>
                <w:szCs w:val="20"/>
                <w:lang w:val="en-GB"/>
              </w:rPr>
              <w:t xml:space="preserve">Unos zagađivača sa rekreativnih plovila i kruzera </w:t>
            </w:r>
          </w:p>
        </w:tc>
        <w:tc>
          <w:tcPr>
            <w:tcW w:w="2338" w:type="dxa"/>
          </w:tcPr>
          <w:p w14:paraId="4F229D86" w14:textId="77777777" w:rsidR="00085672" w:rsidRPr="005A1C76" w:rsidRDefault="00085672" w:rsidP="00085672">
            <w:pPr>
              <w:autoSpaceDE w:val="0"/>
              <w:autoSpaceDN w:val="0"/>
              <w:adjustRightInd w:val="0"/>
              <w:spacing w:line="23" w:lineRule="atLeast"/>
              <w:cnfStyle w:val="000000100000" w:firstRow="0" w:lastRow="0" w:firstColumn="0" w:lastColumn="0" w:oddVBand="0" w:evenVBand="0" w:oddHBand="1" w:evenHBand="0" w:firstRowFirstColumn="0" w:firstRowLastColumn="0" w:lastRowFirstColumn="0" w:lastRowLastColumn="0"/>
              <w:rPr>
                <w:rFonts w:cs="Calibri"/>
                <w:sz w:val="20"/>
                <w:szCs w:val="20"/>
                <w:lang w:val="en-GB"/>
              </w:rPr>
            </w:pPr>
            <w:r w:rsidRPr="005A1C76">
              <w:rPr>
                <w:rFonts w:cs="Calibri"/>
                <w:sz w:val="20"/>
                <w:szCs w:val="20"/>
                <w:lang w:val="en-GB"/>
              </w:rPr>
              <w:t>Trendovi pritiska *:</w:t>
            </w:r>
          </w:p>
          <w:p w14:paraId="7E01F7A1" w14:textId="77777777" w:rsidR="00085672" w:rsidRPr="005A1C76" w:rsidRDefault="00085672" w:rsidP="00085672">
            <w:pPr>
              <w:cnfStyle w:val="000000100000" w:firstRow="0" w:lastRow="0" w:firstColumn="0" w:lastColumn="0" w:oddVBand="0" w:evenVBand="0" w:oddHBand="1" w:evenHBand="0" w:firstRowFirstColumn="0" w:firstRowLastColumn="0" w:lastRowFirstColumn="0" w:lastRowLastColumn="0"/>
              <w:rPr>
                <w:sz w:val="20"/>
                <w:szCs w:val="20"/>
                <w:lang w:val="en-GB"/>
              </w:rPr>
            </w:pPr>
            <w:r w:rsidRPr="005A1C76">
              <w:rPr>
                <w:rFonts w:cs="Calibri"/>
                <w:sz w:val="20"/>
                <w:szCs w:val="20"/>
                <w:lang w:val="en-GB"/>
              </w:rPr>
              <w:t>Unos zagađivača (++)</w:t>
            </w:r>
          </w:p>
        </w:tc>
        <w:tc>
          <w:tcPr>
            <w:tcW w:w="2338" w:type="dxa"/>
          </w:tcPr>
          <w:p w14:paraId="2C85CAD5" w14:textId="77777777" w:rsidR="00085672" w:rsidRPr="005A1C76" w:rsidRDefault="00085672" w:rsidP="00085672">
            <w:pPr>
              <w:cnfStyle w:val="000000100000" w:firstRow="0" w:lastRow="0" w:firstColumn="0" w:lastColumn="0" w:oddVBand="0" w:evenVBand="0" w:oddHBand="1" w:evenHBand="0" w:firstRowFirstColumn="0" w:firstRowLastColumn="0" w:lastRowFirstColumn="0" w:lastRowLastColumn="0"/>
              <w:rPr>
                <w:sz w:val="20"/>
                <w:szCs w:val="20"/>
                <w:lang w:val="en-GB"/>
              </w:rPr>
            </w:pPr>
          </w:p>
          <w:p w14:paraId="23C32439" w14:textId="77777777" w:rsidR="00085672" w:rsidRPr="005A1C76" w:rsidRDefault="00085672" w:rsidP="00085672">
            <w:pPr>
              <w:cnfStyle w:val="000000100000" w:firstRow="0" w:lastRow="0" w:firstColumn="0" w:lastColumn="0" w:oddVBand="0" w:evenVBand="0" w:oddHBand="1" w:evenHBand="0" w:firstRowFirstColumn="0" w:firstRowLastColumn="0" w:lastRowFirstColumn="0" w:lastRowLastColumn="0"/>
              <w:rPr>
                <w:sz w:val="20"/>
                <w:szCs w:val="20"/>
                <w:lang w:val="en-GB"/>
              </w:rPr>
            </w:pPr>
            <w:r w:rsidRPr="005A1C76">
              <w:rPr>
                <w:sz w:val="20"/>
                <w:szCs w:val="20"/>
                <w:lang w:val="en-GB"/>
              </w:rPr>
              <w:t xml:space="preserve">Pogoršanje </w:t>
            </w:r>
          </w:p>
        </w:tc>
      </w:tr>
      <w:tr w:rsidR="00085672" w:rsidRPr="005A1C76" w14:paraId="623394C9" w14:textId="77777777" w:rsidTr="00085672">
        <w:trPr>
          <w:trHeight w:val="2582"/>
        </w:trPr>
        <w:tc>
          <w:tcPr>
            <w:cnfStyle w:val="001000000000" w:firstRow="0" w:lastRow="0" w:firstColumn="1" w:lastColumn="0" w:oddVBand="0" w:evenVBand="0" w:oddHBand="0" w:evenHBand="0" w:firstRowFirstColumn="0" w:firstRowLastColumn="0" w:lastRowFirstColumn="0" w:lastRowLastColumn="0"/>
            <w:tcW w:w="1696" w:type="dxa"/>
          </w:tcPr>
          <w:p w14:paraId="1DCA2438" w14:textId="77777777" w:rsidR="00085672" w:rsidRPr="005A1C76" w:rsidRDefault="00085672" w:rsidP="00085672">
            <w:pPr>
              <w:rPr>
                <w:sz w:val="20"/>
                <w:szCs w:val="20"/>
                <w:lang w:val="en-GB"/>
              </w:rPr>
            </w:pPr>
            <w:r w:rsidRPr="005A1C76">
              <w:rPr>
                <w:rFonts w:cs="Calibri"/>
                <w:sz w:val="20"/>
                <w:szCs w:val="20"/>
                <w:lang w:val="en-GB"/>
              </w:rPr>
              <w:t>Pomorski transport: luke i marine, brodarstvo, brodogradnja i popravka</w:t>
            </w:r>
          </w:p>
        </w:tc>
        <w:tc>
          <w:tcPr>
            <w:tcW w:w="2978" w:type="dxa"/>
          </w:tcPr>
          <w:p w14:paraId="6EDC3795" w14:textId="77777777" w:rsidR="00085672" w:rsidRPr="005A1C76" w:rsidRDefault="00085672" w:rsidP="00085672">
            <w:pPr>
              <w:autoSpaceDE w:val="0"/>
              <w:autoSpaceDN w:val="0"/>
              <w:adjustRightInd w:val="0"/>
              <w:spacing w:line="23" w:lineRule="atLeast"/>
              <w:cnfStyle w:val="000000000000" w:firstRow="0" w:lastRow="0" w:firstColumn="0" w:lastColumn="0" w:oddVBand="0" w:evenVBand="0" w:oddHBand="0" w:evenHBand="0" w:firstRowFirstColumn="0" w:firstRowLastColumn="0" w:lastRowFirstColumn="0" w:lastRowLastColumn="0"/>
              <w:rPr>
                <w:rFonts w:cs="Calibri"/>
                <w:sz w:val="20"/>
                <w:szCs w:val="20"/>
                <w:lang w:val="en-GB"/>
              </w:rPr>
            </w:pPr>
            <w:r w:rsidRPr="005A1C76">
              <w:rPr>
                <w:rFonts w:cs="Calibri"/>
                <w:sz w:val="20"/>
                <w:szCs w:val="20"/>
                <w:lang w:val="en-GB"/>
              </w:rPr>
              <w:t>Sveukupno niski pritisci zbog niskog intenziteta (osim za nautičke luke), uprkos tome zabilježeni problemi za:</w:t>
            </w:r>
          </w:p>
          <w:p w14:paraId="114D34A9" w14:textId="77777777" w:rsidR="00085672" w:rsidRPr="005A1C76" w:rsidRDefault="00085672" w:rsidP="00085672">
            <w:pPr>
              <w:autoSpaceDE w:val="0"/>
              <w:autoSpaceDN w:val="0"/>
              <w:adjustRightInd w:val="0"/>
              <w:spacing w:line="23" w:lineRule="atLeast"/>
              <w:cnfStyle w:val="000000000000" w:firstRow="0" w:lastRow="0" w:firstColumn="0" w:lastColumn="0" w:oddVBand="0" w:evenVBand="0" w:oddHBand="0" w:evenHBand="0" w:firstRowFirstColumn="0" w:firstRowLastColumn="0" w:lastRowFirstColumn="0" w:lastRowLastColumn="0"/>
              <w:rPr>
                <w:rFonts w:cs="Calibri"/>
                <w:sz w:val="20"/>
                <w:szCs w:val="20"/>
                <w:lang w:val="en-GB"/>
              </w:rPr>
            </w:pPr>
            <w:r w:rsidRPr="005A1C76">
              <w:rPr>
                <w:rFonts w:cs="Calibri"/>
                <w:sz w:val="20"/>
                <w:szCs w:val="20"/>
                <w:lang w:val="en-GB"/>
              </w:rPr>
              <w:t>- zagađivači (višak zagađenja u lučkim područjima)</w:t>
            </w:r>
          </w:p>
          <w:p w14:paraId="59E9EFAA" w14:textId="77777777" w:rsidR="00085672" w:rsidRPr="005A1C76" w:rsidRDefault="00085672" w:rsidP="00085672">
            <w:pPr>
              <w:autoSpaceDE w:val="0"/>
              <w:autoSpaceDN w:val="0"/>
              <w:adjustRightInd w:val="0"/>
              <w:spacing w:line="23" w:lineRule="atLeast"/>
              <w:cnfStyle w:val="000000000000" w:firstRow="0" w:lastRow="0" w:firstColumn="0" w:lastColumn="0" w:oddVBand="0" w:evenVBand="0" w:oddHBand="0" w:evenHBand="0" w:firstRowFirstColumn="0" w:firstRowLastColumn="0" w:lastRowFirstColumn="0" w:lastRowLastColumn="0"/>
              <w:rPr>
                <w:rFonts w:cs="Calibri"/>
                <w:sz w:val="20"/>
                <w:szCs w:val="20"/>
                <w:lang w:val="en-GB"/>
              </w:rPr>
            </w:pPr>
            <w:r w:rsidRPr="005A1C76">
              <w:rPr>
                <w:rFonts w:cs="Calibri"/>
                <w:sz w:val="20"/>
                <w:szCs w:val="20"/>
                <w:lang w:val="en-GB"/>
              </w:rPr>
              <w:t>- kontaminacija u sedimentima (ranije zagađenje)</w:t>
            </w:r>
          </w:p>
          <w:p w14:paraId="7E9C3667" w14:textId="77777777" w:rsidR="00085672" w:rsidRPr="005A1C76" w:rsidRDefault="00085672" w:rsidP="00085672">
            <w:pPr>
              <w:autoSpaceDE w:val="0"/>
              <w:autoSpaceDN w:val="0"/>
              <w:adjustRightInd w:val="0"/>
              <w:spacing w:line="23" w:lineRule="atLeast"/>
              <w:cnfStyle w:val="000000000000" w:firstRow="0" w:lastRow="0" w:firstColumn="0" w:lastColumn="0" w:oddVBand="0" w:evenVBand="0" w:oddHBand="0" w:evenHBand="0" w:firstRowFirstColumn="0" w:firstRowLastColumn="0" w:lastRowFirstColumn="0" w:lastRowLastColumn="0"/>
              <w:rPr>
                <w:rFonts w:cs="Calibri"/>
                <w:sz w:val="20"/>
                <w:szCs w:val="20"/>
                <w:lang w:val="en-GB"/>
              </w:rPr>
            </w:pPr>
            <w:r w:rsidRPr="005A1C76">
              <w:rPr>
                <w:rFonts w:cs="Calibri"/>
                <w:sz w:val="20"/>
                <w:szCs w:val="20"/>
                <w:lang w:val="en-GB"/>
              </w:rPr>
              <w:t>- Neadekvatno upravljanje rizicima od slučajnog zagađenja</w:t>
            </w:r>
          </w:p>
        </w:tc>
        <w:tc>
          <w:tcPr>
            <w:tcW w:w="2338" w:type="dxa"/>
          </w:tcPr>
          <w:p w14:paraId="49E011F7" w14:textId="77777777" w:rsidR="00085672" w:rsidRPr="005A1C76" w:rsidRDefault="00085672" w:rsidP="00085672">
            <w:pPr>
              <w:autoSpaceDE w:val="0"/>
              <w:autoSpaceDN w:val="0"/>
              <w:adjustRightInd w:val="0"/>
              <w:spacing w:line="23" w:lineRule="atLeast"/>
              <w:cnfStyle w:val="000000000000" w:firstRow="0" w:lastRow="0" w:firstColumn="0" w:lastColumn="0" w:oddVBand="0" w:evenVBand="0" w:oddHBand="0" w:evenHBand="0" w:firstRowFirstColumn="0" w:firstRowLastColumn="0" w:lastRowFirstColumn="0" w:lastRowLastColumn="0"/>
              <w:rPr>
                <w:rFonts w:cs="Calibri"/>
                <w:sz w:val="20"/>
                <w:szCs w:val="20"/>
                <w:lang w:val="en-GB"/>
              </w:rPr>
            </w:pPr>
            <w:r w:rsidRPr="005A1C76">
              <w:rPr>
                <w:rFonts w:cs="Calibri"/>
                <w:sz w:val="20"/>
                <w:szCs w:val="20"/>
                <w:lang w:val="en-GB"/>
              </w:rPr>
              <w:t>Značajno povećanje pritisaka moglo bi se primjetiti ako se sprovedu razvojni planovi:</w:t>
            </w:r>
          </w:p>
          <w:p w14:paraId="341E1702" w14:textId="77777777" w:rsidR="00085672" w:rsidRPr="005A1C76" w:rsidRDefault="00085672" w:rsidP="00085672">
            <w:pPr>
              <w:autoSpaceDE w:val="0"/>
              <w:autoSpaceDN w:val="0"/>
              <w:adjustRightInd w:val="0"/>
              <w:spacing w:line="23" w:lineRule="atLeast"/>
              <w:cnfStyle w:val="000000000000" w:firstRow="0" w:lastRow="0" w:firstColumn="0" w:lastColumn="0" w:oddVBand="0" w:evenVBand="0" w:oddHBand="0" w:evenHBand="0" w:firstRowFirstColumn="0" w:firstRowLastColumn="0" w:lastRowFirstColumn="0" w:lastRowLastColumn="0"/>
              <w:rPr>
                <w:rFonts w:cs="Calibri"/>
                <w:sz w:val="20"/>
                <w:szCs w:val="20"/>
                <w:lang w:val="en-GB"/>
              </w:rPr>
            </w:pPr>
          </w:p>
          <w:p w14:paraId="01657F3F" w14:textId="77777777" w:rsidR="00085672" w:rsidRPr="005A1C76" w:rsidRDefault="00085672" w:rsidP="00085672">
            <w:pPr>
              <w:autoSpaceDE w:val="0"/>
              <w:autoSpaceDN w:val="0"/>
              <w:adjustRightInd w:val="0"/>
              <w:spacing w:line="23" w:lineRule="atLeast"/>
              <w:cnfStyle w:val="000000000000" w:firstRow="0" w:lastRow="0" w:firstColumn="0" w:lastColumn="0" w:oddVBand="0" w:evenVBand="0" w:oddHBand="0" w:evenHBand="0" w:firstRowFirstColumn="0" w:firstRowLastColumn="0" w:lastRowFirstColumn="0" w:lastRowLastColumn="0"/>
              <w:rPr>
                <w:sz w:val="20"/>
                <w:szCs w:val="20"/>
                <w:lang w:val="en-GB"/>
              </w:rPr>
            </w:pPr>
            <w:r w:rsidRPr="005A1C76">
              <w:rPr>
                <w:rFonts w:cs="Calibri"/>
                <w:sz w:val="20"/>
                <w:szCs w:val="20"/>
                <w:lang w:val="en-GB"/>
              </w:rPr>
              <w:t>- unos zagađivača (+)</w:t>
            </w:r>
          </w:p>
        </w:tc>
        <w:tc>
          <w:tcPr>
            <w:tcW w:w="2338" w:type="dxa"/>
          </w:tcPr>
          <w:p w14:paraId="2DCF4D5C" w14:textId="77777777" w:rsidR="00085672" w:rsidRPr="005A1C76" w:rsidRDefault="00085672" w:rsidP="00085672">
            <w:pPr>
              <w:cnfStyle w:val="000000000000" w:firstRow="0" w:lastRow="0" w:firstColumn="0" w:lastColumn="0" w:oddVBand="0" w:evenVBand="0" w:oddHBand="0" w:evenHBand="0" w:firstRowFirstColumn="0" w:firstRowLastColumn="0" w:lastRowFirstColumn="0" w:lastRowLastColumn="0"/>
              <w:rPr>
                <w:sz w:val="20"/>
                <w:szCs w:val="20"/>
                <w:lang w:val="en-GB"/>
              </w:rPr>
            </w:pPr>
          </w:p>
          <w:p w14:paraId="04D7821E" w14:textId="77777777" w:rsidR="00085672" w:rsidRPr="005A1C76" w:rsidRDefault="00085672" w:rsidP="00085672">
            <w:pPr>
              <w:cnfStyle w:val="000000000000" w:firstRow="0" w:lastRow="0" w:firstColumn="0" w:lastColumn="0" w:oddVBand="0" w:evenVBand="0" w:oddHBand="0" w:evenHBand="0" w:firstRowFirstColumn="0" w:firstRowLastColumn="0" w:lastRowFirstColumn="0" w:lastRowLastColumn="0"/>
              <w:rPr>
                <w:sz w:val="20"/>
                <w:szCs w:val="20"/>
                <w:lang w:val="en-GB"/>
              </w:rPr>
            </w:pPr>
          </w:p>
          <w:p w14:paraId="5AA760A6" w14:textId="77777777" w:rsidR="00085672" w:rsidRPr="005A1C76" w:rsidRDefault="00085672" w:rsidP="000856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5A1C76">
              <w:rPr>
                <w:sz w:val="20"/>
                <w:szCs w:val="20"/>
                <w:lang w:val="en-GB"/>
              </w:rPr>
              <w:t>Pogoršanje</w:t>
            </w:r>
          </w:p>
        </w:tc>
      </w:tr>
      <w:tr w:rsidR="00085672" w:rsidRPr="005A1C76" w14:paraId="37375C48" w14:textId="77777777" w:rsidTr="000856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FDFC852" w14:textId="77777777" w:rsidR="00085672" w:rsidRPr="005A1C76" w:rsidRDefault="00085672" w:rsidP="00085672">
            <w:pPr>
              <w:rPr>
                <w:rFonts w:cs="Calibri"/>
                <w:sz w:val="20"/>
                <w:szCs w:val="20"/>
                <w:lang w:val="en-GB"/>
              </w:rPr>
            </w:pPr>
            <w:r w:rsidRPr="005A1C76">
              <w:rPr>
                <w:rFonts w:cs="Calibri"/>
                <w:sz w:val="20"/>
                <w:szCs w:val="20"/>
                <w:lang w:val="en-GB"/>
              </w:rPr>
              <w:t>Akvakultura</w:t>
            </w:r>
          </w:p>
          <w:p w14:paraId="7714E1CE" w14:textId="77777777" w:rsidR="00085672" w:rsidRPr="005A1C76" w:rsidRDefault="00085672" w:rsidP="00085672">
            <w:pPr>
              <w:rPr>
                <w:rFonts w:cs="Calibri"/>
                <w:sz w:val="20"/>
                <w:szCs w:val="20"/>
                <w:lang w:val="en-GB"/>
              </w:rPr>
            </w:pPr>
          </w:p>
        </w:tc>
        <w:tc>
          <w:tcPr>
            <w:tcW w:w="2978" w:type="dxa"/>
          </w:tcPr>
          <w:p w14:paraId="77278AF4" w14:textId="77777777" w:rsidR="00085672" w:rsidRPr="005A1C76" w:rsidRDefault="00085672" w:rsidP="00085672">
            <w:pPr>
              <w:autoSpaceDE w:val="0"/>
              <w:autoSpaceDN w:val="0"/>
              <w:adjustRightInd w:val="0"/>
              <w:spacing w:line="23" w:lineRule="atLeast"/>
              <w:ind w:left="175"/>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GB"/>
              </w:rPr>
            </w:pPr>
            <w:r w:rsidRPr="005A1C76">
              <w:rPr>
                <w:rFonts w:cs="Calibri"/>
                <w:sz w:val="20"/>
                <w:szCs w:val="20"/>
                <w:lang w:val="en-GB"/>
              </w:rPr>
              <w:t>Unos zagađivača</w:t>
            </w:r>
          </w:p>
          <w:p w14:paraId="430A9ADE" w14:textId="77777777" w:rsidR="00085672" w:rsidRPr="005A1C76" w:rsidRDefault="00085672" w:rsidP="00085672">
            <w:pPr>
              <w:autoSpaceDE w:val="0"/>
              <w:autoSpaceDN w:val="0"/>
              <w:adjustRightInd w:val="0"/>
              <w:spacing w:line="23" w:lineRule="atLeast"/>
              <w:ind w:left="175"/>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GB"/>
              </w:rPr>
            </w:pPr>
          </w:p>
        </w:tc>
        <w:tc>
          <w:tcPr>
            <w:tcW w:w="2338" w:type="dxa"/>
          </w:tcPr>
          <w:p w14:paraId="08E4039A" w14:textId="77777777" w:rsidR="00085672" w:rsidRPr="005A1C76" w:rsidRDefault="00085672" w:rsidP="00085672">
            <w:pPr>
              <w:autoSpaceDE w:val="0"/>
              <w:autoSpaceDN w:val="0"/>
              <w:adjustRightInd w:val="0"/>
              <w:spacing w:line="23" w:lineRule="atLeast"/>
              <w:cnfStyle w:val="000000100000" w:firstRow="0" w:lastRow="0" w:firstColumn="0" w:lastColumn="0" w:oddVBand="0" w:evenVBand="0" w:oddHBand="1" w:evenHBand="0" w:firstRowFirstColumn="0" w:firstRowLastColumn="0" w:lastRowFirstColumn="0" w:lastRowLastColumn="0"/>
              <w:rPr>
                <w:rFonts w:cs="Calibri"/>
                <w:sz w:val="20"/>
                <w:szCs w:val="20"/>
                <w:lang w:val="en-GB"/>
              </w:rPr>
            </w:pPr>
            <w:r w:rsidRPr="005A1C76">
              <w:rPr>
                <w:rFonts w:cs="Calibri"/>
                <w:sz w:val="20"/>
                <w:szCs w:val="20"/>
                <w:lang w:val="en-GB"/>
              </w:rPr>
              <w:t>Trendovi pritiska:</w:t>
            </w:r>
          </w:p>
          <w:p w14:paraId="2E6AF354" w14:textId="77777777" w:rsidR="00085672" w:rsidRPr="005A1C76" w:rsidRDefault="00085672" w:rsidP="00085672">
            <w:pPr>
              <w:autoSpaceDE w:val="0"/>
              <w:autoSpaceDN w:val="0"/>
              <w:adjustRightInd w:val="0"/>
              <w:spacing w:line="23" w:lineRule="atLeast"/>
              <w:cnfStyle w:val="000000100000" w:firstRow="0" w:lastRow="0" w:firstColumn="0" w:lastColumn="0" w:oddVBand="0" w:evenVBand="0" w:oddHBand="1" w:evenHBand="0" w:firstRowFirstColumn="0" w:firstRowLastColumn="0" w:lastRowFirstColumn="0" w:lastRowLastColumn="0"/>
              <w:rPr>
                <w:rFonts w:cs="Calibri"/>
                <w:sz w:val="20"/>
                <w:szCs w:val="20"/>
                <w:lang w:val="en-GB"/>
              </w:rPr>
            </w:pPr>
            <w:r w:rsidRPr="005A1C76">
              <w:rPr>
                <w:rFonts w:cs="Calibri"/>
                <w:sz w:val="20"/>
                <w:szCs w:val="20"/>
                <w:lang w:val="en-GB"/>
              </w:rPr>
              <w:t>- Unosi zagađivača, patogena (++)</w:t>
            </w:r>
          </w:p>
        </w:tc>
        <w:tc>
          <w:tcPr>
            <w:tcW w:w="2338" w:type="dxa"/>
          </w:tcPr>
          <w:p w14:paraId="5805A2D3" w14:textId="77777777" w:rsidR="00085672" w:rsidRPr="005A1C76" w:rsidRDefault="00085672" w:rsidP="00085672">
            <w:pPr>
              <w:cnfStyle w:val="000000100000" w:firstRow="0" w:lastRow="0" w:firstColumn="0" w:lastColumn="0" w:oddVBand="0" w:evenVBand="0" w:oddHBand="1" w:evenHBand="0" w:firstRowFirstColumn="0" w:firstRowLastColumn="0" w:lastRowFirstColumn="0" w:lastRowLastColumn="0"/>
              <w:rPr>
                <w:sz w:val="20"/>
                <w:szCs w:val="20"/>
                <w:lang w:val="en-GB"/>
              </w:rPr>
            </w:pPr>
            <w:r w:rsidRPr="005A1C76">
              <w:rPr>
                <w:sz w:val="20"/>
                <w:szCs w:val="20"/>
                <w:lang w:val="en-GB"/>
              </w:rPr>
              <w:t xml:space="preserve">Pogoršanje </w:t>
            </w:r>
          </w:p>
          <w:p w14:paraId="6B44532A" w14:textId="77777777" w:rsidR="00085672" w:rsidRPr="005A1C76" w:rsidRDefault="00085672" w:rsidP="00085672">
            <w:pPr>
              <w:cnfStyle w:val="000000100000" w:firstRow="0" w:lastRow="0" w:firstColumn="0" w:lastColumn="0" w:oddVBand="0" w:evenVBand="0" w:oddHBand="1" w:evenHBand="0" w:firstRowFirstColumn="0" w:firstRowLastColumn="0" w:lastRowFirstColumn="0" w:lastRowLastColumn="0"/>
              <w:rPr>
                <w:sz w:val="20"/>
                <w:szCs w:val="20"/>
                <w:lang w:val="en-GB"/>
              </w:rPr>
            </w:pPr>
          </w:p>
        </w:tc>
      </w:tr>
      <w:tr w:rsidR="00085672" w:rsidRPr="005A1C76" w14:paraId="4FC6A9DF" w14:textId="77777777" w:rsidTr="00085672">
        <w:tc>
          <w:tcPr>
            <w:cnfStyle w:val="001000000000" w:firstRow="0" w:lastRow="0" w:firstColumn="1" w:lastColumn="0" w:oddVBand="0" w:evenVBand="0" w:oddHBand="0" w:evenHBand="0" w:firstRowFirstColumn="0" w:firstRowLastColumn="0" w:lastRowFirstColumn="0" w:lastRowLastColumn="0"/>
            <w:tcW w:w="1696" w:type="dxa"/>
          </w:tcPr>
          <w:p w14:paraId="61DC10E5" w14:textId="77777777" w:rsidR="00085672" w:rsidRPr="005A1C76" w:rsidRDefault="00085672" w:rsidP="00085672">
            <w:pPr>
              <w:rPr>
                <w:sz w:val="20"/>
                <w:szCs w:val="20"/>
                <w:lang w:val="en-GB"/>
              </w:rPr>
            </w:pPr>
            <w:r w:rsidRPr="005A1C76">
              <w:rPr>
                <w:sz w:val="20"/>
                <w:szCs w:val="20"/>
                <w:lang w:val="en-GB"/>
              </w:rPr>
              <w:t>Otpad</w:t>
            </w:r>
          </w:p>
        </w:tc>
        <w:tc>
          <w:tcPr>
            <w:tcW w:w="2978" w:type="dxa"/>
          </w:tcPr>
          <w:p w14:paraId="5280F9C1" w14:textId="77777777" w:rsidR="00085672" w:rsidRPr="005A1C76" w:rsidRDefault="00085672" w:rsidP="000856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5A1C76">
              <w:rPr>
                <w:rFonts w:cs="Calibri"/>
                <w:sz w:val="20"/>
                <w:szCs w:val="20"/>
                <w:lang w:val="en-GB"/>
              </w:rPr>
              <w:t xml:space="preserve">Unos zagađivača (zbog neadekvatnog odlaganja otpada) </w:t>
            </w:r>
          </w:p>
        </w:tc>
        <w:tc>
          <w:tcPr>
            <w:tcW w:w="2338" w:type="dxa"/>
          </w:tcPr>
          <w:p w14:paraId="38FA55C7" w14:textId="77777777" w:rsidR="00085672" w:rsidRPr="005A1C76" w:rsidRDefault="00085672" w:rsidP="00085672">
            <w:pPr>
              <w:autoSpaceDE w:val="0"/>
              <w:autoSpaceDN w:val="0"/>
              <w:adjustRightInd w:val="0"/>
              <w:spacing w:line="23" w:lineRule="atLeast"/>
              <w:cnfStyle w:val="000000000000" w:firstRow="0" w:lastRow="0" w:firstColumn="0" w:lastColumn="0" w:oddVBand="0" w:evenVBand="0" w:oddHBand="0" w:evenHBand="0" w:firstRowFirstColumn="0" w:firstRowLastColumn="0" w:lastRowFirstColumn="0" w:lastRowLastColumn="0"/>
              <w:rPr>
                <w:rFonts w:cs="Calibri"/>
                <w:sz w:val="20"/>
                <w:szCs w:val="20"/>
                <w:lang w:val="en-GB"/>
              </w:rPr>
            </w:pPr>
            <w:r w:rsidRPr="005A1C76">
              <w:rPr>
                <w:rFonts w:cs="Calibri"/>
                <w:sz w:val="20"/>
                <w:szCs w:val="20"/>
                <w:lang w:val="en-GB"/>
              </w:rPr>
              <w:t>Trendovi pritiska:</w:t>
            </w:r>
          </w:p>
          <w:p w14:paraId="76B98603" w14:textId="77777777" w:rsidR="00085672" w:rsidRPr="005A1C76" w:rsidRDefault="00085672" w:rsidP="00085672">
            <w:pPr>
              <w:autoSpaceDE w:val="0"/>
              <w:autoSpaceDN w:val="0"/>
              <w:adjustRightInd w:val="0"/>
              <w:spacing w:line="23" w:lineRule="atLeast"/>
              <w:cnfStyle w:val="000000000000" w:firstRow="0" w:lastRow="0" w:firstColumn="0" w:lastColumn="0" w:oddVBand="0" w:evenVBand="0" w:oddHBand="0" w:evenHBand="0" w:firstRowFirstColumn="0" w:firstRowLastColumn="0" w:lastRowFirstColumn="0" w:lastRowLastColumn="0"/>
              <w:rPr>
                <w:sz w:val="20"/>
                <w:szCs w:val="20"/>
                <w:lang w:val="en-GB"/>
              </w:rPr>
            </w:pPr>
            <w:r w:rsidRPr="005A1C76">
              <w:rPr>
                <w:rFonts w:cs="Calibri"/>
                <w:sz w:val="20"/>
                <w:szCs w:val="20"/>
                <w:lang w:val="en-GB"/>
              </w:rPr>
              <w:t>Unos zagađivača (zbog nepravilnog odlaganja otpada) (0)</w:t>
            </w:r>
          </w:p>
        </w:tc>
        <w:tc>
          <w:tcPr>
            <w:tcW w:w="2338" w:type="dxa"/>
          </w:tcPr>
          <w:p w14:paraId="46570F4F" w14:textId="77777777" w:rsidR="00085672" w:rsidRPr="005A1C76" w:rsidRDefault="00085672" w:rsidP="000856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5A1C76">
              <w:rPr>
                <w:sz w:val="20"/>
                <w:szCs w:val="20"/>
                <w:lang w:val="en-GB"/>
              </w:rPr>
              <w:t>Poboljšanje</w:t>
            </w:r>
          </w:p>
          <w:p w14:paraId="14F32B09" w14:textId="77777777" w:rsidR="00085672" w:rsidRPr="005A1C76" w:rsidRDefault="00085672" w:rsidP="00085672">
            <w:pPr>
              <w:cnfStyle w:val="000000000000" w:firstRow="0" w:lastRow="0" w:firstColumn="0" w:lastColumn="0" w:oddVBand="0" w:evenVBand="0" w:oddHBand="0" w:evenHBand="0" w:firstRowFirstColumn="0" w:firstRowLastColumn="0" w:lastRowFirstColumn="0" w:lastRowLastColumn="0"/>
              <w:rPr>
                <w:sz w:val="20"/>
                <w:szCs w:val="20"/>
                <w:lang w:val="en-GB"/>
              </w:rPr>
            </w:pPr>
          </w:p>
        </w:tc>
      </w:tr>
      <w:tr w:rsidR="00085672" w:rsidRPr="005A1C76" w14:paraId="4F17A10D" w14:textId="77777777" w:rsidTr="000856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36FB34B" w14:textId="77777777" w:rsidR="00085672" w:rsidRPr="005A1C76" w:rsidRDefault="00085672" w:rsidP="00085672">
            <w:pPr>
              <w:rPr>
                <w:rFonts w:cs="Calibri"/>
                <w:sz w:val="20"/>
                <w:szCs w:val="20"/>
                <w:lang w:val="en-GB"/>
              </w:rPr>
            </w:pPr>
          </w:p>
          <w:p w14:paraId="3F3E1193" w14:textId="77777777" w:rsidR="00085672" w:rsidRPr="005A1C76" w:rsidRDefault="00085672" w:rsidP="00085672">
            <w:pPr>
              <w:rPr>
                <w:sz w:val="20"/>
                <w:szCs w:val="20"/>
                <w:lang w:val="en-GB"/>
              </w:rPr>
            </w:pPr>
            <w:r w:rsidRPr="005A1C76">
              <w:rPr>
                <w:rFonts w:cs="Calibri"/>
                <w:sz w:val="20"/>
                <w:szCs w:val="20"/>
                <w:lang w:val="en-GB"/>
              </w:rPr>
              <w:t>Otpadne vode</w:t>
            </w:r>
          </w:p>
        </w:tc>
        <w:tc>
          <w:tcPr>
            <w:tcW w:w="2978" w:type="dxa"/>
          </w:tcPr>
          <w:p w14:paraId="4B34F943" w14:textId="77777777" w:rsidR="00085672" w:rsidRPr="005A1C76" w:rsidRDefault="00085672" w:rsidP="00085672">
            <w:pPr>
              <w:autoSpaceDE w:val="0"/>
              <w:autoSpaceDN w:val="0"/>
              <w:adjustRightInd w:val="0"/>
              <w:spacing w:line="23" w:lineRule="atLeast"/>
              <w:cnfStyle w:val="000000100000" w:firstRow="0" w:lastRow="0" w:firstColumn="0" w:lastColumn="0" w:oddVBand="0" w:evenVBand="0" w:oddHBand="1" w:evenHBand="0" w:firstRowFirstColumn="0" w:firstRowLastColumn="0" w:lastRowFirstColumn="0" w:lastRowLastColumn="0"/>
              <w:rPr>
                <w:rFonts w:cs="Calibri"/>
                <w:sz w:val="20"/>
                <w:szCs w:val="20"/>
                <w:lang w:val="en-GB"/>
              </w:rPr>
            </w:pPr>
            <w:r w:rsidRPr="005A1C76">
              <w:rPr>
                <w:rFonts w:cs="Calibri"/>
                <w:sz w:val="20"/>
                <w:szCs w:val="20"/>
                <w:lang w:val="en-GB"/>
              </w:rPr>
              <w:t>Unos zagađivača</w:t>
            </w:r>
          </w:p>
          <w:p w14:paraId="4A4B5668" w14:textId="77777777" w:rsidR="00085672" w:rsidRPr="005A1C76" w:rsidRDefault="00085672" w:rsidP="00085672">
            <w:pP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2338" w:type="dxa"/>
          </w:tcPr>
          <w:p w14:paraId="473EB02B" w14:textId="77777777" w:rsidR="00085672" w:rsidRPr="005A1C76" w:rsidRDefault="00085672" w:rsidP="00085672">
            <w:pPr>
              <w:autoSpaceDE w:val="0"/>
              <w:autoSpaceDN w:val="0"/>
              <w:adjustRightInd w:val="0"/>
              <w:spacing w:line="23" w:lineRule="atLeast"/>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GB"/>
              </w:rPr>
            </w:pPr>
            <w:r w:rsidRPr="005A1C76">
              <w:rPr>
                <w:rFonts w:cs="Calibri"/>
                <w:sz w:val="20"/>
                <w:szCs w:val="20"/>
                <w:lang w:val="en-GB"/>
              </w:rPr>
              <w:t>unos zagađivača (-)</w:t>
            </w:r>
          </w:p>
          <w:p w14:paraId="4AF93A09" w14:textId="77777777" w:rsidR="00085672" w:rsidRPr="005A1C76" w:rsidRDefault="00085672" w:rsidP="00085672">
            <w:pP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2338" w:type="dxa"/>
          </w:tcPr>
          <w:p w14:paraId="563451FF" w14:textId="77777777" w:rsidR="00085672" w:rsidRPr="005A1C76" w:rsidRDefault="00085672" w:rsidP="00085672">
            <w:pPr>
              <w:cnfStyle w:val="000000100000" w:firstRow="0" w:lastRow="0" w:firstColumn="0" w:lastColumn="0" w:oddVBand="0" w:evenVBand="0" w:oddHBand="1" w:evenHBand="0" w:firstRowFirstColumn="0" w:firstRowLastColumn="0" w:lastRowFirstColumn="0" w:lastRowLastColumn="0"/>
              <w:rPr>
                <w:sz w:val="20"/>
                <w:szCs w:val="20"/>
                <w:lang w:val="en-GB"/>
              </w:rPr>
            </w:pPr>
            <w:r w:rsidRPr="005A1C76">
              <w:rPr>
                <w:sz w:val="20"/>
                <w:szCs w:val="20"/>
                <w:lang w:val="en-GB"/>
              </w:rPr>
              <w:t>Poboljšanje</w:t>
            </w:r>
          </w:p>
          <w:p w14:paraId="303A7E9A" w14:textId="77777777" w:rsidR="00085672" w:rsidRPr="005A1C76" w:rsidRDefault="00085672" w:rsidP="00085672">
            <w:pPr>
              <w:cnfStyle w:val="000000100000" w:firstRow="0" w:lastRow="0" w:firstColumn="0" w:lastColumn="0" w:oddVBand="0" w:evenVBand="0" w:oddHBand="1" w:evenHBand="0" w:firstRowFirstColumn="0" w:firstRowLastColumn="0" w:lastRowFirstColumn="0" w:lastRowLastColumn="0"/>
              <w:rPr>
                <w:sz w:val="20"/>
                <w:szCs w:val="20"/>
                <w:lang w:val="en-GB"/>
              </w:rPr>
            </w:pPr>
          </w:p>
        </w:tc>
      </w:tr>
    </w:tbl>
    <w:p w14:paraId="50008CA4" w14:textId="16A1CA03" w:rsidR="00FE1488" w:rsidRPr="001C6CCA" w:rsidRDefault="00FE1488" w:rsidP="00085672">
      <w:pPr>
        <w:autoSpaceDE w:val="0"/>
        <w:autoSpaceDN w:val="0"/>
        <w:adjustRightInd w:val="0"/>
        <w:spacing w:before="0" w:after="0" w:line="240" w:lineRule="auto"/>
        <w:jc w:val="center"/>
        <w:rPr>
          <w:sz w:val="20"/>
          <w:szCs w:val="20"/>
          <w:lang w:val="en-GB" w:eastAsia="en-US"/>
        </w:rPr>
      </w:pPr>
    </w:p>
    <w:p w14:paraId="4020509C" w14:textId="77777777" w:rsidR="00FE1488" w:rsidRDefault="00FE1488" w:rsidP="00F65CFF">
      <w:pPr>
        <w:autoSpaceDE w:val="0"/>
        <w:autoSpaceDN w:val="0"/>
        <w:adjustRightInd w:val="0"/>
        <w:spacing w:before="0" w:after="0" w:line="259" w:lineRule="auto"/>
        <w:jc w:val="center"/>
        <w:rPr>
          <w:rFonts w:eastAsia="Calibri" w:cs="Calibri"/>
          <w:sz w:val="20"/>
          <w:szCs w:val="20"/>
          <w:lang w:val="en-GB" w:eastAsia="en-US"/>
        </w:rPr>
      </w:pPr>
      <w:r w:rsidRPr="001C6CCA">
        <w:rPr>
          <w:rFonts w:eastAsia="Calibri" w:cs="Calibri"/>
          <w:noProof/>
          <w:sz w:val="20"/>
          <w:szCs w:val="20"/>
          <w:lang w:eastAsia="en-US"/>
        </w:rPr>
        <w:drawing>
          <wp:inline distT="0" distB="0" distL="0" distR="0" wp14:anchorId="13F95629" wp14:editId="314ADB3E">
            <wp:extent cx="4076700" cy="3486150"/>
            <wp:effectExtent l="19050" t="19050" r="19050" b="19050"/>
            <wp:docPr id="92" name="Picture 92" descr="D:\LAP-TOP-2020\Desktop-2020\Training workshop on EO5 and EO9\Training material EO5\map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AP-TOP-2020\Desktop-2020\Training workshop on EO5 and EO9\Training material EO5\map 2-5.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108823" cy="3513620"/>
                    </a:xfrm>
                    <a:prstGeom prst="rect">
                      <a:avLst/>
                    </a:prstGeom>
                    <a:noFill/>
                    <a:ln w="3175">
                      <a:solidFill>
                        <a:schemeClr val="tx1"/>
                      </a:solidFill>
                    </a:ln>
                  </pic:spPr>
                </pic:pic>
              </a:graphicData>
            </a:graphic>
          </wp:inline>
        </w:drawing>
      </w:r>
    </w:p>
    <w:p w14:paraId="2ECD095D" w14:textId="77777777" w:rsidR="000413B6" w:rsidRPr="005A1C76" w:rsidRDefault="000413B6" w:rsidP="000413B6">
      <w:pPr>
        <w:autoSpaceDE w:val="0"/>
        <w:autoSpaceDN w:val="0"/>
        <w:adjustRightInd w:val="0"/>
        <w:spacing w:after="0" w:line="240" w:lineRule="auto"/>
        <w:jc w:val="center"/>
        <w:rPr>
          <w:rFonts w:eastAsia="Calibri" w:cs="Calibri"/>
          <w:b/>
          <w:lang w:val="en-GB"/>
        </w:rPr>
      </w:pPr>
      <w:bookmarkStart w:id="182" w:name="_Toc83636911"/>
      <w:r>
        <w:rPr>
          <w:rFonts w:eastAsia="Calibri" w:cs="Calibri"/>
          <w:b/>
          <w:szCs w:val="22"/>
          <w:lang w:val="en-GB" w:eastAsia="en-US"/>
        </w:rPr>
        <w:t>Slika</w:t>
      </w:r>
      <w:r w:rsidRPr="001C6CCA">
        <w:rPr>
          <w:rFonts w:eastAsia="Calibri" w:cs="Calibri"/>
          <w:b/>
          <w:szCs w:val="22"/>
          <w:lang w:val="en-GB" w:eastAsia="en-US"/>
        </w:rPr>
        <w:t xml:space="preserve"> </w:t>
      </w:r>
      <w:r>
        <w:rPr>
          <w:rFonts w:eastAsia="Calibri" w:cs="Calibri"/>
          <w:b/>
          <w:iCs/>
          <w:szCs w:val="22"/>
          <w:lang w:val="en-GB" w:eastAsia="en-US"/>
        </w:rPr>
        <w:fldChar w:fldCharType="begin"/>
      </w:r>
      <w:r>
        <w:rPr>
          <w:rFonts w:eastAsia="Calibri" w:cs="Calibri"/>
          <w:b/>
          <w:iCs/>
          <w:szCs w:val="22"/>
          <w:lang w:val="en-GB" w:eastAsia="en-US"/>
        </w:rPr>
        <w:instrText xml:space="preserve"> STYLEREF 1 \s </w:instrText>
      </w:r>
      <w:r>
        <w:rPr>
          <w:rFonts w:eastAsia="Calibri" w:cs="Calibri"/>
          <w:b/>
          <w:iCs/>
          <w:szCs w:val="22"/>
          <w:lang w:val="en-GB" w:eastAsia="en-US"/>
        </w:rPr>
        <w:fldChar w:fldCharType="separate"/>
      </w:r>
      <w:r w:rsidR="000D1E20">
        <w:rPr>
          <w:rFonts w:eastAsia="Calibri" w:cs="Calibri"/>
          <w:b/>
          <w:iCs/>
          <w:noProof/>
          <w:szCs w:val="22"/>
          <w:lang w:val="en-GB" w:eastAsia="en-US"/>
        </w:rPr>
        <w:t>2</w:t>
      </w:r>
      <w:r>
        <w:rPr>
          <w:rFonts w:eastAsia="Calibri" w:cs="Calibri"/>
          <w:b/>
          <w:iCs/>
          <w:szCs w:val="22"/>
          <w:lang w:val="en-GB" w:eastAsia="en-US"/>
        </w:rPr>
        <w:fldChar w:fldCharType="end"/>
      </w:r>
      <w:r>
        <w:rPr>
          <w:rFonts w:eastAsia="Calibri" w:cs="Calibri"/>
          <w:b/>
          <w:iCs/>
          <w:szCs w:val="22"/>
          <w:lang w:val="en-GB" w:eastAsia="en-US"/>
        </w:rPr>
        <w:t>.</w:t>
      </w:r>
      <w:r>
        <w:rPr>
          <w:rFonts w:eastAsia="Calibri" w:cs="Calibri"/>
          <w:b/>
          <w:iCs/>
          <w:szCs w:val="22"/>
          <w:lang w:val="en-GB" w:eastAsia="en-US"/>
        </w:rPr>
        <w:fldChar w:fldCharType="begin"/>
      </w:r>
      <w:r>
        <w:rPr>
          <w:rFonts w:eastAsia="Calibri" w:cs="Calibri"/>
          <w:b/>
          <w:iCs/>
          <w:szCs w:val="22"/>
          <w:lang w:val="en-GB" w:eastAsia="en-US"/>
        </w:rPr>
        <w:instrText xml:space="preserve"> SEQ Figure \* ARABIC \s 1 </w:instrText>
      </w:r>
      <w:r>
        <w:rPr>
          <w:rFonts w:eastAsia="Calibri" w:cs="Calibri"/>
          <w:b/>
          <w:iCs/>
          <w:szCs w:val="22"/>
          <w:lang w:val="en-GB" w:eastAsia="en-US"/>
        </w:rPr>
        <w:fldChar w:fldCharType="separate"/>
      </w:r>
      <w:r w:rsidR="000D1E20">
        <w:rPr>
          <w:rFonts w:eastAsia="Calibri" w:cs="Calibri"/>
          <w:b/>
          <w:iCs/>
          <w:noProof/>
          <w:szCs w:val="22"/>
          <w:lang w:val="en-GB" w:eastAsia="en-US"/>
        </w:rPr>
        <w:t>16</w:t>
      </w:r>
      <w:r>
        <w:rPr>
          <w:rFonts w:eastAsia="Calibri" w:cs="Calibri"/>
          <w:b/>
          <w:iCs/>
          <w:szCs w:val="22"/>
          <w:lang w:val="en-GB" w:eastAsia="en-US"/>
        </w:rPr>
        <w:fldChar w:fldCharType="end"/>
      </w:r>
      <w:r>
        <w:rPr>
          <w:szCs w:val="22"/>
        </w:rPr>
        <w:t>.</w:t>
      </w:r>
      <w:r w:rsidRPr="001C6CCA">
        <w:rPr>
          <w:rFonts w:eastAsia="Calibri" w:cs="Calibri"/>
          <w:szCs w:val="22"/>
          <w:lang w:val="en-GB" w:eastAsia="en-US"/>
        </w:rPr>
        <w:t xml:space="preserve"> </w:t>
      </w:r>
      <w:r w:rsidRPr="005A1C76">
        <w:rPr>
          <w:rFonts w:eastAsia="Calibri" w:cs="Calibri"/>
          <w:b/>
          <w:lang w:val="en-GB"/>
        </w:rPr>
        <w:t>Ukupno zagađenje/stepen ugroženosti mora (maksimalna vrijednost).</w:t>
      </w:r>
      <w:bookmarkEnd w:id="182"/>
    </w:p>
    <w:p w14:paraId="0AECF899" w14:textId="77777777" w:rsidR="000413B6" w:rsidRPr="005A1C76" w:rsidRDefault="000413B6" w:rsidP="000413B6">
      <w:pPr>
        <w:autoSpaceDE w:val="0"/>
        <w:autoSpaceDN w:val="0"/>
        <w:adjustRightInd w:val="0"/>
        <w:spacing w:after="0" w:line="240" w:lineRule="auto"/>
        <w:jc w:val="center"/>
        <w:rPr>
          <w:rFonts w:eastAsia="Calibri" w:cs="Calibri"/>
          <w:b/>
          <w:lang w:val="en-GB"/>
        </w:rPr>
      </w:pPr>
      <w:r w:rsidRPr="005A1C76">
        <w:rPr>
          <w:rFonts w:eastAsia="Calibri" w:cs="Calibri"/>
          <w:b/>
          <w:lang w:val="en-GB"/>
        </w:rPr>
        <w:t>Izvor: Poglavlje 2, Nacionalna strategija o IUOP za Crnu Goru - CAMP Crna Gora</w:t>
      </w:r>
    </w:p>
    <w:p w14:paraId="2AC4AD9B" w14:textId="3682DB7A" w:rsidR="002230F6" w:rsidRDefault="002230F6" w:rsidP="00F65CFF">
      <w:pPr>
        <w:autoSpaceDE w:val="0"/>
        <w:autoSpaceDN w:val="0"/>
        <w:adjustRightInd w:val="0"/>
        <w:spacing w:before="0" w:after="0" w:line="259" w:lineRule="auto"/>
        <w:jc w:val="center"/>
        <w:rPr>
          <w:rFonts w:eastAsia="Calibri" w:cs="Calibri"/>
          <w:sz w:val="20"/>
          <w:szCs w:val="20"/>
          <w:lang w:val="en-GB" w:eastAsia="en-US"/>
        </w:rPr>
      </w:pPr>
    </w:p>
    <w:p w14:paraId="6B6FC374" w14:textId="36FB43A5" w:rsidR="00B46462" w:rsidRPr="00B46462" w:rsidRDefault="00B46462" w:rsidP="00B46462">
      <w:pPr>
        <w:pStyle w:val="Heading3"/>
        <w:rPr>
          <w:rFonts w:eastAsia="Calibri"/>
          <w:lang w:val="en-GB" w:eastAsia="en-US"/>
        </w:rPr>
      </w:pPr>
      <w:r w:rsidRPr="00B46462">
        <w:rPr>
          <w:rFonts w:eastAsia="Calibri"/>
          <w:lang w:val="en-GB" w:eastAsia="en-US"/>
        </w:rPr>
        <w:tab/>
      </w:r>
      <w:bookmarkStart w:id="183" w:name="_Toc83630934"/>
      <w:r w:rsidR="00AA6D51">
        <w:rPr>
          <w:rFonts w:eastAsia="Calibri"/>
          <w:lang w:val="en-GB" w:eastAsia="en-US"/>
        </w:rPr>
        <w:t>Zakonodavni okvir</w:t>
      </w:r>
      <w:r w:rsidRPr="00B46462">
        <w:rPr>
          <w:rFonts w:eastAsia="Calibri"/>
          <w:lang w:val="en-GB" w:eastAsia="en-US"/>
        </w:rPr>
        <w:t xml:space="preserve"> – na</w:t>
      </w:r>
      <w:r w:rsidR="00AA6D51">
        <w:rPr>
          <w:rFonts w:eastAsia="Calibri"/>
          <w:lang w:val="en-GB" w:eastAsia="en-US"/>
        </w:rPr>
        <w:t>cionalni i međunarodni</w:t>
      </w:r>
      <w:bookmarkEnd w:id="183"/>
    </w:p>
    <w:p w14:paraId="42494173" w14:textId="177DF447" w:rsidR="00B46462" w:rsidRPr="00B46462" w:rsidRDefault="00B46462" w:rsidP="00B46462">
      <w:pPr>
        <w:spacing w:before="0" w:after="160"/>
        <w:jc w:val="left"/>
        <w:rPr>
          <w:rFonts w:eastAsia="Calibri"/>
          <w:b/>
          <w:szCs w:val="22"/>
          <w:lang w:val="hr-HR" w:eastAsia="en-US"/>
        </w:rPr>
      </w:pPr>
      <w:r w:rsidRPr="00B46462">
        <w:rPr>
          <w:rFonts w:eastAsia="Calibri"/>
          <w:b/>
          <w:szCs w:val="22"/>
          <w:lang w:val="hr-HR" w:eastAsia="en-US"/>
        </w:rPr>
        <w:t>Na</w:t>
      </w:r>
      <w:r w:rsidR="00AA6D51">
        <w:rPr>
          <w:rFonts w:eastAsia="Calibri"/>
          <w:b/>
          <w:szCs w:val="22"/>
          <w:lang w:val="hr-HR" w:eastAsia="en-US"/>
        </w:rPr>
        <w:t>cionalni nivo</w:t>
      </w:r>
    </w:p>
    <w:p w14:paraId="0714B9BE" w14:textId="77777777" w:rsidR="00085C0E" w:rsidRPr="00F75359" w:rsidRDefault="00085C0E" w:rsidP="00085C0E">
      <w:pPr>
        <w:numPr>
          <w:ilvl w:val="0"/>
          <w:numId w:val="56"/>
        </w:numPr>
        <w:spacing w:before="0" w:after="0" w:line="259" w:lineRule="auto"/>
        <w:contextualSpacing/>
        <w:jc w:val="left"/>
        <w:rPr>
          <w:rFonts w:eastAsia="Calibri"/>
          <w:szCs w:val="22"/>
          <w:lang w:val="hr-HR" w:eastAsia="en-US"/>
        </w:rPr>
      </w:pPr>
      <w:r w:rsidRPr="00F75359">
        <w:rPr>
          <w:rFonts w:eastAsia="Calibri" w:cs="Calibri"/>
          <w:szCs w:val="22"/>
          <w:lang w:val="hr-HR" w:eastAsia="en-US"/>
        </w:rPr>
        <w:t>Zakon o životnoj sredini („Službeni list Crne Gore“, br. 52/16, 73/19)</w:t>
      </w:r>
    </w:p>
    <w:p w14:paraId="0E4243D6" w14:textId="77777777" w:rsidR="00085C0E" w:rsidRPr="00F75359" w:rsidRDefault="00085C0E" w:rsidP="00085C0E">
      <w:pPr>
        <w:numPr>
          <w:ilvl w:val="0"/>
          <w:numId w:val="56"/>
        </w:numPr>
        <w:spacing w:before="0" w:after="0" w:line="259" w:lineRule="auto"/>
        <w:contextualSpacing/>
        <w:jc w:val="left"/>
        <w:rPr>
          <w:rFonts w:eastAsia="Calibri"/>
          <w:b/>
          <w:szCs w:val="22"/>
          <w:lang w:val="hr-HR" w:eastAsia="en-US"/>
        </w:rPr>
      </w:pPr>
      <w:r w:rsidRPr="00F75359">
        <w:rPr>
          <w:rFonts w:eastAsia="Calibri"/>
          <w:szCs w:val="22"/>
          <w:lang w:val="hr-HR" w:eastAsia="en-US"/>
        </w:rPr>
        <w:t>Zakon o vodama („Službeni list RCG“, br. 27/07 i „Službeni list CG“, br. 73/10, 32/11, 47/11, 48/15, 52/16, 55 / 16, 2/17, 80/17, 84/18)</w:t>
      </w:r>
    </w:p>
    <w:p w14:paraId="2CB2918D" w14:textId="67CA6D45" w:rsidR="00B46462" w:rsidRPr="00F75359" w:rsidRDefault="00085C0E" w:rsidP="00085C0E">
      <w:pPr>
        <w:numPr>
          <w:ilvl w:val="0"/>
          <w:numId w:val="56"/>
        </w:numPr>
        <w:spacing w:before="0" w:after="0" w:line="259" w:lineRule="auto"/>
        <w:contextualSpacing/>
        <w:jc w:val="left"/>
        <w:rPr>
          <w:rFonts w:eastAsia="Calibri"/>
          <w:b/>
          <w:szCs w:val="22"/>
          <w:lang w:val="hr-HR" w:eastAsia="en-US"/>
        </w:rPr>
      </w:pPr>
      <w:r w:rsidRPr="00F75359">
        <w:rPr>
          <w:rFonts w:eastAsia="Calibri" w:cs="Calibri"/>
          <w:szCs w:val="22"/>
          <w:lang w:val="hr-HR" w:eastAsia="en-US"/>
        </w:rPr>
        <w:t>Zakon o moru</w:t>
      </w:r>
      <w:r w:rsidR="00B46462" w:rsidRPr="00F75359">
        <w:rPr>
          <w:rFonts w:eastAsia="Calibri" w:cs="Calibri"/>
          <w:szCs w:val="22"/>
          <w:lang w:val="hr-HR" w:eastAsia="en-US"/>
        </w:rPr>
        <w:t xml:space="preserve"> </w:t>
      </w:r>
      <w:r w:rsidRPr="00F75359">
        <w:rPr>
          <w:rFonts w:eastAsia="Calibri" w:cs="Calibri"/>
          <w:szCs w:val="22"/>
          <w:lang w:val="hr-HR" w:eastAsia="en-US"/>
        </w:rPr>
        <w:t>(Službeni list CG, br. 17/07, 06/08, 40/11)</w:t>
      </w:r>
    </w:p>
    <w:p w14:paraId="723446A9" w14:textId="04C8CE8D" w:rsidR="00085C0E" w:rsidRPr="00F75359" w:rsidRDefault="00085C0E" w:rsidP="00085C0E">
      <w:pPr>
        <w:numPr>
          <w:ilvl w:val="0"/>
          <w:numId w:val="56"/>
        </w:numPr>
        <w:spacing w:before="0" w:after="0" w:line="259" w:lineRule="auto"/>
        <w:contextualSpacing/>
        <w:jc w:val="left"/>
        <w:rPr>
          <w:rFonts w:eastAsia="Calibri"/>
          <w:b/>
          <w:szCs w:val="22"/>
          <w:lang w:val="hr-HR" w:eastAsia="en-US"/>
        </w:rPr>
      </w:pPr>
      <w:r w:rsidRPr="00F75359">
        <w:rPr>
          <w:rFonts w:eastAsia="Calibri" w:cs="Calibri"/>
          <w:szCs w:val="22"/>
          <w:lang w:val="hr-HR" w:eastAsia="en-US"/>
        </w:rPr>
        <w:t>Zakon o zaštiti morske sredine („Službeni list CG“, br. 73/19)</w:t>
      </w:r>
    </w:p>
    <w:p w14:paraId="1963D39B" w14:textId="6F475675" w:rsidR="00B46462" w:rsidRPr="00F75359" w:rsidRDefault="00085C0E" w:rsidP="00085C0E">
      <w:pPr>
        <w:numPr>
          <w:ilvl w:val="0"/>
          <w:numId w:val="56"/>
        </w:numPr>
        <w:spacing w:before="0" w:after="0" w:line="259" w:lineRule="auto"/>
        <w:contextualSpacing/>
        <w:jc w:val="left"/>
        <w:rPr>
          <w:rFonts w:eastAsia="Calibri" w:cs="Calibri"/>
          <w:szCs w:val="22"/>
          <w:lang w:val="hr-HR" w:eastAsia="en-US"/>
        </w:rPr>
      </w:pPr>
      <w:r w:rsidRPr="00F75359">
        <w:rPr>
          <w:rFonts w:eastAsia="Calibri" w:cs="Calibri"/>
          <w:szCs w:val="22"/>
          <w:lang w:val="hr-HR" w:eastAsia="en-US"/>
        </w:rPr>
        <w:t xml:space="preserve">Pravilnik o načinu i rokovima utvrđivanja statusa površinskih voda  („Službeni list CG“, br. </w:t>
      </w:r>
      <w:r w:rsidR="00B46462" w:rsidRPr="00F75359">
        <w:rPr>
          <w:rFonts w:eastAsia="Calibri" w:cs="Calibri"/>
          <w:szCs w:val="22"/>
          <w:lang w:val="hr-HR" w:eastAsia="en-US"/>
        </w:rPr>
        <w:t>25/19)</w:t>
      </w:r>
    </w:p>
    <w:p w14:paraId="0294DD3F" w14:textId="5045842D" w:rsidR="00085C0E" w:rsidRPr="00F75359" w:rsidRDefault="00085C0E" w:rsidP="00C52E6F">
      <w:pPr>
        <w:numPr>
          <w:ilvl w:val="0"/>
          <w:numId w:val="56"/>
        </w:numPr>
        <w:spacing w:before="0" w:after="0" w:line="259" w:lineRule="auto"/>
        <w:contextualSpacing/>
        <w:jc w:val="left"/>
        <w:rPr>
          <w:rFonts w:eastAsia="Calibri" w:cs="Calibri"/>
          <w:szCs w:val="22"/>
          <w:lang w:val="hr-HR" w:eastAsia="en-US"/>
        </w:rPr>
      </w:pPr>
      <w:r w:rsidRPr="00F75359">
        <w:rPr>
          <w:rFonts w:eastAsia="Calibri" w:cs="Calibri"/>
          <w:szCs w:val="22"/>
          <w:lang w:val="hr-HR" w:eastAsia="en-US"/>
        </w:rPr>
        <w:t>Uredba o maksimalno dozvoljenim količinama kontaminanta u hrani („Službeni list CG“, br. 48/16, 066/19)</w:t>
      </w:r>
    </w:p>
    <w:p w14:paraId="753E36C0" w14:textId="3149E6B7" w:rsidR="00085C0E" w:rsidRPr="00F75359" w:rsidRDefault="00085C0E" w:rsidP="00085C0E">
      <w:pPr>
        <w:numPr>
          <w:ilvl w:val="0"/>
          <w:numId w:val="56"/>
        </w:numPr>
        <w:spacing w:before="0" w:after="0"/>
        <w:contextualSpacing/>
        <w:jc w:val="left"/>
        <w:rPr>
          <w:rFonts w:eastAsia="Calibri" w:cs="Calibri"/>
          <w:szCs w:val="22"/>
          <w:lang w:val="hr-HR" w:eastAsia="en-US"/>
        </w:rPr>
      </w:pPr>
      <w:r w:rsidRPr="00F75359">
        <w:rPr>
          <w:rFonts w:eastAsia="Calibri" w:cs="Calibri"/>
          <w:szCs w:val="22"/>
          <w:lang w:val="hr-HR" w:eastAsia="en-US"/>
        </w:rPr>
        <w:t xml:space="preserve">Pravilnik o kriterijumima i metodološkim standardima za određivanje dobrog stanja i monitoring morske sredine (Službeni list Crne Gore br. 36/21);  </w:t>
      </w:r>
    </w:p>
    <w:p w14:paraId="5E2FB522" w14:textId="77777777" w:rsidR="00F75359" w:rsidRDefault="00F75359" w:rsidP="00F75359">
      <w:pPr>
        <w:numPr>
          <w:ilvl w:val="0"/>
          <w:numId w:val="56"/>
        </w:numPr>
        <w:spacing w:before="0" w:after="0" w:line="259" w:lineRule="auto"/>
        <w:contextualSpacing/>
        <w:jc w:val="left"/>
        <w:rPr>
          <w:rFonts w:eastAsia="Calibri" w:cs="Calibri"/>
          <w:szCs w:val="22"/>
          <w:lang w:val="hr-HR" w:eastAsia="en-US"/>
        </w:rPr>
      </w:pPr>
      <w:r w:rsidRPr="00F75359">
        <w:rPr>
          <w:rFonts w:eastAsia="Calibri" w:cs="Calibri"/>
          <w:szCs w:val="22"/>
          <w:lang w:val="hr-HR" w:eastAsia="en-US"/>
        </w:rPr>
        <w:t xml:space="preserve">Pravilnik o detaljnom sadržaju programa mjera za postizanje, odnosno održavanje dobrog stanja morske sredine (Službeni list Crne Gore br. 36/21);  </w:t>
      </w:r>
    </w:p>
    <w:p w14:paraId="5EF7CBAE" w14:textId="021F0748" w:rsidR="00F75359" w:rsidRPr="00F75359" w:rsidRDefault="00F75359" w:rsidP="00F75359">
      <w:pPr>
        <w:numPr>
          <w:ilvl w:val="0"/>
          <w:numId w:val="56"/>
        </w:numPr>
        <w:spacing w:before="0" w:after="0" w:line="259" w:lineRule="auto"/>
        <w:contextualSpacing/>
        <w:jc w:val="left"/>
        <w:rPr>
          <w:rFonts w:eastAsia="Calibri" w:cs="Calibri"/>
          <w:szCs w:val="22"/>
          <w:lang w:val="hr-HR" w:eastAsia="en-US"/>
        </w:rPr>
      </w:pPr>
      <w:r>
        <w:rPr>
          <w:rFonts w:eastAsia="Calibri" w:cs="Calibri"/>
          <w:szCs w:val="22"/>
          <w:lang w:val="hr-HR" w:eastAsia="en-US"/>
        </w:rPr>
        <w:t>P</w:t>
      </w:r>
      <w:r w:rsidRPr="00F75359">
        <w:rPr>
          <w:rFonts w:eastAsia="Calibri" w:cs="Calibri"/>
          <w:szCs w:val="22"/>
          <w:lang w:val="hr-HR" w:eastAsia="en-US"/>
        </w:rPr>
        <w:t xml:space="preserve">ravilnik </w:t>
      </w:r>
      <w:r>
        <w:rPr>
          <w:rFonts w:eastAsia="Calibri" w:cs="Calibri"/>
          <w:szCs w:val="22"/>
          <w:lang w:val="hr-HR" w:eastAsia="en-US"/>
        </w:rPr>
        <w:t xml:space="preserve"> </w:t>
      </w:r>
      <w:r w:rsidRPr="00F75359">
        <w:rPr>
          <w:rFonts w:eastAsia="Calibri" w:cs="Calibri"/>
          <w:szCs w:val="22"/>
          <w:lang w:val="hr-HR" w:eastAsia="en-US"/>
        </w:rPr>
        <w:t xml:space="preserve">o načinu analize svojstava i karakteristika trenutnog stanja morske sredine, kvalitativnim pokazateljima i načinu određivanja ciljeva i indikatora za ostvarivanje, odnosno održavanje dobrog stanja morske sredine (Službeni list Crne Gore br. 36/21);   </w:t>
      </w:r>
    </w:p>
    <w:p w14:paraId="212BF3A4" w14:textId="601F5C2D" w:rsidR="00B46462" w:rsidRDefault="00F75359" w:rsidP="00F75359">
      <w:pPr>
        <w:numPr>
          <w:ilvl w:val="0"/>
          <w:numId w:val="56"/>
        </w:numPr>
        <w:spacing w:before="0" w:after="0" w:line="259" w:lineRule="auto"/>
        <w:contextualSpacing/>
        <w:jc w:val="left"/>
        <w:rPr>
          <w:rFonts w:eastAsia="Calibri" w:cs="Calibri"/>
          <w:szCs w:val="22"/>
          <w:lang w:val="en-GB" w:eastAsia="hr-HR"/>
        </w:rPr>
      </w:pPr>
      <w:r w:rsidRPr="00F75359">
        <w:rPr>
          <w:rFonts w:eastAsia="Calibri" w:cs="Calibri"/>
          <w:szCs w:val="22"/>
          <w:lang w:val="en-GB" w:eastAsia="hr-HR"/>
        </w:rPr>
        <w:t>Zakon o zaštiti mora od zagađivanja sa plovnih objekata (</w:t>
      </w:r>
      <w:r w:rsidRPr="00F75359">
        <w:rPr>
          <w:rFonts w:eastAsia="Calibri" w:cs="Calibri"/>
          <w:szCs w:val="22"/>
          <w:lang w:val="hr-HR" w:eastAsia="en-US"/>
        </w:rPr>
        <w:t xml:space="preserve">Službeni list Crne Gore br. </w:t>
      </w:r>
      <w:r w:rsidR="00B46462" w:rsidRPr="00F75359">
        <w:rPr>
          <w:rFonts w:eastAsia="Calibri" w:cs="Calibri"/>
          <w:szCs w:val="22"/>
          <w:lang w:val="en-GB" w:eastAsia="hr-HR"/>
        </w:rPr>
        <w:t>20/11, 26/11, 27/14).</w:t>
      </w:r>
    </w:p>
    <w:p w14:paraId="2E20199E" w14:textId="20839220" w:rsidR="00965760" w:rsidRDefault="00965760" w:rsidP="00965760">
      <w:pPr>
        <w:spacing w:before="0" w:after="0" w:line="259" w:lineRule="auto"/>
        <w:contextualSpacing/>
        <w:jc w:val="left"/>
        <w:rPr>
          <w:rFonts w:eastAsia="Calibri" w:cs="Calibri"/>
          <w:szCs w:val="22"/>
          <w:lang w:val="en-GB" w:eastAsia="hr-HR"/>
        </w:rPr>
      </w:pPr>
    </w:p>
    <w:p w14:paraId="2FD7A592" w14:textId="77777777" w:rsidR="00965760" w:rsidRPr="00F75359" w:rsidRDefault="00965760" w:rsidP="00965760">
      <w:pPr>
        <w:spacing w:before="0" w:after="0" w:line="259" w:lineRule="auto"/>
        <w:contextualSpacing/>
        <w:jc w:val="left"/>
        <w:rPr>
          <w:rFonts w:eastAsia="Calibri" w:cs="Calibri"/>
          <w:szCs w:val="22"/>
          <w:lang w:val="en-GB" w:eastAsia="hr-HR"/>
        </w:rPr>
      </w:pPr>
    </w:p>
    <w:p w14:paraId="47CB3CAF" w14:textId="4BF7D2CE" w:rsidR="00B46462" w:rsidRPr="00965760" w:rsidRDefault="00085C0E" w:rsidP="00B46462">
      <w:pPr>
        <w:spacing w:before="0" w:after="0" w:line="259" w:lineRule="auto"/>
        <w:ind w:left="360"/>
        <w:contextualSpacing/>
        <w:rPr>
          <w:rFonts w:eastAsia="Calibri" w:cs="Calibri"/>
          <w:b/>
          <w:szCs w:val="22"/>
          <w:lang w:val="en-GB" w:eastAsia="hr-HR"/>
        </w:rPr>
      </w:pPr>
      <w:r w:rsidRPr="00965760">
        <w:rPr>
          <w:rFonts w:eastAsia="Calibri" w:cs="Calibri"/>
          <w:b/>
          <w:szCs w:val="22"/>
          <w:lang w:val="en-GB" w:eastAsia="hr-HR"/>
        </w:rPr>
        <w:t>Međunarodni nivo</w:t>
      </w:r>
    </w:p>
    <w:p w14:paraId="0D25F6B2" w14:textId="77777777" w:rsidR="00F75359" w:rsidRPr="00F75359" w:rsidRDefault="00F75359" w:rsidP="00F75359">
      <w:pPr>
        <w:pStyle w:val="ListParagraph"/>
        <w:numPr>
          <w:ilvl w:val="0"/>
          <w:numId w:val="57"/>
        </w:numPr>
        <w:spacing w:before="0" w:after="0"/>
        <w:rPr>
          <w:rFonts w:ascii="Calibri-BoldItalic" w:hAnsi="Calibri-BoldItalic" w:cs="Calibri-BoldItalic"/>
          <w:iCs/>
          <w:color w:val="000000"/>
          <w:szCs w:val="22"/>
          <w:lang w:val="en-GB"/>
        </w:rPr>
      </w:pPr>
      <w:r w:rsidRPr="00F75359">
        <w:rPr>
          <w:rFonts w:ascii="Calibri-BoldItalic" w:hAnsi="Calibri-BoldItalic" w:cs="Calibri-BoldItalic"/>
          <w:iCs/>
          <w:color w:val="000000"/>
          <w:szCs w:val="22"/>
          <w:lang w:val="en-GB"/>
        </w:rPr>
        <w:t>Okvirna direktiva o morskoj strategiji (2008/56/EC);</w:t>
      </w:r>
    </w:p>
    <w:p w14:paraId="0475CC9B" w14:textId="77777777" w:rsidR="00F75359" w:rsidRPr="00F75359" w:rsidRDefault="00F75359" w:rsidP="00F75359">
      <w:pPr>
        <w:pStyle w:val="ListParagraph"/>
        <w:numPr>
          <w:ilvl w:val="0"/>
          <w:numId w:val="57"/>
        </w:numPr>
        <w:spacing w:before="0" w:after="0"/>
        <w:rPr>
          <w:rFonts w:ascii="Calibri-BoldItalic" w:hAnsi="Calibri-BoldItalic" w:cs="Calibri-BoldItalic"/>
          <w:iCs/>
          <w:color w:val="000000"/>
          <w:szCs w:val="22"/>
          <w:lang w:val="en-GB"/>
        </w:rPr>
      </w:pPr>
      <w:r w:rsidRPr="00F75359">
        <w:rPr>
          <w:rFonts w:ascii="Calibri-BoldItalic" w:hAnsi="Calibri-BoldItalic" w:cs="Calibri-BoldItalic"/>
          <w:iCs/>
          <w:color w:val="000000"/>
          <w:szCs w:val="22"/>
          <w:lang w:val="en-GB"/>
        </w:rPr>
        <w:t>Direktiva Komisije (EU) 2017/845 o izmjenama i dopunama Direktive 2008/56/ EC).</w:t>
      </w:r>
    </w:p>
    <w:p w14:paraId="363703CA" w14:textId="77777777" w:rsidR="00F75359" w:rsidRPr="00F75359" w:rsidRDefault="00F75359" w:rsidP="00F75359">
      <w:pPr>
        <w:pStyle w:val="ListParagraph"/>
        <w:numPr>
          <w:ilvl w:val="0"/>
          <w:numId w:val="57"/>
        </w:numPr>
        <w:spacing w:before="0" w:after="0"/>
        <w:rPr>
          <w:rFonts w:ascii="Calibri-BoldItalic" w:hAnsi="Calibri-BoldItalic" w:cs="Calibri-BoldItalic"/>
          <w:iCs/>
          <w:color w:val="000000"/>
          <w:szCs w:val="22"/>
          <w:lang w:val="en-GB"/>
        </w:rPr>
      </w:pPr>
      <w:r w:rsidRPr="00F75359">
        <w:rPr>
          <w:rFonts w:ascii="Calibri-BoldItalic" w:hAnsi="Calibri-BoldItalic" w:cs="Calibri-BoldItalic"/>
          <w:iCs/>
          <w:color w:val="000000"/>
          <w:szCs w:val="22"/>
          <w:lang w:val="en-GB"/>
        </w:rPr>
        <w:t>Odluka Komisije (EU) 2017/848</w:t>
      </w:r>
    </w:p>
    <w:p w14:paraId="77994009" w14:textId="77777777" w:rsidR="00F75359" w:rsidRPr="00F75359" w:rsidRDefault="00F75359" w:rsidP="00F75359">
      <w:pPr>
        <w:pStyle w:val="ListParagraph"/>
        <w:numPr>
          <w:ilvl w:val="0"/>
          <w:numId w:val="57"/>
        </w:numPr>
        <w:spacing w:before="0" w:after="0"/>
        <w:rPr>
          <w:rFonts w:ascii="Calibri-BoldItalic" w:hAnsi="Calibri-BoldItalic" w:cs="Calibri-BoldItalic"/>
          <w:iCs/>
          <w:color w:val="000000"/>
          <w:szCs w:val="22"/>
          <w:lang w:val="en-GB"/>
        </w:rPr>
      </w:pPr>
      <w:r w:rsidRPr="00F75359">
        <w:rPr>
          <w:rFonts w:ascii="Calibri-BoldItalic" w:hAnsi="Calibri-BoldItalic" w:cs="Calibri-BoldItalic"/>
          <w:iCs/>
          <w:color w:val="000000"/>
          <w:szCs w:val="22"/>
          <w:lang w:val="en-GB"/>
        </w:rPr>
        <w:t>Okvirna direktiva o vodama (2000/60/EC);</w:t>
      </w:r>
    </w:p>
    <w:p w14:paraId="0DF49DD8" w14:textId="5A876DAA" w:rsidR="00F75359" w:rsidRPr="00F75359" w:rsidRDefault="00F75359" w:rsidP="00F75359">
      <w:pPr>
        <w:numPr>
          <w:ilvl w:val="0"/>
          <w:numId w:val="57"/>
        </w:numPr>
        <w:autoSpaceDE w:val="0"/>
        <w:autoSpaceDN w:val="0"/>
        <w:adjustRightInd w:val="0"/>
        <w:spacing w:before="0" w:after="0" w:line="259" w:lineRule="auto"/>
        <w:jc w:val="left"/>
        <w:rPr>
          <w:rFonts w:eastAsia="Calibri" w:cs="Calibri"/>
          <w:szCs w:val="22"/>
          <w:lang w:val="hr-HR" w:eastAsia="en-US"/>
        </w:rPr>
      </w:pPr>
      <w:r w:rsidRPr="00F75359">
        <w:rPr>
          <w:rFonts w:eastAsia="Calibri" w:cs="Calibri"/>
          <w:szCs w:val="22"/>
          <w:lang w:val="hr-HR" w:eastAsia="en-US"/>
        </w:rPr>
        <w:t>Direktiva o zagađivanju brodova i krivične kazne 2005/35 / EC (sa izmjenama i dopunama);</w:t>
      </w:r>
    </w:p>
    <w:p w14:paraId="4CF5CD97" w14:textId="1AB15627" w:rsidR="00B46462" w:rsidRPr="00F75359" w:rsidRDefault="00F75359" w:rsidP="00F75359">
      <w:pPr>
        <w:numPr>
          <w:ilvl w:val="0"/>
          <w:numId w:val="57"/>
        </w:numPr>
        <w:autoSpaceDE w:val="0"/>
        <w:autoSpaceDN w:val="0"/>
        <w:adjustRightInd w:val="0"/>
        <w:spacing w:before="0" w:after="0" w:line="259" w:lineRule="auto"/>
        <w:jc w:val="left"/>
        <w:rPr>
          <w:rFonts w:eastAsia="Calibri" w:cs="Calibri"/>
          <w:szCs w:val="22"/>
          <w:lang w:val="hr-HR" w:eastAsia="en-US"/>
        </w:rPr>
      </w:pPr>
      <w:r w:rsidRPr="00F75359">
        <w:rPr>
          <w:rFonts w:eastAsia="Calibri" w:cs="Calibri"/>
          <w:szCs w:val="22"/>
          <w:lang w:val="hr-HR" w:eastAsia="en-US"/>
        </w:rPr>
        <w:t>Regulativa o prioritetnim organskim zagađivačima (EC) br. 850/2004, izmijenjena Regulativom (EU) br. 519/2012 (posebno Aneks I);</w:t>
      </w:r>
      <w:r w:rsidR="00B46462" w:rsidRPr="00F75359">
        <w:rPr>
          <w:rFonts w:eastAsia="Calibri" w:cs="Calibri"/>
          <w:szCs w:val="22"/>
          <w:lang w:val="hr-HR" w:eastAsia="en-US"/>
        </w:rPr>
        <w:t xml:space="preserve"> </w:t>
      </w:r>
    </w:p>
    <w:p w14:paraId="1692479C" w14:textId="77777777" w:rsidR="00F75359" w:rsidRPr="00F75359" w:rsidRDefault="00F75359" w:rsidP="00F75359">
      <w:pPr>
        <w:numPr>
          <w:ilvl w:val="0"/>
          <w:numId w:val="57"/>
        </w:numPr>
        <w:autoSpaceDE w:val="0"/>
        <w:autoSpaceDN w:val="0"/>
        <w:adjustRightInd w:val="0"/>
        <w:spacing w:before="0" w:after="0" w:line="259" w:lineRule="auto"/>
        <w:jc w:val="left"/>
        <w:rPr>
          <w:rFonts w:eastAsia="Calibri" w:cs="Calibri"/>
          <w:szCs w:val="22"/>
          <w:lang w:val="hr-HR" w:eastAsia="en-US"/>
        </w:rPr>
      </w:pPr>
      <w:r w:rsidRPr="00F75359">
        <w:rPr>
          <w:rFonts w:eastAsia="Calibri" w:cs="Calibri"/>
          <w:szCs w:val="22"/>
          <w:lang w:val="hr-HR" w:eastAsia="en-US"/>
        </w:rPr>
        <w:t>Direktiva o održivoj upotrebi pesticida (2009/128 /EC);</w:t>
      </w:r>
    </w:p>
    <w:p w14:paraId="3245A6BE" w14:textId="77777777" w:rsidR="00F75359" w:rsidRPr="00F75359" w:rsidRDefault="00F75359" w:rsidP="00F75359">
      <w:pPr>
        <w:numPr>
          <w:ilvl w:val="0"/>
          <w:numId w:val="57"/>
        </w:numPr>
        <w:autoSpaceDE w:val="0"/>
        <w:autoSpaceDN w:val="0"/>
        <w:adjustRightInd w:val="0"/>
        <w:spacing w:before="0" w:after="0" w:line="259" w:lineRule="auto"/>
        <w:jc w:val="left"/>
        <w:rPr>
          <w:rFonts w:eastAsia="Calibri" w:cs="Calibri"/>
          <w:szCs w:val="22"/>
          <w:lang w:val="hr-HR" w:eastAsia="en-US"/>
        </w:rPr>
      </w:pPr>
      <w:r w:rsidRPr="00F75359">
        <w:rPr>
          <w:rFonts w:eastAsia="Calibri" w:cs="Calibri"/>
          <w:szCs w:val="22"/>
          <w:lang w:val="hr-HR" w:eastAsia="en-US"/>
        </w:rPr>
        <w:t>Integrisano sprečavanje i kontrola zagađenja - Direktiva o industrijskim emisijama 2010/75 / EU;</w:t>
      </w:r>
    </w:p>
    <w:p w14:paraId="2EE0A290" w14:textId="77777777" w:rsidR="00F75359" w:rsidRPr="00F75359" w:rsidRDefault="00F75359" w:rsidP="00F75359">
      <w:pPr>
        <w:numPr>
          <w:ilvl w:val="0"/>
          <w:numId w:val="57"/>
        </w:numPr>
        <w:autoSpaceDE w:val="0"/>
        <w:autoSpaceDN w:val="0"/>
        <w:adjustRightInd w:val="0"/>
        <w:spacing w:before="0" w:after="0" w:line="259" w:lineRule="auto"/>
        <w:jc w:val="left"/>
        <w:rPr>
          <w:rFonts w:eastAsia="Calibri" w:cs="Calibri"/>
          <w:szCs w:val="22"/>
          <w:lang w:val="hr-HR" w:eastAsia="en-US"/>
        </w:rPr>
      </w:pPr>
      <w:r w:rsidRPr="00F75359">
        <w:rPr>
          <w:rFonts w:eastAsia="Calibri" w:cs="Calibri"/>
          <w:szCs w:val="22"/>
          <w:lang w:val="hr-HR" w:eastAsia="en-US"/>
        </w:rPr>
        <w:t>Direktiva o opasnim supstancama (2006/11 / EC);</w:t>
      </w:r>
    </w:p>
    <w:p w14:paraId="2201833A" w14:textId="77777777" w:rsidR="00F75359" w:rsidRPr="00F75359" w:rsidRDefault="00F75359" w:rsidP="00F75359">
      <w:pPr>
        <w:numPr>
          <w:ilvl w:val="0"/>
          <w:numId w:val="57"/>
        </w:numPr>
        <w:autoSpaceDE w:val="0"/>
        <w:autoSpaceDN w:val="0"/>
        <w:adjustRightInd w:val="0"/>
        <w:spacing w:before="0" w:after="0" w:line="259" w:lineRule="auto"/>
        <w:jc w:val="left"/>
        <w:rPr>
          <w:rFonts w:eastAsia="Calibri" w:cs="Calibri"/>
          <w:szCs w:val="22"/>
          <w:lang w:val="hr-HR" w:eastAsia="en-US"/>
        </w:rPr>
      </w:pPr>
      <w:r w:rsidRPr="00F75359">
        <w:rPr>
          <w:rFonts w:eastAsia="Calibri" w:cs="Calibri"/>
          <w:szCs w:val="22"/>
          <w:lang w:val="hr-HR" w:eastAsia="en-US"/>
        </w:rPr>
        <w:t>Direktiva o kontroli opasnosti od velikih nesreća koja uključuje opasne supstance (2012/18 / EU);</w:t>
      </w:r>
    </w:p>
    <w:p w14:paraId="72D8535A" w14:textId="446C75D8" w:rsidR="00F75359" w:rsidRPr="00F75359" w:rsidRDefault="00F75359" w:rsidP="00F75359">
      <w:pPr>
        <w:numPr>
          <w:ilvl w:val="0"/>
          <w:numId w:val="57"/>
        </w:numPr>
        <w:autoSpaceDE w:val="0"/>
        <w:autoSpaceDN w:val="0"/>
        <w:adjustRightInd w:val="0"/>
        <w:spacing w:before="0" w:after="0" w:line="259" w:lineRule="auto"/>
        <w:jc w:val="left"/>
        <w:rPr>
          <w:rFonts w:eastAsia="Calibri" w:cs="Calibri"/>
          <w:szCs w:val="22"/>
          <w:lang w:val="hr-HR" w:eastAsia="en-US"/>
        </w:rPr>
      </w:pPr>
      <w:r w:rsidRPr="00F75359">
        <w:rPr>
          <w:rFonts w:eastAsia="Calibri" w:cs="Calibri"/>
          <w:szCs w:val="22"/>
          <w:lang w:val="hr-HR" w:eastAsia="en-US"/>
        </w:rPr>
        <w:t>Direktiva EC o prihvatnim objektima (2000/59 / EC, izmjenjena 2002/84 / EC, Direktiva 2007/71 / EC;</w:t>
      </w:r>
    </w:p>
    <w:p w14:paraId="07347DE8" w14:textId="77777777" w:rsidR="00F75359" w:rsidRPr="00F75359" w:rsidRDefault="00F75359" w:rsidP="00F75359">
      <w:pPr>
        <w:numPr>
          <w:ilvl w:val="0"/>
          <w:numId w:val="57"/>
        </w:numPr>
        <w:spacing w:before="0" w:after="160" w:line="259" w:lineRule="auto"/>
        <w:contextualSpacing/>
        <w:jc w:val="left"/>
        <w:rPr>
          <w:rFonts w:eastAsia="Calibri"/>
          <w:szCs w:val="22"/>
          <w:lang w:val="hr-HR" w:eastAsia="en-US"/>
        </w:rPr>
      </w:pPr>
      <w:r w:rsidRPr="00F75359">
        <w:rPr>
          <w:rFonts w:eastAsia="Calibri" w:cs="Calibri"/>
          <w:szCs w:val="22"/>
          <w:lang w:val="hr-HR" w:eastAsia="en-US"/>
        </w:rPr>
        <w:t>Direktiva o odgovornosti za životnu sredinu (2004/35 / EC) (sa izmijenama i dopunama);</w:t>
      </w:r>
    </w:p>
    <w:p w14:paraId="7F49E885" w14:textId="03CED0BA" w:rsidR="00B46462" w:rsidRPr="00F75359" w:rsidRDefault="00F75359" w:rsidP="00F75359">
      <w:pPr>
        <w:numPr>
          <w:ilvl w:val="0"/>
          <w:numId w:val="57"/>
        </w:numPr>
        <w:spacing w:before="0" w:after="160" w:line="259" w:lineRule="auto"/>
        <w:contextualSpacing/>
        <w:jc w:val="left"/>
        <w:rPr>
          <w:rFonts w:eastAsia="Calibri"/>
          <w:szCs w:val="22"/>
          <w:lang w:val="hr-HR" w:eastAsia="en-US"/>
        </w:rPr>
      </w:pPr>
      <w:r w:rsidRPr="00F75359">
        <w:rPr>
          <w:rFonts w:eastAsia="Calibri"/>
          <w:szCs w:val="22"/>
          <w:lang w:val="hr-HR" w:eastAsia="en-US"/>
        </w:rPr>
        <w:t>Direktiva o sigurnosti priobalnih naftnih i gasnih operacija na moru (2013/30/EU)</w:t>
      </w:r>
    </w:p>
    <w:p w14:paraId="2F498FA2" w14:textId="77777777" w:rsidR="00B46462" w:rsidRPr="001C6CCA" w:rsidRDefault="00B46462" w:rsidP="00F65CFF">
      <w:pPr>
        <w:autoSpaceDE w:val="0"/>
        <w:autoSpaceDN w:val="0"/>
        <w:adjustRightInd w:val="0"/>
        <w:spacing w:before="0" w:after="0" w:line="259" w:lineRule="auto"/>
        <w:jc w:val="center"/>
        <w:rPr>
          <w:rFonts w:eastAsia="Calibri" w:cs="Calibri"/>
          <w:sz w:val="20"/>
          <w:szCs w:val="20"/>
          <w:lang w:val="en-GB" w:eastAsia="en-US"/>
        </w:rPr>
      </w:pPr>
    </w:p>
    <w:p w14:paraId="5FB27969" w14:textId="2B583CAF" w:rsidR="00085672" w:rsidRPr="00965760" w:rsidRDefault="00085672" w:rsidP="00085672">
      <w:pPr>
        <w:pStyle w:val="Heading3"/>
        <w:rPr>
          <w:rFonts w:eastAsia="Calibri"/>
          <w:lang w:val="en-GB"/>
        </w:rPr>
      </w:pPr>
      <w:bookmarkStart w:id="184" w:name="_Toc83630935"/>
      <w:bookmarkStart w:id="185" w:name="_Toc69678385"/>
      <w:r w:rsidRPr="00085672">
        <w:rPr>
          <w:rFonts w:eastAsia="Calibri"/>
          <w:color w:val="365F91"/>
          <w:lang w:val="en-GB"/>
        </w:rPr>
        <w:t>Odabir kriterijuma za procjenu GES-a</w:t>
      </w:r>
      <w:bookmarkEnd w:id="184"/>
      <w:r w:rsidRPr="00085672">
        <w:rPr>
          <w:rFonts w:eastAsia="Calibri"/>
          <w:color w:val="365F91"/>
          <w:lang w:val="en-GB"/>
        </w:rPr>
        <w:t xml:space="preserve"> </w:t>
      </w:r>
      <w:bookmarkEnd w:id="185"/>
    </w:p>
    <w:p w14:paraId="13EDC66A" w14:textId="77777777" w:rsidR="00085672" w:rsidRPr="005A1C76" w:rsidRDefault="00085672" w:rsidP="00085672">
      <w:pPr>
        <w:autoSpaceDE w:val="0"/>
        <w:autoSpaceDN w:val="0"/>
        <w:adjustRightInd w:val="0"/>
        <w:spacing w:after="0"/>
        <w:rPr>
          <w:rFonts w:eastAsia="Calibri" w:cs="Calibri"/>
          <w:color w:val="000000"/>
          <w:lang w:val="en-GB"/>
        </w:rPr>
      </w:pPr>
      <w:r w:rsidRPr="005A1C76">
        <w:rPr>
          <w:rFonts w:eastAsia="Calibri" w:cs="Calibri"/>
          <w:color w:val="000000"/>
          <w:lang w:val="en-GB"/>
        </w:rPr>
        <w:t>Određivanje GES karakteristika zasniva se na kriterijumima utvrđenim Commission Decision 2017/848/EU i rukovodeći se indikativnom listom elemenata iz Annex III of Commission Directive 2017/845 amending Directive 2008/56/EC.</w:t>
      </w:r>
    </w:p>
    <w:p w14:paraId="23E19598" w14:textId="77777777" w:rsidR="00085672" w:rsidRPr="005A1C76" w:rsidRDefault="00085672" w:rsidP="00085672">
      <w:pPr>
        <w:autoSpaceDE w:val="0"/>
        <w:autoSpaceDN w:val="0"/>
        <w:adjustRightInd w:val="0"/>
        <w:spacing w:after="0"/>
        <w:rPr>
          <w:rFonts w:eastAsia="Calibri" w:cs="Calibri"/>
          <w:color w:val="000000"/>
          <w:lang w:val="en-GB"/>
        </w:rPr>
      </w:pPr>
      <w:r w:rsidRPr="005A1C76">
        <w:rPr>
          <w:rFonts w:eastAsia="Calibri" w:cs="Calibri"/>
          <w:color w:val="000000"/>
          <w:lang w:val="en-GB"/>
        </w:rPr>
        <w:t xml:space="preserve">U ovom tekstu procjena GES-a za Deskriptor 8 zasnovana je na primarnim kriterijumima - D8C1 i D8C3 (Tabela 2.26). </w:t>
      </w:r>
    </w:p>
    <w:p w14:paraId="2B21243D" w14:textId="77777777" w:rsidR="006E396B" w:rsidRPr="001C6CCA" w:rsidRDefault="006E396B" w:rsidP="00F65CFF">
      <w:pPr>
        <w:autoSpaceDE w:val="0"/>
        <w:autoSpaceDN w:val="0"/>
        <w:adjustRightInd w:val="0"/>
        <w:spacing w:before="0" w:after="0"/>
        <w:rPr>
          <w:rFonts w:eastAsia="Calibri" w:cs="Calibri"/>
          <w:color w:val="000000"/>
          <w:szCs w:val="22"/>
          <w:lang w:val="en-GB" w:eastAsia="en-US"/>
        </w:rPr>
      </w:pPr>
    </w:p>
    <w:p w14:paraId="4F6FE5C9" w14:textId="1BE15D51" w:rsidR="00035B39" w:rsidRPr="00A0605E" w:rsidRDefault="00837141" w:rsidP="00A0605E">
      <w:pPr>
        <w:spacing w:before="0" w:after="200"/>
        <w:rPr>
          <w:rFonts w:eastAsia="Calibri"/>
          <w:b/>
          <w:szCs w:val="22"/>
          <w:lang w:eastAsia="en-US"/>
        </w:rPr>
      </w:pPr>
      <w:bookmarkStart w:id="186" w:name="_Toc83643172"/>
      <w:r w:rsidRPr="001C6CCA">
        <w:rPr>
          <w:rFonts w:eastAsia="Calibri"/>
          <w:b/>
          <w:iCs/>
          <w:szCs w:val="22"/>
          <w:lang w:val="en-GB" w:eastAsia="en-US"/>
        </w:rPr>
        <w:t>Tab</w:t>
      </w:r>
      <w:r w:rsidR="00085672">
        <w:rPr>
          <w:rFonts w:eastAsia="Calibri"/>
          <w:b/>
          <w:iCs/>
          <w:szCs w:val="22"/>
          <w:lang w:val="en-GB" w:eastAsia="en-US"/>
        </w:rPr>
        <w:t>ela</w:t>
      </w:r>
      <w:r w:rsidRPr="001C6CCA">
        <w:rPr>
          <w:rFonts w:eastAsia="Calibri"/>
          <w:b/>
          <w:iCs/>
          <w:szCs w:val="22"/>
          <w:lang w:val="en-GB" w:eastAsia="en-US"/>
        </w:rPr>
        <w:t xml:space="preserve"> </w:t>
      </w:r>
      <w:r w:rsidR="003415D9" w:rsidRPr="00D932B6">
        <w:rPr>
          <w:b/>
          <w:szCs w:val="22"/>
        </w:rPr>
        <w:fldChar w:fldCharType="begin"/>
      </w:r>
      <w:r w:rsidR="003415D9" w:rsidRPr="00D932B6">
        <w:rPr>
          <w:b/>
          <w:szCs w:val="22"/>
        </w:rPr>
        <w:instrText xml:space="preserve"> STYLEREF 1 \s </w:instrText>
      </w:r>
      <w:r w:rsidR="003415D9" w:rsidRPr="00D932B6">
        <w:rPr>
          <w:b/>
          <w:szCs w:val="22"/>
        </w:rPr>
        <w:fldChar w:fldCharType="separate"/>
      </w:r>
      <w:r w:rsidR="000D1E20">
        <w:rPr>
          <w:b/>
          <w:noProof/>
          <w:szCs w:val="22"/>
        </w:rPr>
        <w:t>2</w:t>
      </w:r>
      <w:r w:rsidR="003415D9" w:rsidRPr="00D932B6">
        <w:rPr>
          <w:b/>
          <w:szCs w:val="22"/>
        </w:rPr>
        <w:fldChar w:fldCharType="end"/>
      </w:r>
      <w:r w:rsidR="003415D9" w:rsidRPr="00D932B6">
        <w:rPr>
          <w:b/>
          <w:szCs w:val="22"/>
        </w:rPr>
        <w:t>.</w:t>
      </w:r>
      <w:r w:rsidR="003415D9" w:rsidRPr="00D932B6">
        <w:rPr>
          <w:b/>
          <w:szCs w:val="22"/>
        </w:rPr>
        <w:fldChar w:fldCharType="begin"/>
      </w:r>
      <w:r w:rsidR="003415D9" w:rsidRPr="00D932B6">
        <w:rPr>
          <w:b/>
          <w:szCs w:val="22"/>
        </w:rPr>
        <w:instrText xml:space="preserve"> SEQ Table \* ARABIC \s 1 </w:instrText>
      </w:r>
      <w:r w:rsidR="003415D9" w:rsidRPr="00D932B6">
        <w:rPr>
          <w:b/>
          <w:szCs w:val="22"/>
        </w:rPr>
        <w:fldChar w:fldCharType="separate"/>
      </w:r>
      <w:r w:rsidR="000D1E20">
        <w:rPr>
          <w:b/>
          <w:noProof/>
          <w:szCs w:val="22"/>
        </w:rPr>
        <w:t>14</w:t>
      </w:r>
      <w:r w:rsidR="003415D9" w:rsidRPr="00D932B6">
        <w:rPr>
          <w:b/>
          <w:szCs w:val="22"/>
        </w:rPr>
        <w:fldChar w:fldCharType="end"/>
      </w:r>
      <w:r w:rsidR="003415D9">
        <w:rPr>
          <w:b/>
          <w:szCs w:val="22"/>
        </w:rPr>
        <w:t>.</w:t>
      </w:r>
      <w:r w:rsidR="003415D9" w:rsidRPr="001C6CCA">
        <w:rPr>
          <w:rFonts w:eastAsia="Calibri" w:cs="Calibri"/>
          <w:b/>
          <w:szCs w:val="22"/>
          <w:lang w:val="en-GB" w:eastAsia="en-US"/>
        </w:rPr>
        <w:t xml:space="preserve"> </w:t>
      </w:r>
      <w:r w:rsidR="00A0605E" w:rsidRPr="0046315C">
        <w:rPr>
          <w:rFonts w:eastAsia="Calibri"/>
          <w:b/>
          <w:szCs w:val="22"/>
          <w:lang w:eastAsia="en-US"/>
        </w:rPr>
        <w:t xml:space="preserve">Pregled odabranih kriterijuma za procjenu </w:t>
      </w:r>
      <w:r w:rsidR="00A0605E">
        <w:rPr>
          <w:rFonts w:eastAsia="Calibri"/>
          <w:b/>
          <w:szCs w:val="22"/>
          <w:lang w:eastAsia="en-US"/>
        </w:rPr>
        <w:t>GES-a</w:t>
      </w:r>
      <w:r w:rsidR="00A0605E" w:rsidRPr="0046315C">
        <w:rPr>
          <w:rFonts w:eastAsia="Calibri"/>
          <w:b/>
          <w:szCs w:val="22"/>
          <w:lang w:eastAsia="en-US"/>
        </w:rPr>
        <w:t xml:space="preserve"> za Deskriptor </w:t>
      </w:r>
      <w:r w:rsidR="00A0605E">
        <w:rPr>
          <w:rFonts w:eastAsia="Calibri"/>
          <w:b/>
          <w:szCs w:val="22"/>
          <w:lang w:eastAsia="en-US"/>
        </w:rPr>
        <w:t>8</w:t>
      </w:r>
      <w:r w:rsidR="00A0605E" w:rsidRPr="0046315C">
        <w:rPr>
          <w:rFonts w:eastAsia="Calibri"/>
          <w:b/>
          <w:szCs w:val="22"/>
          <w:lang w:eastAsia="en-US"/>
        </w:rPr>
        <w:t xml:space="preserve"> prema Odluci Komisije 2017/848/EU</w:t>
      </w:r>
      <w:bookmarkEnd w:id="186"/>
    </w:p>
    <w:tbl>
      <w:tblPr>
        <w:tblStyle w:val="GolderTable3"/>
        <w:tblW w:w="0" w:type="auto"/>
        <w:tblInd w:w="-147" w:type="dxa"/>
        <w:tblLook w:val="04A0" w:firstRow="1" w:lastRow="0" w:firstColumn="1" w:lastColumn="0" w:noHBand="0" w:noVBand="1"/>
      </w:tblPr>
      <w:tblGrid>
        <w:gridCol w:w="3162"/>
        <w:gridCol w:w="4761"/>
        <w:gridCol w:w="1245"/>
      </w:tblGrid>
      <w:tr w:rsidR="00085672" w:rsidRPr="005A1C76" w14:paraId="108C1FB7" w14:textId="77777777" w:rsidTr="00DA1779">
        <w:trPr>
          <w:tblHeader/>
        </w:trPr>
        <w:tc>
          <w:tcPr>
            <w:tcW w:w="32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2AAC49F3" w14:textId="77777777" w:rsidR="00085672" w:rsidRPr="00965760" w:rsidRDefault="00085672" w:rsidP="00085672">
            <w:pPr>
              <w:rPr>
                <w:rFonts w:eastAsia="Calibri" w:cs="Times New Roman"/>
                <w:b/>
                <w:color w:val="FFFFFF" w:themeColor="background1"/>
                <w:sz w:val="20"/>
                <w:szCs w:val="20"/>
                <w:lang w:val="en-GB"/>
              </w:rPr>
            </w:pPr>
            <w:r w:rsidRPr="00965760">
              <w:rPr>
                <w:rFonts w:eastAsia="Calibri" w:cs="Calibri"/>
                <w:b/>
                <w:color w:val="FFFFFF" w:themeColor="background1"/>
                <w:sz w:val="20"/>
                <w:szCs w:val="20"/>
                <w:lang w:val="en-GB"/>
              </w:rPr>
              <w:t xml:space="preserve">Elementi kriterijuma </w:t>
            </w:r>
          </w:p>
        </w:tc>
        <w:tc>
          <w:tcPr>
            <w:tcW w:w="5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2E9DBFAD" w14:textId="77777777" w:rsidR="00085672" w:rsidRPr="00965760" w:rsidRDefault="00085672" w:rsidP="00085672">
            <w:pPr>
              <w:autoSpaceDE w:val="0"/>
              <w:autoSpaceDN w:val="0"/>
              <w:adjustRightInd w:val="0"/>
              <w:rPr>
                <w:rFonts w:eastAsia="Calibri" w:cs="Calibri"/>
                <w:b/>
                <w:color w:val="FFFFFF" w:themeColor="background1"/>
                <w:sz w:val="20"/>
                <w:szCs w:val="20"/>
                <w:lang w:val="en-GB"/>
              </w:rPr>
            </w:pPr>
            <w:r w:rsidRPr="00965760">
              <w:rPr>
                <w:rFonts w:eastAsia="Calibri" w:cs="Calibri"/>
                <w:b/>
                <w:color w:val="FFFFFF" w:themeColor="background1"/>
                <w:sz w:val="20"/>
                <w:szCs w:val="20"/>
                <w:lang w:val="en-GB"/>
              </w:rPr>
              <w:t>Kriterijumi</w:t>
            </w:r>
          </w:p>
          <w:p w14:paraId="74CF25DD" w14:textId="77777777" w:rsidR="00085672" w:rsidRPr="00965760" w:rsidRDefault="00085672" w:rsidP="00085672">
            <w:pPr>
              <w:autoSpaceDE w:val="0"/>
              <w:autoSpaceDN w:val="0"/>
              <w:adjustRightInd w:val="0"/>
              <w:rPr>
                <w:rFonts w:eastAsia="Calibri" w:cs="Calibri"/>
                <w:b/>
                <w:color w:val="FFFFFF" w:themeColor="background1"/>
                <w:sz w:val="20"/>
                <w:szCs w:val="20"/>
                <w:lang w:val="en-GB"/>
              </w:rPr>
            </w:pPr>
          </w:p>
        </w:tc>
        <w:tc>
          <w:tcPr>
            <w:tcW w:w="11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49EC7D34" w14:textId="7B4AE69A" w:rsidR="00085672" w:rsidRPr="00965760" w:rsidRDefault="00A0605E" w:rsidP="00A0605E">
            <w:pPr>
              <w:autoSpaceDE w:val="0"/>
              <w:autoSpaceDN w:val="0"/>
              <w:adjustRightInd w:val="0"/>
              <w:jc w:val="left"/>
              <w:rPr>
                <w:rFonts w:eastAsia="Calibri" w:cs="Calibri"/>
                <w:b/>
                <w:color w:val="FFFFFF" w:themeColor="background1"/>
                <w:sz w:val="20"/>
                <w:szCs w:val="20"/>
                <w:lang w:val="en-GB"/>
              </w:rPr>
            </w:pPr>
            <w:r w:rsidRPr="00965760">
              <w:rPr>
                <w:rFonts w:eastAsia="Calibri" w:cs="Calibri"/>
                <w:b/>
                <w:color w:val="FFFFFF" w:themeColor="background1"/>
                <w:sz w:val="20"/>
                <w:szCs w:val="20"/>
                <w:lang w:val="en-GB"/>
              </w:rPr>
              <w:t>CG</w:t>
            </w:r>
            <w:r w:rsidR="00085672" w:rsidRPr="00965760">
              <w:rPr>
                <w:rFonts w:eastAsia="Calibri" w:cs="Calibri"/>
                <w:b/>
                <w:color w:val="FFFFFF" w:themeColor="background1"/>
                <w:sz w:val="20"/>
                <w:szCs w:val="20"/>
                <w:lang w:val="en-GB"/>
              </w:rPr>
              <w:t xml:space="preserve"> GES obuhvata </w:t>
            </w:r>
            <w:r w:rsidR="00085672" w:rsidRPr="00965760">
              <w:rPr>
                <w:rFonts w:eastAsia="Calibri" w:cs="Times New Roman"/>
                <w:b/>
                <w:color w:val="FFFFFF" w:themeColor="background1"/>
                <w:sz w:val="20"/>
                <w:szCs w:val="20"/>
                <w:vertAlign w:val="superscript"/>
                <w:lang w:val="en-GB"/>
              </w:rPr>
              <w:footnoteReference w:id="31"/>
            </w:r>
          </w:p>
        </w:tc>
      </w:tr>
      <w:tr w:rsidR="00085672" w:rsidRPr="005A1C76" w14:paraId="5960EF94" w14:textId="77777777" w:rsidTr="00605469">
        <w:tc>
          <w:tcPr>
            <w:tcW w:w="3298" w:type="dxa"/>
            <w:tcBorders>
              <w:top w:val="single" w:sz="4" w:space="0" w:color="FFFFFF" w:themeColor="background1"/>
            </w:tcBorders>
          </w:tcPr>
          <w:p w14:paraId="6AA97191" w14:textId="77777777" w:rsidR="00085672" w:rsidRPr="005A1C76" w:rsidRDefault="00085672" w:rsidP="00085672">
            <w:pPr>
              <w:rPr>
                <w:rFonts w:eastAsia="Calibri" w:cs="Calibri"/>
                <w:w w:val="105"/>
                <w:sz w:val="20"/>
                <w:szCs w:val="20"/>
                <w:lang w:val="en-GB"/>
              </w:rPr>
            </w:pPr>
            <w:r w:rsidRPr="005A1C76">
              <w:rPr>
                <w:rFonts w:eastAsia="Calibri" w:cs="Calibri"/>
                <w:w w:val="105"/>
                <w:sz w:val="20"/>
                <w:szCs w:val="20"/>
                <w:lang w:val="en-GB"/>
              </w:rPr>
              <w:t>U priobalnim i teritorijalnim vodama:</w:t>
            </w:r>
          </w:p>
          <w:p w14:paraId="0176A976" w14:textId="77777777" w:rsidR="00085672" w:rsidRPr="005A1C76" w:rsidRDefault="00085672" w:rsidP="00085672">
            <w:pPr>
              <w:rPr>
                <w:rFonts w:eastAsia="Calibri" w:cs="Calibri"/>
                <w:w w:val="105"/>
                <w:sz w:val="20"/>
                <w:szCs w:val="20"/>
                <w:lang w:val="en-GB"/>
              </w:rPr>
            </w:pPr>
            <w:r w:rsidRPr="005A1C76">
              <w:rPr>
                <w:rFonts w:eastAsia="Calibri" w:cs="Calibri"/>
                <w:w w:val="105"/>
                <w:sz w:val="20"/>
                <w:szCs w:val="20"/>
                <w:lang w:val="en-GB"/>
              </w:rPr>
              <w:t>(a) zagađivači izabrani u skladu sa Directive 2000/60/EC:</w:t>
            </w:r>
          </w:p>
          <w:p w14:paraId="404FC8EB" w14:textId="77777777" w:rsidR="00085672" w:rsidRPr="005A1C76" w:rsidRDefault="00085672" w:rsidP="00085672">
            <w:pPr>
              <w:rPr>
                <w:rFonts w:eastAsia="Calibri" w:cs="Calibri"/>
                <w:w w:val="105"/>
                <w:sz w:val="20"/>
                <w:szCs w:val="20"/>
                <w:lang w:val="en-GB"/>
              </w:rPr>
            </w:pPr>
            <w:r w:rsidRPr="005A1C76">
              <w:rPr>
                <w:rFonts w:eastAsia="Calibri" w:cs="Calibri"/>
                <w:w w:val="105"/>
                <w:sz w:val="20"/>
                <w:szCs w:val="20"/>
                <w:lang w:val="en-GB"/>
              </w:rPr>
              <w:t>(I) zagađivači za koje je standard kvaliteta životne sredine utvrđen u delu A Annex I, Directive 2008/105/EC;</w:t>
            </w:r>
          </w:p>
          <w:p w14:paraId="4FDBA9ED" w14:textId="77777777" w:rsidR="00085672" w:rsidRPr="005A1C76" w:rsidRDefault="00085672" w:rsidP="00085672">
            <w:pPr>
              <w:rPr>
                <w:rFonts w:eastAsia="Calibri" w:cs="Calibri"/>
                <w:w w:val="105"/>
                <w:sz w:val="20"/>
                <w:szCs w:val="20"/>
                <w:lang w:val="en-GB"/>
              </w:rPr>
            </w:pPr>
            <w:r w:rsidRPr="005A1C76">
              <w:rPr>
                <w:rFonts w:eastAsia="Calibri" w:cs="Calibri"/>
                <w:w w:val="105"/>
                <w:sz w:val="20"/>
                <w:szCs w:val="20"/>
                <w:lang w:val="en-GB"/>
              </w:rPr>
              <w:t>(b) druge zagađujuće supstance, ako su relevantni, na primjer iz “offshore” morskih izvora, koje još nisu identifikovane u tački (a) i koje mogu dovesti do efekata zagađenja u regiji ili podregiju.</w:t>
            </w:r>
          </w:p>
          <w:p w14:paraId="3912C423" w14:textId="77777777" w:rsidR="00085672" w:rsidRPr="005A1C76" w:rsidRDefault="00085672" w:rsidP="00085672">
            <w:pPr>
              <w:rPr>
                <w:rFonts w:eastAsia="Calibri" w:cs="Calibri"/>
                <w:bCs/>
                <w:color w:val="000000"/>
                <w:sz w:val="20"/>
                <w:szCs w:val="20"/>
                <w:lang w:val="en-GB"/>
              </w:rPr>
            </w:pPr>
          </w:p>
        </w:tc>
        <w:tc>
          <w:tcPr>
            <w:tcW w:w="5066" w:type="dxa"/>
            <w:tcBorders>
              <w:top w:val="single" w:sz="4" w:space="0" w:color="FFFFFF" w:themeColor="background1"/>
            </w:tcBorders>
          </w:tcPr>
          <w:p w14:paraId="1FFB40CB" w14:textId="77777777" w:rsidR="00085672" w:rsidRPr="005A1C76" w:rsidRDefault="00085672" w:rsidP="00085672">
            <w:pPr>
              <w:rPr>
                <w:rFonts w:eastAsia="Calibri" w:cs="Calibri"/>
                <w:b/>
                <w:sz w:val="20"/>
                <w:szCs w:val="20"/>
                <w:lang w:val="en-GB"/>
              </w:rPr>
            </w:pPr>
            <w:r w:rsidRPr="005A1C76">
              <w:rPr>
                <w:rFonts w:eastAsia="Calibri" w:cs="Calibri"/>
                <w:b/>
                <w:sz w:val="20"/>
                <w:szCs w:val="20"/>
                <w:lang w:val="en-GB"/>
              </w:rPr>
              <w:t>D8C1 — Primarni:</w:t>
            </w:r>
          </w:p>
          <w:p w14:paraId="04F16991" w14:textId="77777777" w:rsidR="00085672" w:rsidRPr="005A1C76" w:rsidRDefault="00085672" w:rsidP="00085672">
            <w:pPr>
              <w:rPr>
                <w:rFonts w:eastAsia="Calibri" w:cs="Calibri"/>
                <w:w w:val="105"/>
                <w:sz w:val="20"/>
                <w:szCs w:val="20"/>
                <w:lang w:val="en-GB"/>
              </w:rPr>
            </w:pPr>
            <w:r w:rsidRPr="005A1C76">
              <w:rPr>
                <w:rFonts w:eastAsia="Calibri" w:cs="Calibri"/>
                <w:w w:val="105"/>
                <w:sz w:val="20"/>
                <w:szCs w:val="20"/>
                <w:lang w:val="en-GB"/>
              </w:rPr>
              <w:t>U priobalnim i teritorijalnim vodama koncentracije zagađujućih supstanci ne prelaze sledeće granične vrijednosti:</w:t>
            </w:r>
          </w:p>
          <w:p w14:paraId="3C6B8D88" w14:textId="77777777" w:rsidR="00085672" w:rsidRPr="005A1C76" w:rsidRDefault="00085672" w:rsidP="00085672">
            <w:pPr>
              <w:rPr>
                <w:rFonts w:eastAsia="Calibri" w:cs="Calibri"/>
                <w:sz w:val="20"/>
                <w:szCs w:val="20"/>
                <w:lang w:val="en-GB"/>
              </w:rPr>
            </w:pPr>
          </w:p>
          <w:p w14:paraId="05217A8B" w14:textId="77777777" w:rsidR="00085672" w:rsidRPr="005A1C76" w:rsidRDefault="00085672" w:rsidP="00085672">
            <w:pPr>
              <w:rPr>
                <w:rFonts w:eastAsia="Calibri" w:cs="Calibri"/>
                <w:w w:val="105"/>
                <w:sz w:val="20"/>
                <w:szCs w:val="20"/>
                <w:lang w:val="en-GB"/>
              </w:rPr>
            </w:pPr>
            <w:r w:rsidRPr="005A1C76">
              <w:rPr>
                <w:rFonts w:eastAsia="Calibri" w:cs="Calibri"/>
                <w:w w:val="105"/>
                <w:sz w:val="20"/>
                <w:szCs w:val="20"/>
                <w:lang w:val="en-GB"/>
              </w:rPr>
              <w:t>(a) za zagađujuće supstance navedene u tački 1(a) elemenata kriterijuma, vrijednosti utvrđene u skladu sa</w:t>
            </w:r>
            <w:r w:rsidRPr="005A1C76" w:rsidDel="00602271">
              <w:rPr>
                <w:rFonts w:eastAsia="Calibri" w:cs="Calibri"/>
                <w:w w:val="105"/>
                <w:sz w:val="20"/>
                <w:szCs w:val="20"/>
                <w:lang w:val="en-GB"/>
              </w:rPr>
              <w:t xml:space="preserve"> </w:t>
            </w:r>
            <w:r w:rsidRPr="005A1C76">
              <w:rPr>
                <w:rFonts w:eastAsia="Calibri" w:cs="Calibri"/>
                <w:w w:val="105"/>
                <w:sz w:val="20"/>
                <w:szCs w:val="20"/>
                <w:lang w:val="en-GB"/>
              </w:rPr>
              <w:t>Directive 2000/60/EC;</w:t>
            </w:r>
          </w:p>
          <w:p w14:paraId="7066DBB1" w14:textId="77777777" w:rsidR="00085672" w:rsidRPr="005A1C76" w:rsidRDefault="00085672" w:rsidP="00085672">
            <w:pPr>
              <w:rPr>
                <w:rFonts w:eastAsia="Calibri" w:cs="Calibri"/>
                <w:w w:val="105"/>
                <w:sz w:val="20"/>
                <w:szCs w:val="20"/>
                <w:lang w:val="en-GB"/>
              </w:rPr>
            </w:pPr>
            <w:r w:rsidRPr="005A1C76">
              <w:rPr>
                <w:rFonts w:eastAsia="Calibri" w:cs="Calibri"/>
                <w:w w:val="105"/>
                <w:sz w:val="20"/>
                <w:szCs w:val="20"/>
                <w:lang w:val="en-GB"/>
              </w:rPr>
              <w:t>(b) kada se zagađujuće supstance iz tačke (a) mjere u matriksu za koji nije utvrđena vrijednost prema Directive 2000/60/EC, koncentracije tih zagađujućih supstanci u tom matriksu utvrđuju države članice putem regionalne ili subregionalne saradnje;</w:t>
            </w:r>
          </w:p>
          <w:p w14:paraId="35071428" w14:textId="77777777" w:rsidR="00085672" w:rsidRPr="005A1C76" w:rsidRDefault="00085672" w:rsidP="00085672">
            <w:pPr>
              <w:rPr>
                <w:rFonts w:eastAsia="Calibri" w:cs="Calibri"/>
                <w:sz w:val="20"/>
                <w:szCs w:val="20"/>
                <w:lang w:val="en-GB"/>
              </w:rPr>
            </w:pPr>
          </w:p>
          <w:p w14:paraId="02931A00" w14:textId="0FD391A4" w:rsidR="00085672" w:rsidRPr="00085672" w:rsidRDefault="00085672" w:rsidP="00085672">
            <w:pPr>
              <w:autoSpaceDE w:val="0"/>
              <w:autoSpaceDN w:val="0"/>
              <w:adjustRightInd w:val="0"/>
              <w:rPr>
                <w:rFonts w:eastAsia="Calibri" w:cs="Calibri"/>
                <w:w w:val="105"/>
                <w:sz w:val="20"/>
                <w:szCs w:val="20"/>
                <w:lang w:val="en-GB"/>
              </w:rPr>
            </w:pPr>
            <w:r w:rsidRPr="005A1C76">
              <w:rPr>
                <w:rFonts w:eastAsia="Calibri" w:cs="Calibri"/>
                <w:w w:val="105"/>
                <w:sz w:val="20"/>
                <w:szCs w:val="20"/>
                <w:lang w:val="en-GB"/>
              </w:rPr>
              <w:t>(c) za dodatne zagađujuće supstance odabrane u tački 1(b) elemenata kriterijuma, koncentracije za određeni matriks (voda, sediment ili biota) koje mogu dovesti do efekata zagađenja.</w:t>
            </w:r>
          </w:p>
        </w:tc>
        <w:tc>
          <w:tcPr>
            <w:tcW w:w="1133" w:type="dxa"/>
            <w:tcBorders>
              <w:top w:val="single" w:sz="4" w:space="0" w:color="FFFFFF" w:themeColor="background1"/>
            </w:tcBorders>
          </w:tcPr>
          <w:p w14:paraId="6059355C" w14:textId="77777777" w:rsidR="00085672" w:rsidRPr="005A1C76" w:rsidRDefault="00085672" w:rsidP="00085672">
            <w:pPr>
              <w:rPr>
                <w:rFonts w:eastAsia="Calibri" w:cs="Times New Roman"/>
                <w:sz w:val="20"/>
                <w:szCs w:val="20"/>
                <w:lang w:val="en-GB"/>
              </w:rPr>
            </w:pPr>
            <w:r w:rsidRPr="005A1C76">
              <w:rPr>
                <w:rFonts w:eastAsia="Calibri" w:cs="Times New Roman"/>
                <w:sz w:val="20"/>
                <w:szCs w:val="20"/>
                <w:lang w:val="en-GB"/>
              </w:rPr>
              <w:t>Obuhvaćeno</w:t>
            </w:r>
          </w:p>
        </w:tc>
      </w:tr>
      <w:tr w:rsidR="00085672" w:rsidRPr="005A1C76" w14:paraId="22AA9D8D" w14:textId="77777777" w:rsidTr="00085672">
        <w:tc>
          <w:tcPr>
            <w:tcW w:w="3298" w:type="dxa"/>
          </w:tcPr>
          <w:p w14:paraId="76D3D37C" w14:textId="77777777" w:rsidR="00085672" w:rsidRPr="005A1C76" w:rsidRDefault="00085672" w:rsidP="00085672">
            <w:pPr>
              <w:rPr>
                <w:rFonts w:eastAsia="Calibri" w:cs="Calibri"/>
                <w:w w:val="105"/>
                <w:sz w:val="20"/>
                <w:szCs w:val="20"/>
                <w:lang w:val="en-GB"/>
              </w:rPr>
            </w:pPr>
            <w:r w:rsidRPr="005A1C76">
              <w:rPr>
                <w:rFonts w:eastAsia="Calibri" w:cs="Calibri"/>
                <w:w w:val="105"/>
                <w:sz w:val="20"/>
                <w:szCs w:val="20"/>
                <w:lang w:val="en-GB"/>
              </w:rPr>
              <w:t xml:space="preserve">Vrste i staništa koja mogu biti ugrožena zagađujućim supstancama. </w:t>
            </w:r>
          </w:p>
          <w:p w14:paraId="37652A44" w14:textId="77777777" w:rsidR="00085672" w:rsidRPr="005A1C76" w:rsidRDefault="00085672" w:rsidP="00085672">
            <w:pPr>
              <w:rPr>
                <w:rFonts w:eastAsia="Calibri" w:cs="Calibri"/>
                <w:sz w:val="20"/>
                <w:szCs w:val="20"/>
                <w:lang w:val="en-GB"/>
              </w:rPr>
            </w:pPr>
          </w:p>
          <w:p w14:paraId="3F135409" w14:textId="77777777" w:rsidR="00085672" w:rsidRPr="005A1C76" w:rsidRDefault="00085672" w:rsidP="00085672">
            <w:pPr>
              <w:rPr>
                <w:rFonts w:eastAsia="Calibri" w:cs="Times New Roman"/>
                <w:sz w:val="20"/>
                <w:szCs w:val="20"/>
                <w:lang w:val="en-GB"/>
              </w:rPr>
            </w:pPr>
          </w:p>
        </w:tc>
        <w:tc>
          <w:tcPr>
            <w:tcW w:w="5066" w:type="dxa"/>
          </w:tcPr>
          <w:p w14:paraId="638BB53C" w14:textId="77777777" w:rsidR="00085672" w:rsidRPr="005A1C76" w:rsidRDefault="00085672" w:rsidP="00085672">
            <w:pPr>
              <w:rPr>
                <w:rFonts w:eastAsia="Calibri" w:cs="Calibri"/>
                <w:b/>
                <w:sz w:val="20"/>
                <w:szCs w:val="20"/>
                <w:lang w:val="en-GB"/>
              </w:rPr>
            </w:pPr>
            <w:r w:rsidRPr="005A1C76">
              <w:rPr>
                <w:rFonts w:eastAsia="Calibri" w:cs="Calibri"/>
                <w:b/>
                <w:sz w:val="20"/>
                <w:szCs w:val="20"/>
                <w:lang w:val="en-GB"/>
              </w:rPr>
              <w:t>D8C2 — Sekundarni:</w:t>
            </w:r>
          </w:p>
          <w:p w14:paraId="09BAA698" w14:textId="0AE1B46E" w:rsidR="00085672" w:rsidRPr="00085672" w:rsidRDefault="00085672" w:rsidP="00085672">
            <w:pPr>
              <w:rPr>
                <w:rFonts w:eastAsia="Calibri" w:cs="Calibri"/>
                <w:w w:val="105"/>
                <w:sz w:val="20"/>
                <w:szCs w:val="20"/>
                <w:lang w:val="en-GB"/>
              </w:rPr>
            </w:pPr>
            <w:r w:rsidRPr="005A1C76">
              <w:rPr>
                <w:rFonts w:eastAsia="Calibri" w:cs="Calibri"/>
                <w:w w:val="105"/>
                <w:sz w:val="20"/>
                <w:szCs w:val="20"/>
                <w:lang w:val="en-GB"/>
              </w:rPr>
              <w:t xml:space="preserve">Zdravlje vrsta i stanje staništa (npr. sastav vrsta i relativna brojnost na lokacijama hroničnog zagađenja) nisu pogođeni štetnim uticajima zagađujućih supstanci uključujući kumulativne i sinergijske uticaje. </w:t>
            </w:r>
          </w:p>
        </w:tc>
        <w:tc>
          <w:tcPr>
            <w:tcW w:w="1133" w:type="dxa"/>
          </w:tcPr>
          <w:p w14:paraId="5895DA14" w14:textId="77777777" w:rsidR="00085672" w:rsidRPr="005A1C76" w:rsidRDefault="00085672" w:rsidP="00085672">
            <w:pPr>
              <w:autoSpaceDE w:val="0"/>
              <w:autoSpaceDN w:val="0"/>
              <w:adjustRightInd w:val="0"/>
              <w:rPr>
                <w:rFonts w:eastAsia="Calibri" w:cs="Times New Roman"/>
                <w:sz w:val="20"/>
                <w:szCs w:val="20"/>
                <w:lang w:val="en-GB"/>
              </w:rPr>
            </w:pPr>
            <w:r w:rsidRPr="005A1C76">
              <w:rPr>
                <w:rFonts w:eastAsia="Calibri" w:cs="Times New Roman"/>
                <w:sz w:val="20"/>
                <w:szCs w:val="20"/>
                <w:lang w:val="en-GB"/>
              </w:rPr>
              <w:t xml:space="preserve">Nije obuhvaćeno </w:t>
            </w:r>
          </w:p>
          <w:p w14:paraId="07DC1F54" w14:textId="77777777" w:rsidR="00085672" w:rsidRPr="005A1C76" w:rsidRDefault="00085672" w:rsidP="00085672">
            <w:pPr>
              <w:autoSpaceDE w:val="0"/>
              <w:autoSpaceDN w:val="0"/>
              <w:adjustRightInd w:val="0"/>
              <w:rPr>
                <w:rFonts w:eastAsia="Calibri" w:cs="Times New Roman"/>
                <w:sz w:val="20"/>
                <w:szCs w:val="20"/>
                <w:lang w:val="en-GB"/>
              </w:rPr>
            </w:pPr>
          </w:p>
        </w:tc>
      </w:tr>
      <w:tr w:rsidR="00085672" w:rsidRPr="005A1C76" w14:paraId="09E90F30" w14:textId="77777777" w:rsidTr="00085672">
        <w:tc>
          <w:tcPr>
            <w:tcW w:w="3298" w:type="dxa"/>
          </w:tcPr>
          <w:p w14:paraId="066B015E" w14:textId="77777777" w:rsidR="00085672" w:rsidRPr="005A1C76" w:rsidRDefault="00085672" w:rsidP="00085672">
            <w:pPr>
              <w:rPr>
                <w:rFonts w:eastAsia="Calibri" w:cs="Calibri"/>
                <w:b/>
                <w:bCs/>
                <w:color w:val="000000"/>
                <w:sz w:val="20"/>
                <w:szCs w:val="20"/>
                <w:lang w:val="en-GB"/>
              </w:rPr>
            </w:pPr>
            <w:r w:rsidRPr="005A1C76">
              <w:rPr>
                <w:rFonts w:eastAsia="Calibri" w:cs="Calibri"/>
                <w:w w:val="105"/>
                <w:sz w:val="20"/>
                <w:szCs w:val="20"/>
                <w:lang w:val="en-GB"/>
              </w:rPr>
              <w:t>Slučajevi znatnog akutnog zagađenja koji uključuju zagađujuće materije, kako je definisano u članu 2(2) Directive 2005/35/EC of the European Parliament and of the Council, uključujući sirovu naftu i slična jedinjenja</w:t>
            </w:r>
          </w:p>
        </w:tc>
        <w:tc>
          <w:tcPr>
            <w:tcW w:w="5066" w:type="dxa"/>
          </w:tcPr>
          <w:p w14:paraId="52203024" w14:textId="77777777" w:rsidR="00085672" w:rsidRPr="005A1C76" w:rsidRDefault="00085672" w:rsidP="00085672">
            <w:pPr>
              <w:rPr>
                <w:rFonts w:eastAsia="Calibri" w:cs="Calibri"/>
                <w:b/>
                <w:sz w:val="20"/>
                <w:szCs w:val="20"/>
                <w:lang w:val="en-GB"/>
              </w:rPr>
            </w:pPr>
            <w:r w:rsidRPr="005A1C76">
              <w:rPr>
                <w:rFonts w:eastAsia="Calibri" w:cs="Calibri"/>
                <w:b/>
                <w:sz w:val="20"/>
                <w:szCs w:val="20"/>
                <w:lang w:val="en-GB"/>
              </w:rPr>
              <w:t>D8C3 — Primarni:</w:t>
            </w:r>
          </w:p>
          <w:p w14:paraId="37E3A960" w14:textId="77777777" w:rsidR="00085672" w:rsidRPr="005A1C76" w:rsidRDefault="00085672" w:rsidP="00085672">
            <w:pPr>
              <w:autoSpaceDE w:val="0"/>
              <w:autoSpaceDN w:val="0"/>
              <w:adjustRightInd w:val="0"/>
              <w:rPr>
                <w:rFonts w:eastAsia="Calibri" w:cs="Calibri"/>
                <w:bCs/>
                <w:color w:val="000000"/>
                <w:sz w:val="20"/>
                <w:szCs w:val="20"/>
                <w:lang w:val="en-GB"/>
              </w:rPr>
            </w:pPr>
          </w:p>
          <w:p w14:paraId="33E5889D" w14:textId="77777777" w:rsidR="00085672" w:rsidRPr="005A1C76" w:rsidRDefault="00085672" w:rsidP="00085672">
            <w:pPr>
              <w:autoSpaceDE w:val="0"/>
              <w:autoSpaceDN w:val="0"/>
              <w:adjustRightInd w:val="0"/>
              <w:rPr>
                <w:rFonts w:eastAsia="Calibri" w:cs="Calibri"/>
                <w:bCs/>
                <w:color w:val="000000"/>
                <w:sz w:val="20"/>
                <w:szCs w:val="20"/>
                <w:lang w:val="en-GB"/>
              </w:rPr>
            </w:pPr>
            <w:r w:rsidRPr="005A1C76">
              <w:rPr>
                <w:rFonts w:eastAsia="Calibri" w:cs="Calibri"/>
                <w:bCs/>
                <w:color w:val="000000"/>
                <w:sz w:val="20"/>
                <w:szCs w:val="20"/>
                <w:lang w:val="en-GB"/>
              </w:rPr>
              <w:t>Prostorni opseg i trajanje slučajeva znatnog akutnog zagađenja su svedeni na minimum.</w:t>
            </w:r>
          </w:p>
        </w:tc>
        <w:tc>
          <w:tcPr>
            <w:tcW w:w="1133" w:type="dxa"/>
          </w:tcPr>
          <w:p w14:paraId="07B6C67B" w14:textId="77777777" w:rsidR="00085672" w:rsidRPr="005A1C76" w:rsidRDefault="00085672" w:rsidP="00085672">
            <w:pPr>
              <w:autoSpaceDE w:val="0"/>
              <w:autoSpaceDN w:val="0"/>
              <w:adjustRightInd w:val="0"/>
              <w:rPr>
                <w:rFonts w:eastAsia="Calibri" w:cs="Calibri"/>
                <w:color w:val="000000"/>
                <w:sz w:val="20"/>
                <w:szCs w:val="20"/>
                <w:lang w:val="en-GB"/>
              </w:rPr>
            </w:pPr>
            <w:r w:rsidRPr="005A1C76">
              <w:rPr>
                <w:rFonts w:eastAsia="Calibri" w:cs="Times New Roman"/>
                <w:sz w:val="20"/>
                <w:szCs w:val="20"/>
                <w:lang w:val="en-GB"/>
              </w:rPr>
              <w:t>Obuhvaćeno</w:t>
            </w:r>
          </w:p>
        </w:tc>
      </w:tr>
      <w:tr w:rsidR="00085672" w:rsidRPr="005A1C76" w14:paraId="403C9422" w14:textId="77777777" w:rsidTr="00085672">
        <w:tc>
          <w:tcPr>
            <w:tcW w:w="3298" w:type="dxa"/>
          </w:tcPr>
          <w:p w14:paraId="70C4217C" w14:textId="6DD7CD09" w:rsidR="00085672" w:rsidRPr="00085672" w:rsidRDefault="00085672" w:rsidP="00085672">
            <w:pPr>
              <w:rPr>
                <w:rFonts w:eastAsia="Calibri" w:cs="Calibri"/>
                <w:w w:val="105"/>
                <w:sz w:val="20"/>
                <w:szCs w:val="20"/>
                <w:lang w:val="en-GB"/>
              </w:rPr>
            </w:pPr>
            <w:r w:rsidRPr="005A1C76">
              <w:rPr>
                <w:rFonts w:eastAsia="Calibri" w:cs="Calibri"/>
                <w:w w:val="105"/>
                <w:sz w:val="20"/>
                <w:szCs w:val="20"/>
                <w:lang w:val="en-GB"/>
              </w:rPr>
              <w:t xml:space="preserve">Vrste iz grupe vrsta, kako je to navedeno u Tabeli 1. Dijela II, i tipovi bentoskog staništa širokog rasprostranjenja, iz Tabele 2. dijela II </w:t>
            </w:r>
          </w:p>
        </w:tc>
        <w:tc>
          <w:tcPr>
            <w:tcW w:w="5066" w:type="dxa"/>
          </w:tcPr>
          <w:p w14:paraId="2F4581C4" w14:textId="77777777" w:rsidR="00085672" w:rsidRPr="005A1C76" w:rsidRDefault="00085672" w:rsidP="00085672">
            <w:pPr>
              <w:rPr>
                <w:rFonts w:eastAsia="Calibri" w:cs="Calibri"/>
                <w:bCs/>
                <w:color w:val="000000"/>
                <w:sz w:val="20"/>
                <w:szCs w:val="20"/>
                <w:lang w:val="en-GB"/>
              </w:rPr>
            </w:pPr>
            <w:r w:rsidRPr="005A1C76">
              <w:rPr>
                <w:rFonts w:eastAsia="Calibri" w:cs="Calibri"/>
                <w:b/>
                <w:w w:val="105"/>
                <w:sz w:val="20"/>
                <w:szCs w:val="20"/>
                <w:lang w:val="en-GB"/>
              </w:rPr>
              <w:t>D8C4 — Sekundarni</w:t>
            </w:r>
            <w:r w:rsidRPr="005A1C76">
              <w:rPr>
                <w:rFonts w:eastAsia="Calibri" w:cs="Calibri"/>
                <w:w w:val="105"/>
                <w:sz w:val="20"/>
                <w:szCs w:val="20"/>
                <w:lang w:val="en-GB"/>
              </w:rPr>
              <w:t xml:space="preserve"> </w:t>
            </w:r>
            <w:r w:rsidRPr="005A1C76">
              <w:rPr>
                <w:rFonts w:eastAsia="Calibri" w:cs="Calibri"/>
                <w:bCs/>
                <w:color w:val="000000"/>
                <w:sz w:val="20"/>
                <w:szCs w:val="20"/>
                <w:lang w:val="en-GB"/>
              </w:rPr>
              <w:t>(primjenjuju se kada se dogodi znatno akutno zagađenje): Štetni efekti znatnog akutnog zagađenja na zdravlje vrsta i stanje staništa (kao što su sastav vrsta i relativna brojnost) svedeni su na najmanju moguću mjeru i, gdje je to moguće, eliminisani.</w:t>
            </w:r>
          </w:p>
        </w:tc>
        <w:tc>
          <w:tcPr>
            <w:tcW w:w="1133" w:type="dxa"/>
          </w:tcPr>
          <w:p w14:paraId="18900F74" w14:textId="77777777" w:rsidR="00085672" w:rsidRPr="005A1C76" w:rsidRDefault="00085672" w:rsidP="00085672">
            <w:pPr>
              <w:autoSpaceDE w:val="0"/>
              <w:autoSpaceDN w:val="0"/>
              <w:adjustRightInd w:val="0"/>
              <w:rPr>
                <w:rFonts w:eastAsia="Calibri" w:cs="Times New Roman"/>
                <w:sz w:val="20"/>
                <w:szCs w:val="20"/>
                <w:lang w:val="en-GB"/>
              </w:rPr>
            </w:pPr>
            <w:r w:rsidRPr="005A1C76">
              <w:rPr>
                <w:rFonts w:eastAsia="Calibri" w:cs="Times New Roman"/>
                <w:sz w:val="20"/>
                <w:szCs w:val="20"/>
                <w:lang w:val="en-GB"/>
              </w:rPr>
              <w:t xml:space="preserve">Nije obuhvaćeno </w:t>
            </w:r>
          </w:p>
          <w:p w14:paraId="69AD810C" w14:textId="77777777" w:rsidR="00085672" w:rsidRPr="005A1C76" w:rsidRDefault="00085672" w:rsidP="00085672">
            <w:pPr>
              <w:autoSpaceDE w:val="0"/>
              <w:autoSpaceDN w:val="0"/>
              <w:adjustRightInd w:val="0"/>
              <w:rPr>
                <w:rFonts w:eastAsia="Calibri" w:cs="Calibri"/>
                <w:color w:val="000000"/>
                <w:sz w:val="20"/>
                <w:szCs w:val="20"/>
                <w:lang w:val="en-GB"/>
              </w:rPr>
            </w:pPr>
          </w:p>
        </w:tc>
      </w:tr>
    </w:tbl>
    <w:p w14:paraId="02513A5A" w14:textId="77777777" w:rsidR="00837141" w:rsidRPr="001C6CCA" w:rsidRDefault="00837141" w:rsidP="00F65CFF">
      <w:pPr>
        <w:keepNext/>
        <w:keepLines/>
        <w:spacing w:before="40" w:after="0" w:line="259" w:lineRule="auto"/>
        <w:jc w:val="left"/>
        <w:outlineLvl w:val="1"/>
        <w:rPr>
          <w:b/>
          <w:sz w:val="20"/>
          <w:szCs w:val="20"/>
          <w:lang w:val="en-GB" w:eastAsia="en-US"/>
        </w:rPr>
      </w:pPr>
    </w:p>
    <w:p w14:paraId="1BE10ADB" w14:textId="47CF2086" w:rsidR="00085672" w:rsidRPr="00AA6D51" w:rsidRDefault="00085672" w:rsidP="00085672">
      <w:pPr>
        <w:pStyle w:val="Heading3"/>
        <w:rPr>
          <w:lang w:val="en-GB" w:eastAsia="en-US"/>
        </w:rPr>
      </w:pPr>
      <w:bookmarkStart w:id="187" w:name="_Toc69678386"/>
      <w:r w:rsidRPr="00085672">
        <w:rPr>
          <w:color w:val="365F91"/>
          <w:lang w:val="en-GB"/>
        </w:rPr>
        <w:t xml:space="preserve"> </w:t>
      </w:r>
      <w:bookmarkStart w:id="188" w:name="_Toc83630936"/>
      <w:r w:rsidRPr="00085672">
        <w:rPr>
          <w:color w:val="365F91"/>
          <w:lang w:val="en-GB"/>
        </w:rPr>
        <w:t>Pristup procjeni GES-a (grani</w:t>
      </w:r>
      <w:r w:rsidR="00A0605E">
        <w:rPr>
          <w:color w:val="365F91"/>
          <w:lang w:val="en-GB"/>
        </w:rPr>
        <w:t>čne vrijednosti</w:t>
      </w:r>
      <w:r w:rsidRPr="00085672">
        <w:rPr>
          <w:color w:val="365F91"/>
          <w:lang w:val="en-GB"/>
        </w:rPr>
        <w:t>, pragovi)</w:t>
      </w:r>
      <w:bookmarkEnd w:id="187"/>
      <w:r w:rsidRPr="005A1C76">
        <w:rPr>
          <w:color w:val="365F91"/>
          <w:vertAlign w:val="superscript"/>
          <w:lang w:val="en-GB"/>
        </w:rPr>
        <w:footnoteReference w:id="32"/>
      </w:r>
      <w:bookmarkEnd w:id="188"/>
    </w:p>
    <w:p w14:paraId="66B792C2" w14:textId="40A87551" w:rsidR="00085672" w:rsidRPr="00085672" w:rsidRDefault="00085672" w:rsidP="00085672">
      <w:pPr>
        <w:pStyle w:val="Heading4"/>
        <w:spacing w:after="160"/>
        <w:rPr>
          <w:szCs w:val="22"/>
          <w:lang w:val="en-GB" w:eastAsia="en-US"/>
        </w:rPr>
      </w:pPr>
      <w:r w:rsidRPr="00085672">
        <w:rPr>
          <w:lang w:val="en-GB"/>
        </w:rPr>
        <w:t>Sediment i Biota (Mytilus galloprovincialis)</w:t>
      </w:r>
    </w:p>
    <w:p w14:paraId="56466C5A" w14:textId="77777777" w:rsidR="00085672" w:rsidRPr="00085672" w:rsidRDefault="00085672" w:rsidP="00085672">
      <w:pPr>
        <w:rPr>
          <w:lang w:val="en-GB" w:eastAsia="en-US"/>
        </w:rPr>
      </w:pPr>
    </w:p>
    <w:p w14:paraId="7FBD0F69" w14:textId="3A872DE7" w:rsidR="00085672" w:rsidRPr="005A1C76" w:rsidRDefault="00085672" w:rsidP="00085672">
      <w:pPr>
        <w:rPr>
          <w:rFonts w:eastAsia="Calibri"/>
          <w:lang w:val="en-GB"/>
        </w:rPr>
      </w:pPr>
      <w:r w:rsidRPr="005A1C76">
        <w:rPr>
          <w:rFonts w:eastAsia="Calibri" w:cs="Calibri"/>
          <w:lang w:val="en-GB"/>
        </w:rPr>
        <w:t>Procjena dostignutog nivoa GES-a u sedimentu i bioti (Mitilus galloprovincialis) izvršena je primenom kriterijuma propisanih u Regionalnim konvencijama: Barselonska konvencija/UNEP-MAP</w:t>
      </w:r>
      <w:r w:rsidRPr="005A1C76">
        <w:rPr>
          <w:rFonts w:eastAsia="Calibri"/>
          <w:vertAlign w:val="superscript"/>
          <w:lang w:val="en-GB"/>
        </w:rPr>
        <w:footnoteReference w:id="33"/>
      </w:r>
      <w:r w:rsidRPr="005A1C76">
        <w:rPr>
          <w:rFonts w:eastAsia="Calibri" w:cs="Calibri"/>
          <w:lang w:val="en-GB"/>
        </w:rPr>
        <w:t xml:space="preserve"> i OSPAR</w:t>
      </w:r>
      <w:r w:rsidRPr="005A1C76" w:rsidDel="00890946">
        <w:rPr>
          <w:rFonts w:eastAsia="Calibri" w:cs="Calibri"/>
          <w:lang w:val="en-GB"/>
        </w:rPr>
        <w:t xml:space="preserve"> </w:t>
      </w:r>
      <w:r w:rsidRPr="005A1C76">
        <w:rPr>
          <w:rFonts w:eastAsia="Calibri" w:cs="Calibri"/>
          <w:lang w:val="en-GB"/>
        </w:rPr>
        <w:t>Konvencija/OSPAR komisija</w:t>
      </w:r>
      <w:r w:rsidRPr="005A1C76">
        <w:rPr>
          <w:rFonts w:eastAsia="Calibri"/>
          <w:vertAlign w:val="superscript"/>
          <w:lang w:val="en-GB"/>
        </w:rPr>
        <w:footnoteReference w:id="34"/>
      </w:r>
      <w:r w:rsidRPr="005A1C76">
        <w:rPr>
          <w:rFonts w:eastAsia="Calibri" w:cs="Calibri"/>
          <w:lang w:val="en-GB"/>
        </w:rPr>
        <w:t>. Kriterijumi koji se koriste za procjenu GES-a dati su u UNEP/MAP vodi</w:t>
      </w:r>
      <w:r w:rsidR="00A0605E">
        <w:rPr>
          <w:rFonts w:eastAsia="Calibri" w:cs="Calibri"/>
          <w:lang w:val="en-GB"/>
        </w:rPr>
        <w:t>ć</w:t>
      </w:r>
      <w:r w:rsidRPr="005A1C76">
        <w:rPr>
          <w:rFonts w:eastAsia="Calibri" w:cs="Calibri"/>
          <w:lang w:val="en-GB"/>
        </w:rPr>
        <w:t xml:space="preserve">u “UNEP (DEPI)/MED 439/15-Pollution Assessment Criteria and Thresholds”, </w:t>
      </w:r>
      <w:r w:rsidRPr="005A1C76">
        <w:rPr>
          <w:rFonts w:cs="Calibri"/>
        </w:rPr>
        <w:t>kao i u vodi</w:t>
      </w:r>
      <w:r w:rsidR="001E757A">
        <w:rPr>
          <w:rFonts w:cs="Calibri"/>
        </w:rPr>
        <w:t>ć</w:t>
      </w:r>
      <w:r w:rsidRPr="005A1C76">
        <w:rPr>
          <w:rFonts w:cs="Calibri"/>
        </w:rPr>
        <w:t>u propisanom</w:t>
      </w:r>
      <w:r w:rsidR="00A0605E">
        <w:rPr>
          <w:rFonts w:cs="Calibri"/>
        </w:rPr>
        <w:t xml:space="preserve"> </w:t>
      </w:r>
      <w:r w:rsidRPr="005A1C76">
        <w:rPr>
          <w:rFonts w:cs="Calibri"/>
        </w:rPr>
        <w:t>od strane „The Convention for the Protection of the Marine Environment of the North-East Atlantic“ (OSPAR 2014) o nivoima i trendovima kontaminenata u moru i njihovim biološkim efektima.</w:t>
      </w:r>
    </w:p>
    <w:p w14:paraId="13052A68" w14:textId="77777777" w:rsidR="00085672" w:rsidRPr="005A1C76" w:rsidRDefault="00085672" w:rsidP="00085672">
      <w:pPr>
        <w:rPr>
          <w:rFonts w:eastAsia="Calibri" w:cs="Calibri"/>
          <w:bCs/>
          <w:lang w:val="en-GB"/>
        </w:rPr>
      </w:pPr>
      <w:r w:rsidRPr="005A1C76">
        <w:rPr>
          <w:rFonts w:cs="Calibri"/>
        </w:rPr>
        <w:t xml:space="preserve">Za ocjenu stepena zagađenja sedimenta i školjki metalima i organskim kontaminantima korišćene su granične vrijednosti </w:t>
      </w:r>
      <w:r w:rsidRPr="005A1C76">
        <w:rPr>
          <w:rFonts w:eastAsia="Calibri" w:cs="Calibri"/>
          <w:lang w:val="en-GB"/>
        </w:rPr>
        <w:t>koje su date po Barcelonskoj (UNEP/MAP) i OSPAR Konvenciji</w:t>
      </w:r>
      <w:r w:rsidRPr="005A1C76">
        <w:rPr>
          <w:rFonts w:cs="Calibri"/>
        </w:rPr>
        <w:t xml:space="preserve">: </w:t>
      </w:r>
      <w:r w:rsidRPr="005A1C76">
        <w:rPr>
          <w:rFonts w:eastAsia="Calibri" w:cs="Calibri"/>
          <w:lang w:val="en-GB"/>
        </w:rPr>
        <w:t xml:space="preserve"> Med BAC (Mediterranean Background assessment concentration), BAC (Background assessment concentration), EAC</w:t>
      </w:r>
      <w:r w:rsidRPr="005A1C76">
        <w:rPr>
          <w:rFonts w:eastAsia="Calibri" w:cs="Calibri"/>
          <w:b/>
          <w:lang w:val="en-GB"/>
        </w:rPr>
        <w:t xml:space="preserve"> </w:t>
      </w:r>
      <w:r w:rsidRPr="005A1C76">
        <w:rPr>
          <w:rFonts w:eastAsia="Calibri" w:cs="Calibri"/>
          <w:lang w:val="en-GB"/>
        </w:rPr>
        <w:t>(Environmental Assessment Criteria), ERL (Effects Range Low) i EC (EC/EU 1881/2006 and 629/2008 Directives for maximum levels for certain contaminants in foodstuffs).</w:t>
      </w:r>
    </w:p>
    <w:p w14:paraId="4838839D" w14:textId="77777777" w:rsidR="00085672" w:rsidRPr="005A1C76" w:rsidRDefault="00085672" w:rsidP="00085672">
      <w:pPr>
        <w:spacing w:after="0"/>
        <w:rPr>
          <w:rFonts w:eastAsia="Calibri" w:cs="Calibri"/>
          <w:lang w:val="en-GB"/>
        </w:rPr>
      </w:pPr>
      <w:r w:rsidRPr="005A1C76">
        <w:rPr>
          <w:rFonts w:eastAsia="Calibri" w:cs="Calibri"/>
          <w:lang w:val="en-GB"/>
        </w:rPr>
        <w:t xml:space="preserve">Pored UNEP/MAP i OSPAR kriterijuma, za procjenu statusa zagađenosti školjki korišćena je </w:t>
      </w:r>
      <w:r w:rsidRPr="005A1C76">
        <w:rPr>
          <w:rFonts w:cs="Calibri"/>
        </w:rPr>
        <w:t>Uredba o maksimalno dozvoljenim količinama kontaminenata u hrani (</w:t>
      </w:r>
      <w:r w:rsidRPr="005A1C76">
        <w:rPr>
          <w:rFonts w:cs="Calibri"/>
          <w:lang w:val="sl-SI"/>
        </w:rPr>
        <w:t>»</w:t>
      </w:r>
      <w:r w:rsidRPr="005A1C76">
        <w:rPr>
          <w:rFonts w:cs="Calibri"/>
        </w:rPr>
        <w:t>Sl. list CG</w:t>
      </w:r>
      <w:r w:rsidRPr="005A1C76">
        <w:rPr>
          <w:rFonts w:cs="Calibri"/>
          <w:lang w:val="sl-SI"/>
        </w:rPr>
        <w:t>«</w:t>
      </w:r>
      <w:r w:rsidRPr="005A1C76">
        <w:rPr>
          <w:rFonts w:cs="Calibri"/>
        </w:rPr>
        <w:t>, br. 48/16, 066/19)</w:t>
      </w:r>
      <w:r w:rsidRPr="005A1C76">
        <w:rPr>
          <w:rFonts w:eastAsia="Calibri" w:cs="Calibri"/>
          <w:lang w:val="en-GB"/>
        </w:rPr>
        <w:t xml:space="preserve">. Uredba (Službeni list Crne Gore, br. 48/16, 066/19) je u potpunosti usklađena sa Commission Regulation (EC) No. 1881/2006 on the establishment of maximum levels for certain contaminants in food. </w:t>
      </w:r>
    </w:p>
    <w:p w14:paraId="3B1E01D7" w14:textId="77777777" w:rsidR="00085672" w:rsidRPr="005A1C76" w:rsidRDefault="00085672" w:rsidP="00085672">
      <w:pPr>
        <w:spacing w:after="0"/>
        <w:rPr>
          <w:rFonts w:eastAsia="Calibri" w:cs="Calibri"/>
          <w:lang w:val="en-GB"/>
        </w:rPr>
      </w:pPr>
      <w:r w:rsidRPr="005A1C76">
        <w:rPr>
          <w:rFonts w:eastAsia="Calibri" w:cs="Calibri"/>
          <w:lang w:val="en-GB"/>
        </w:rPr>
        <w:t>U tabeli 2.27 dat je pregled UNEP/MAP i OSPAR kriterijuma za teške metale i organske kontaminante u morskim sedimentima i školjkama (Mitilus galloprovincialis).</w:t>
      </w:r>
    </w:p>
    <w:p w14:paraId="42AC29D1" w14:textId="77777777" w:rsidR="00837141" w:rsidRPr="001C6CCA" w:rsidRDefault="00837141" w:rsidP="00F65CFF">
      <w:pPr>
        <w:spacing w:before="0" w:after="0" w:line="259" w:lineRule="auto"/>
        <w:ind w:firstLine="720"/>
        <w:jc w:val="left"/>
        <w:rPr>
          <w:rFonts w:eastAsia="Calibri" w:cs="Calibri"/>
          <w:b/>
          <w:sz w:val="20"/>
          <w:szCs w:val="20"/>
          <w:lang w:val="en-GB" w:eastAsia="en-US"/>
        </w:rPr>
      </w:pPr>
    </w:p>
    <w:p w14:paraId="4F6E3612" w14:textId="43321B8A" w:rsidR="00085672" w:rsidRDefault="00837141" w:rsidP="0081106D">
      <w:pPr>
        <w:keepNext/>
        <w:spacing w:line="240" w:lineRule="auto"/>
        <w:jc w:val="left"/>
        <w:rPr>
          <w:rFonts w:eastAsia="Calibri"/>
          <w:b/>
          <w:iCs/>
          <w:lang w:val="en-GB"/>
        </w:rPr>
      </w:pPr>
      <w:bookmarkStart w:id="189" w:name="_Toc83643173"/>
      <w:r w:rsidRPr="001C6CCA">
        <w:rPr>
          <w:rFonts w:eastAsia="Calibri"/>
          <w:b/>
          <w:iCs/>
          <w:szCs w:val="22"/>
          <w:lang w:val="en-GB" w:eastAsia="en-US"/>
        </w:rPr>
        <w:t>Tab</w:t>
      </w:r>
      <w:r w:rsidR="00085672">
        <w:rPr>
          <w:rFonts w:eastAsia="Calibri"/>
          <w:b/>
          <w:iCs/>
          <w:szCs w:val="22"/>
          <w:lang w:val="en-GB" w:eastAsia="en-US"/>
        </w:rPr>
        <w:t>ela</w:t>
      </w:r>
      <w:r w:rsidRPr="001C6CCA">
        <w:rPr>
          <w:rFonts w:eastAsia="Calibri"/>
          <w:b/>
          <w:iCs/>
          <w:szCs w:val="22"/>
          <w:lang w:val="en-GB" w:eastAsia="en-US"/>
        </w:rPr>
        <w:t xml:space="preserve"> </w:t>
      </w:r>
      <w:r w:rsidR="003415D9" w:rsidRPr="00D932B6">
        <w:rPr>
          <w:b/>
          <w:szCs w:val="22"/>
        </w:rPr>
        <w:fldChar w:fldCharType="begin"/>
      </w:r>
      <w:r w:rsidR="003415D9" w:rsidRPr="00D932B6">
        <w:rPr>
          <w:b/>
          <w:szCs w:val="22"/>
        </w:rPr>
        <w:instrText xml:space="preserve"> STYLEREF 1 \s </w:instrText>
      </w:r>
      <w:r w:rsidR="003415D9" w:rsidRPr="00D932B6">
        <w:rPr>
          <w:b/>
          <w:szCs w:val="22"/>
        </w:rPr>
        <w:fldChar w:fldCharType="separate"/>
      </w:r>
      <w:r w:rsidR="000D1E20">
        <w:rPr>
          <w:b/>
          <w:noProof/>
          <w:szCs w:val="22"/>
        </w:rPr>
        <w:t>2</w:t>
      </w:r>
      <w:r w:rsidR="003415D9" w:rsidRPr="00D932B6">
        <w:rPr>
          <w:b/>
          <w:szCs w:val="22"/>
        </w:rPr>
        <w:fldChar w:fldCharType="end"/>
      </w:r>
      <w:r w:rsidR="003415D9" w:rsidRPr="00D932B6">
        <w:rPr>
          <w:b/>
          <w:szCs w:val="22"/>
        </w:rPr>
        <w:t>.</w:t>
      </w:r>
      <w:r w:rsidR="003415D9" w:rsidRPr="00D932B6">
        <w:rPr>
          <w:b/>
          <w:szCs w:val="22"/>
        </w:rPr>
        <w:fldChar w:fldCharType="begin"/>
      </w:r>
      <w:r w:rsidR="003415D9" w:rsidRPr="00D932B6">
        <w:rPr>
          <w:b/>
          <w:szCs w:val="22"/>
        </w:rPr>
        <w:instrText xml:space="preserve"> SEQ Table \* ARABIC \s 1 </w:instrText>
      </w:r>
      <w:r w:rsidR="003415D9" w:rsidRPr="00D932B6">
        <w:rPr>
          <w:b/>
          <w:szCs w:val="22"/>
        </w:rPr>
        <w:fldChar w:fldCharType="separate"/>
      </w:r>
      <w:r w:rsidR="000D1E20">
        <w:rPr>
          <w:b/>
          <w:noProof/>
          <w:szCs w:val="22"/>
        </w:rPr>
        <w:t>15</w:t>
      </w:r>
      <w:r w:rsidR="003415D9" w:rsidRPr="00D932B6">
        <w:rPr>
          <w:b/>
          <w:szCs w:val="22"/>
        </w:rPr>
        <w:fldChar w:fldCharType="end"/>
      </w:r>
      <w:r w:rsidR="003415D9">
        <w:rPr>
          <w:b/>
          <w:szCs w:val="22"/>
        </w:rPr>
        <w:t>.</w:t>
      </w:r>
      <w:r w:rsidR="003415D9" w:rsidRPr="001C6CCA">
        <w:rPr>
          <w:rFonts w:eastAsia="Calibri" w:cs="Calibri"/>
          <w:b/>
          <w:szCs w:val="22"/>
          <w:lang w:val="en-GB" w:eastAsia="en-US"/>
        </w:rPr>
        <w:t xml:space="preserve"> </w:t>
      </w:r>
      <w:r w:rsidR="00085672" w:rsidRPr="005A1C76">
        <w:rPr>
          <w:rFonts w:eastAsia="Calibri"/>
          <w:b/>
          <w:iCs/>
          <w:lang w:val="en-GB"/>
        </w:rPr>
        <w:t>UNEP/MAP i OSPAR kriterijumi za procjenu nivoa kontaminanta u sedimentu i bioti</w:t>
      </w:r>
      <w:bookmarkEnd w:id="18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223"/>
        <w:gridCol w:w="1060"/>
        <w:gridCol w:w="1060"/>
        <w:gridCol w:w="1060"/>
        <w:gridCol w:w="1060"/>
        <w:gridCol w:w="1060"/>
      </w:tblGrid>
      <w:tr w:rsidR="00085672" w:rsidRPr="005A1C76" w14:paraId="291FE7F3" w14:textId="77777777" w:rsidTr="00605469">
        <w:trPr>
          <w:trHeight w:val="341"/>
          <w:tblHeader/>
          <w:jc w:val="center"/>
        </w:trPr>
        <w:tc>
          <w:tcPr>
            <w:tcW w:w="2689"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vAlign w:val="center"/>
          </w:tcPr>
          <w:p w14:paraId="0DA5BD8B" w14:textId="77777777" w:rsidR="00085672" w:rsidRPr="005A1C76" w:rsidRDefault="00085672" w:rsidP="00085672">
            <w:pPr>
              <w:spacing w:after="0"/>
              <w:ind w:left="1138" w:hanging="1138"/>
              <w:jc w:val="center"/>
              <w:rPr>
                <w:rFonts w:eastAsia="Calibri" w:cs="Calibri"/>
                <w:b/>
                <w:color w:val="FFFFFF"/>
                <w:sz w:val="20"/>
                <w:szCs w:val="20"/>
                <w:lang w:val="en-GB"/>
              </w:rPr>
            </w:pPr>
            <w:r w:rsidRPr="005A1C76">
              <w:rPr>
                <w:rFonts w:eastAsia="Calibri" w:cs="Calibri"/>
                <w:b/>
                <w:color w:val="FFFFFF"/>
                <w:sz w:val="20"/>
                <w:szCs w:val="20"/>
                <w:lang w:val="en-GB"/>
              </w:rPr>
              <w:t>Parametar</w:t>
            </w:r>
          </w:p>
        </w:tc>
        <w:tc>
          <w:tcPr>
            <w:tcW w:w="334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vAlign w:val="center"/>
          </w:tcPr>
          <w:p w14:paraId="2A653FA9" w14:textId="77777777" w:rsidR="00085672" w:rsidRPr="005A1C76" w:rsidRDefault="00085672" w:rsidP="00085672">
            <w:pPr>
              <w:spacing w:after="0" w:line="240" w:lineRule="auto"/>
              <w:ind w:left="1138" w:hanging="1138"/>
              <w:jc w:val="center"/>
              <w:rPr>
                <w:rFonts w:eastAsia="Calibri" w:cs="Calibri"/>
                <w:b/>
                <w:color w:val="FFFFFF"/>
                <w:sz w:val="20"/>
                <w:szCs w:val="20"/>
                <w:lang w:val="en-GB"/>
              </w:rPr>
            </w:pPr>
            <w:r w:rsidRPr="005A1C76">
              <w:rPr>
                <w:rFonts w:eastAsia="Calibri" w:cs="Calibri"/>
                <w:b/>
                <w:color w:val="FFFFFF"/>
                <w:sz w:val="20"/>
                <w:szCs w:val="20"/>
                <w:lang w:val="en-GB"/>
              </w:rPr>
              <w:t>Sediment (µg/kg d.w.)</w:t>
            </w:r>
          </w:p>
        </w:tc>
        <w:tc>
          <w:tcPr>
            <w:tcW w:w="318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vAlign w:val="center"/>
          </w:tcPr>
          <w:p w14:paraId="0947F8C9" w14:textId="77777777" w:rsidR="00085672" w:rsidRPr="005A1C76" w:rsidRDefault="00085672" w:rsidP="00085672">
            <w:pPr>
              <w:spacing w:after="0"/>
              <w:ind w:left="1138" w:hanging="1138"/>
              <w:jc w:val="center"/>
              <w:rPr>
                <w:rFonts w:eastAsia="Calibri" w:cs="Calibri"/>
                <w:b/>
                <w:color w:val="FFFFFF"/>
                <w:sz w:val="20"/>
                <w:szCs w:val="20"/>
                <w:lang w:val="en-GB"/>
              </w:rPr>
            </w:pPr>
            <w:r w:rsidRPr="005A1C76">
              <w:rPr>
                <w:rFonts w:eastAsia="Calibri" w:cs="Calibri"/>
                <w:b/>
                <w:color w:val="FFFFFF"/>
                <w:sz w:val="20"/>
                <w:szCs w:val="20"/>
                <w:lang w:val="en-GB"/>
              </w:rPr>
              <w:t>Školjke (MG) (µg/kg d.w.)</w:t>
            </w:r>
          </w:p>
        </w:tc>
      </w:tr>
      <w:tr w:rsidR="00085672" w:rsidRPr="005A1C76" w14:paraId="710A8FE8" w14:textId="77777777" w:rsidTr="00605469">
        <w:trPr>
          <w:trHeight w:val="350"/>
          <w:tblHeader/>
          <w:jc w:val="center"/>
        </w:trPr>
        <w:tc>
          <w:tcPr>
            <w:tcW w:w="2689"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cPr>
          <w:p w14:paraId="48122035" w14:textId="77777777" w:rsidR="00085672" w:rsidRPr="005A1C76" w:rsidRDefault="00085672" w:rsidP="00085672">
            <w:pPr>
              <w:spacing w:after="0"/>
              <w:ind w:left="1138" w:hanging="1138"/>
              <w:rPr>
                <w:rFonts w:eastAsia="Calibri" w:cs="Calibri"/>
                <w:b/>
                <w:color w:val="FFFFFF"/>
                <w:sz w:val="20"/>
                <w:szCs w:val="20"/>
                <w:lang w:val="en-GB"/>
              </w:rPr>
            </w:pPr>
          </w:p>
        </w:tc>
        <w:tc>
          <w:tcPr>
            <w:tcW w:w="12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vAlign w:val="center"/>
          </w:tcPr>
          <w:p w14:paraId="7A6A5D4E" w14:textId="77777777" w:rsidR="00085672" w:rsidRPr="005A1C76" w:rsidRDefault="00085672" w:rsidP="00085672">
            <w:pPr>
              <w:spacing w:after="0"/>
              <w:ind w:left="1138" w:hanging="1138"/>
              <w:jc w:val="center"/>
              <w:rPr>
                <w:rFonts w:eastAsia="Calibri" w:cs="Calibri"/>
                <w:b/>
                <w:color w:val="FFFFFF"/>
                <w:sz w:val="20"/>
                <w:szCs w:val="20"/>
                <w:lang w:val="en-GB"/>
              </w:rPr>
            </w:pPr>
            <w:r w:rsidRPr="005A1C76">
              <w:rPr>
                <w:rFonts w:eastAsia="Calibri" w:cs="Calibri"/>
                <w:b/>
                <w:color w:val="FFFFFF"/>
                <w:sz w:val="20"/>
                <w:szCs w:val="20"/>
                <w:lang w:val="en-GB"/>
              </w:rPr>
              <w:t>BAC</w:t>
            </w:r>
          </w:p>
        </w:tc>
        <w:tc>
          <w:tcPr>
            <w:tcW w:w="1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vAlign w:val="center"/>
          </w:tcPr>
          <w:p w14:paraId="5D8A612F" w14:textId="77777777" w:rsidR="00085672" w:rsidRPr="005A1C76" w:rsidRDefault="00085672" w:rsidP="00085672">
            <w:pPr>
              <w:spacing w:after="0"/>
              <w:ind w:left="1138" w:hanging="1138"/>
              <w:jc w:val="center"/>
              <w:rPr>
                <w:rFonts w:eastAsia="Calibri" w:cs="Calibri"/>
                <w:b/>
                <w:color w:val="FFFFFF"/>
                <w:sz w:val="20"/>
                <w:szCs w:val="20"/>
                <w:lang w:val="en-GB"/>
              </w:rPr>
            </w:pPr>
            <w:r w:rsidRPr="005A1C76">
              <w:rPr>
                <w:rFonts w:eastAsia="Calibri" w:cs="Calibri"/>
                <w:b/>
                <w:color w:val="FFFFFF"/>
                <w:sz w:val="20"/>
                <w:szCs w:val="20"/>
                <w:lang w:val="en-GB"/>
              </w:rPr>
              <w:t>ERL</w:t>
            </w:r>
          </w:p>
        </w:tc>
        <w:tc>
          <w:tcPr>
            <w:tcW w:w="1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vAlign w:val="center"/>
          </w:tcPr>
          <w:p w14:paraId="20BF3EFD" w14:textId="77777777" w:rsidR="00085672" w:rsidRPr="005A1C76" w:rsidRDefault="00085672" w:rsidP="00085672">
            <w:pPr>
              <w:spacing w:after="0"/>
              <w:ind w:left="1138" w:hanging="1138"/>
              <w:jc w:val="center"/>
              <w:rPr>
                <w:rFonts w:eastAsia="Calibri" w:cs="Calibri"/>
                <w:b/>
                <w:color w:val="FFFFFF"/>
                <w:sz w:val="20"/>
                <w:szCs w:val="20"/>
                <w:lang w:val="en-GB"/>
              </w:rPr>
            </w:pPr>
            <w:r w:rsidRPr="005A1C76">
              <w:rPr>
                <w:rFonts w:eastAsia="Calibri" w:cs="Calibri"/>
                <w:b/>
                <w:color w:val="FFFFFF"/>
                <w:sz w:val="20"/>
                <w:szCs w:val="20"/>
                <w:lang w:val="en-GB"/>
              </w:rPr>
              <w:t>EAC</w:t>
            </w:r>
          </w:p>
        </w:tc>
        <w:tc>
          <w:tcPr>
            <w:tcW w:w="1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vAlign w:val="center"/>
          </w:tcPr>
          <w:p w14:paraId="63E02D80" w14:textId="77777777" w:rsidR="00085672" w:rsidRPr="005A1C76" w:rsidRDefault="00085672" w:rsidP="00085672">
            <w:pPr>
              <w:spacing w:after="0"/>
              <w:ind w:left="1138" w:hanging="1138"/>
              <w:jc w:val="center"/>
              <w:rPr>
                <w:rFonts w:eastAsia="Calibri" w:cs="Calibri"/>
                <w:b/>
                <w:color w:val="FFFFFF"/>
                <w:sz w:val="20"/>
                <w:szCs w:val="20"/>
                <w:lang w:val="en-GB"/>
              </w:rPr>
            </w:pPr>
            <w:r w:rsidRPr="005A1C76">
              <w:rPr>
                <w:rFonts w:eastAsia="Calibri" w:cs="Calibri"/>
                <w:b/>
                <w:color w:val="FFFFFF"/>
                <w:sz w:val="20"/>
                <w:szCs w:val="20"/>
                <w:lang w:val="en-GB"/>
              </w:rPr>
              <w:t>BAC</w:t>
            </w:r>
          </w:p>
        </w:tc>
        <w:tc>
          <w:tcPr>
            <w:tcW w:w="1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vAlign w:val="center"/>
          </w:tcPr>
          <w:p w14:paraId="2A3E6D2E" w14:textId="77777777" w:rsidR="00085672" w:rsidRPr="005A1C76" w:rsidRDefault="00085672" w:rsidP="00085672">
            <w:pPr>
              <w:spacing w:after="0"/>
              <w:ind w:left="1138" w:hanging="1138"/>
              <w:jc w:val="center"/>
              <w:rPr>
                <w:rFonts w:eastAsia="Calibri" w:cs="Calibri"/>
                <w:b/>
                <w:color w:val="FFFFFF"/>
                <w:sz w:val="20"/>
                <w:szCs w:val="20"/>
                <w:lang w:val="en-GB"/>
              </w:rPr>
            </w:pPr>
            <w:r w:rsidRPr="005A1C76">
              <w:rPr>
                <w:rFonts w:eastAsia="Calibri" w:cs="Calibri"/>
                <w:b/>
                <w:color w:val="FFFFFF"/>
                <w:sz w:val="20"/>
                <w:szCs w:val="20"/>
                <w:lang w:val="en-GB"/>
              </w:rPr>
              <w:t>EAC</w:t>
            </w:r>
          </w:p>
        </w:tc>
        <w:tc>
          <w:tcPr>
            <w:tcW w:w="1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vAlign w:val="center"/>
          </w:tcPr>
          <w:p w14:paraId="37EF43D8" w14:textId="77777777" w:rsidR="00085672" w:rsidRPr="005A1C76" w:rsidRDefault="00085672" w:rsidP="00085672">
            <w:pPr>
              <w:spacing w:after="0"/>
              <w:ind w:left="1138" w:hanging="1138"/>
              <w:jc w:val="center"/>
              <w:rPr>
                <w:rFonts w:eastAsia="Calibri" w:cs="Calibri"/>
                <w:b/>
                <w:color w:val="FFFFFF"/>
                <w:sz w:val="20"/>
                <w:szCs w:val="20"/>
                <w:lang w:val="en-GB"/>
              </w:rPr>
            </w:pPr>
            <w:r w:rsidRPr="005A1C76">
              <w:rPr>
                <w:rFonts w:eastAsia="Calibri" w:cs="Calibri"/>
                <w:b/>
                <w:color w:val="FFFFFF"/>
                <w:sz w:val="20"/>
                <w:szCs w:val="20"/>
                <w:lang w:val="en-GB"/>
              </w:rPr>
              <w:t>EC</w:t>
            </w:r>
          </w:p>
        </w:tc>
      </w:tr>
      <w:tr w:rsidR="00085672" w:rsidRPr="005A1C76" w14:paraId="37DD0182" w14:textId="77777777" w:rsidTr="00605469">
        <w:trPr>
          <w:jc w:val="center"/>
        </w:trPr>
        <w:tc>
          <w:tcPr>
            <w:tcW w:w="2689" w:type="dxa"/>
            <w:tcBorders>
              <w:top w:val="single" w:sz="4" w:space="0" w:color="FFFFFF" w:themeColor="background1"/>
            </w:tcBorders>
          </w:tcPr>
          <w:p w14:paraId="3D3F9A56" w14:textId="77777777" w:rsidR="00085672" w:rsidRPr="005A1C76" w:rsidRDefault="00085672" w:rsidP="00085672">
            <w:pPr>
              <w:spacing w:after="0"/>
              <w:ind w:left="1138" w:hanging="1138"/>
              <w:rPr>
                <w:rFonts w:eastAsia="Calibri" w:cs="Calibri"/>
                <w:b/>
                <w:sz w:val="20"/>
                <w:szCs w:val="20"/>
                <w:lang w:val="en-GB"/>
              </w:rPr>
            </w:pPr>
            <w:r w:rsidRPr="005A1C76">
              <w:rPr>
                <w:rFonts w:eastAsia="Calibri" w:cs="Calibri"/>
                <w:b/>
                <w:sz w:val="20"/>
                <w:szCs w:val="20"/>
                <w:lang w:val="en-GB"/>
              </w:rPr>
              <w:t>Metali</w:t>
            </w:r>
          </w:p>
        </w:tc>
        <w:tc>
          <w:tcPr>
            <w:tcW w:w="6523" w:type="dxa"/>
            <w:gridSpan w:val="6"/>
            <w:tcBorders>
              <w:top w:val="single" w:sz="4" w:space="0" w:color="FFFFFF" w:themeColor="background1"/>
            </w:tcBorders>
          </w:tcPr>
          <w:p w14:paraId="4C10B42D" w14:textId="77777777" w:rsidR="00085672" w:rsidRPr="005A1C76" w:rsidRDefault="00085672" w:rsidP="00085672">
            <w:pPr>
              <w:spacing w:after="0"/>
              <w:ind w:left="1138" w:hanging="1138"/>
              <w:jc w:val="center"/>
              <w:rPr>
                <w:rFonts w:eastAsia="Calibri" w:cs="Calibri"/>
                <w:sz w:val="20"/>
                <w:szCs w:val="20"/>
                <w:lang w:val="en-GB"/>
              </w:rPr>
            </w:pPr>
          </w:p>
        </w:tc>
      </w:tr>
      <w:tr w:rsidR="00085672" w:rsidRPr="005A1C76" w14:paraId="43419A42" w14:textId="77777777" w:rsidTr="00085672">
        <w:trPr>
          <w:jc w:val="center"/>
        </w:trPr>
        <w:tc>
          <w:tcPr>
            <w:tcW w:w="2689" w:type="dxa"/>
          </w:tcPr>
          <w:p w14:paraId="348FA5EE" w14:textId="77777777" w:rsidR="00085672" w:rsidRPr="005A1C76" w:rsidRDefault="00085672" w:rsidP="00085672">
            <w:pPr>
              <w:spacing w:after="0"/>
              <w:ind w:left="1138" w:hanging="1138"/>
              <w:rPr>
                <w:rFonts w:eastAsia="Calibri" w:cs="Calibri"/>
                <w:sz w:val="20"/>
                <w:szCs w:val="20"/>
                <w:lang w:val="en-GB"/>
              </w:rPr>
            </w:pPr>
            <w:r w:rsidRPr="005A1C76">
              <w:rPr>
                <w:rFonts w:eastAsia="Calibri" w:cs="Calibri"/>
                <w:sz w:val="20"/>
                <w:szCs w:val="20"/>
                <w:lang w:val="en-GB"/>
              </w:rPr>
              <w:t>Kadmijum</w:t>
            </w:r>
          </w:p>
        </w:tc>
        <w:tc>
          <w:tcPr>
            <w:tcW w:w="1223" w:type="dxa"/>
          </w:tcPr>
          <w:p w14:paraId="05DD5CCD" w14:textId="77777777" w:rsidR="00085672" w:rsidRPr="005A1C76" w:rsidRDefault="00085672" w:rsidP="00085672">
            <w:pPr>
              <w:spacing w:after="0"/>
              <w:ind w:left="1138" w:hanging="1138"/>
              <w:jc w:val="center"/>
              <w:rPr>
                <w:rFonts w:eastAsia="Calibri" w:cs="Calibri"/>
                <w:sz w:val="20"/>
                <w:szCs w:val="20"/>
                <w:lang w:val="en-GB"/>
              </w:rPr>
            </w:pPr>
            <w:r w:rsidRPr="005A1C76">
              <w:rPr>
                <w:rFonts w:eastAsia="Calibri" w:cs="Calibri"/>
                <w:sz w:val="20"/>
                <w:szCs w:val="20"/>
                <w:lang w:val="en-GB"/>
              </w:rPr>
              <w:t>127.5</w:t>
            </w:r>
          </w:p>
        </w:tc>
        <w:tc>
          <w:tcPr>
            <w:tcW w:w="1060" w:type="dxa"/>
          </w:tcPr>
          <w:p w14:paraId="183DE6F0" w14:textId="77777777" w:rsidR="00085672" w:rsidRPr="005A1C76" w:rsidRDefault="00085672" w:rsidP="00085672">
            <w:pPr>
              <w:spacing w:after="0"/>
              <w:ind w:left="1138" w:hanging="1138"/>
              <w:jc w:val="center"/>
              <w:rPr>
                <w:rFonts w:eastAsia="Calibri" w:cs="Calibri"/>
                <w:sz w:val="20"/>
                <w:szCs w:val="20"/>
                <w:lang w:val="en-GB"/>
              </w:rPr>
            </w:pPr>
            <w:r w:rsidRPr="005A1C76">
              <w:rPr>
                <w:rFonts w:eastAsia="Calibri" w:cs="Calibri"/>
                <w:sz w:val="20"/>
                <w:szCs w:val="20"/>
                <w:lang w:val="en-GB"/>
              </w:rPr>
              <w:t>1200</w:t>
            </w:r>
          </w:p>
        </w:tc>
        <w:tc>
          <w:tcPr>
            <w:tcW w:w="1060" w:type="dxa"/>
          </w:tcPr>
          <w:p w14:paraId="19D13D16"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0B213BCE" w14:textId="77777777" w:rsidR="00085672" w:rsidRPr="005A1C76" w:rsidRDefault="00085672" w:rsidP="00085672">
            <w:pPr>
              <w:spacing w:after="0"/>
              <w:jc w:val="center"/>
              <w:rPr>
                <w:rFonts w:eastAsia="Calibri" w:cs="Calibri"/>
                <w:sz w:val="20"/>
                <w:szCs w:val="20"/>
                <w:lang w:val="en-GB"/>
              </w:rPr>
            </w:pPr>
            <w:r w:rsidRPr="005A1C76">
              <w:rPr>
                <w:rFonts w:eastAsia="Calibri" w:cs="Calibri"/>
                <w:sz w:val="20"/>
                <w:szCs w:val="20"/>
                <w:lang w:val="en-GB"/>
              </w:rPr>
              <w:t>1095</w:t>
            </w:r>
          </w:p>
        </w:tc>
        <w:tc>
          <w:tcPr>
            <w:tcW w:w="1060" w:type="dxa"/>
          </w:tcPr>
          <w:p w14:paraId="14FFF3E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3A3CA2E2" w14:textId="77777777" w:rsidR="00085672" w:rsidRPr="005A1C76" w:rsidRDefault="00085672" w:rsidP="00085672">
            <w:pPr>
              <w:spacing w:after="0"/>
              <w:jc w:val="center"/>
              <w:rPr>
                <w:rFonts w:eastAsia="Calibri" w:cs="Calibri"/>
                <w:sz w:val="20"/>
                <w:szCs w:val="20"/>
                <w:lang w:val="en-GB"/>
              </w:rPr>
            </w:pPr>
            <w:r w:rsidRPr="005A1C76">
              <w:rPr>
                <w:rFonts w:eastAsia="Calibri" w:cs="Calibri"/>
                <w:sz w:val="20"/>
                <w:szCs w:val="20"/>
                <w:lang w:val="en-GB"/>
              </w:rPr>
              <w:t>5000</w:t>
            </w:r>
          </w:p>
        </w:tc>
      </w:tr>
      <w:tr w:rsidR="00085672" w:rsidRPr="005A1C76" w14:paraId="101C5FEC" w14:textId="77777777" w:rsidTr="00085672">
        <w:trPr>
          <w:jc w:val="center"/>
        </w:trPr>
        <w:tc>
          <w:tcPr>
            <w:tcW w:w="2689" w:type="dxa"/>
          </w:tcPr>
          <w:p w14:paraId="46C7ADDE" w14:textId="77777777" w:rsidR="00085672" w:rsidRPr="005A1C76" w:rsidRDefault="00085672" w:rsidP="00085672">
            <w:pPr>
              <w:spacing w:after="0"/>
              <w:ind w:left="1138" w:hanging="1138"/>
              <w:rPr>
                <w:rFonts w:eastAsia="Calibri" w:cs="Calibri"/>
                <w:sz w:val="20"/>
                <w:szCs w:val="20"/>
                <w:lang w:val="en-GB"/>
              </w:rPr>
            </w:pPr>
            <w:r w:rsidRPr="005A1C76">
              <w:rPr>
                <w:rFonts w:eastAsia="Calibri" w:cs="Calibri"/>
                <w:sz w:val="20"/>
                <w:szCs w:val="20"/>
                <w:lang w:val="en-GB"/>
              </w:rPr>
              <w:t>Živa</w:t>
            </w:r>
          </w:p>
        </w:tc>
        <w:tc>
          <w:tcPr>
            <w:tcW w:w="1223" w:type="dxa"/>
          </w:tcPr>
          <w:p w14:paraId="7565F9F5" w14:textId="77777777" w:rsidR="00085672" w:rsidRPr="005A1C76" w:rsidRDefault="00085672" w:rsidP="00085672">
            <w:pPr>
              <w:spacing w:after="0"/>
              <w:ind w:left="1138" w:hanging="1138"/>
              <w:jc w:val="center"/>
              <w:rPr>
                <w:rFonts w:eastAsia="Calibri" w:cs="Calibri"/>
                <w:sz w:val="20"/>
                <w:szCs w:val="20"/>
                <w:lang w:val="en-GB"/>
              </w:rPr>
            </w:pPr>
            <w:r w:rsidRPr="005A1C76">
              <w:rPr>
                <w:rFonts w:eastAsia="Calibri" w:cs="Calibri"/>
                <w:sz w:val="20"/>
                <w:szCs w:val="20"/>
                <w:lang w:val="en-GB"/>
              </w:rPr>
              <w:t>79.5</w:t>
            </w:r>
          </w:p>
        </w:tc>
        <w:tc>
          <w:tcPr>
            <w:tcW w:w="1060" w:type="dxa"/>
          </w:tcPr>
          <w:p w14:paraId="643323D0" w14:textId="77777777" w:rsidR="00085672" w:rsidRPr="005A1C76" w:rsidRDefault="00085672" w:rsidP="00085672">
            <w:pPr>
              <w:spacing w:after="0"/>
              <w:ind w:left="1138" w:hanging="1138"/>
              <w:jc w:val="center"/>
              <w:rPr>
                <w:rFonts w:eastAsia="Calibri" w:cs="Calibri"/>
                <w:sz w:val="20"/>
                <w:szCs w:val="20"/>
                <w:lang w:val="en-GB"/>
              </w:rPr>
            </w:pPr>
            <w:r w:rsidRPr="005A1C76">
              <w:rPr>
                <w:rFonts w:eastAsia="Calibri" w:cs="Calibri"/>
                <w:sz w:val="20"/>
                <w:szCs w:val="20"/>
                <w:lang w:val="en-GB"/>
              </w:rPr>
              <w:t>150</w:t>
            </w:r>
          </w:p>
        </w:tc>
        <w:tc>
          <w:tcPr>
            <w:tcW w:w="1060" w:type="dxa"/>
          </w:tcPr>
          <w:p w14:paraId="18F1CD7D"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0F64EF9B" w14:textId="77777777" w:rsidR="00085672" w:rsidRPr="005A1C76" w:rsidRDefault="00085672" w:rsidP="00085672">
            <w:pPr>
              <w:spacing w:after="0"/>
              <w:jc w:val="center"/>
              <w:rPr>
                <w:rFonts w:eastAsia="Calibri" w:cs="Calibri"/>
                <w:sz w:val="20"/>
                <w:szCs w:val="20"/>
                <w:lang w:val="en-GB"/>
              </w:rPr>
            </w:pPr>
            <w:r w:rsidRPr="005A1C76">
              <w:rPr>
                <w:rFonts w:eastAsia="Calibri" w:cs="Calibri"/>
                <w:sz w:val="20"/>
                <w:szCs w:val="20"/>
                <w:lang w:val="en-GB"/>
              </w:rPr>
              <w:t>173.2</w:t>
            </w:r>
          </w:p>
        </w:tc>
        <w:tc>
          <w:tcPr>
            <w:tcW w:w="1060" w:type="dxa"/>
          </w:tcPr>
          <w:p w14:paraId="2E48D3D1"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3AF2CFD8" w14:textId="77777777" w:rsidR="00085672" w:rsidRPr="005A1C76" w:rsidRDefault="00085672" w:rsidP="00085672">
            <w:pPr>
              <w:spacing w:after="0"/>
              <w:jc w:val="center"/>
              <w:rPr>
                <w:rFonts w:eastAsia="Calibri" w:cs="Calibri"/>
                <w:sz w:val="20"/>
                <w:szCs w:val="20"/>
                <w:lang w:val="en-GB"/>
              </w:rPr>
            </w:pPr>
            <w:r w:rsidRPr="005A1C76">
              <w:rPr>
                <w:rFonts w:eastAsia="Calibri" w:cs="Calibri"/>
                <w:sz w:val="20"/>
                <w:szCs w:val="20"/>
                <w:lang w:val="en-GB"/>
              </w:rPr>
              <w:t>2500</w:t>
            </w:r>
          </w:p>
        </w:tc>
      </w:tr>
      <w:tr w:rsidR="00085672" w:rsidRPr="005A1C76" w14:paraId="72C377D6" w14:textId="77777777" w:rsidTr="00085672">
        <w:trPr>
          <w:jc w:val="center"/>
        </w:trPr>
        <w:tc>
          <w:tcPr>
            <w:tcW w:w="2689" w:type="dxa"/>
          </w:tcPr>
          <w:p w14:paraId="2B989B08" w14:textId="77777777" w:rsidR="00085672" w:rsidRPr="005A1C76" w:rsidRDefault="00085672" w:rsidP="00085672">
            <w:pPr>
              <w:spacing w:after="0"/>
              <w:ind w:left="1138" w:hanging="1138"/>
              <w:rPr>
                <w:rFonts w:eastAsia="Calibri" w:cs="Calibri"/>
                <w:sz w:val="20"/>
                <w:szCs w:val="20"/>
                <w:lang w:val="en-GB"/>
              </w:rPr>
            </w:pPr>
            <w:r w:rsidRPr="005A1C76">
              <w:rPr>
                <w:rFonts w:eastAsia="Calibri" w:cs="Calibri"/>
                <w:sz w:val="20"/>
                <w:szCs w:val="20"/>
                <w:lang w:val="en-GB"/>
              </w:rPr>
              <w:t>Olovo</w:t>
            </w:r>
          </w:p>
        </w:tc>
        <w:tc>
          <w:tcPr>
            <w:tcW w:w="1223" w:type="dxa"/>
          </w:tcPr>
          <w:p w14:paraId="18804186" w14:textId="77777777" w:rsidR="00085672" w:rsidRPr="005A1C76" w:rsidRDefault="00085672" w:rsidP="00085672">
            <w:pPr>
              <w:spacing w:after="0"/>
              <w:ind w:left="1138" w:hanging="1138"/>
              <w:jc w:val="center"/>
              <w:rPr>
                <w:rFonts w:eastAsia="Calibri" w:cs="Calibri"/>
                <w:sz w:val="20"/>
                <w:szCs w:val="20"/>
                <w:lang w:val="en-GB"/>
              </w:rPr>
            </w:pPr>
            <w:r w:rsidRPr="005A1C76">
              <w:rPr>
                <w:rFonts w:eastAsia="Calibri" w:cs="Calibri"/>
                <w:sz w:val="20"/>
                <w:szCs w:val="20"/>
                <w:lang w:val="en-GB"/>
              </w:rPr>
              <w:t>25425</w:t>
            </w:r>
          </w:p>
        </w:tc>
        <w:tc>
          <w:tcPr>
            <w:tcW w:w="1060" w:type="dxa"/>
          </w:tcPr>
          <w:p w14:paraId="0B5E6D53" w14:textId="77777777" w:rsidR="00085672" w:rsidRPr="005A1C76" w:rsidRDefault="00085672" w:rsidP="00085672">
            <w:pPr>
              <w:spacing w:after="0"/>
              <w:ind w:left="1138" w:hanging="1138"/>
              <w:jc w:val="center"/>
              <w:rPr>
                <w:rFonts w:eastAsia="Calibri" w:cs="Calibri"/>
                <w:sz w:val="20"/>
                <w:szCs w:val="20"/>
                <w:lang w:val="en-GB"/>
              </w:rPr>
            </w:pPr>
            <w:r w:rsidRPr="005A1C76">
              <w:rPr>
                <w:rFonts w:eastAsia="Calibri" w:cs="Calibri"/>
                <w:sz w:val="20"/>
                <w:szCs w:val="20"/>
                <w:lang w:val="en-GB"/>
              </w:rPr>
              <w:t>46700</w:t>
            </w:r>
          </w:p>
        </w:tc>
        <w:tc>
          <w:tcPr>
            <w:tcW w:w="1060" w:type="dxa"/>
          </w:tcPr>
          <w:p w14:paraId="4094D31B"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2873975D" w14:textId="77777777" w:rsidR="00085672" w:rsidRPr="005A1C76" w:rsidRDefault="00085672" w:rsidP="00085672">
            <w:pPr>
              <w:spacing w:after="0"/>
              <w:jc w:val="center"/>
              <w:rPr>
                <w:rFonts w:eastAsia="Calibri" w:cs="Calibri"/>
                <w:sz w:val="20"/>
                <w:szCs w:val="20"/>
                <w:lang w:val="en-GB"/>
              </w:rPr>
            </w:pPr>
            <w:r w:rsidRPr="005A1C76">
              <w:rPr>
                <w:rFonts w:eastAsia="Calibri" w:cs="Calibri"/>
                <w:sz w:val="20"/>
                <w:szCs w:val="20"/>
                <w:lang w:val="en-GB"/>
              </w:rPr>
              <w:t>2313</w:t>
            </w:r>
          </w:p>
        </w:tc>
        <w:tc>
          <w:tcPr>
            <w:tcW w:w="1060" w:type="dxa"/>
          </w:tcPr>
          <w:p w14:paraId="75829B7B"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2E93AF93" w14:textId="77777777" w:rsidR="00085672" w:rsidRPr="005A1C76" w:rsidRDefault="00085672" w:rsidP="00085672">
            <w:pPr>
              <w:spacing w:after="0"/>
              <w:jc w:val="center"/>
              <w:rPr>
                <w:rFonts w:eastAsia="Calibri" w:cs="Calibri"/>
                <w:sz w:val="20"/>
                <w:szCs w:val="20"/>
                <w:lang w:val="en-GB"/>
              </w:rPr>
            </w:pPr>
            <w:r w:rsidRPr="005A1C76">
              <w:rPr>
                <w:rFonts w:eastAsia="Calibri" w:cs="Calibri"/>
                <w:sz w:val="20"/>
                <w:szCs w:val="20"/>
                <w:lang w:val="en-GB"/>
              </w:rPr>
              <w:t>7500</w:t>
            </w:r>
          </w:p>
        </w:tc>
      </w:tr>
      <w:tr w:rsidR="00085672" w:rsidRPr="005A1C76" w14:paraId="7830A5E4" w14:textId="77777777" w:rsidTr="00085672">
        <w:trPr>
          <w:jc w:val="center"/>
        </w:trPr>
        <w:tc>
          <w:tcPr>
            <w:tcW w:w="2689" w:type="dxa"/>
          </w:tcPr>
          <w:p w14:paraId="4FD939FD" w14:textId="77777777" w:rsidR="00085672" w:rsidRPr="005A1C76" w:rsidRDefault="00085672" w:rsidP="00085672">
            <w:pPr>
              <w:spacing w:after="0"/>
              <w:ind w:left="1138" w:hanging="1138"/>
              <w:rPr>
                <w:rFonts w:eastAsia="Calibri" w:cs="Calibri"/>
                <w:sz w:val="20"/>
                <w:szCs w:val="20"/>
                <w:lang w:val="en-GB"/>
              </w:rPr>
            </w:pPr>
            <w:r w:rsidRPr="005A1C76">
              <w:rPr>
                <w:rFonts w:eastAsia="Calibri" w:cs="Calibri"/>
                <w:sz w:val="20"/>
                <w:szCs w:val="20"/>
                <w:lang w:val="en-GB"/>
              </w:rPr>
              <w:t>Arsen</w:t>
            </w:r>
          </w:p>
        </w:tc>
        <w:tc>
          <w:tcPr>
            <w:tcW w:w="1223" w:type="dxa"/>
          </w:tcPr>
          <w:p w14:paraId="5B927274" w14:textId="77777777" w:rsidR="00085672" w:rsidRPr="005A1C76" w:rsidRDefault="00085672" w:rsidP="00085672">
            <w:pPr>
              <w:spacing w:after="0"/>
              <w:ind w:left="1138" w:hanging="1138"/>
              <w:jc w:val="center"/>
              <w:rPr>
                <w:rFonts w:eastAsia="Calibri" w:cs="Calibri"/>
                <w:sz w:val="20"/>
                <w:szCs w:val="20"/>
                <w:lang w:val="en-GB"/>
              </w:rPr>
            </w:pPr>
            <w:r w:rsidRPr="005A1C76">
              <w:rPr>
                <w:rFonts w:eastAsia="Calibri" w:cs="Calibri"/>
                <w:sz w:val="20"/>
                <w:szCs w:val="20"/>
                <w:lang w:val="en-GB"/>
              </w:rPr>
              <w:t>25000**</w:t>
            </w:r>
          </w:p>
        </w:tc>
        <w:tc>
          <w:tcPr>
            <w:tcW w:w="1060" w:type="dxa"/>
          </w:tcPr>
          <w:p w14:paraId="1C3DBA4A" w14:textId="77777777" w:rsidR="00085672" w:rsidRPr="005A1C76" w:rsidRDefault="00085672" w:rsidP="00085672">
            <w:pPr>
              <w:autoSpaceDE w:val="0"/>
              <w:autoSpaceDN w:val="0"/>
              <w:adjustRightInd w:val="0"/>
              <w:spacing w:after="0" w:line="240" w:lineRule="auto"/>
              <w:jc w:val="center"/>
              <w:rPr>
                <w:rFonts w:eastAsia="Calibri" w:cs="Calibri"/>
                <w:sz w:val="20"/>
                <w:szCs w:val="20"/>
                <w:lang w:val="en-GB"/>
              </w:rPr>
            </w:pPr>
            <w:r w:rsidRPr="005A1C76">
              <w:rPr>
                <w:rFonts w:eastAsia="Calibri" w:cs="Calibri"/>
                <w:sz w:val="20"/>
                <w:szCs w:val="20"/>
                <w:lang w:val="en-GB"/>
              </w:rPr>
              <w:t>-</w:t>
            </w:r>
          </w:p>
        </w:tc>
        <w:tc>
          <w:tcPr>
            <w:tcW w:w="1060" w:type="dxa"/>
          </w:tcPr>
          <w:p w14:paraId="07205CD0"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7F954650"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1CB77874"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4594CAB0"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65B3D658" w14:textId="77777777" w:rsidTr="00085672">
        <w:trPr>
          <w:jc w:val="center"/>
        </w:trPr>
        <w:tc>
          <w:tcPr>
            <w:tcW w:w="2689" w:type="dxa"/>
          </w:tcPr>
          <w:p w14:paraId="7D590181" w14:textId="77777777" w:rsidR="00085672" w:rsidRPr="005A1C76" w:rsidRDefault="00085672" w:rsidP="00085672">
            <w:pPr>
              <w:spacing w:after="0"/>
              <w:ind w:left="1138" w:hanging="1138"/>
              <w:rPr>
                <w:rFonts w:eastAsia="Calibri" w:cs="Calibri"/>
                <w:sz w:val="20"/>
                <w:szCs w:val="20"/>
                <w:lang w:val="en-GB"/>
              </w:rPr>
            </w:pPr>
            <w:r w:rsidRPr="005A1C76">
              <w:rPr>
                <w:rFonts w:eastAsia="Calibri" w:cs="Calibri"/>
                <w:sz w:val="20"/>
                <w:szCs w:val="20"/>
                <w:lang w:val="en-GB"/>
              </w:rPr>
              <w:t>Hrom</w:t>
            </w:r>
          </w:p>
        </w:tc>
        <w:tc>
          <w:tcPr>
            <w:tcW w:w="1223" w:type="dxa"/>
          </w:tcPr>
          <w:p w14:paraId="5A9B9E6F" w14:textId="77777777" w:rsidR="00085672" w:rsidRPr="005A1C76" w:rsidRDefault="00085672" w:rsidP="00085672">
            <w:pPr>
              <w:spacing w:after="0"/>
              <w:ind w:left="1138" w:hanging="1138"/>
              <w:jc w:val="center"/>
              <w:rPr>
                <w:rFonts w:eastAsia="Calibri" w:cs="Calibri"/>
                <w:sz w:val="20"/>
                <w:szCs w:val="20"/>
                <w:lang w:val="en-GB"/>
              </w:rPr>
            </w:pPr>
            <w:r w:rsidRPr="005A1C76">
              <w:rPr>
                <w:rFonts w:eastAsia="Calibri" w:cs="Calibri"/>
                <w:sz w:val="20"/>
                <w:szCs w:val="20"/>
                <w:lang w:val="en-GB"/>
              </w:rPr>
              <w:t>81000**</w:t>
            </w:r>
          </w:p>
        </w:tc>
        <w:tc>
          <w:tcPr>
            <w:tcW w:w="1060" w:type="dxa"/>
          </w:tcPr>
          <w:p w14:paraId="1F19E9CF" w14:textId="77777777" w:rsidR="00085672" w:rsidRPr="005A1C76" w:rsidRDefault="00085672" w:rsidP="00085672">
            <w:pPr>
              <w:spacing w:after="0"/>
              <w:ind w:left="1138" w:hanging="1138"/>
              <w:jc w:val="center"/>
              <w:rPr>
                <w:rFonts w:eastAsia="Calibri" w:cs="Calibri"/>
                <w:sz w:val="20"/>
                <w:szCs w:val="20"/>
                <w:lang w:val="en-GB"/>
              </w:rPr>
            </w:pPr>
            <w:r w:rsidRPr="005A1C76">
              <w:rPr>
                <w:rFonts w:eastAsia="Calibri" w:cs="Calibri"/>
                <w:sz w:val="20"/>
                <w:szCs w:val="20"/>
                <w:lang w:val="en-GB"/>
              </w:rPr>
              <w:t>81000**</w:t>
            </w:r>
          </w:p>
        </w:tc>
        <w:tc>
          <w:tcPr>
            <w:tcW w:w="1060" w:type="dxa"/>
          </w:tcPr>
          <w:p w14:paraId="402B69BD"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5C8452B2"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5B656B1A"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5CCAA89F"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64682FED" w14:textId="77777777" w:rsidTr="00085672">
        <w:trPr>
          <w:jc w:val="center"/>
        </w:trPr>
        <w:tc>
          <w:tcPr>
            <w:tcW w:w="2689" w:type="dxa"/>
          </w:tcPr>
          <w:p w14:paraId="3F32CE1A" w14:textId="77777777" w:rsidR="00085672" w:rsidRPr="005A1C76" w:rsidRDefault="00085672" w:rsidP="00085672">
            <w:pPr>
              <w:spacing w:after="0"/>
              <w:ind w:left="1138" w:hanging="1138"/>
              <w:rPr>
                <w:rFonts w:eastAsia="Calibri" w:cs="Calibri"/>
                <w:sz w:val="20"/>
                <w:szCs w:val="20"/>
                <w:lang w:val="en-GB"/>
              </w:rPr>
            </w:pPr>
            <w:r w:rsidRPr="005A1C76">
              <w:rPr>
                <w:rFonts w:eastAsia="Calibri" w:cs="Calibri"/>
                <w:sz w:val="20"/>
                <w:szCs w:val="20"/>
                <w:lang w:val="en-GB"/>
              </w:rPr>
              <w:t>Bakar</w:t>
            </w:r>
          </w:p>
        </w:tc>
        <w:tc>
          <w:tcPr>
            <w:tcW w:w="1223" w:type="dxa"/>
          </w:tcPr>
          <w:p w14:paraId="1B199703" w14:textId="77777777" w:rsidR="00085672" w:rsidRPr="005A1C76" w:rsidRDefault="00085672" w:rsidP="00085672">
            <w:pPr>
              <w:spacing w:after="0"/>
              <w:ind w:left="1138" w:hanging="1138"/>
              <w:jc w:val="center"/>
              <w:rPr>
                <w:rFonts w:eastAsia="Calibri" w:cs="Calibri"/>
                <w:sz w:val="20"/>
                <w:szCs w:val="20"/>
                <w:lang w:val="en-GB"/>
              </w:rPr>
            </w:pPr>
            <w:r w:rsidRPr="005A1C76">
              <w:rPr>
                <w:rFonts w:eastAsia="Calibri" w:cs="Calibri"/>
                <w:sz w:val="20"/>
                <w:szCs w:val="20"/>
                <w:lang w:val="en-GB"/>
              </w:rPr>
              <w:t>27000**</w:t>
            </w:r>
          </w:p>
        </w:tc>
        <w:tc>
          <w:tcPr>
            <w:tcW w:w="1060" w:type="dxa"/>
          </w:tcPr>
          <w:p w14:paraId="3FC30038" w14:textId="77777777" w:rsidR="00085672" w:rsidRPr="005A1C76" w:rsidRDefault="00085672" w:rsidP="00085672">
            <w:pPr>
              <w:spacing w:after="0"/>
              <w:ind w:left="1138" w:hanging="1138"/>
              <w:jc w:val="center"/>
              <w:rPr>
                <w:rFonts w:eastAsia="Calibri" w:cs="Calibri"/>
                <w:sz w:val="20"/>
                <w:szCs w:val="20"/>
                <w:lang w:val="en-GB"/>
              </w:rPr>
            </w:pPr>
            <w:r w:rsidRPr="005A1C76">
              <w:rPr>
                <w:rFonts w:eastAsia="Calibri" w:cs="Calibri"/>
                <w:sz w:val="20"/>
                <w:szCs w:val="20"/>
                <w:lang w:val="en-GB"/>
              </w:rPr>
              <w:t>34000**</w:t>
            </w:r>
          </w:p>
        </w:tc>
        <w:tc>
          <w:tcPr>
            <w:tcW w:w="1060" w:type="dxa"/>
          </w:tcPr>
          <w:p w14:paraId="36EC2BAD"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1D5462B1"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6000**</w:t>
            </w:r>
          </w:p>
        </w:tc>
        <w:tc>
          <w:tcPr>
            <w:tcW w:w="1060" w:type="dxa"/>
          </w:tcPr>
          <w:p w14:paraId="495AE7C8"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3F7AC86F"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158D08AC" w14:textId="77777777" w:rsidTr="00085672">
        <w:trPr>
          <w:jc w:val="center"/>
        </w:trPr>
        <w:tc>
          <w:tcPr>
            <w:tcW w:w="2689" w:type="dxa"/>
          </w:tcPr>
          <w:p w14:paraId="0C037CA1" w14:textId="77777777" w:rsidR="00085672" w:rsidRPr="005A1C76" w:rsidRDefault="00085672" w:rsidP="00085672">
            <w:pPr>
              <w:spacing w:after="0"/>
              <w:ind w:left="1138" w:hanging="1138"/>
              <w:rPr>
                <w:rFonts w:eastAsia="Calibri" w:cs="Calibri"/>
                <w:sz w:val="20"/>
                <w:szCs w:val="20"/>
                <w:lang w:val="en-GB"/>
              </w:rPr>
            </w:pPr>
            <w:r w:rsidRPr="005A1C76">
              <w:rPr>
                <w:rFonts w:eastAsia="Calibri" w:cs="Calibri"/>
                <w:sz w:val="20"/>
                <w:szCs w:val="20"/>
                <w:lang w:val="en-GB"/>
              </w:rPr>
              <w:t>Nikal</w:t>
            </w:r>
          </w:p>
        </w:tc>
        <w:tc>
          <w:tcPr>
            <w:tcW w:w="1223" w:type="dxa"/>
          </w:tcPr>
          <w:p w14:paraId="7CD0E4AE" w14:textId="77777777" w:rsidR="00085672" w:rsidRPr="005A1C76" w:rsidRDefault="00085672" w:rsidP="00085672">
            <w:pPr>
              <w:spacing w:after="0"/>
              <w:ind w:left="1138" w:hanging="1138"/>
              <w:jc w:val="center"/>
              <w:rPr>
                <w:rFonts w:eastAsia="Calibri" w:cs="Calibri"/>
                <w:sz w:val="20"/>
                <w:szCs w:val="20"/>
                <w:lang w:val="en-GB"/>
              </w:rPr>
            </w:pPr>
            <w:r w:rsidRPr="005A1C76">
              <w:rPr>
                <w:rFonts w:eastAsia="Calibri" w:cs="Calibri"/>
                <w:sz w:val="20"/>
                <w:szCs w:val="20"/>
                <w:lang w:val="en-GB"/>
              </w:rPr>
              <w:t>36000**</w:t>
            </w:r>
          </w:p>
        </w:tc>
        <w:tc>
          <w:tcPr>
            <w:tcW w:w="1060" w:type="dxa"/>
          </w:tcPr>
          <w:p w14:paraId="74E1F040" w14:textId="77777777" w:rsidR="00085672" w:rsidRPr="005A1C76" w:rsidRDefault="00085672" w:rsidP="00085672">
            <w:pPr>
              <w:autoSpaceDE w:val="0"/>
              <w:autoSpaceDN w:val="0"/>
              <w:adjustRightInd w:val="0"/>
              <w:spacing w:after="0" w:line="240" w:lineRule="auto"/>
              <w:jc w:val="center"/>
              <w:rPr>
                <w:rFonts w:eastAsia="Calibri" w:cs="Calibri"/>
                <w:sz w:val="20"/>
                <w:szCs w:val="20"/>
                <w:lang w:val="en-GB"/>
              </w:rPr>
            </w:pPr>
            <w:r w:rsidRPr="005A1C76">
              <w:rPr>
                <w:rFonts w:eastAsia="Calibri" w:cs="Calibri"/>
                <w:sz w:val="20"/>
                <w:szCs w:val="20"/>
                <w:lang w:val="en-GB"/>
              </w:rPr>
              <w:t>-</w:t>
            </w:r>
          </w:p>
        </w:tc>
        <w:tc>
          <w:tcPr>
            <w:tcW w:w="1060" w:type="dxa"/>
          </w:tcPr>
          <w:p w14:paraId="1ACACFFF"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719A3024"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4335D25C"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02D3E1E0"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42FAFD8C" w14:textId="77777777" w:rsidTr="00085672">
        <w:trPr>
          <w:jc w:val="center"/>
        </w:trPr>
        <w:tc>
          <w:tcPr>
            <w:tcW w:w="2689" w:type="dxa"/>
          </w:tcPr>
          <w:p w14:paraId="5E926E19" w14:textId="77777777" w:rsidR="00085672" w:rsidRPr="005A1C76" w:rsidRDefault="00085672" w:rsidP="00085672">
            <w:pPr>
              <w:spacing w:after="0"/>
              <w:ind w:left="1138" w:hanging="1138"/>
              <w:rPr>
                <w:rFonts w:eastAsia="Calibri" w:cs="Calibri"/>
                <w:sz w:val="20"/>
                <w:szCs w:val="20"/>
                <w:lang w:val="en-GB"/>
              </w:rPr>
            </w:pPr>
            <w:r w:rsidRPr="005A1C76">
              <w:rPr>
                <w:rFonts w:eastAsia="Calibri" w:cs="Calibri"/>
                <w:sz w:val="20"/>
                <w:szCs w:val="20"/>
                <w:lang w:val="en-GB"/>
              </w:rPr>
              <w:t>Cink</w:t>
            </w:r>
          </w:p>
        </w:tc>
        <w:tc>
          <w:tcPr>
            <w:tcW w:w="1223" w:type="dxa"/>
          </w:tcPr>
          <w:p w14:paraId="3296AE18" w14:textId="77777777" w:rsidR="00085672" w:rsidRPr="005A1C76" w:rsidRDefault="00085672" w:rsidP="00085672">
            <w:pPr>
              <w:spacing w:after="0"/>
              <w:ind w:left="1138" w:hanging="1138"/>
              <w:jc w:val="center"/>
              <w:rPr>
                <w:rFonts w:eastAsia="Calibri" w:cs="Calibri"/>
                <w:sz w:val="20"/>
                <w:szCs w:val="20"/>
                <w:lang w:val="en-GB"/>
              </w:rPr>
            </w:pPr>
            <w:r w:rsidRPr="005A1C76">
              <w:rPr>
                <w:rFonts w:eastAsia="Calibri" w:cs="Calibri"/>
                <w:sz w:val="20"/>
                <w:szCs w:val="20"/>
                <w:lang w:val="en-GB"/>
              </w:rPr>
              <w:t>122000**</w:t>
            </w:r>
          </w:p>
        </w:tc>
        <w:tc>
          <w:tcPr>
            <w:tcW w:w="1060" w:type="dxa"/>
          </w:tcPr>
          <w:p w14:paraId="59A18F9B" w14:textId="77777777" w:rsidR="00085672" w:rsidRPr="005A1C76" w:rsidRDefault="00085672" w:rsidP="00085672">
            <w:pPr>
              <w:spacing w:after="0"/>
              <w:ind w:left="1138" w:hanging="1138"/>
              <w:jc w:val="center"/>
              <w:rPr>
                <w:rFonts w:eastAsia="Calibri" w:cs="Calibri"/>
                <w:sz w:val="20"/>
                <w:szCs w:val="20"/>
                <w:lang w:val="en-GB"/>
              </w:rPr>
            </w:pPr>
            <w:r w:rsidRPr="005A1C76">
              <w:rPr>
                <w:rFonts w:eastAsia="Calibri" w:cs="Calibri"/>
                <w:sz w:val="20"/>
                <w:szCs w:val="20"/>
                <w:lang w:val="en-GB"/>
              </w:rPr>
              <w:t>150000**</w:t>
            </w:r>
          </w:p>
        </w:tc>
        <w:tc>
          <w:tcPr>
            <w:tcW w:w="1060" w:type="dxa"/>
          </w:tcPr>
          <w:p w14:paraId="260F12B0"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2B4CBA90"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63000**</w:t>
            </w:r>
          </w:p>
        </w:tc>
        <w:tc>
          <w:tcPr>
            <w:tcW w:w="1060" w:type="dxa"/>
          </w:tcPr>
          <w:p w14:paraId="399DEADF"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7A484E91"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5B14ED92" w14:textId="77777777" w:rsidTr="00085672">
        <w:trPr>
          <w:jc w:val="center"/>
        </w:trPr>
        <w:tc>
          <w:tcPr>
            <w:tcW w:w="2689" w:type="dxa"/>
          </w:tcPr>
          <w:p w14:paraId="31DDBADA" w14:textId="77777777" w:rsidR="00085672" w:rsidRPr="005A1C76" w:rsidRDefault="00085672" w:rsidP="00085672">
            <w:pPr>
              <w:tabs>
                <w:tab w:val="left" w:pos="0"/>
              </w:tabs>
              <w:spacing w:after="0"/>
              <w:rPr>
                <w:rFonts w:eastAsia="Calibri" w:cs="Calibri"/>
                <w:b/>
                <w:sz w:val="20"/>
                <w:szCs w:val="20"/>
                <w:lang w:val="en-GB"/>
              </w:rPr>
            </w:pPr>
            <w:r w:rsidRPr="005A1C76">
              <w:rPr>
                <w:rFonts w:eastAsia="Calibri" w:cs="Calibri"/>
                <w:b/>
                <w:sz w:val="20"/>
                <w:szCs w:val="20"/>
                <w:lang w:val="en-GB"/>
              </w:rPr>
              <w:t>PAH-ovi</w:t>
            </w:r>
          </w:p>
        </w:tc>
        <w:tc>
          <w:tcPr>
            <w:tcW w:w="6523" w:type="dxa"/>
            <w:gridSpan w:val="6"/>
          </w:tcPr>
          <w:p w14:paraId="2256129E" w14:textId="77777777" w:rsidR="00085672" w:rsidRPr="005A1C76" w:rsidRDefault="00085672" w:rsidP="00085672">
            <w:pPr>
              <w:spacing w:after="0"/>
              <w:ind w:left="1138" w:hanging="1138"/>
              <w:jc w:val="center"/>
              <w:rPr>
                <w:rFonts w:eastAsia="Calibri" w:cs="Calibri"/>
                <w:sz w:val="20"/>
                <w:szCs w:val="20"/>
                <w:lang w:val="en-GB"/>
              </w:rPr>
            </w:pPr>
          </w:p>
        </w:tc>
      </w:tr>
      <w:tr w:rsidR="00085672" w:rsidRPr="005A1C76" w14:paraId="4FC0C874" w14:textId="77777777" w:rsidTr="00085672">
        <w:trPr>
          <w:jc w:val="center"/>
        </w:trPr>
        <w:tc>
          <w:tcPr>
            <w:tcW w:w="2689" w:type="dxa"/>
            <w:vAlign w:val="center"/>
          </w:tcPr>
          <w:p w14:paraId="4CEAE064"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Naftalen</w:t>
            </w:r>
          </w:p>
        </w:tc>
        <w:tc>
          <w:tcPr>
            <w:tcW w:w="1223" w:type="dxa"/>
          </w:tcPr>
          <w:p w14:paraId="69AF3ACF"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8</w:t>
            </w:r>
          </w:p>
        </w:tc>
        <w:tc>
          <w:tcPr>
            <w:tcW w:w="1060" w:type="dxa"/>
          </w:tcPr>
          <w:p w14:paraId="02701947"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160</w:t>
            </w:r>
          </w:p>
        </w:tc>
        <w:tc>
          <w:tcPr>
            <w:tcW w:w="1060" w:type="dxa"/>
          </w:tcPr>
          <w:p w14:paraId="218678DC"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3ED74F04"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 xml:space="preserve">(6.0) </w:t>
            </w:r>
          </w:p>
        </w:tc>
        <w:tc>
          <w:tcPr>
            <w:tcW w:w="1060" w:type="dxa"/>
          </w:tcPr>
          <w:p w14:paraId="64FF14AF"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340</w:t>
            </w:r>
          </w:p>
        </w:tc>
        <w:tc>
          <w:tcPr>
            <w:tcW w:w="1060" w:type="dxa"/>
          </w:tcPr>
          <w:p w14:paraId="28C95B50"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58087C27" w14:textId="77777777" w:rsidTr="00085672">
        <w:trPr>
          <w:jc w:val="center"/>
        </w:trPr>
        <w:tc>
          <w:tcPr>
            <w:tcW w:w="2689" w:type="dxa"/>
            <w:vAlign w:val="center"/>
          </w:tcPr>
          <w:p w14:paraId="31D6F36B"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Acenaftilen</w:t>
            </w:r>
          </w:p>
        </w:tc>
        <w:tc>
          <w:tcPr>
            <w:tcW w:w="1223" w:type="dxa"/>
          </w:tcPr>
          <w:p w14:paraId="1E450B3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59CC116C"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04C5514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20CBB9A2"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 xml:space="preserve">(1.4) </w:t>
            </w:r>
          </w:p>
        </w:tc>
        <w:tc>
          <w:tcPr>
            <w:tcW w:w="1060" w:type="dxa"/>
          </w:tcPr>
          <w:p w14:paraId="429D2F1A"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2324DB94"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0194CF2B" w14:textId="77777777" w:rsidTr="00085672">
        <w:trPr>
          <w:jc w:val="center"/>
        </w:trPr>
        <w:tc>
          <w:tcPr>
            <w:tcW w:w="2689" w:type="dxa"/>
            <w:vAlign w:val="center"/>
          </w:tcPr>
          <w:p w14:paraId="588FD7A2"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Acenaften</w:t>
            </w:r>
          </w:p>
        </w:tc>
        <w:tc>
          <w:tcPr>
            <w:tcW w:w="1223" w:type="dxa"/>
          </w:tcPr>
          <w:p w14:paraId="2150382C"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1D87AD0E"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7906A6FB"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0F40F488"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 xml:space="preserve">(1.4) </w:t>
            </w:r>
          </w:p>
        </w:tc>
        <w:tc>
          <w:tcPr>
            <w:tcW w:w="1060" w:type="dxa"/>
          </w:tcPr>
          <w:p w14:paraId="49F1B6EF"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5903CB22"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2FA6E1D2" w14:textId="77777777" w:rsidTr="00085672">
        <w:trPr>
          <w:jc w:val="center"/>
        </w:trPr>
        <w:tc>
          <w:tcPr>
            <w:tcW w:w="2689" w:type="dxa"/>
            <w:vAlign w:val="center"/>
          </w:tcPr>
          <w:p w14:paraId="44DC42BE"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Fluoren</w:t>
            </w:r>
          </w:p>
        </w:tc>
        <w:tc>
          <w:tcPr>
            <w:tcW w:w="1223" w:type="dxa"/>
          </w:tcPr>
          <w:p w14:paraId="50F94D9D"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07235622"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71ABFE83"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6E4FCF3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2.5</w:t>
            </w:r>
          </w:p>
        </w:tc>
        <w:tc>
          <w:tcPr>
            <w:tcW w:w="1060" w:type="dxa"/>
          </w:tcPr>
          <w:p w14:paraId="06CD52EA"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0DF29E12"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3D11AA2F" w14:textId="77777777" w:rsidTr="00085672">
        <w:trPr>
          <w:jc w:val="center"/>
        </w:trPr>
        <w:tc>
          <w:tcPr>
            <w:tcW w:w="2689" w:type="dxa"/>
            <w:vAlign w:val="center"/>
          </w:tcPr>
          <w:p w14:paraId="3032017E"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Fenantren</w:t>
            </w:r>
          </w:p>
        </w:tc>
        <w:tc>
          <w:tcPr>
            <w:tcW w:w="1223" w:type="dxa"/>
          </w:tcPr>
          <w:p w14:paraId="09700E33"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7.3</w:t>
            </w:r>
          </w:p>
        </w:tc>
        <w:tc>
          <w:tcPr>
            <w:tcW w:w="1060" w:type="dxa"/>
          </w:tcPr>
          <w:p w14:paraId="2ADD82AF"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240</w:t>
            </w:r>
          </w:p>
        </w:tc>
        <w:tc>
          <w:tcPr>
            <w:tcW w:w="1060" w:type="dxa"/>
          </w:tcPr>
          <w:p w14:paraId="0EEB4A58"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738FD27B"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17.8</w:t>
            </w:r>
          </w:p>
        </w:tc>
        <w:tc>
          <w:tcPr>
            <w:tcW w:w="1060" w:type="dxa"/>
          </w:tcPr>
          <w:p w14:paraId="6F8AA195"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1700</w:t>
            </w:r>
          </w:p>
        </w:tc>
        <w:tc>
          <w:tcPr>
            <w:tcW w:w="1060" w:type="dxa"/>
          </w:tcPr>
          <w:p w14:paraId="3465B65C"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4ECC5DD4" w14:textId="77777777" w:rsidTr="00085672">
        <w:trPr>
          <w:jc w:val="center"/>
        </w:trPr>
        <w:tc>
          <w:tcPr>
            <w:tcW w:w="2689" w:type="dxa"/>
            <w:vAlign w:val="center"/>
          </w:tcPr>
          <w:p w14:paraId="69BAA0D8"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Antracen</w:t>
            </w:r>
          </w:p>
        </w:tc>
        <w:tc>
          <w:tcPr>
            <w:tcW w:w="1223" w:type="dxa"/>
          </w:tcPr>
          <w:p w14:paraId="37B95B28"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1.8</w:t>
            </w:r>
          </w:p>
        </w:tc>
        <w:tc>
          <w:tcPr>
            <w:tcW w:w="1060" w:type="dxa"/>
          </w:tcPr>
          <w:p w14:paraId="5CEADB75"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85</w:t>
            </w:r>
          </w:p>
        </w:tc>
        <w:tc>
          <w:tcPr>
            <w:tcW w:w="1060" w:type="dxa"/>
          </w:tcPr>
          <w:p w14:paraId="38F1EDBF"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343A94D9"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1.2</w:t>
            </w:r>
          </w:p>
        </w:tc>
        <w:tc>
          <w:tcPr>
            <w:tcW w:w="1060" w:type="dxa"/>
          </w:tcPr>
          <w:p w14:paraId="466D283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290</w:t>
            </w:r>
          </w:p>
        </w:tc>
        <w:tc>
          <w:tcPr>
            <w:tcW w:w="1060" w:type="dxa"/>
          </w:tcPr>
          <w:p w14:paraId="64ACA896"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364781D7" w14:textId="77777777" w:rsidTr="00085672">
        <w:trPr>
          <w:jc w:val="center"/>
        </w:trPr>
        <w:tc>
          <w:tcPr>
            <w:tcW w:w="2689" w:type="dxa"/>
            <w:vAlign w:val="center"/>
          </w:tcPr>
          <w:p w14:paraId="113877F8"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Fluoranten</w:t>
            </w:r>
          </w:p>
        </w:tc>
        <w:tc>
          <w:tcPr>
            <w:tcW w:w="1223" w:type="dxa"/>
          </w:tcPr>
          <w:p w14:paraId="3E5F126D"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14.4</w:t>
            </w:r>
          </w:p>
        </w:tc>
        <w:tc>
          <w:tcPr>
            <w:tcW w:w="1060" w:type="dxa"/>
          </w:tcPr>
          <w:p w14:paraId="6052B550"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600</w:t>
            </w:r>
          </w:p>
        </w:tc>
        <w:tc>
          <w:tcPr>
            <w:tcW w:w="1060" w:type="dxa"/>
          </w:tcPr>
          <w:p w14:paraId="6002B678"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631F15D3"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7.4</w:t>
            </w:r>
          </w:p>
        </w:tc>
        <w:tc>
          <w:tcPr>
            <w:tcW w:w="1060" w:type="dxa"/>
          </w:tcPr>
          <w:p w14:paraId="3A951FA3"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110</w:t>
            </w:r>
          </w:p>
        </w:tc>
        <w:tc>
          <w:tcPr>
            <w:tcW w:w="1060" w:type="dxa"/>
          </w:tcPr>
          <w:p w14:paraId="05EB7DD8"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76A61EED" w14:textId="77777777" w:rsidTr="00085672">
        <w:trPr>
          <w:jc w:val="center"/>
        </w:trPr>
        <w:tc>
          <w:tcPr>
            <w:tcW w:w="2689" w:type="dxa"/>
            <w:vAlign w:val="center"/>
          </w:tcPr>
          <w:p w14:paraId="704CDBAF"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Piren</w:t>
            </w:r>
          </w:p>
        </w:tc>
        <w:tc>
          <w:tcPr>
            <w:tcW w:w="1223" w:type="dxa"/>
          </w:tcPr>
          <w:p w14:paraId="4F94CCD2"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11.3</w:t>
            </w:r>
          </w:p>
        </w:tc>
        <w:tc>
          <w:tcPr>
            <w:tcW w:w="1060" w:type="dxa"/>
          </w:tcPr>
          <w:p w14:paraId="1A82850F"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665</w:t>
            </w:r>
          </w:p>
        </w:tc>
        <w:tc>
          <w:tcPr>
            <w:tcW w:w="1060" w:type="dxa"/>
          </w:tcPr>
          <w:p w14:paraId="1C37521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1154F455"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5.0</w:t>
            </w:r>
          </w:p>
        </w:tc>
        <w:tc>
          <w:tcPr>
            <w:tcW w:w="1060" w:type="dxa"/>
          </w:tcPr>
          <w:p w14:paraId="032E084C"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100</w:t>
            </w:r>
          </w:p>
        </w:tc>
        <w:tc>
          <w:tcPr>
            <w:tcW w:w="1060" w:type="dxa"/>
          </w:tcPr>
          <w:p w14:paraId="1800ED8E"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5D8EEB06" w14:textId="77777777" w:rsidTr="00085672">
        <w:trPr>
          <w:jc w:val="center"/>
        </w:trPr>
        <w:tc>
          <w:tcPr>
            <w:tcW w:w="2689" w:type="dxa"/>
            <w:vAlign w:val="center"/>
          </w:tcPr>
          <w:p w14:paraId="5DFD5FBC"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Benzo(a)antracen</w:t>
            </w:r>
          </w:p>
        </w:tc>
        <w:tc>
          <w:tcPr>
            <w:tcW w:w="1223" w:type="dxa"/>
          </w:tcPr>
          <w:p w14:paraId="5C4E9007"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7.1</w:t>
            </w:r>
          </w:p>
        </w:tc>
        <w:tc>
          <w:tcPr>
            <w:tcW w:w="1060" w:type="dxa"/>
          </w:tcPr>
          <w:p w14:paraId="4CF8497D"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261</w:t>
            </w:r>
          </w:p>
        </w:tc>
        <w:tc>
          <w:tcPr>
            <w:tcW w:w="1060" w:type="dxa"/>
          </w:tcPr>
          <w:p w14:paraId="6C281E4B"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5A1F13F0"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1.9</w:t>
            </w:r>
          </w:p>
        </w:tc>
        <w:tc>
          <w:tcPr>
            <w:tcW w:w="1060" w:type="dxa"/>
          </w:tcPr>
          <w:p w14:paraId="754CBF3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80</w:t>
            </w:r>
          </w:p>
        </w:tc>
        <w:tc>
          <w:tcPr>
            <w:tcW w:w="1060" w:type="dxa"/>
          </w:tcPr>
          <w:p w14:paraId="1C50A9CD"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74EF76C3" w14:textId="77777777" w:rsidTr="00085672">
        <w:trPr>
          <w:jc w:val="center"/>
        </w:trPr>
        <w:tc>
          <w:tcPr>
            <w:tcW w:w="2689" w:type="dxa"/>
            <w:vAlign w:val="center"/>
          </w:tcPr>
          <w:p w14:paraId="4EDB1EF1"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Hrizen</w:t>
            </w:r>
          </w:p>
        </w:tc>
        <w:tc>
          <w:tcPr>
            <w:tcW w:w="1223" w:type="dxa"/>
          </w:tcPr>
          <w:p w14:paraId="473EF49E"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8</w:t>
            </w:r>
          </w:p>
        </w:tc>
        <w:tc>
          <w:tcPr>
            <w:tcW w:w="1060" w:type="dxa"/>
          </w:tcPr>
          <w:p w14:paraId="553B2EE8"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384</w:t>
            </w:r>
          </w:p>
        </w:tc>
        <w:tc>
          <w:tcPr>
            <w:tcW w:w="1060" w:type="dxa"/>
          </w:tcPr>
          <w:p w14:paraId="5A836E7E"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7F32CD68"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2.4</w:t>
            </w:r>
          </w:p>
        </w:tc>
        <w:tc>
          <w:tcPr>
            <w:tcW w:w="1060" w:type="dxa"/>
          </w:tcPr>
          <w:p w14:paraId="5AFF15BA"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06F15FA8"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3B177B87" w14:textId="77777777" w:rsidTr="00085672">
        <w:trPr>
          <w:jc w:val="center"/>
        </w:trPr>
        <w:tc>
          <w:tcPr>
            <w:tcW w:w="2689" w:type="dxa"/>
            <w:vAlign w:val="center"/>
          </w:tcPr>
          <w:p w14:paraId="21AC02AA"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Benzo (k)  fluoranten</w:t>
            </w:r>
          </w:p>
        </w:tc>
        <w:tc>
          <w:tcPr>
            <w:tcW w:w="1223" w:type="dxa"/>
          </w:tcPr>
          <w:p w14:paraId="5EEEF5EB"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105D2120"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5FCC798D"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42600784"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1.4</w:t>
            </w:r>
          </w:p>
        </w:tc>
        <w:tc>
          <w:tcPr>
            <w:tcW w:w="1060" w:type="dxa"/>
          </w:tcPr>
          <w:p w14:paraId="790D1F01"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260</w:t>
            </w:r>
          </w:p>
        </w:tc>
        <w:tc>
          <w:tcPr>
            <w:tcW w:w="1060" w:type="dxa"/>
          </w:tcPr>
          <w:p w14:paraId="076B5138"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3DE92D90" w14:textId="77777777" w:rsidTr="00085672">
        <w:trPr>
          <w:jc w:val="center"/>
        </w:trPr>
        <w:tc>
          <w:tcPr>
            <w:tcW w:w="2689" w:type="dxa"/>
            <w:vAlign w:val="center"/>
          </w:tcPr>
          <w:p w14:paraId="0EEACE00"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Benzo(a)piren</w:t>
            </w:r>
          </w:p>
        </w:tc>
        <w:tc>
          <w:tcPr>
            <w:tcW w:w="1223" w:type="dxa"/>
          </w:tcPr>
          <w:p w14:paraId="60ED9550"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8.2</w:t>
            </w:r>
          </w:p>
        </w:tc>
        <w:tc>
          <w:tcPr>
            <w:tcW w:w="1060" w:type="dxa"/>
          </w:tcPr>
          <w:p w14:paraId="15860A90"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430</w:t>
            </w:r>
          </w:p>
        </w:tc>
        <w:tc>
          <w:tcPr>
            <w:tcW w:w="1060" w:type="dxa"/>
          </w:tcPr>
          <w:p w14:paraId="524FEA63"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5EDFBB05"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1.2</w:t>
            </w:r>
          </w:p>
        </w:tc>
        <w:tc>
          <w:tcPr>
            <w:tcW w:w="1060" w:type="dxa"/>
          </w:tcPr>
          <w:p w14:paraId="48168D9A"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600</w:t>
            </w:r>
          </w:p>
        </w:tc>
        <w:tc>
          <w:tcPr>
            <w:tcW w:w="1060" w:type="dxa"/>
          </w:tcPr>
          <w:p w14:paraId="24431E2B"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2895C226" w14:textId="77777777" w:rsidTr="00085672">
        <w:trPr>
          <w:jc w:val="center"/>
        </w:trPr>
        <w:tc>
          <w:tcPr>
            <w:tcW w:w="2689" w:type="dxa"/>
            <w:vAlign w:val="center"/>
          </w:tcPr>
          <w:p w14:paraId="3585D444"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Benzo(g,h,i)perilen</w:t>
            </w:r>
          </w:p>
        </w:tc>
        <w:tc>
          <w:tcPr>
            <w:tcW w:w="1223" w:type="dxa"/>
          </w:tcPr>
          <w:p w14:paraId="6A2CFE35"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6.9</w:t>
            </w:r>
          </w:p>
        </w:tc>
        <w:tc>
          <w:tcPr>
            <w:tcW w:w="1060" w:type="dxa"/>
          </w:tcPr>
          <w:p w14:paraId="5B21185C"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85</w:t>
            </w:r>
          </w:p>
        </w:tc>
        <w:tc>
          <w:tcPr>
            <w:tcW w:w="1060" w:type="dxa"/>
          </w:tcPr>
          <w:p w14:paraId="1FB06AD9"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4DFFD01D"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2.3</w:t>
            </w:r>
          </w:p>
        </w:tc>
        <w:tc>
          <w:tcPr>
            <w:tcW w:w="1060" w:type="dxa"/>
          </w:tcPr>
          <w:p w14:paraId="69DFB4BC"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110</w:t>
            </w:r>
          </w:p>
        </w:tc>
        <w:tc>
          <w:tcPr>
            <w:tcW w:w="1060" w:type="dxa"/>
          </w:tcPr>
          <w:p w14:paraId="46258616"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5969DD18" w14:textId="77777777" w:rsidTr="00085672">
        <w:trPr>
          <w:jc w:val="center"/>
        </w:trPr>
        <w:tc>
          <w:tcPr>
            <w:tcW w:w="2689" w:type="dxa"/>
            <w:vAlign w:val="center"/>
          </w:tcPr>
          <w:p w14:paraId="14460293"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Indeno(1.2.3-cd)piren</w:t>
            </w:r>
          </w:p>
        </w:tc>
        <w:tc>
          <w:tcPr>
            <w:tcW w:w="1223" w:type="dxa"/>
          </w:tcPr>
          <w:p w14:paraId="5CDD81EA"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8.3</w:t>
            </w:r>
          </w:p>
        </w:tc>
        <w:tc>
          <w:tcPr>
            <w:tcW w:w="1060" w:type="dxa"/>
          </w:tcPr>
          <w:p w14:paraId="38CDD6E8"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240</w:t>
            </w:r>
          </w:p>
        </w:tc>
        <w:tc>
          <w:tcPr>
            <w:tcW w:w="1060" w:type="dxa"/>
          </w:tcPr>
          <w:p w14:paraId="4BBA6782"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4921CF4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2.9</w:t>
            </w:r>
          </w:p>
        </w:tc>
        <w:tc>
          <w:tcPr>
            <w:tcW w:w="1060" w:type="dxa"/>
          </w:tcPr>
          <w:p w14:paraId="3119A399"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3FA5DF0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2A75F943" w14:textId="77777777" w:rsidTr="00085672">
        <w:trPr>
          <w:jc w:val="center"/>
        </w:trPr>
        <w:tc>
          <w:tcPr>
            <w:tcW w:w="2689" w:type="dxa"/>
          </w:tcPr>
          <w:p w14:paraId="4D53BB7B" w14:textId="77777777" w:rsidR="00085672" w:rsidRPr="005A1C76" w:rsidRDefault="00085672" w:rsidP="00085672">
            <w:pPr>
              <w:spacing w:after="0"/>
              <w:ind w:left="1138" w:hanging="1138"/>
              <w:rPr>
                <w:rFonts w:eastAsia="Calibri" w:cs="Calibri"/>
                <w:b/>
                <w:sz w:val="20"/>
                <w:szCs w:val="20"/>
                <w:lang w:val="en-GB"/>
              </w:rPr>
            </w:pPr>
            <w:r w:rsidRPr="005A1C76">
              <w:rPr>
                <w:rFonts w:eastAsia="Calibri" w:cs="Calibri"/>
                <w:b/>
                <w:sz w:val="20"/>
                <w:szCs w:val="20"/>
                <w:lang w:val="en-GB"/>
              </w:rPr>
              <w:t>PCB-i</w:t>
            </w:r>
          </w:p>
        </w:tc>
        <w:tc>
          <w:tcPr>
            <w:tcW w:w="6523" w:type="dxa"/>
            <w:gridSpan w:val="6"/>
          </w:tcPr>
          <w:p w14:paraId="204C4EC1" w14:textId="77777777" w:rsidR="00085672" w:rsidRPr="005A1C76" w:rsidRDefault="00085672" w:rsidP="00085672">
            <w:pPr>
              <w:spacing w:after="0"/>
              <w:ind w:left="1138" w:hanging="1138"/>
              <w:jc w:val="center"/>
              <w:rPr>
                <w:rFonts w:eastAsia="Calibri" w:cs="Calibri"/>
                <w:sz w:val="20"/>
                <w:szCs w:val="20"/>
                <w:lang w:val="en-GB"/>
              </w:rPr>
            </w:pPr>
          </w:p>
        </w:tc>
      </w:tr>
      <w:tr w:rsidR="00085672" w:rsidRPr="005A1C76" w14:paraId="7DBE5C38" w14:textId="77777777" w:rsidTr="00085672">
        <w:trPr>
          <w:jc w:val="center"/>
        </w:trPr>
        <w:tc>
          <w:tcPr>
            <w:tcW w:w="2689" w:type="dxa"/>
            <w:vAlign w:val="center"/>
          </w:tcPr>
          <w:p w14:paraId="0AE84D32"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PCB 28</w:t>
            </w:r>
          </w:p>
        </w:tc>
        <w:tc>
          <w:tcPr>
            <w:tcW w:w="1223" w:type="dxa"/>
          </w:tcPr>
          <w:p w14:paraId="0CE62014"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0.22</w:t>
            </w:r>
          </w:p>
        </w:tc>
        <w:tc>
          <w:tcPr>
            <w:tcW w:w="1060" w:type="dxa"/>
          </w:tcPr>
          <w:p w14:paraId="7369597B"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1.7</w:t>
            </w:r>
          </w:p>
        </w:tc>
        <w:tc>
          <w:tcPr>
            <w:tcW w:w="1060" w:type="dxa"/>
          </w:tcPr>
          <w:p w14:paraId="2B9AC90F"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6C200436"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0.75</w:t>
            </w:r>
          </w:p>
        </w:tc>
        <w:tc>
          <w:tcPr>
            <w:tcW w:w="1060" w:type="dxa"/>
          </w:tcPr>
          <w:p w14:paraId="234E7B90"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3.2</w:t>
            </w:r>
          </w:p>
        </w:tc>
        <w:tc>
          <w:tcPr>
            <w:tcW w:w="1060" w:type="dxa"/>
          </w:tcPr>
          <w:p w14:paraId="14E7052D"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1188E0BF" w14:textId="77777777" w:rsidTr="00085672">
        <w:trPr>
          <w:jc w:val="center"/>
        </w:trPr>
        <w:tc>
          <w:tcPr>
            <w:tcW w:w="2689" w:type="dxa"/>
            <w:vAlign w:val="center"/>
          </w:tcPr>
          <w:p w14:paraId="0AE4DE7C"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PCB 52</w:t>
            </w:r>
          </w:p>
        </w:tc>
        <w:tc>
          <w:tcPr>
            <w:tcW w:w="1223" w:type="dxa"/>
          </w:tcPr>
          <w:p w14:paraId="0938048E"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0.12</w:t>
            </w:r>
          </w:p>
        </w:tc>
        <w:tc>
          <w:tcPr>
            <w:tcW w:w="1060" w:type="dxa"/>
          </w:tcPr>
          <w:p w14:paraId="45137654"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2.7</w:t>
            </w:r>
          </w:p>
        </w:tc>
        <w:tc>
          <w:tcPr>
            <w:tcW w:w="1060" w:type="dxa"/>
          </w:tcPr>
          <w:p w14:paraId="16AF5DF1"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60B3AFD4"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0.75</w:t>
            </w:r>
          </w:p>
        </w:tc>
        <w:tc>
          <w:tcPr>
            <w:tcW w:w="1060" w:type="dxa"/>
          </w:tcPr>
          <w:p w14:paraId="686D4A94"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5.4</w:t>
            </w:r>
          </w:p>
        </w:tc>
        <w:tc>
          <w:tcPr>
            <w:tcW w:w="1060" w:type="dxa"/>
          </w:tcPr>
          <w:p w14:paraId="43D3058E"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06F85AB1" w14:textId="77777777" w:rsidTr="00085672">
        <w:trPr>
          <w:jc w:val="center"/>
        </w:trPr>
        <w:tc>
          <w:tcPr>
            <w:tcW w:w="2689" w:type="dxa"/>
            <w:vAlign w:val="center"/>
          </w:tcPr>
          <w:p w14:paraId="4B22AFCA"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PCB 101</w:t>
            </w:r>
          </w:p>
        </w:tc>
        <w:tc>
          <w:tcPr>
            <w:tcW w:w="1223" w:type="dxa"/>
          </w:tcPr>
          <w:p w14:paraId="0CBEBF43"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0.14</w:t>
            </w:r>
          </w:p>
        </w:tc>
        <w:tc>
          <w:tcPr>
            <w:tcW w:w="1060" w:type="dxa"/>
          </w:tcPr>
          <w:p w14:paraId="0CBC2FE1"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3.0</w:t>
            </w:r>
          </w:p>
        </w:tc>
        <w:tc>
          <w:tcPr>
            <w:tcW w:w="1060" w:type="dxa"/>
          </w:tcPr>
          <w:p w14:paraId="2A85899B"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5FFCC1FE"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0.70</w:t>
            </w:r>
          </w:p>
        </w:tc>
        <w:tc>
          <w:tcPr>
            <w:tcW w:w="1060" w:type="dxa"/>
          </w:tcPr>
          <w:p w14:paraId="7EAB206F"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6.0</w:t>
            </w:r>
          </w:p>
        </w:tc>
        <w:tc>
          <w:tcPr>
            <w:tcW w:w="1060" w:type="dxa"/>
          </w:tcPr>
          <w:p w14:paraId="06084980"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54ADF856" w14:textId="77777777" w:rsidTr="00085672">
        <w:trPr>
          <w:jc w:val="center"/>
        </w:trPr>
        <w:tc>
          <w:tcPr>
            <w:tcW w:w="2689" w:type="dxa"/>
            <w:vAlign w:val="center"/>
          </w:tcPr>
          <w:p w14:paraId="00BBEBB5"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PCB 105</w:t>
            </w:r>
          </w:p>
        </w:tc>
        <w:tc>
          <w:tcPr>
            <w:tcW w:w="1223" w:type="dxa"/>
          </w:tcPr>
          <w:p w14:paraId="444E2318"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04A52D3C"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4FC509BF"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5513D201"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0.75</w:t>
            </w:r>
          </w:p>
        </w:tc>
        <w:tc>
          <w:tcPr>
            <w:tcW w:w="1060" w:type="dxa"/>
          </w:tcPr>
          <w:p w14:paraId="746C6699"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w:t>
            </w:r>
          </w:p>
        </w:tc>
        <w:tc>
          <w:tcPr>
            <w:tcW w:w="1060" w:type="dxa"/>
          </w:tcPr>
          <w:p w14:paraId="7DA8ED8B"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15670EB2" w14:textId="77777777" w:rsidTr="00085672">
        <w:trPr>
          <w:jc w:val="center"/>
        </w:trPr>
        <w:tc>
          <w:tcPr>
            <w:tcW w:w="2689" w:type="dxa"/>
            <w:vAlign w:val="center"/>
          </w:tcPr>
          <w:p w14:paraId="311CEB69"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PCB 118</w:t>
            </w:r>
          </w:p>
        </w:tc>
        <w:tc>
          <w:tcPr>
            <w:tcW w:w="1223" w:type="dxa"/>
          </w:tcPr>
          <w:p w14:paraId="3D7FF1C3"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0.17</w:t>
            </w:r>
          </w:p>
        </w:tc>
        <w:tc>
          <w:tcPr>
            <w:tcW w:w="1060" w:type="dxa"/>
          </w:tcPr>
          <w:p w14:paraId="706A9EC7"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0.6</w:t>
            </w:r>
          </w:p>
        </w:tc>
        <w:tc>
          <w:tcPr>
            <w:tcW w:w="1060" w:type="dxa"/>
          </w:tcPr>
          <w:p w14:paraId="455A296F"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2EF46BF4"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0.60</w:t>
            </w:r>
          </w:p>
        </w:tc>
        <w:tc>
          <w:tcPr>
            <w:tcW w:w="1060" w:type="dxa"/>
          </w:tcPr>
          <w:p w14:paraId="71DE474E"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1.2</w:t>
            </w:r>
          </w:p>
        </w:tc>
        <w:tc>
          <w:tcPr>
            <w:tcW w:w="1060" w:type="dxa"/>
          </w:tcPr>
          <w:p w14:paraId="7762691A"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17CB4D3D" w14:textId="77777777" w:rsidTr="00085672">
        <w:trPr>
          <w:jc w:val="center"/>
        </w:trPr>
        <w:tc>
          <w:tcPr>
            <w:tcW w:w="2689" w:type="dxa"/>
            <w:vAlign w:val="center"/>
          </w:tcPr>
          <w:p w14:paraId="2DAB8D12"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PCB 138</w:t>
            </w:r>
          </w:p>
        </w:tc>
        <w:tc>
          <w:tcPr>
            <w:tcW w:w="1223" w:type="dxa"/>
          </w:tcPr>
          <w:p w14:paraId="294FAD2E"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0.15</w:t>
            </w:r>
          </w:p>
        </w:tc>
        <w:tc>
          <w:tcPr>
            <w:tcW w:w="1060" w:type="dxa"/>
          </w:tcPr>
          <w:p w14:paraId="70B375AE"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7.9</w:t>
            </w:r>
          </w:p>
        </w:tc>
        <w:tc>
          <w:tcPr>
            <w:tcW w:w="1060" w:type="dxa"/>
          </w:tcPr>
          <w:p w14:paraId="2FB6885A"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0899AD28"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0.60</w:t>
            </w:r>
          </w:p>
        </w:tc>
        <w:tc>
          <w:tcPr>
            <w:tcW w:w="1060" w:type="dxa"/>
          </w:tcPr>
          <w:p w14:paraId="0A947D73"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15.8</w:t>
            </w:r>
          </w:p>
        </w:tc>
        <w:tc>
          <w:tcPr>
            <w:tcW w:w="1060" w:type="dxa"/>
          </w:tcPr>
          <w:p w14:paraId="7D9D54CE"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0431CC5D" w14:textId="77777777" w:rsidTr="00085672">
        <w:trPr>
          <w:jc w:val="center"/>
        </w:trPr>
        <w:tc>
          <w:tcPr>
            <w:tcW w:w="2689" w:type="dxa"/>
            <w:vAlign w:val="center"/>
          </w:tcPr>
          <w:p w14:paraId="6D5ECDF0"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PCB 153</w:t>
            </w:r>
          </w:p>
        </w:tc>
        <w:tc>
          <w:tcPr>
            <w:tcW w:w="1223" w:type="dxa"/>
          </w:tcPr>
          <w:p w14:paraId="690F538A"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0.19</w:t>
            </w:r>
          </w:p>
        </w:tc>
        <w:tc>
          <w:tcPr>
            <w:tcW w:w="1060" w:type="dxa"/>
          </w:tcPr>
          <w:p w14:paraId="0C04CFF2"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40</w:t>
            </w:r>
          </w:p>
        </w:tc>
        <w:tc>
          <w:tcPr>
            <w:tcW w:w="1060" w:type="dxa"/>
          </w:tcPr>
          <w:p w14:paraId="2FAA1F3A"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2C7CC345"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0.60</w:t>
            </w:r>
          </w:p>
        </w:tc>
        <w:tc>
          <w:tcPr>
            <w:tcW w:w="1060" w:type="dxa"/>
          </w:tcPr>
          <w:p w14:paraId="495C07AE"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80</w:t>
            </w:r>
          </w:p>
        </w:tc>
        <w:tc>
          <w:tcPr>
            <w:tcW w:w="1060" w:type="dxa"/>
          </w:tcPr>
          <w:p w14:paraId="6A9F815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6309B5F9" w14:textId="77777777" w:rsidTr="00085672">
        <w:trPr>
          <w:jc w:val="center"/>
        </w:trPr>
        <w:tc>
          <w:tcPr>
            <w:tcW w:w="2689" w:type="dxa"/>
            <w:vAlign w:val="center"/>
          </w:tcPr>
          <w:p w14:paraId="0579B287"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PCB 156</w:t>
            </w:r>
          </w:p>
        </w:tc>
        <w:tc>
          <w:tcPr>
            <w:tcW w:w="1223" w:type="dxa"/>
          </w:tcPr>
          <w:p w14:paraId="28C29500"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4BDADE11"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26860D71"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7FBE64AA"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0.60</w:t>
            </w:r>
          </w:p>
        </w:tc>
        <w:tc>
          <w:tcPr>
            <w:tcW w:w="1060" w:type="dxa"/>
          </w:tcPr>
          <w:p w14:paraId="4628CBF0"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w:t>
            </w:r>
          </w:p>
        </w:tc>
        <w:tc>
          <w:tcPr>
            <w:tcW w:w="1060" w:type="dxa"/>
          </w:tcPr>
          <w:p w14:paraId="26248B88"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6085E391" w14:textId="77777777" w:rsidTr="00085672">
        <w:trPr>
          <w:jc w:val="center"/>
        </w:trPr>
        <w:tc>
          <w:tcPr>
            <w:tcW w:w="2689" w:type="dxa"/>
            <w:vAlign w:val="center"/>
          </w:tcPr>
          <w:p w14:paraId="0696FBEF" w14:textId="77777777" w:rsidR="00085672" w:rsidRPr="005A1C76" w:rsidRDefault="00085672" w:rsidP="00085672">
            <w:pPr>
              <w:spacing w:after="0"/>
              <w:ind w:left="1134" w:hanging="1134"/>
              <w:rPr>
                <w:rFonts w:eastAsia="Calibri" w:cs="Calibri"/>
                <w:bCs/>
                <w:sz w:val="20"/>
                <w:szCs w:val="20"/>
                <w:lang w:val="en-GB"/>
              </w:rPr>
            </w:pPr>
            <w:r w:rsidRPr="005A1C76">
              <w:rPr>
                <w:rFonts w:eastAsia="Calibri" w:cs="Calibri"/>
                <w:bCs/>
                <w:sz w:val="20"/>
                <w:szCs w:val="20"/>
                <w:lang w:val="en-GB"/>
              </w:rPr>
              <w:t>PCB 180</w:t>
            </w:r>
          </w:p>
        </w:tc>
        <w:tc>
          <w:tcPr>
            <w:tcW w:w="1223" w:type="dxa"/>
          </w:tcPr>
          <w:p w14:paraId="694BB792"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18CE3B4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3AC4C119"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2930BFAA"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0.60</w:t>
            </w:r>
          </w:p>
        </w:tc>
        <w:tc>
          <w:tcPr>
            <w:tcW w:w="1060" w:type="dxa"/>
          </w:tcPr>
          <w:p w14:paraId="4E359F98"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24</w:t>
            </w:r>
          </w:p>
        </w:tc>
        <w:tc>
          <w:tcPr>
            <w:tcW w:w="1060" w:type="dxa"/>
          </w:tcPr>
          <w:p w14:paraId="7A3864F4"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4A62078D" w14:textId="77777777" w:rsidTr="00085672">
        <w:trPr>
          <w:jc w:val="center"/>
        </w:trPr>
        <w:tc>
          <w:tcPr>
            <w:tcW w:w="2689" w:type="dxa"/>
            <w:vAlign w:val="center"/>
          </w:tcPr>
          <w:p w14:paraId="0B78267E" w14:textId="77777777" w:rsidR="00085672" w:rsidRPr="005A1C76" w:rsidRDefault="00085672" w:rsidP="00085672">
            <w:pPr>
              <w:spacing w:after="0"/>
              <w:ind w:left="1134" w:hanging="1134"/>
              <w:rPr>
                <w:rFonts w:eastAsia="Calibri" w:cs="Calibri"/>
                <w:bCs/>
                <w:sz w:val="20"/>
                <w:szCs w:val="20"/>
                <w:lang w:val="en-GB"/>
              </w:rPr>
            </w:pPr>
            <w:r w:rsidRPr="005A1C76">
              <w:rPr>
                <w:rFonts w:ascii="Cambria Math" w:eastAsia="Calibri" w:hAnsi="Cambria Math" w:cs="Cambria Math"/>
                <w:bCs/>
                <w:sz w:val="20"/>
                <w:szCs w:val="20"/>
                <w:lang w:val="en-GB"/>
              </w:rPr>
              <w:t>⅀</w:t>
            </w:r>
            <w:r w:rsidRPr="005A1C76">
              <w:rPr>
                <w:rFonts w:eastAsia="Calibri" w:cs="Calibri"/>
                <w:bCs/>
                <w:sz w:val="20"/>
                <w:szCs w:val="20"/>
                <w:lang w:val="en-GB"/>
              </w:rPr>
              <w:t>7CBs ICES</w:t>
            </w:r>
          </w:p>
        </w:tc>
        <w:tc>
          <w:tcPr>
            <w:tcW w:w="1223" w:type="dxa"/>
          </w:tcPr>
          <w:p w14:paraId="1B696A12"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0.46</w:t>
            </w:r>
          </w:p>
        </w:tc>
        <w:tc>
          <w:tcPr>
            <w:tcW w:w="1060" w:type="dxa"/>
          </w:tcPr>
          <w:p w14:paraId="3616F42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29A15E2D"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11.5</w:t>
            </w:r>
          </w:p>
        </w:tc>
        <w:tc>
          <w:tcPr>
            <w:tcW w:w="1060" w:type="dxa"/>
          </w:tcPr>
          <w:p w14:paraId="2EA6AE4E"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4B79A48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14A99FBE"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56637A30" w14:textId="77777777" w:rsidTr="00085672">
        <w:trPr>
          <w:jc w:val="center"/>
        </w:trPr>
        <w:tc>
          <w:tcPr>
            <w:tcW w:w="2689" w:type="dxa"/>
            <w:vAlign w:val="center"/>
          </w:tcPr>
          <w:p w14:paraId="2DC889A9" w14:textId="77777777" w:rsidR="00085672" w:rsidRPr="005A1C76" w:rsidRDefault="00085672" w:rsidP="00085672">
            <w:pPr>
              <w:spacing w:after="0"/>
              <w:ind w:left="1134" w:hanging="1134"/>
              <w:rPr>
                <w:rFonts w:eastAsia="Calibri" w:cs="Calibri"/>
                <w:b/>
                <w:bCs/>
                <w:sz w:val="20"/>
                <w:szCs w:val="20"/>
                <w:lang w:val="en-GB"/>
              </w:rPr>
            </w:pPr>
            <w:r w:rsidRPr="005A1C76">
              <w:rPr>
                <w:rFonts w:eastAsia="Calibri" w:cs="Calibri"/>
                <w:b/>
                <w:bCs/>
                <w:sz w:val="20"/>
                <w:szCs w:val="20"/>
                <w:lang w:val="en-GB"/>
              </w:rPr>
              <w:t>Pesticidi</w:t>
            </w:r>
          </w:p>
        </w:tc>
        <w:tc>
          <w:tcPr>
            <w:tcW w:w="6523" w:type="dxa"/>
            <w:gridSpan w:val="6"/>
          </w:tcPr>
          <w:p w14:paraId="0155DF48" w14:textId="77777777" w:rsidR="00085672" w:rsidRPr="005A1C76" w:rsidRDefault="00085672" w:rsidP="00085672">
            <w:pPr>
              <w:spacing w:after="0"/>
              <w:ind w:left="1138" w:hanging="1138"/>
              <w:jc w:val="center"/>
              <w:rPr>
                <w:rFonts w:eastAsia="Calibri" w:cs="Calibri"/>
                <w:sz w:val="20"/>
                <w:szCs w:val="20"/>
                <w:lang w:val="en-GB"/>
              </w:rPr>
            </w:pPr>
          </w:p>
        </w:tc>
      </w:tr>
      <w:tr w:rsidR="00085672" w:rsidRPr="005A1C76" w14:paraId="5BF16937" w14:textId="77777777" w:rsidTr="00085672">
        <w:trPr>
          <w:jc w:val="center"/>
        </w:trPr>
        <w:tc>
          <w:tcPr>
            <w:tcW w:w="2689" w:type="dxa"/>
            <w:vAlign w:val="center"/>
          </w:tcPr>
          <w:p w14:paraId="415363A6" w14:textId="77777777" w:rsidR="00085672" w:rsidRPr="005A1C76" w:rsidRDefault="00085672" w:rsidP="00085672">
            <w:pPr>
              <w:spacing w:after="0"/>
              <w:ind w:left="1134" w:hanging="1134"/>
              <w:rPr>
                <w:rFonts w:eastAsia="Calibri" w:cs="Calibri"/>
                <w:b/>
                <w:bCs/>
                <w:sz w:val="20"/>
                <w:szCs w:val="20"/>
                <w:lang w:val="en-GB"/>
              </w:rPr>
            </w:pPr>
            <w:r w:rsidRPr="005A1C76">
              <w:rPr>
                <w:rFonts w:eastAsia="Calibri" w:cs="Calibri"/>
                <w:sz w:val="20"/>
                <w:szCs w:val="20"/>
                <w:lang w:val="en-GB"/>
              </w:rPr>
              <w:t>Lindan</w:t>
            </w:r>
          </w:p>
        </w:tc>
        <w:tc>
          <w:tcPr>
            <w:tcW w:w="1223" w:type="dxa"/>
          </w:tcPr>
          <w:p w14:paraId="37229EF0"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0.13*</w:t>
            </w:r>
          </w:p>
        </w:tc>
        <w:tc>
          <w:tcPr>
            <w:tcW w:w="1060" w:type="dxa"/>
          </w:tcPr>
          <w:p w14:paraId="4638298A"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739E707E"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3.0*</w:t>
            </w:r>
          </w:p>
        </w:tc>
        <w:tc>
          <w:tcPr>
            <w:tcW w:w="1060" w:type="dxa"/>
          </w:tcPr>
          <w:p w14:paraId="204E780E"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0.97*</w:t>
            </w:r>
          </w:p>
        </w:tc>
        <w:tc>
          <w:tcPr>
            <w:tcW w:w="1060" w:type="dxa"/>
          </w:tcPr>
          <w:p w14:paraId="7D60624F"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1.45*</w:t>
            </w:r>
          </w:p>
        </w:tc>
        <w:tc>
          <w:tcPr>
            <w:tcW w:w="1060" w:type="dxa"/>
          </w:tcPr>
          <w:p w14:paraId="75A87DDC"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21323875" w14:textId="77777777" w:rsidTr="00085672">
        <w:trPr>
          <w:jc w:val="center"/>
        </w:trPr>
        <w:tc>
          <w:tcPr>
            <w:tcW w:w="2689" w:type="dxa"/>
            <w:vAlign w:val="center"/>
          </w:tcPr>
          <w:p w14:paraId="575E4C67" w14:textId="77777777" w:rsidR="00085672" w:rsidRPr="005A1C76" w:rsidRDefault="00085672" w:rsidP="00085672">
            <w:pPr>
              <w:spacing w:after="0"/>
              <w:ind w:left="1134" w:hanging="1134"/>
              <w:rPr>
                <w:rFonts w:eastAsia="Calibri" w:cs="Calibri"/>
                <w:b/>
                <w:bCs/>
                <w:sz w:val="20"/>
                <w:szCs w:val="20"/>
                <w:lang w:val="en-GB"/>
              </w:rPr>
            </w:pPr>
            <w:r w:rsidRPr="005A1C76">
              <w:rPr>
                <w:rFonts w:eastAsia="Calibri" w:cs="Calibri"/>
                <w:sz w:val="20"/>
                <w:szCs w:val="20"/>
                <w:lang w:val="en-GB"/>
              </w:rPr>
              <w:t>α-HCH</w:t>
            </w:r>
          </w:p>
        </w:tc>
        <w:tc>
          <w:tcPr>
            <w:tcW w:w="1223" w:type="dxa"/>
          </w:tcPr>
          <w:p w14:paraId="57A5FB0F"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159D6104"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519FA5E0"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74AB70E4"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0.64*</w:t>
            </w:r>
          </w:p>
        </w:tc>
        <w:tc>
          <w:tcPr>
            <w:tcW w:w="1060" w:type="dxa"/>
          </w:tcPr>
          <w:p w14:paraId="7016D7F5"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3767B908"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6586F69D" w14:textId="77777777" w:rsidTr="00085672">
        <w:trPr>
          <w:jc w:val="center"/>
        </w:trPr>
        <w:tc>
          <w:tcPr>
            <w:tcW w:w="2689" w:type="dxa"/>
            <w:vAlign w:val="center"/>
          </w:tcPr>
          <w:p w14:paraId="1EAC9E19" w14:textId="77777777" w:rsidR="00085672" w:rsidRPr="005A1C76" w:rsidRDefault="00085672" w:rsidP="00085672">
            <w:pPr>
              <w:spacing w:after="0"/>
              <w:ind w:left="1134" w:hanging="1134"/>
              <w:rPr>
                <w:rFonts w:eastAsia="Calibri" w:cs="Calibri"/>
                <w:b/>
                <w:bCs/>
                <w:sz w:val="20"/>
                <w:szCs w:val="20"/>
                <w:lang w:val="en-GB"/>
              </w:rPr>
            </w:pPr>
            <w:r w:rsidRPr="005A1C76">
              <w:rPr>
                <w:rFonts w:eastAsia="Calibri" w:cs="Calibri"/>
                <w:sz w:val="20"/>
                <w:szCs w:val="20"/>
                <w:lang w:val="en-GB"/>
              </w:rPr>
              <w:t>DDE (p,p’)</w:t>
            </w:r>
          </w:p>
        </w:tc>
        <w:tc>
          <w:tcPr>
            <w:tcW w:w="1223" w:type="dxa"/>
          </w:tcPr>
          <w:p w14:paraId="5F39E465"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0.09*</w:t>
            </w:r>
          </w:p>
        </w:tc>
        <w:tc>
          <w:tcPr>
            <w:tcW w:w="1060" w:type="dxa"/>
          </w:tcPr>
          <w:p w14:paraId="4AFBE330"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3C4782E0"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2.2*</w:t>
            </w:r>
          </w:p>
        </w:tc>
        <w:tc>
          <w:tcPr>
            <w:tcW w:w="1060" w:type="dxa"/>
          </w:tcPr>
          <w:p w14:paraId="1E74AE6F"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0.63*</w:t>
            </w:r>
          </w:p>
        </w:tc>
        <w:tc>
          <w:tcPr>
            <w:tcW w:w="1060" w:type="dxa"/>
            <w:vAlign w:val="center"/>
          </w:tcPr>
          <w:p w14:paraId="7D5490BE"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5-50*</w:t>
            </w:r>
          </w:p>
        </w:tc>
        <w:tc>
          <w:tcPr>
            <w:tcW w:w="1060" w:type="dxa"/>
          </w:tcPr>
          <w:p w14:paraId="3041C09C"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6DFFE5EB" w14:textId="77777777" w:rsidTr="00085672">
        <w:trPr>
          <w:jc w:val="center"/>
        </w:trPr>
        <w:tc>
          <w:tcPr>
            <w:tcW w:w="2689" w:type="dxa"/>
            <w:vAlign w:val="center"/>
          </w:tcPr>
          <w:p w14:paraId="05AFCBFE" w14:textId="77777777" w:rsidR="00085672" w:rsidRPr="005A1C76" w:rsidRDefault="00085672" w:rsidP="00085672">
            <w:pPr>
              <w:spacing w:after="0"/>
              <w:ind w:left="1134" w:hanging="1134"/>
              <w:rPr>
                <w:rFonts w:eastAsia="Calibri" w:cs="Calibri"/>
                <w:sz w:val="20"/>
                <w:szCs w:val="20"/>
                <w:lang w:val="en-GB"/>
              </w:rPr>
            </w:pPr>
          </w:p>
          <w:p w14:paraId="4431726A" w14:textId="77777777" w:rsidR="00085672" w:rsidRPr="005A1C76" w:rsidRDefault="00085672" w:rsidP="00085672">
            <w:pPr>
              <w:spacing w:after="0"/>
              <w:ind w:left="1134" w:hanging="1134"/>
              <w:rPr>
                <w:rFonts w:eastAsia="Calibri" w:cs="Calibri"/>
                <w:sz w:val="20"/>
                <w:szCs w:val="20"/>
                <w:lang w:val="en-GB"/>
              </w:rPr>
            </w:pPr>
            <w:r w:rsidRPr="005A1C76">
              <w:rPr>
                <w:rFonts w:eastAsia="Calibri" w:cs="Calibri"/>
                <w:sz w:val="20"/>
                <w:szCs w:val="20"/>
                <w:lang w:val="en-GB"/>
              </w:rPr>
              <w:t>Heksahlorobenzen</w:t>
            </w:r>
          </w:p>
        </w:tc>
        <w:tc>
          <w:tcPr>
            <w:tcW w:w="1223" w:type="dxa"/>
          </w:tcPr>
          <w:p w14:paraId="37FF2D9E"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0.16*</w:t>
            </w:r>
          </w:p>
        </w:tc>
        <w:tc>
          <w:tcPr>
            <w:tcW w:w="1060" w:type="dxa"/>
          </w:tcPr>
          <w:p w14:paraId="5385C975"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4E8E7D26"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20*</w:t>
            </w:r>
          </w:p>
        </w:tc>
        <w:tc>
          <w:tcPr>
            <w:tcW w:w="1060" w:type="dxa"/>
          </w:tcPr>
          <w:p w14:paraId="4B63E702"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0.63*</w:t>
            </w:r>
          </w:p>
        </w:tc>
        <w:tc>
          <w:tcPr>
            <w:tcW w:w="1060" w:type="dxa"/>
          </w:tcPr>
          <w:p w14:paraId="52A20726"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2CF92B53"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5F148E9C" w14:textId="77777777" w:rsidTr="00085672">
        <w:trPr>
          <w:jc w:val="center"/>
        </w:trPr>
        <w:tc>
          <w:tcPr>
            <w:tcW w:w="2689" w:type="dxa"/>
            <w:vAlign w:val="center"/>
          </w:tcPr>
          <w:p w14:paraId="0D244F40" w14:textId="77777777" w:rsidR="00085672" w:rsidRPr="005A1C76" w:rsidRDefault="00085672" w:rsidP="00085672">
            <w:pPr>
              <w:spacing w:after="0"/>
              <w:ind w:left="1134" w:hanging="1134"/>
              <w:rPr>
                <w:rFonts w:eastAsia="Calibri" w:cs="Calibri"/>
                <w:sz w:val="20"/>
                <w:szCs w:val="20"/>
                <w:lang w:val="en-GB"/>
              </w:rPr>
            </w:pPr>
            <w:r w:rsidRPr="005A1C76">
              <w:rPr>
                <w:rFonts w:eastAsia="Calibri" w:cs="Calibri"/>
                <w:sz w:val="20"/>
                <w:szCs w:val="20"/>
                <w:lang w:val="en-GB"/>
              </w:rPr>
              <w:t>Dieldrin</w:t>
            </w:r>
          </w:p>
        </w:tc>
        <w:tc>
          <w:tcPr>
            <w:tcW w:w="1223" w:type="dxa"/>
          </w:tcPr>
          <w:p w14:paraId="45010CDC"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0.19*</w:t>
            </w:r>
          </w:p>
        </w:tc>
        <w:tc>
          <w:tcPr>
            <w:tcW w:w="1060" w:type="dxa"/>
          </w:tcPr>
          <w:p w14:paraId="5457401E"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3243A3D4"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2.0*</w:t>
            </w:r>
          </w:p>
        </w:tc>
        <w:tc>
          <w:tcPr>
            <w:tcW w:w="1060" w:type="dxa"/>
          </w:tcPr>
          <w:p w14:paraId="67F0C931"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vAlign w:val="center"/>
          </w:tcPr>
          <w:p w14:paraId="1B633A1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5-50*</w:t>
            </w:r>
          </w:p>
        </w:tc>
        <w:tc>
          <w:tcPr>
            <w:tcW w:w="1060" w:type="dxa"/>
          </w:tcPr>
          <w:p w14:paraId="48B83D4D"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r w:rsidR="00085672" w:rsidRPr="005A1C76" w14:paraId="7DCC5E62" w14:textId="77777777" w:rsidTr="00085672">
        <w:trPr>
          <w:jc w:val="center"/>
        </w:trPr>
        <w:tc>
          <w:tcPr>
            <w:tcW w:w="2689" w:type="dxa"/>
          </w:tcPr>
          <w:p w14:paraId="32AFD622" w14:textId="77777777" w:rsidR="00085672" w:rsidRPr="005A1C76" w:rsidRDefault="00085672" w:rsidP="00085672">
            <w:pPr>
              <w:spacing w:after="0"/>
              <w:ind w:left="1134" w:hanging="1134"/>
              <w:rPr>
                <w:rFonts w:eastAsia="Calibri" w:cs="Calibri"/>
                <w:b/>
                <w:sz w:val="20"/>
                <w:szCs w:val="20"/>
                <w:lang w:val="en-GB"/>
              </w:rPr>
            </w:pPr>
            <w:r w:rsidRPr="005A1C76">
              <w:rPr>
                <w:rFonts w:eastAsia="Calibri" w:cs="Calibri"/>
                <w:b/>
                <w:sz w:val="20"/>
                <w:szCs w:val="20"/>
                <w:lang w:val="en-GB"/>
              </w:rPr>
              <w:t>Tributilkalaj (TBT)</w:t>
            </w:r>
          </w:p>
        </w:tc>
        <w:tc>
          <w:tcPr>
            <w:tcW w:w="1223" w:type="dxa"/>
          </w:tcPr>
          <w:p w14:paraId="1EB69991"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5E2E0087"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25D7255E"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c>
          <w:tcPr>
            <w:tcW w:w="1060" w:type="dxa"/>
          </w:tcPr>
          <w:p w14:paraId="49C15752"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5.0**</w:t>
            </w:r>
          </w:p>
        </w:tc>
        <w:tc>
          <w:tcPr>
            <w:tcW w:w="1060" w:type="dxa"/>
          </w:tcPr>
          <w:p w14:paraId="193FCC45" w14:textId="77777777" w:rsidR="00085672" w:rsidRPr="005A1C76" w:rsidRDefault="00085672" w:rsidP="00085672">
            <w:pPr>
              <w:spacing w:after="0"/>
              <w:ind w:left="1134" w:hanging="1134"/>
              <w:jc w:val="center"/>
              <w:rPr>
                <w:rFonts w:eastAsia="Calibri" w:cs="Calibri"/>
                <w:sz w:val="20"/>
                <w:szCs w:val="20"/>
                <w:lang w:val="en-GB"/>
              </w:rPr>
            </w:pPr>
            <w:r w:rsidRPr="005A1C76">
              <w:rPr>
                <w:rFonts w:eastAsia="Calibri" w:cs="Calibri"/>
                <w:sz w:val="20"/>
                <w:szCs w:val="20"/>
                <w:lang w:val="en-GB"/>
              </w:rPr>
              <w:t>12.0**</w:t>
            </w:r>
          </w:p>
        </w:tc>
        <w:tc>
          <w:tcPr>
            <w:tcW w:w="1060" w:type="dxa"/>
          </w:tcPr>
          <w:p w14:paraId="3F8C20A0" w14:textId="77777777" w:rsidR="00085672" w:rsidRPr="005A1C76" w:rsidRDefault="00085672" w:rsidP="00085672">
            <w:pPr>
              <w:autoSpaceDE w:val="0"/>
              <w:autoSpaceDN w:val="0"/>
              <w:adjustRightInd w:val="0"/>
              <w:spacing w:after="0" w:line="240" w:lineRule="auto"/>
              <w:jc w:val="center"/>
              <w:rPr>
                <w:rFonts w:eastAsia="Calibri" w:cs="Calibri"/>
                <w:color w:val="000000"/>
                <w:sz w:val="20"/>
                <w:szCs w:val="20"/>
                <w:lang w:val="en-GB"/>
              </w:rPr>
            </w:pPr>
            <w:r w:rsidRPr="005A1C76">
              <w:rPr>
                <w:rFonts w:eastAsia="Calibri" w:cs="Calibri"/>
                <w:color w:val="000000"/>
                <w:sz w:val="20"/>
                <w:szCs w:val="20"/>
                <w:lang w:val="en-GB"/>
              </w:rPr>
              <w:t>-</w:t>
            </w:r>
          </w:p>
        </w:tc>
      </w:tr>
    </w:tbl>
    <w:p w14:paraId="372E7E08" w14:textId="77777777" w:rsidR="00085672" w:rsidRPr="001C6CCA" w:rsidRDefault="00085672" w:rsidP="0081106D">
      <w:pPr>
        <w:keepNext/>
        <w:spacing w:line="240" w:lineRule="auto"/>
        <w:jc w:val="left"/>
        <w:rPr>
          <w:rFonts w:eastAsia="Calibri"/>
          <w:b/>
          <w:iCs/>
          <w:szCs w:val="22"/>
          <w:lang w:val="en-GB" w:eastAsia="en-US"/>
        </w:rPr>
      </w:pPr>
    </w:p>
    <w:p w14:paraId="063D8A33" w14:textId="77777777" w:rsidR="00837141" w:rsidRPr="001C6CCA" w:rsidRDefault="00837141" w:rsidP="00F65CFF">
      <w:pPr>
        <w:spacing w:before="0" w:after="0" w:line="259" w:lineRule="auto"/>
        <w:jc w:val="left"/>
        <w:rPr>
          <w:rFonts w:eastAsia="Calibri" w:cs="Calibri"/>
          <w:sz w:val="20"/>
          <w:szCs w:val="20"/>
          <w:lang w:val="en-GB" w:eastAsia="en-US"/>
        </w:rPr>
      </w:pPr>
      <w:r w:rsidRPr="001C6CCA">
        <w:rPr>
          <w:rFonts w:eastAsia="Calibri" w:cs="Calibri"/>
          <w:sz w:val="20"/>
          <w:szCs w:val="20"/>
          <w:lang w:val="en-GB" w:eastAsia="en-US"/>
        </w:rPr>
        <w:t>* UNEP(DEPI)/MED 439/15</w:t>
      </w:r>
    </w:p>
    <w:p w14:paraId="01EB6AF2" w14:textId="77777777" w:rsidR="00837141" w:rsidRPr="001C6CCA" w:rsidRDefault="00837141" w:rsidP="00F65CFF">
      <w:pPr>
        <w:spacing w:before="0" w:after="0" w:line="259" w:lineRule="auto"/>
        <w:jc w:val="left"/>
        <w:rPr>
          <w:rFonts w:eastAsia="Calibri" w:cs="Calibri"/>
          <w:sz w:val="20"/>
          <w:szCs w:val="20"/>
          <w:lang w:val="en-GB" w:eastAsia="en-US"/>
        </w:rPr>
      </w:pPr>
      <w:r w:rsidRPr="001C6CCA">
        <w:rPr>
          <w:rFonts w:eastAsia="Calibri" w:cs="Calibri"/>
          <w:sz w:val="20"/>
          <w:szCs w:val="20"/>
          <w:lang w:val="en-GB" w:eastAsia="en-US"/>
        </w:rPr>
        <w:t>** OSPAR</w:t>
      </w:r>
    </w:p>
    <w:p w14:paraId="3F728408" w14:textId="77777777" w:rsidR="00837141" w:rsidRPr="001C6CCA" w:rsidRDefault="00837141" w:rsidP="00F65CFF">
      <w:pPr>
        <w:spacing w:before="0" w:after="0" w:line="259" w:lineRule="auto"/>
        <w:jc w:val="left"/>
        <w:rPr>
          <w:rFonts w:eastAsia="Calibri"/>
          <w:sz w:val="20"/>
          <w:szCs w:val="20"/>
          <w:lang w:val="en-GB" w:eastAsia="en-US"/>
        </w:rPr>
      </w:pPr>
    </w:p>
    <w:p w14:paraId="593BDE23" w14:textId="77777777" w:rsidR="00085672" w:rsidRPr="005A1C76" w:rsidRDefault="00085672" w:rsidP="00085672">
      <w:pPr>
        <w:numPr>
          <w:ilvl w:val="0"/>
          <w:numId w:val="30"/>
        </w:numPr>
        <w:spacing w:after="200"/>
        <w:ind w:left="360"/>
        <w:contextualSpacing/>
        <w:rPr>
          <w:rFonts w:cs="Calibri"/>
        </w:rPr>
      </w:pPr>
      <w:r w:rsidRPr="005A1C76">
        <w:rPr>
          <w:rFonts w:cs="Calibri"/>
          <w:b/>
        </w:rPr>
        <w:t xml:space="preserve">BAC </w:t>
      </w:r>
      <w:r w:rsidRPr="005A1C76">
        <w:rPr>
          <w:rFonts w:cs="Calibri"/>
        </w:rPr>
        <w:t xml:space="preserve">- Background assessment concentration: kriterijum razvijen od strane OSPAR Komisije za ispitivanje, kada su koncentracije približne prirodnim koncentracijama. Za srednje koncentracije koje su značajno ispod BAC smatra se da su vrlo bliske prirodnim. </w:t>
      </w:r>
    </w:p>
    <w:p w14:paraId="68C5BE67" w14:textId="77777777" w:rsidR="00085672" w:rsidRPr="005A1C76" w:rsidRDefault="00085672" w:rsidP="00085672">
      <w:pPr>
        <w:numPr>
          <w:ilvl w:val="0"/>
          <w:numId w:val="30"/>
        </w:numPr>
        <w:spacing w:after="200"/>
        <w:ind w:left="360"/>
        <w:contextualSpacing/>
        <w:rPr>
          <w:rFonts w:cs="Calibri"/>
        </w:rPr>
      </w:pPr>
      <w:r w:rsidRPr="005A1C76">
        <w:rPr>
          <w:rFonts w:cs="Calibri"/>
          <w:b/>
        </w:rPr>
        <w:t xml:space="preserve">EAC </w:t>
      </w:r>
      <w:r w:rsidRPr="005A1C76">
        <w:rPr>
          <w:rFonts w:cs="Calibri"/>
        </w:rPr>
        <w:t xml:space="preserve">- Environmental Assessment Criteria: EAC vrijednosti su određene od strane OSPAR-a i “International Council for the Exploration of the Sea” za procjenu ekološkog značaja koncentraije kontaminanata u moru. Koncentracije koje su niže od EAC vrijednosti ne bi trebalo da prouzrokuju neki hronični efekat na floru i faunu mora. </w:t>
      </w:r>
    </w:p>
    <w:p w14:paraId="05265F85" w14:textId="77777777" w:rsidR="00085672" w:rsidRPr="005A1C76" w:rsidRDefault="00085672" w:rsidP="00085672">
      <w:pPr>
        <w:numPr>
          <w:ilvl w:val="0"/>
          <w:numId w:val="30"/>
        </w:numPr>
        <w:spacing w:after="200"/>
        <w:ind w:left="360"/>
        <w:contextualSpacing/>
        <w:rPr>
          <w:rFonts w:cs="Calibri"/>
        </w:rPr>
      </w:pPr>
      <w:r w:rsidRPr="005A1C76">
        <w:rPr>
          <w:rFonts w:cs="Calibri"/>
          <w:b/>
        </w:rPr>
        <w:t>ERL</w:t>
      </w:r>
      <w:r w:rsidRPr="005A1C76">
        <w:rPr>
          <w:rFonts w:cs="Calibri"/>
        </w:rPr>
        <w:t xml:space="preserve"> - Effects Range Low: ERL vrijednosti je propisala Agencija za zaštitu životne sredine SAD (USEPA) za procjenu ekološki značajnih koncentracija kontaminenata u sedimentu. Koncentracije kontaminanata koje su niže od ERL vrijednosti rijetko mogu uzrokovati štetne efekte za živi svijet u moru. S druge strane, količine kontaminanata koje su veće od ERL obično imaju nepovoljni uticaj na neke od živih organizama u moru.</w:t>
      </w:r>
    </w:p>
    <w:p w14:paraId="2C2B2C96" w14:textId="77777777" w:rsidR="00085672" w:rsidRPr="005A1C76" w:rsidRDefault="00085672" w:rsidP="00085672">
      <w:pPr>
        <w:numPr>
          <w:ilvl w:val="0"/>
          <w:numId w:val="30"/>
        </w:numPr>
        <w:spacing w:after="0"/>
        <w:ind w:left="360"/>
        <w:contextualSpacing/>
        <w:rPr>
          <w:rFonts w:eastAsia="Calibri" w:cs="Calibri"/>
          <w:sz w:val="20"/>
          <w:szCs w:val="20"/>
          <w:lang w:val="en-GB"/>
        </w:rPr>
      </w:pPr>
      <w:r w:rsidRPr="005A1C76">
        <w:rPr>
          <w:rFonts w:cs="Calibri"/>
          <w:b/>
        </w:rPr>
        <w:t>EC</w:t>
      </w:r>
      <w:r w:rsidRPr="005A1C76">
        <w:rPr>
          <w:rFonts w:cs="Calibri"/>
        </w:rPr>
        <w:t>- EC/EU 1881/2006 and 629/2008 Directives for maximum levels for certain contaminants in foodstuffs</w:t>
      </w:r>
    </w:p>
    <w:p w14:paraId="2EB1118C" w14:textId="77777777" w:rsidR="00837141" w:rsidRPr="001C6CCA" w:rsidRDefault="00837141" w:rsidP="004644F0">
      <w:pPr>
        <w:spacing w:before="0" w:after="0"/>
        <w:contextualSpacing/>
        <w:rPr>
          <w:rFonts w:eastAsia="Calibri" w:cs="Calibri"/>
          <w:sz w:val="20"/>
          <w:szCs w:val="20"/>
          <w:lang w:val="en-GB" w:eastAsia="en-US"/>
        </w:rPr>
      </w:pPr>
    </w:p>
    <w:p w14:paraId="71A9BB98" w14:textId="4C87070B" w:rsidR="00085672" w:rsidRPr="005A1C76" w:rsidRDefault="00085672" w:rsidP="00085672">
      <w:pPr>
        <w:spacing w:after="0"/>
        <w:rPr>
          <w:rFonts w:eastAsia="Calibri"/>
          <w:lang w:val="en-GB"/>
        </w:rPr>
      </w:pPr>
      <w:r w:rsidRPr="005A1C76">
        <w:rPr>
          <w:rFonts w:eastAsia="Calibri" w:cs="Calibri"/>
          <w:lang w:val="en-GB"/>
        </w:rPr>
        <w:t xml:space="preserve">U skladu sa pristupom OSPAR konvencije, UNEP MAP je za Mediteransko more uspostavio  granične vrijednosti </w:t>
      </w:r>
      <w:r w:rsidR="00422AD7">
        <w:rPr>
          <w:rFonts w:eastAsia="Calibri" w:cs="Calibri"/>
          <w:lang w:val="en-GB"/>
        </w:rPr>
        <w:t xml:space="preserve">koncentracije </w:t>
      </w:r>
      <w:r w:rsidRPr="005A1C76">
        <w:rPr>
          <w:rFonts w:eastAsia="Calibri" w:cs="Calibri"/>
          <w:lang w:val="en-GB"/>
        </w:rPr>
        <w:t>(„thresholds“) koj</w:t>
      </w:r>
      <w:r w:rsidR="00422AD7">
        <w:rPr>
          <w:rFonts w:eastAsia="Calibri" w:cs="Calibri"/>
          <w:lang w:val="en-GB"/>
        </w:rPr>
        <w:t>e</w:t>
      </w:r>
      <w:r w:rsidRPr="005A1C76">
        <w:rPr>
          <w:rFonts w:eastAsia="Calibri" w:cs="Calibri"/>
          <w:lang w:val="en-GB"/>
        </w:rPr>
        <w:t xml:space="preserve"> su definisan</w:t>
      </w:r>
      <w:r w:rsidR="00422AD7">
        <w:rPr>
          <w:rFonts w:eastAsia="Calibri" w:cs="Calibri"/>
          <w:lang w:val="en-GB"/>
        </w:rPr>
        <w:t xml:space="preserve">e </w:t>
      </w:r>
      <w:r w:rsidRPr="005A1C76">
        <w:rPr>
          <w:rFonts w:eastAsia="Calibri" w:cs="Calibri"/>
          <w:lang w:val="en-GB"/>
        </w:rPr>
        <w:t>kao T</w:t>
      </w:r>
      <w:r w:rsidRPr="005A1C76">
        <w:rPr>
          <w:rFonts w:eastAsia="Calibri" w:cs="Calibri"/>
          <w:vertAlign w:val="subscript"/>
          <w:lang w:val="en-GB"/>
        </w:rPr>
        <w:t>0</w:t>
      </w:r>
      <w:r w:rsidRPr="005A1C76">
        <w:rPr>
          <w:rFonts w:eastAsia="Calibri" w:cs="Calibri"/>
          <w:lang w:val="en-GB"/>
        </w:rPr>
        <w:t xml:space="preserve"> i T</w:t>
      </w:r>
      <w:r w:rsidRPr="005A1C76">
        <w:rPr>
          <w:rFonts w:eastAsia="Calibri" w:cs="Calibri"/>
          <w:vertAlign w:val="subscript"/>
          <w:lang w:val="en-GB"/>
        </w:rPr>
        <w:t>1</w:t>
      </w:r>
      <w:r w:rsidRPr="005A1C76">
        <w:rPr>
          <w:rFonts w:eastAsia="Calibri" w:cs="Calibri"/>
          <w:lang w:val="en-GB"/>
        </w:rPr>
        <w:t xml:space="preserve"> i koji služe</w:t>
      </w:r>
      <w:r w:rsidRPr="005A1C76">
        <w:t xml:space="preserve"> </w:t>
      </w:r>
      <w:r w:rsidRPr="005A1C76">
        <w:rPr>
          <w:rFonts w:eastAsia="Calibri" w:cs="Calibri"/>
          <w:lang w:val="en-GB"/>
        </w:rPr>
        <w:t xml:space="preserve">za procjenu stepena zagađenosti kao i bioloških efekata kontaminenta u sedimentu i bioti.  </w:t>
      </w:r>
      <w:r w:rsidRPr="005A1C76">
        <w:rPr>
          <w:rFonts w:eastAsia="Calibri"/>
          <w:lang w:val="en-GB"/>
        </w:rPr>
        <w:t>T</w:t>
      </w:r>
      <w:r w:rsidRPr="005A1C76">
        <w:rPr>
          <w:rFonts w:eastAsia="Calibri"/>
          <w:vertAlign w:val="subscript"/>
          <w:lang w:val="en-GB"/>
        </w:rPr>
        <w:t>0</w:t>
      </w:r>
      <w:r w:rsidRPr="005A1C76">
        <w:rPr>
          <w:rFonts w:eastAsia="Calibri"/>
          <w:lang w:val="en-GB"/>
        </w:rPr>
        <w:t xml:space="preserve"> je tranziciona tačka koja se definiše u sedimentu i bioti, kao koncentracija kontaminenata na „netaknutom“</w:t>
      </w:r>
      <w:r w:rsidR="00422AD7">
        <w:rPr>
          <w:rFonts w:eastAsia="Calibri"/>
          <w:lang w:val="en-GB"/>
        </w:rPr>
        <w:t xml:space="preserve"> </w:t>
      </w:r>
      <w:r w:rsidRPr="005A1C76">
        <w:rPr>
          <w:rFonts w:eastAsia="Calibri"/>
          <w:lang w:val="en-GB"/>
        </w:rPr>
        <w:t>ili „udaljenom“ mjestu</w:t>
      </w:r>
      <w:r w:rsidR="00422AD7">
        <w:rPr>
          <w:rFonts w:eastAsia="Calibri"/>
          <w:lang w:val="en-GB"/>
        </w:rPr>
        <w:t xml:space="preserve"> od izvora zagađenja</w:t>
      </w:r>
      <w:r w:rsidRPr="005A1C76">
        <w:rPr>
          <w:rFonts w:eastAsia="Calibri"/>
          <w:lang w:val="en-GB"/>
        </w:rPr>
        <w:t>, gdje se ne može očekivati pogoršanje životne sredine. S druge strane, T1 je koncentracija iznad koje se najčešće javljaju značajni negativni efekti na životnu sredinu ili na ljudsko zdravlje (zelena/crvena, narandžasta/crvena tranziciona tačka). Između tačaka T</w:t>
      </w:r>
      <w:r w:rsidRPr="005A1C76">
        <w:rPr>
          <w:rFonts w:eastAsia="Calibri"/>
          <w:vertAlign w:val="subscript"/>
          <w:lang w:val="en-GB"/>
        </w:rPr>
        <w:t>0</w:t>
      </w:r>
      <w:r w:rsidRPr="005A1C76">
        <w:rPr>
          <w:rFonts w:eastAsia="Calibri"/>
          <w:lang w:val="en-GB"/>
        </w:rPr>
        <w:t xml:space="preserve"> i T</w:t>
      </w:r>
      <w:r w:rsidRPr="005A1C76">
        <w:rPr>
          <w:rFonts w:eastAsia="Calibri"/>
          <w:vertAlign w:val="subscript"/>
          <w:lang w:val="en-GB"/>
        </w:rPr>
        <w:t>1</w:t>
      </w:r>
      <w:r w:rsidRPr="005A1C76">
        <w:rPr>
          <w:rFonts w:eastAsia="Calibri"/>
          <w:lang w:val="en-GB"/>
        </w:rPr>
        <w:t xml:space="preserve"> nivoi zagađivača ne predstavljaju značajan rizik za životnu sredinu ili ljudsko zdravlje (Slika 2.21 i 2.22)</w:t>
      </w:r>
      <w:r w:rsidRPr="005A1C76">
        <w:t xml:space="preserve"> </w:t>
      </w:r>
      <w:r w:rsidRPr="005A1C76">
        <w:rPr>
          <w:rFonts w:eastAsia="Calibri"/>
          <w:lang w:val="en-GB"/>
        </w:rPr>
        <w:t>(UNEP(DEPI)/MED WG.427/Inf.3</w:t>
      </w:r>
      <w:r w:rsidRPr="005A1C76">
        <w:rPr>
          <w:rFonts w:eastAsia="Calibri"/>
          <w:vertAlign w:val="superscript"/>
          <w:lang w:val="en-GB"/>
        </w:rPr>
        <w:footnoteReference w:id="35"/>
      </w:r>
      <w:r w:rsidRPr="005A1C76">
        <w:rPr>
          <w:rFonts w:eastAsia="Calibri"/>
          <w:lang w:val="en-GB"/>
        </w:rPr>
        <w:t xml:space="preserve">). </w:t>
      </w:r>
    </w:p>
    <w:tbl>
      <w:tblPr>
        <w:tblStyle w:val="GolderTable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344"/>
      </w:tblGrid>
      <w:tr w:rsidR="00837141" w:rsidRPr="001C6CCA" w14:paraId="70DD6D20" w14:textId="77777777" w:rsidTr="00837141">
        <w:trPr>
          <w:trHeight w:val="1988"/>
        </w:trPr>
        <w:tc>
          <w:tcPr>
            <w:tcW w:w="4855" w:type="dxa"/>
          </w:tcPr>
          <w:p w14:paraId="45775BCF" w14:textId="1D9DDF96" w:rsidR="00837141" w:rsidRPr="0005763C" w:rsidRDefault="00837141" w:rsidP="00F65CFF">
            <w:pPr>
              <w:keepNext/>
              <w:spacing w:before="0" w:after="0" w:line="240" w:lineRule="auto"/>
              <w:rPr>
                <w:i/>
                <w:lang w:val="en-GB" w:eastAsia="en-US"/>
              </w:rPr>
            </w:pPr>
          </w:p>
          <w:p w14:paraId="088843A1" w14:textId="217297B2" w:rsidR="00837141" w:rsidRPr="0005763C" w:rsidRDefault="00415CBA" w:rsidP="00085672">
            <w:pPr>
              <w:spacing w:before="0" w:after="0" w:line="240" w:lineRule="auto"/>
              <w:jc w:val="left"/>
              <w:rPr>
                <w:b/>
                <w:iCs/>
                <w:lang w:val="en-GB" w:eastAsia="en-US"/>
              </w:rPr>
            </w:pPr>
            <w:bookmarkStart w:id="190" w:name="_Toc83636912"/>
            <w:r w:rsidRPr="0005763C">
              <w:rPr>
                <w:rFonts w:cs="Calibri"/>
                <w:i/>
                <w:noProof/>
                <w:lang w:eastAsia="en-US"/>
              </w:rPr>
              <w:drawing>
                <wp:anchor distT="0" distB="0" distL="114300" distR="114300" simplePos="0" relativeHeight="251794432" behindDoc="0" locked="0" layoutInCell="1" allowOverlap="1" wp14:anchorId="5883B9E3" wp14:editId="16021157">
                  <wp:simplePos x="0" y="0"/>
                  <wp:positionH relativeFrom="column">
                    <wp:posOffset>-68580</wp:posOffset>
                  </wp:positionH>
                  <wp:positionV relativeFrom="paragraph">
                    <wp:posOffset>443230</wp:posOffset>
                  </wp:positionV>
                  <wp:extent cx="2933700" cy="1247775"/>
                  <wp:effectExtent l="0" t="0" r="0" b="9525"/>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933700" cy="1247775"/>
                          </a:xfrm>
                          <a:prstGeom prst="rect">
                            <a:avLst/>
                          </a:prstGeom>
                        </pic:spPr>
                      </pic:pic>
                    </a:graphicData>
                  </a:graphic>
                  <wp14:sizeRelH relativeFrom="page">
                    <wp14:pctWidth>0</wp14:pctWidth>
                  </wp14:sizeRelH>
                  <wp14:sizeRelV relativeFrom="page">
                    <wp14:pctHeight>0</wp14:pctHeight>
                  </wp14:sizeRelV>
                </wp:anchor>
              </w:drawing>
            </w:r>
            <w:r w:rsidR="003801F2">
              <w:rPr>
                <w:i/>
                <w:noProof/>
              </w:rPr>
              <w:pict w14:anchorId="78933F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235.65pt;margin-top:34.1pt;width:202.6pt;height:95.45pt;z-index:251793408;mso-position-horizontal-relative:text;mso-position-vertical-relative:text;mso-width-relative:page;mso-height-relative:page">
                  <v:imagedata r:id="rId65" o:title=""/>
                </v:shape>
              </w:pict>
            </w:r>
            <w:r w:rsidR="00085672">
              <w:rPr>
                <w:b/>
                <w:iCs/>
                <w:lang w:val="en-GB" w:eastAsia="en-US"/>
              </w:rPr>
              <w:t>Slika</w:t>
            </w:r>
            <w:r w:rsidR="00AC3B22" w:rsidRPr="0005763C">
              <w:rPr>
                <w:rFonts w:cs="Calibri"/>
                <w:b/>
                <w:bCs/>
                <w:lang w:val="en-GB" w:eastAsia="en-US"/>
              </w:rPr>
              <w:t xml:space="preserve"> </w:t>
            </w:r>
            <w:r w:rsidR="00AC3B22" w:rsidRPr="0005763C">
              <w:rPr>
                <w:rFonts w:cs="Calibri"/>
                <w:b/>
                <w:iCs/>
                <w:lang w:val="en-GB" w:eastAsia="en-US"/>
              </w:rPr>
              <w:fldChar w:fldCharType="begin"/>
            </w:r>
            <w:r w:rsidR="00AC3B22" w:rsidRPr="0005763C">
              <w:rPr>
                <w:rFonts w:cs="Calibri"/>
                <w:b/>
                <w:iCs/>
                <w:lang w:val="en-GB" w:eastAsia="en-US"/>
              </w:rPr>
              <w:instrText xml:space="preserve"> STYLEREF 1 \s </w:instrText>
            </w:r>
            <w:r w:rsidR="00AC3B22" w:rsidRPr="0005763C">
              <w:rPr>
                <w:rFonts w:cs="Calibri"/>
                <w:b/>
                <w:iCs/>
                <w:lang w:val="en-GB" w:eastAsia="en-US"/>
              </w:rPr>
              <w:fldChar w:fldCharType="separate"/>
            </w:r>
            <w:r w:rsidR="000D1E20">
              <w:rPr>
                <w:rFonts w:cs="Calibri"/>
                <w:b/>
                <w:iCs/>
                <w:noProof/>
                <w:lang w:val="en-GB" w:eastAsia="en-US"/>
              </w:rPr>
              <w:t>2</w:t>
            </w:r>
            <w:r w:rsidR="00AC3B22" w:rsidRPr="0005763C">
              <w:rPr>
                <w:rFonts w:cs="Calibri"/>
                <w:b/>
                <w:iCs/>
                <w:lang w:val="en-GB" w:eastAsia="en-US"/>
              </w:rPr>
              <w:fldChar w:fldCharType="end"/>
            </w:r>
            <w:r w:rsidR="00AC3B22" w:rsidRPr="0005763C">
              <w:rPr>
                <w:rFonts w:cs="Calibri"/>
                <w:b/>
                <w:iCs/>
                <w:lang w:val="en-GB" w:eastAsia="en-US"/>
              </w:rPr>
              <w:t>.</w:t>
            </w:r>
            <w:r w:rsidR="00AC3B22" w:rsidRPr="0005763C">
              <w:rPr>
                <w:rFonts w:cs="Calibri"/>
                <w:b/>
                <w:iCs/>
                <w:lang w:val="en-GB" w:eastAsia="en-US"/>
              </w:rPr>
              <w:fldChar w:fldCharType="begin"/>
            </w:r>
            <w:r w:rsidR="00AC3B22" w:rsidRPr="0005763C">
              <w:rPr>
                <w:rFonts w:cs="Calibri"/>
                <w:b/>
                <w:iCs/>
                <w:lang w:val="en-GB" w:eastAsia="en-US"/>
              </w:rPr>
              <w:instrText xml:space="preserve"> SEQ Figure \* ARABIC \s 1 </w:instrText>
            </w:r>
            <w:r w:rsidR="00AC3B22" w:rsidRPr="0005763C">
              <w:rPr>
                <w:rFonts w:cs="Calibri"/>
                <w:b/>
                <w:iCs/>
                <w:lang w:val="en-GB" w:eastAsia="en-US"/>
              </w:rPr>
              <w:fldChar w:fldCharType="separate"/>
            </w:r>
            <w:r w:rsidR="000D1E20">
              <w:rPr>
                <w:rFonts w:cs="Calibri"/>
                <w:b/>
                <w:iCs/>
                <w:noProof/>
                <w:lang w:val="en-GB" w:eastAsia="en-US"/>
              </w:rPr>
              <w:t>17</w:t>
            </w:r>
            <w:r w:rsidR="00AC3B22" w:rsidRPr="0005763C">
              <w:rPr>
                <w:rFonts w:cs="Calibri"/>
                <w:b/>
                <w:iCs/>
                <w:lang w:val="en-GB" w:eastAsia="en-US"/>
              </w:rPr>
              <w:fldChar w:fldCharType="end"/>
            </w:r>
            <w:r w:rsidR="00AC3B22" w:rsidRPr="0005763C">
              <w:t>.</w:t>
            </w:r>
            <w:r w:rsidR="00AC3B22" w:rsidRPr="0005763C">
              <w:rPr>
                <w:rFonts w:cs="Calibri"/>
                <w:lang w:val="en-GB" w:eastAsia="en-US"/>
              </w:rPr>
              <w:t xml:space="preserve"> </w:t>
            </w:r>
            <w:r w:rsidR="00B24895" w:rsidRPr="0005763C">
              <w:rPr>
                <w:rFonts w:cs="Calibri"/>
                <w:lang w:val="en-GB" w:eastAsia="en-US"/>
              </w:rPr>
              <w:t xml:space="preserve"> </w:t>
            </w:r>
            <w:r w:rsidR="00085672" w:rsidRPr="005A1C76">
              <w:rPr>
                <w:b/>
                <w:iCs/>
                <w:lang w:val="en-GB"/>
              </w:rPr>
              <w:t>Predložene tranzicione tačke za PAH i PCB u sedimentu i bioti i metale u sedimentu</w:t>
            </w:r>
            <w:bookmarkEnd w:id="190"/>
          </w:p>
        </w:tc>
        <w:tc>
          <w:tcPr>
            <w:tcW w:w="4495" w:type="dxa"/>
          </w:tcPr>
          <w:p w14:paraId="6E973EAB" w14:textId="37086F30" w:rsidR="00837141" w:rsidRPr="0005763C" w:rsidRDefault="00837141" w:rsidP="00F65CFF">
            <w:pPr>
              <w:keepNext/>
              <w:spacing w:before="0" w:after="0" w:line="240" w:lineRule="auto"/>
              <w:jc w:val="center"/>
              <w:rPr>
                <w:i/>
                <w:lang w:val="en-GB" w:eastAsia="en-US"/>
              </w:rPr>
            </w:pPr>
            <w:r w:rsidRPr="0005763C">
              <w:rPr>
                <w:i/>
                <w:lang w:val="en-GB" w:eastAsia="en-US"/>
              </w:rPr>
              <w:t xml:space="preserve"> </w:t>
            </w:r>
          </w:p>
          <w:p w14:paraId="3B4C1564" w14:textId="16C7F6BB" w:rsidR="00837141" w:rsidRPr="0005763C" w:rsidRDefault="00085672" w:rsidP="00085672">
            <w:pPr>
              <w:spacing w:before="0" w:after="0" w:line="240" w:lineRule="auto"/>
              <w:jc w:val="left"/>
              <w:rPr>
                <w:b/>
                <w:iCs/>
                <w:color w:val="44546A"/>
                <w:lang w:val="en-GB" w:eastAsia="en-US"/>
              </w:rPr>
            </w:pPr>
            <w:bookmarkStart w:id="191" w:name="_Toc83636913"/>
            <w:r>
              <w:rPr>
                <w:b/>
                <w:iCs/>
                <w:lang w:val="en-GB" w:eastAsia="en-US"/>
              </w:rPr>
              <w:t>Slika</w:t>
            </w:r>
            <w:r w:rsidR="00AC3B22" w:rsidRPr="0005763C">
              <w:rPr>
                <w:rFonts w:cs="Calibri"/>
                <w:b/>
                <w:bCs/>
                <w:lang w:val="en-GB" w:eastAsia="en-US"/>
              </w:rPr>
              <w:t xml:space="preserve"> </w:t>
            </w:r>
            <w:r w:rsidR="00AC3B22" w:rsidRPr="0005763C">
              <w:rPr>
                <w:rFonts w:cs="Calibri"/>
                <w:b/>
                <w:iCs/>
                <w:lang w:val="en-GB" w:eastAsia="en-US"/>
              </w:rPr>
              <w:fldChar w:fldCharType="begin"/>
            </w:r>
            <w:r w:rsidR="00AC3B22" w:rsidRPr="0005763C">
              <w:rPr>
                <w:rFonts w:cs="Calibri"/>
                <w:b/>
                <w:iCs/>
                <w:lang w:val="en-GB" w:eastAsia="en-US"/>
              </w:rPr>
              <w:instrText xml:space="preserve"> STYLEREF 1 \s </w:instrText>
            </w:r>
            <w:r w:rsidR="00AC3B22" w:rsidRPr="0005763C">
              <w:rPr>
                <w:rFonts w:cs="Calibri"/>
                <w:b/>
                <w:iCs/>
                <w:lang w:val="en-GB" w:eastAsia="en-US"/>
              </w:rPr>
              <w:fldChar w:fldCharType="separate"/>
            </w:r>
            <w:r w:rsidR="000D1E20">
              <w:rPr>
                <w:rFonts w:cs="Calibri"/>
                <w:b/>
                <w:iCs/>
                <w:noProof/>
                <w:lang w:val="en-GB" w:eastAsia="en-US"/>
              </w:rPr>
              <w:t>2</w:t>
            </w:r>
            <w:r w:rsidR="00AC3B22" w:rsidRPr="0005763C">
              <w:rPr>
                <w:rFonts w:cs="Calibri"/>
                <w:b/>
                <w:iCs/>
                <w:lang w:val="en-GB" w:eastAsia="en-US"/>
              </w:rPr>
              <w:fldChar w:fldCharType="end"/>
            </w:r>
            <w:r w:rsidR="00AC3B22" w:rsidRPr="0005763C">
              <w:rPr>
                <w:rFonts w:cs="Calibri"/>
                <w:b/>
                <w:iCs/>
                <w:lang w:val="en-GB" w:eastAsia="en-US"/>
              </w:rPr>
              <w:t>.</w:t>
            </w:r>
            <w:r w:rsidR="00AC3B22" w:rsidRPr="0005763C">
              <w:rPr>
                <w:rFonts w:cs="Calibri"/>
                <w:b/>
                <w:iCs/>
                <w:lang w:val="en-GB" w:eastAsia="en-US"/>
              </w:rPr>
              <w:fldChar w:fldCharType="begin"/>
            </w:r>
            <w:r w:rsidR="00AC3B22" w:rsidRPr="0005763C">
              <w:rPr>
                <w:rFonts w:cs="Calibri"/>
                <w:b/>
                <w:iCs/>
                <w:lang w:val="en-GB" w:eastAsia="en-US"/>
              </w:rPr>
              <w:instrText xml:space="preserve"> SEQ Figure \* ARABIC \s 1 </w:instrText>
            </w:r>
            <w:r w:rsidR="00AC3B22" w:rsidRPr="0005763C">
              <w:rPr>
                <w:rFonts w:cs="Calibri"/>
                <w:b/>
                <w:iCs/>
                <w:lang w:val="en-GB" w:eastAsia="en-US"/>
              </w:rPr>
              <w:fldChar w:fldCharType="separate"/>
            </w:r>
            <w:r w:rsidR="000D1E20">
              <w:rPr>
                <w:rFonts w:cs="Calibri"/>
                <w:b/>
                <w:iCs/>
                <w:noProof/>
                <w:lang w:val="en-GB" w:eastAsia="en-US"/>
              </w:rPr>
              <w:t>18</w:t>
            </w:r>
            <w:r w:rsidR="00AC3B22" w:rsidRPr="0005763C">
              <w:rPr>
                <w:rFonts w:cs="Calibri"/>
                <w:b/>
                <w:iCs/>
                <w:lang w:val="en-GB" w:eastAsia="en-US"/>
              </w:rPr>
              <w:fldChar w:fldCharType="end"/>
            </w:r>
            <w:r w:rsidR="00AC3B22" w:rsidRPr="0005763C">
              <w:t>.</w:t>
            </w:r>
            <w:r w:rsidR="00AC3B22" w:rsidRPr="0005763C">
              <w:rPr>
                <w:rFonts w:cs="Calibri"/>
                <w:lang w:val="en-GB" w:eastAsia="en-US"/>
              </w:rPr>
              <w:t xml:space="preserve">  </w:t>
            </w:r>
            <w:r w:rsidRPr="005A1C76">
              <w:rPr>
                <w:b/>
                <w:iCs/>
                <w:lang w:val="en-GB"/>
              </w:rPr>
              <w:t>Predložene tranzicione tačke za metale u bioti</w:t>
            </w:r>
            <w:bookmarkEnd w:id="191"/>
          </w:p>
        </w:tc>
      </w:tr>
    </w:tbl>
    <w:p w14:paraId="6D990D53" w14:textId="77777777" w:rsidR="007D5736" w:rsidRPr="001C6CCA" w:rsidRDefault="007D5736" w:rsidP="00F65CFF">
      <w:pPr>
        <w:spacing w:before="0" w:after="0" w:line="259" w:lineRule="auto"/>
        <w:rPr>
          <w:rFonts w:eastAsia="Calibri"/>
          <w:sz w:val="20"/>
          <w:szCs w:val="20"/>
          <w:lang w:val="en-GB" w:eastAsia="en-US"/>
        </w:rPr>
      </w:pPr>
    </w:p>
    <w:p w14:paraId="27EB7299" w14:textId="77777777" w:rsidR="00415CBA" w:rsidRDefault="00415CBA" w:rsidP="00F65CFF">
      <w:pPr>
        <w:spacing w:before="0" w:after="0" w:line="259" w:lineRule="auto"/>
        <w:rPr>
          <w:rFonts w:eastAsia="Calibri"/>
          <w:szCs w:val="22"/>
          <w:lang w:val="en-GB" w:eastAsia="en-US"/>
        </w:rPr>
      </w:pPr>
    </w:p>
    <w:p w14:paraId="0E982FDA" w14:textId="77777777" w:rsidR="00415CBA" w:rsidRDefault="00415CBA" w:rsidP="00F65CFF">
      <w:pPr>
        <w:spacing w:before="0" w:after="0" w:line="259" w:lineRule="auto"/>
        <w:rPr>
          <w:rFonts w:eastAsia="Calibri"/>
          <w:szCs w:val="22"/>
          <w:lang w:val="en-GB" w:eastAsia="en-US"/>
        </w:rPr>
      </w:pPr>
    </w:p>
    <w:p w14:paraId="7F70709E" w14:textId="77777777" w:rsidR="00415CBA" w:rsidRDefault="00415CBA" w:rsidP="00F65CFF">
      <w:pPr>
        <w:spacing w:before="0" w:after="0" w:line="259" w:lineRule="auto"/>
        <w:rPr>
          <w:rFonts w:eastAsia="Calibri"/>
          <w:szCs w:val="22"/>
          <w:lang w:val="en-GB" w:eastAsia="en-US"/>
        </w:rPr>
      </w:pPr>
    </w:p>
    <w:p w14:paraId="5587888B" w14:textId="77777777" w:rsidR="00085672" w:rsidRPr="005A1C76" w:rsidRDefault="00085672" w:rsidP="00085672">
      <w:pPr>
        <w:spacing w:after="0"/>
        <w:rPr>
          <w:rFonts w:eastAsia="Calibri" w:cs="Calibri"/>
          <w:lang w:val="en-GB"/>
        </w:rPr>
      </w:pPr>
      <w:r w:rsidRPr="005A1C76">
        <w:rPr>
          <w:rFonts w:eastAsia="Calibri"/>
          <w:lang w:val="en-GB"/>
        </w:rPr>
        <w:t>U tabeli 2.28. prikazano je tumačenje predloženih shema plavo/zeleno/crveno I plavo/narandžasto/crveno koje su prikazane na slikama 2.21 I 2.22, u odnosu na koncentracije zagađujućih supstanci kao i objašnjenje vrste aktivnosti koje mogu biti preduzete</w:t>
      </w:r>
    </w:p>
    <w:p w14:paraId="12192C59" w14:textId="77777777" w:rsidR="00837141" w:rsidRPr="001C6CCA" w:rsidRDefault="00837141" w:rsidP="00F65CFF">
      <w:pPr>
        <w:keepNext/>
        <w:spacing w:before="0" w:after="0" w:line="240" w:lineRule="auto"/>
        <w:jc w:val="left"/>
        <w:rPr>
          <w:rFonts w:eastAsia="Calibri"/>
          <w:i/>
          <w:iCs/>
          <w:color w:val="44546A"/>
          <w:sz w:val="20"/>
          <w:szCs w:val="20"/>
          <w:lang w:val="en-GB" w:eastAsia="en-US"/>
        </w:rPr>
      </w:pPr>
    </w:p>
    <w:p w14:paraId="775A4535" w14:textId="1C038BA1" w:rsidR="00085672" w:rsidRDefault="00837141" w:rsidP="002D2362">
      <w:pPr>
        <w:keepNext/>
        <w:spacing w:before="0" w:line="240" w:lineRule="auto"/>
        <w:jc w:val="left"/>
        <w:rPr>
          <w:rFonts w:eastAsia="Calibri"/>
          <w:b/>
          <w:iCs/>
          <w:lang w:val="en-GB"/>
        </w:rPr>
      </w:pPr>
      <w:bookmarkStart w:id="192" w:name="_Toc83643174"/>
      <w:r w:rsidRPr="001C6CCA">
        <w:rPr>
          <w:rFonts w:eastAsia="Calibri"/>
          <w:b/>
          <w:iCs/>
          <w:szCs w:val="22"/>
          <w:lang w:val="en-GB" w:eastAsia="en-US"/>
        </w:rPr>
        <w:t>Tab</w:t>
      </w:r>
      <w:r w:rsidR="00085672">
        <w:rPr>
          <w:rFonts w:eastAsia="Calibri"/>
          <w:b/>
          <w:iCs/>
          <w:szCs w:val="22"/>
          <w:lang w:val="en-GB" w:eastAsia="en-US"/>
        </w:rPr>
        <w:t>ela</w:t>
      </w:r>
      <w:r w:rsidRPr="001C6CCA">
        <w:rPr>
          <w:rFonts w:eastAsia="Calibri"/>
          <w:b/>
          <w:iCs/>
          <w:szCs w:val="22"/>
          <w:lang w:val="en-GB" w:eastAsia="en-US"/>
        </w:rPr>
        <w:t xml:space="preserve"> </w:t>
      </w:r>
      <w:r w:rsidR="003415D9" w:rsidRPr="00D932B6">
        <w:rPr>
          <w:b/>
          <w:szCs w:val="22"/>
        </w:rPr>
        <w:fldChar w:fldCharType="begin"/>
      </w:r>
      <w:r w:rsidR="003415D9" w:rsidRPr="00D932B6">
        <w:rPr>
          <w:b/>
          <w:szCs w:val="22"/>
        </w:rPr>
        <w:instrText xml:space="preserve"> STYLEREF 1 \s </w:instrText>
      </w:r>
      <w:r w:rsidR="003415D9" w:rsidRPr="00D932B6">
        <w:rPr>
          <w:b/>
          <w:szCs w:val="22"/>
        </w:rPr>
        <w:fldChar w:fldCharType="separate"/>
      </w:r>
      <w:r w:rsidR="000D1E20">
        <w:rPr>
          <w:b/>
          <w:noProof/>
          <w:szCs w:val="22"/>
        </w:rPr>
        <w:t>2</w:t>
      </w:r>
      <w:r w:rsidR="003415D9" w:rsidRPr="00D932B6">
        <w:rPr>
          <w:b/>
          <w:szCs w:val="22"/>
        </w:rPr>
        <w:fldChar w:fldCharType="end"/>
      </w:r>
      <w:r w:rsidR="003415D9" w:rsidRPr="00D932B6">
        <w:rPr>
          <w:b/>
          <w:szCs w:val="22"/>
        </w:rPr>
        <w:t>.</w:t>
      </w:r>
      <w:r w:rsidR="003415D9" w:rsidRPr="00D932B6">
        <w:rPr>
          <w:b/>
          <w:szCs w:val="22"/>
        </w:rPr>
        <w:fldChar w:fldCharType="begin"/>
      </w:r>
      <w:r w:rsidR="003415D9" w:rsidRPr="00D932B6">
        <w:rPr>
          <w:b/>
          <w:szCs w:val="22"/>
        </w:rPr>
        <w:instrText xml:space="preserve"> SEQ Table \* ARABIC \s 1 </w:instrText>
      </w:r>
      <w:r w:rsidR="003415D9" w:rsidRPr="00D932B6">
        <w:rPr>
          <w:b/>
          <w:szCs w:val="22"/>
        </w:rPr>
        <w:fldChar w:fldCharType="separate"/>
      </w:r>
      <w:r w:rsidR="000D1E20">
        <w:rPr>
          <w:b/>
          <w:noProof/>
          <w:szCs w:val="22"/>
        </w:rPr>
        <w:t>16</w:t>
      </w:r>
      <w:r w:rsidR="003415D9" w:rsidRPr="00D932B6">
        <w:rPr>
          <w:b/>
          <w:szCs w:val="22"/>
        </w:rPr>
        <w:fldChar w:fldCharType="end"/>
      </w:r>
      <w:r w:rsidR="003415D9">
        <w:rPr>
          <w:b/>
          <w:szCs w:val="22"/>
        </w:rPr>
        <w:t>.</w:t>
      </w:r>
      <w:r w:rsidR="003415D9" w:rsidRPr="001C6CCA">
        <w:rPr>
          <w:rFonts w:eastAsia="Calibri" w:cs="Calibri"/>
          <w:b/>
          <w:szCs w:val="22"/>
          <w:lang w:val="en-GB" w:eastAsia="en-US"/>
        </w:rPr>
        <w:t xml:space="preserve"> </w:t>
      </w:r>
      <w:r w:rsidR="00965760">
        <w:rPr>
          <w:rFonts w:eastAsia="Calibri" w:cs="Calibri"/>
          <w:b/>
          <w:szCs w:val="22"/>
          <w:lang w:val="en-GB" w:eastAsia="en-US"/>
        </w:rPr>
        <w:t>Opisi</w:t>
      </w:r>
      <w:r w:rsidR="00085672" w:rsidRPr="005A1C76">
        <w:rPr>
          <w:rFonts w:eastAsia="Calibri"/>
          <w:b/>
          <w:iCs/>
          <w:lang w:val="en-GB"/>
        </w:rPr>
        <w:t xml:space="preserve"> crvenog, zelenog, narandžastog, plavog sistema „semafora“</w:t>
      </w:r>
      <w:bookmarkEnd w:id="192"/>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7477"/>
      </w:tblGrid>
      <w:tr w:rsidR="00085672" w:rsidRPr="005A1C76" w14:paraId="0FF6BEA0" w14:textId="77777777" w:rsidTr="006075FE">
        <w:trPr>
          <w:tblHeader/>
        </w:trPr>
        <w:tc>
          <w:tcPr>
            <w:tcW w:w="1874" w:type="dxa"/>
            <w:shd w:val="clear" w:color="auto" w:fill="1F497D"/>
          </w:tcPr>
          <w:p w14:paraId="4C5A5DD5" w14:textId="77777777" w:rsidR="00085672" w:rsidRPr="005A1C76" w:rsidRDefault="00085672" w:rsidP="00085672">
            <w:pPr>
              <w:spacing w:after="0" w:line="240" w:lineRule="auto"/>
              <w:jc w:val="center"/>
              <w:rPr>
                <w:rFonts w:eastAsia="Calibri" w:cs="Calibri"/>
                <w:b/>
                <w:color w:val="FFFFFF"/>
                <w:sz w:val="20"/>
                <w:szCs w:val="20"/>
                <w:lang w:val="en-GB"/>
              </w:rPr>
            </w:pPr>
          </w:p>
          <w:p w14:paraId="41CE86CD" w14:textId="77777777" w:rsidR="00085672" w:rsidRPr="005A1C76" w:rsidRDefault="00085672" w:rsidP="00085672">
            <w:pPr>
              <w:spacing w:after="0" w:line="240" w:lineRule="auto"/>
              <w:jc w:val="center"/>
              <w:rPr>
                <w:rFonts w:eastAsia="Calibri" w:cs="Calibri"/>
                <w:color w:val="FFFFFF"/>
                <w:sz w:val="20"/>
                <w:szCs w:val="20"/>
                <w:lang w:val="en-GB"/>
              </w:rPr>
            </w:pPr>
            <w:r w:rsidRPr="005A1C76">
              <w:rPr>
                <w:rFonts w:eastAsia="Calibri" w:cs="Calibri"/>
                <w:b/>
                <w:color w:val="FFFFFF"/>
                <w:sz w:val="20"/>
                <w:szCs w:val="20"/>
                <w:lang w:val="en-GB"/>
              </w:rPr>
              <w:t>Boja</w:t>
            </w:r>
          </w:p>
        </w:tc>
        <w:tc>
          <w:tcPr>
            <w:tcW w:w="7477" w:type="dxa"/>
            <w:shd w:val="clear" w:color="auto" w:fill="1F497D"/>
          </w:tcPr>
          <w:p w14:paraId="2B1638D2" w14:textId="77777777" w:rsidR="00085672" w:rsidRPr="005A1C76" w:rsidRDefault="00085672" w:rsidP="00085672">
            <w:pPr>
              <w:spacing w:after="0"/>
              <w:jc w:val="center"/>
              <w:rPr>
                <w:rFonts w:eastAsia="Calibri" w:cs="Calibri"/>
                <w:b/>
                <w:color w:val="FFFFFF"/>
                <w:sz w:val="20"/>
                <w:szCs w:val="20"/>
                <w:lang w:val="en-GB"/>
              </w:rPr>
            </w:pPr>
          </w:p>
          <w:p w14:paraId="0E8E9BAC"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Objašnjenje značenje boja</w:t>
            </w:r>
          </w:p>
        </w:tc>
      </w:tr>
      <w:tr w:rsidR="00085672" w:rsidRPr="005A1C76" w14:paraId="667C97A8" w14:textId="77777777" w:rsidTr="00085672">
        <w:tc>
          <w:tcPr>
            <w:tcW w:w="1874" w:type="dxa"/>
            <w:shd w:val="clear" w:color="auto" w:fill="FF0000"/>
            <w:vAlign w:val="center"/>
          </w:tcPr>
          <w:p w14:paraId="07FBA8E4" w14:textId="77777777" w:rsidR="00085672" w:rsidRPr="005A1C76" w:rsidRDefault="00085672" w:rsidP="00085672">
            <w:pPr>
              <w:spacing w:after="0"/>
              <w:jc w:val="center"/>
              <w:rPr>
                <w:rFonts w:eastAsia="Calibri" w:cs="Calibri"/>
                <w:b/>
                <w:sz w:val="20"/>
                <w:szCs w:val="20"/>
                <w:lang w:val="en-GB"/>
              </w:rPr>
            </w:pPr>
          </w:p>
          <w:p w14:paraId="5C8ADF1C" w14:textId="77777777" w:rsidR="00085672" w:rsidRPr="005A1C76" w:rsidRDefault="00085672" w:rsidP="00085672">
            <w:pPr>
              <w:spacing w:after="0"/>
              <w:jc w:val="center"/>
              <w:rPr>
                <w:rFonts w:eastAsia="Calibri" w:cs="Calibri"/>
                <w:b/>
                <w:sz w:val="20"/>
                <w:szCs w:val="20"/>
                <w:lang w:val="en-GB"/>
              </w:rPr>
            </w:pPr>
            <w:r w:rsidRPr="005A1C76">
              <w:rPr>
                <w:rFonts w:eastAsia="Calibri" w:cs="Calibri"/>
                <w:b/>
                <w:sz w:val="20"/>
                <w:szCs w:val="20"/>
                <w:lang w:val="en-GB"/>
              </w:rPr>
              <w:t>CRVENA</w:t>
            </w:r>
          </w:p>
        </w:tc>
        <w:tc>
          <w:tcPr>
            <w:tcW w:w="7477" w:type="dxa"/>
            <w:shd w:val="clear" w:color="auto" w:fill="auto"/>
          </w:tcPr>
          <w:p w14:paraId="569E1C6C" w14:textId="77777777" w:rsidR="00085672" w:rsidRPr="005A1C76" w:rsidRDefault="00085672" w:rsidP="00085672">
            <w:pPr>
              <w:spacing w:after="0" w:line="240" w:lineRule="auto"/>
              <w:jc w:val="center"/>
              <w:rPr>
                <w:rFonts w:eastAsia="Calibri" w:cs="Calibri"/>
                <w:b/>
                <w:sz w:val="20"/>
                <w:szCs w:val="20"/>
                <w:lang w:val="en-GB"/>
              </w:rPr>
            </w:pPr>
            <w:r w:rsidRPr="005A1C76">
              <w:rPr>
                <w:rFonts w:eastAsia="Calibri" w:cs="Calibri"/>
                <w:b/>
                <w:sz w:val="20"/>
                <w:szCs w:val="20"/>
                <w:lang w:val="en-GB"/>
              </w:rPr>
              <w:t xml:space="preserve">Status je neprihvatljiv </w:t>
            </w:r>
          </w:p>
          <w:p w14:paraId="0AB5409E"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Koncentracije kontaminanata su na takvim nivoima gdje postoji neprihvatljiv rizik za životnu sredinu i živi svijet. Postoji potencijal za značajne negativne efekte na životnu sredinu ili na ljudsko zdravlje</w:t>
            </w:r>
          </w:p>
        </w:tc>
      </w:tr>
      <w:tr w:rsidR="00085672" w:rsidRPr="005A1C76" w14:paraId="33FF3EE3" w14:textId="77777777" w:rsidTr="00085672">
        <w:tc>
          <w:tcPr>
            <w:tcW w:w="1874" w:type="dxa"/>
            <w:shd w:val="clear" w:color="auto" w:fill="00FF00"/>
            <w:vAlign w:val="center"/>
          </w:tcPr>
          <w:p w14:paraId="54D2F2F4" w14:textId="77777777" w:rsidR="00085672" w:rsidRPr="005A1C76" w:rsidRDefault="00085672" w:rsidP="00085672">
            <w:pPr>
              <w:spacing w:after="0"/>
              <w:jc w:val="center"/>
              <w:rPr>
                <w:rFonts w:eastAsia="Calibri" w:cs="Calibri"/>
                <w:sz w:val="20"/>
                <w:szCs w:val="20"/>
                <w:lang w:val="en-GB"/>
              </w:rPr>
            </w:pPr>
            <w:r w:rsidRPr="005A1C76">
              <w:rPr>
                <w:rFonts w:eastAsia="Calibri" w:cs="Calibri"/>
                <w:b/>
                <w:sz w:val="20"/>
                <w:szCs w:val="20"/>
                <w:lang w:val="en-GB"/>
              </w:rPr>
              <w:t>ZELENA</w:t>
            </w:r>
          </w:p>
        </w:tc>
        <w:tc>
          <w:tcPr>
            <w:tcW w:w="7477" w:type="dxa"/>
            <w:shd w:val="clear" w:color="auto" w:fill="auto"/>
          </w:tcPr>
          <w:p w14:paraId="3740D709" w14:textId="4BE97B52" w:rsidR="00085672" w:rsidRPr="005A1C76" w:rsidRDefault="00085672" w:rsidP="006075FE">
            <w:pPr>
              <w:spacing w:after="0" w:line="240" w:lineRule="auto"/>
              <w:jc w:val="center"/>
              <w:rPr>
                <w:rFonts w:eastAsia="Calibri" w:cs="Calibri"/>
                <w:b/>
                <w:sz w:val="20"/>
                <w:szCs w:val="20"/>
                <w:lang w:val="en-GB"/>
              </w:rPr>
            </w:pPr>
            <w:r w:rsidRPr="005A1C76">
              <w:rPr>
                <w:rFonts w:eastAsia="Calibri" w:cs="Calibri"/>
                <w:b/>
                <w:sz w:val="20"/>
                <w:szCs w:val="20"/>
                <w:lang w:val="en-GB"/>
              </w:rPr>
              <w:t>Status je p</w:t>
            </w:r>
            <w:r w:rsidR="006075FE">
              <w:rPr>
                <w:rFonts w:eastAsia="Calibri" w:cs="Calibri"/>
                <w:b/>
                <w:sz w:val="20"/>
                <w:szCs w:val="20"/>
                <w:lang w:val="en-GB"/>
              </w:rPr>
              <w:t>rihvatljiv</w:t>
            </w:r>
            <w:r w:rsidRPr="005A1C76">
              <w:rPr>
                <w:rFonts w:eastAsia="Calibri" w:cs="Calibri"/>
                <w:b/>
                <w:sz w:val="20"/>
                <w:szCs w:val="20"/>
                <w:lang w:val="en-GB"/>
              </w:rPr>
              <w:t xml:space="preserve"> </w:t>
            </w:r>
          </w:p>
          <w:p w14:paraId="4D864B30"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Koncentracije zagađivača su na nivoima gde se može pretpostaviti da je mali ili zanemarljiv rizik za životnu sredinu i živi svijet. Nema značajnog rizika od štetnog uticaja na životnu sredinu ili na ljudsko zdravlje</w:t>
            </w:r>
          </w:p>
        </w:tc>
      </w:tr>
      <w:tr w:rsidR="00085672" w:rsidRPr="005A1C76" w14:paraId="6F82A393" w14:textId="77777777" w:rsidTr="00085672">
        <w:trPr>
          <w:trHeight w:val="770"/>
        </w:trPr>
        <w:tc>
          <w:tcPr>
            <w:tcW w:w="1874" w:type="dxa"/>
            <w:shd w:val="clear" w:color="auto" w:fill="FFC000"/>
            <w:vAlign w:val="center"/>
          </w:tcPr>
          <w:p w14:paraId="621C6B1F" w14:textId="77777777" w:rsidR="00085672" w:rsidRPr="005A1C76" w:rsidRDefault="00085672" w:rsidP="00085672">
            <w:pPr>
              <w:spacing w:after="0"/>
              <w:jc w:val="center"/>
              <w:rPr>
                <w:rFonts w:eastAsia="Calibri" w:cs="Calibri"/>
                <w:sz w:val="20"/>
                <w:szCs w:val="20"/>
                <w:lang w:val="en-GB"/>
              </w:rPr>
            </w:pPr>
            <w:r w:rsidRPr="005A1C76">
              <w:rPr>
                <w:rFonts w:eastAsia="Calibri" w:cs="Calibri"/>
                <w:b/>
                <w:sz w:val="20"/>
                <w:szCs w:val="20"/>
                <w:lang w:val="en-GB"/>
              </w:rPr>
              <w:t>NARANDŽASTA</w:t>
            </w:r>
          </w:p>
        </w:tc>
        <w:tc>
          <w:tcPr>
            <w:tcW w:w="7477" w:type="dxa"/>
            <w:shd w:val="clear" w:color="auto" w:fill="auto"/>
          </w:tcPr>
          <w:p w14:paraId="77466A3C" w14:textId="77777777" w:rsidR="00085672" w:rsidRPr="005A1C76" w:rsidRDefault="00085672" w:rsidP="00085672">
            <w:pPr>
              <w:spacing w:after="0" w:line="240" w:lineRule="auto"/>
              <w:rPr>
                <w:rFonts w:eastAsia="Calibri" w:cs="Calibri"/>
                <w:sz w:val="20"/>
                <w:szCs w:val="20"/>
                <w:lang w:val="en-GB"/>
              </w:rPr>
            </w:pPr>
          </w:p>
          <w:p w14:paraId="6366882A"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 xml:space="preserve">Koncentracije su ispod maksimalno dozvoljenih koncentracija datih u EU zakonskoj regulativi za  ribe i školjke i iznad „background“ koncentracija. Predstavlja maksimalno prihvatljive koncentracije supstanci u hrani pri kojim nije ugroženo javno zdravlje. </w:t>
            </w:r>
          </w:p>
        </w:tc>
      </w:tr>
      <w:tr w:rsidR="00085672" w:rsidRPr="005A1C76" w14:paraId="525FD073" w14:textId="77777777" w:rsidTr="00085672">
        <w:tc>
          <w:tcPr>
            <w:tcW w:w="1874" w:type="dxa"/>
            <w:shd w:val="clear" w:color="auto" w:fill="0070C0"/>
            <w:vAlign w:val="center"/>
          </w:tcPr>
          <w:p w14:paraId="01CA22F6" w14:textId="77777777" w:rsidR="00085672" w:rsidRPr="005A1C76" w:rsidRDefault="00085672" w:rsidP="00085672">
            <w:pPr>
              <w:spacing w:after="0"/>
              <w:jc w:val="center"/>
              <w:rPr>
                <w:rFonts w:eastAsia="Calibri" w:cs="Calibri"/>
                <w:sz w:val="20"/>
                <w:szCs w:val="20"/>
                <w:lang w:val="en-GB"/>
              </w:rPr>
            </w:pPr>
            <w:r w:rsidRPr="005A1C76">
              <w:rPr>
                <w:rFonts w:eastAsia="Calibri" w:cs="Calibri"/>
                <w:b/>
                <w:sz w:val="20"/>
                <w:szCs w:val="20"/>
                <w:lang w:val="en-GB"/>
              </w:rPr>
              <w:t>PLAVA</w:t>
            </w:r>
          </w:p>
        </w:tc>
        <w:tc>
          <w:tcPr>
            <w:tcW w:w="7477" w:type="dxa"/>
            <w:shd w:val="clear" w:color="auto" w:fill="auto"/>
          </w:tcPr>
          <w:p w14:paraId="5957DC97" w14:textId="51625823" w:rsidR="00085672" w:rsidRPr="006075FE" w:rsidRDefault="00085672" w:rsidP="006075FE">
            <w:pPr>
              <w:adjustRightInd w:val="0"/>
              <w:spacing w:after="0" w:line="240" w:lineRule="auto"/>
              <w:jc w:val="center"/>
              <w:rPr>
                <w:rFonts w:eastAsia="Calibri" w:cs="Calibri"/>
                <w:b/>
                <w:sz w:val="20"/>
                <w:szCs w:val="20"/>
                <w:lang w:val="en-GB"/>
              </w:rPr>
            </w:pPr>
            <w:r w:rsidRPr="005A1C76">
              <w:rPr>
                <w:rFonts w:eastAsia="Calibri" w:cs="Calibri"/>
                <w:b/>
                <w:sz w:val="20"/>
                <w:szCs w:val="20"/>
                <w:lang w:val="en-GB"/>
              </w:rPr>
              <w:t>Status</w:t>
            </w:r>
            <w:r w:rsidR="006075FE">
              <w:rPr>
                <w:rFonts w:eastAsia="Calibri" w:cs="Calibri"/>
                <w:b/>
                <w:sz w:val="20"/>
                <w:szCs w:val="20"/>
                <w:lang w:val="en-GB"/>
              </w:rPr>
              <w:t xml:space="preserve"> je prihvatljiv </w:t>
            </w:r>
          </w:p>
          <w:p w14:paraId="1AB671C9"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 xml:space="preserve">Koncentracije su bliske prirodnim koncentracijama za supstance koje se prirodno javljaju ili blizu nule za supstance antropogenog porijekla tj. krajnji cilj OSPAR Strategije za opasne supstance je postignut. </w:t>
            </w:r>
          </w:p>
          <w:p w14:paraId="6437F932" w14:textId="0059B746" w:rsidR="00085672" w:rsidRPr="005A1C76" w:rsidRDefault="00960C00" w:rsidP="00085672">
            <w:pPr>
              <w:adjustRightInd w:val="0"/>
              <w:spacing w:after="0" w:line="240" w:lineRule="auto"/>
              <w:rPr>
                <w:rFonts w:eastAsia="Calibri" w:cs="Calibri"/>
                <w:sz w:val="20"/>
                <w:szCs w:val="20"/>
                <w:lang w:val="en-GB"/>
              </w:rPr>
            </w:pPr>
            <w:r>
              <w:rPr>
                <w:rFonts w:eastAsia="Calibri" w:cs="Calibri"/>
                <w:sz w:val="20"/>
                <w:szCs w:val="20"/>
                <w:lang w:val="en-GB"/>
              </w:rPr>
              <w:t>GES za s</w:t>
            </w:r>
            <w:r w:rsidR="00085672" w:rsidRPr="005A1C76">
              <w:rPr>
                <w:rFonts w:eastAsia="Calibri" w:cs="Calibri"/>
                <w:sz w:val="20"/>
                <w:szCs w:val="20"/>
                <w:lang w:val="en-GB"/>
              </w:rPr>
              <w:t xml:space="preserve">upstance </w:t>
            </w:r>
            <w:r>
              <w:rPr>
                <w:rFonts w:eastAsia="Calibri" w:cs="Calibri"/>
                <w:sz w:val="20"/>
                <w:szCs w:val="20"/>
                <w:lang w:val="en-GB"/>
              </w:rPr>
              <w:t>je</w:t>
            </w:r>
            <w:r w:rsidR="00085672" w:rsidRPr="005A1C76">
              <w:rPr>
                <w:rFonts w:eastAsia="Calibri" w:cs="Calibri"/>
                <w:sz w:val="20"/>
                <w:szCs w:val="20"/>
                <w:lang w:val="en-GB"/>
              </w:rPr>
              <w:t xml:space="preserve"> postignut.</w:t>
            </w:r>
          </w:p>
        </w:tc>
      </w:tr>
    </w:tbl>
    <w:p w14:paraId="5D1E03F4" w14:textId="77777777" w:rsidR="00085672" w:rsidRDefault="00085672" w:rsidP="002D2362">
      <w:pPr>
        <w:keepNext/>
        <w:spacing w:before="0" w:line="240" w:lineRule="auto"/>
        <w:jc w:val="left"/>
        <w:rPr>
          <w:rFonts w:eastAsia="Calibri"/>
          <w:b/>
          <w:iCs/>
          <w:lang w:val="en-GB"/>
        </w:rPr>
      </w:pPr>
    </w:p>
    <w:p w14:paraId="74ED091B" w14:textId="4F105968" w:rsidR="00085672" w:rsidRDefault="00085672" w:rsidP="00085672">
      <w:pPr>
        <w:spacing w:after="0" w:line="240" w:lineRule="auto"/>
        <w:rPr>
          <w:rFonts w:eastAsia="Calibri" w:cs="Calibri"/>
          <w:bCs/>
          <w:lang w:val="en-GB"/>
        </w:rPr>
      </w:pPr>
      <w:bookmarkStart w:id="193" w:name="_Toc68078517"/>
      <w:bookmarkStart w:id="194" w:name="_Toc68180782"/>
      <w:r w:rsidRPr="005A1C76">
        <w:rPr>
          <w:rFonts w:eastAsia="Calibri" w:cs="Calibri"/>
          <w:b/>
          <w:bCs/>
          <w:lang w:val="en-GB"/>
        </w:rPr>
        <w:t>Morska voda:</w:t>
      </w:r>
      <w:r w:rsidRPr="005A1C76">
        <w:rPr>
          <w:rFonts w:eastAsia="Calibri" w:cs="Calibri"/>
          <w:bCs/>
          <w:lang w:val="en-GB"/>
        </w:rPr>
        <w:t xml:space="preserve"> Procjena postignutog nivoa dobrog stanja životne sredine za morsku vodu izvršena je koristeći kriterijume date u Dijelu A, </w:t>
      </w:r>
      <w:r w:rsidRPr="005A1C76">
        <w:rPr>
          <w:rFonts w:eastAsia="Calibri" w:cs="Calibri"/>
          <w:lang w:val="en-GB"/>
        </w:rPr>
        <w:t>Annex II, Directive 2013/39/EU (amending Directive 2000/60/EC and 2008/105/EC</w:t>
      </w:r>
      <w:r w:rsidRPr="005A1C76">
        <w:rPr>
          <w:rFonts w:eastAsia="Calibri" w:cs="Calibri"/>
          <w:bCs/>
          <w:lang w:val="en-GB"/>
        </w:rPr>
        <w:t xml:space="preserve"> with regard to priority substances in the field of water policy).</w:t>
      </w:r>
    </w:p>
    <w:p w14:paraId="4142D448" w14:textId="77777777" w:rsidR="00965760" w:rsidRPr="005A1C76" w:rsidRDefault="00965760" w:rsidP="00085672">
      <w:pPr>
        <w:spacing w:after="0" w:line="240" w:lineRule="auto"/>
        <w:rPr>
          <w:rFonts w:eastAsia="Calibri" w:cs="Calibri"/>
          <w:bCs/>
          <w:lang w:val="en-GB"/>
        </w:rPr>
      </w:pPr>
    </w:p>
    <w:p w14:paraId="7AA2AA76" w14:textId="226D04F7" w:rsidR="00085672" w:rsidRPr="00085672" w:rsidRDefault="00085672" w:rsidP="00085672">
      <w:pPr>
        <w:pStyle w:val="Heading3"/>
        <w:ind w:left="1560" w:hanging="709"/>
        <w:rPr>
          <w:rFonts w:eastAsia="Calibri"/>
          <w:w w:val="105"/>
          <w:lang w:val="en-GB" w:eastAsia="en-US"/>
        </w:rPr>
      </w:pPr>
      <w:bookmarkStart w:id="195" w:name="_Toc83630937"/>
      <w:bookmarkStart w:id="196" w:name="_Toc69678387"/>
      <w:bookmarkEnd w:id="193"/>
      <w:bookmarkEnd w:id="194"/>
      <w:r w:rsidRPr="00085672">
        <w:rPr>
          <w:rFonts w:eastAsia="Calibri"/>
          <w:color w:val="365F91"/>
          <w:w w:val="105"/>
          <w:lang w:val="en-GB"/>
        </w:rPr>
        <w:t xml:space="preserve">Rezime </w:t>
      </w:r>
      <w:r w:rsidR="00965760">
        <w:rPr>
          <w:rFonts w:eastAsia="Calibri"/>
          <w:color w:val="365F91"/>
          <w:w w:val="105"/>
          <w:lang w:val="en-GB"/>
        </w:rPr>
        <w:t>s</w:t>
      </w:r>
      <w:r w:rsidRPr="00085672">
        <w:rPr>
          <w:rFonts w:eastAsia="Calibri"/>
          <w:color w:val="365F91"/>
          <w:w w:val="105"/>
          <w:lang w:val="en-GB"/>
        </w:rPr>
        <w:t xml:space="preserve">tanja </w:t>
      </w:r>
      <w:r w:rsidR="00605469">
        <w:rPr>
          <w:rFonts w:eastAsia="Calibri"/>
          <w:color w:val="365F91"/>
          <w:w w:val="105"/>
          <w:lang w:val="en-GB"/>
        </w:rPr>
        <w:t>D8 na osnovu P</w:t>
      </w:r>
      <w:r w:rsidRPr="00085672">
        <w:rPr>
          <w:rFonts w:eastAsia="Calibri"/>
          <w:color w:val="365F91"/>
          <w:w w:val="105"/>
          <w:lang w:val="en-GB"/>
        </w:rPr>
        <w:t>očetne procjene</w:t>
      </w:r>
      <w:bookmarkEnd w:id="195"/>
      <w:r w:rsidRPr="00085672">
        <w:rPr>
          <w:rFonts w:eastAsia="Calibri"/>
          <w:color w:val="365F91"/>
          <w:w w:val="105"/>
          <w:lang w:val="en-GB"/>
        </w:rPr>
        <w:t xml:space="preserve"> </w:t>
      </w:r>
      <w:bookmarkEnd w:id="196"/>
    </w:p>
    <w:p w14:paraId="5B939B3D" w14:textId="66FD8DB9" w:rsidR="00F21B22" w:rsidRDefault="00085672" w:rsidP="00085672">
      <w:pPr>
        <w:widowControl w:val="0"/>
        <w:tabs>
          <w:tab w:val="left" w:pos="449"/>
        </w:tabs>
        <w:autoSpaceDE w:val="0"/>
        <w:autoSpaceDN w:val="0"/>
        <w:rPr>
          <w:rFonts w:eastAsia="Calibri" w:cs="Calibri"/>
          <w:w w:val="105"/>
          <w:lang w:val="en-GB"/>
        </w:rPr>
      </w:pPr>
      <w:r w:rsidRPr="005A1C76">
        <w:rPr>
          <w:rFonts w:eastAsia="Calibri" w:cs="Calibri"/>
          <w:w w:val="105"/>
          <w:lang w:val="en-GB"/>
        </w:rPr>
        <w:t>Podaci o kontaminatima obra</w:t>
      </w:r>
      <w:r w:rsidRPr="005A1C76">
        <w:rPr>
          <w:rFonts w:eastAsia="Calibri" w:cs="Calibri"/>
          <w:w w:val="105"/>
          <w:lang w:val="sr-Latn-ME"/>
        </w:rPr>
        <w:t>đeni</w:t>
      </w:r>
      <w:r w:rsidRPr="005A1C76">
        <w:rPr>
          <w:rFonts w:eastAsia="Calibri" w:cs="Calibri"/>
          <w:w w:val="105"/>
          <w:lang w:val="en-GB"/>
        </w:rPr>
        <w:t xml:space="preserve"> u ovom tekstu detaljno su opisani u </w:t>
      </w:r>
      <w:r w:rsidR="00960C00">
        <w:rPr>
          <w:rFonts w:eastAsia="Calibri" w:cs="Calibri"/>
          <w:w w:val="105"/>
          <w:lang w:val="en-GB"/>
        </w:rPr>
        <w:t>Početnoj</w:t>
      </w:r>
      <w:r w:rsidRPr="005A1C76">
        <w:rPr>
          <w:rFonts w:eastAsia="Calibri" w:cs="Calibri"/>
          <w:w w:val="105"/>
          <w:lang w:val="en-GB"/>
        </w:rPr>
        <w:t xml:space="preserve"> procjeni stanja morskog ekositema Crne Gore (2020). U ovom tekstu su prikazani samo podaci obrađeni u odnosu na kriterijume predstavljene u tabeli 2.28.</w:t>
      </w:r>
    </w:p>
    <w:p w14:paraId="2832F21D" w14:textId="77777777" w:rsidR="00960C00" w:rsidRPr="00085672" w:rsidRDefault="00960C00" w:rsidP="00085672">
      <w:pPr>
        <w:widowControl w:val="0"/>
        <w:tabs>
          <w:tab w:val="left" w:pos="449"/>
        </w:tabs>
        <w:autoSpaceDE w:val="0"/>
        <w:autoSpaceDN w:val="0"/>
        <w:rPr>
          <w:rFonts w:eastAsia="Calibri" w:cs="Calibri"/>
          <w:w w:val="105"/>
          <w:lang w:val="en-GB"/>
        </w:rPr>
      </w:pPr>
    </w:p>
    <w:p w14:paraId="0F3B82EC" w14:textId="6D16F104" w:rsidR="00085672" w:rsidRPr="00085672" w:rsidRDefault="00085672" w:rsidP="00085672">
      <w:pPr>
        <w:pStyle w:val="Heading4"/>
        <w:spacing w:before="0" w:after="160"/>
        <w:rPr>
          <w:rFonts w:eastAsia="Calibri"/>
          <w:w w:val="105"/>
          <w:szCs w:val="22"/>
          <w:lang w:val="en-GB" w:eastAsia="en-US"/>
        </w:rPr>
      </w:pPr>
      <w:r w:rsidRPr="00085672">
        <w:rPr>
          <w:rFonts w:eastAsia="Calibri"/>
          <w:w w:val="105"/>
          <w:lang w:val="en-GB"/>
        </w:rPr>
        <w:t>Teški metali i organski kontaminanti u sedimentu i bioti</w:t>
      </w:r>
    </w:p>
    <w:p w14:paraId="1F4D06C7" w14:textId="77777777" w:rsidR="00085672" w:rsidRPr="005A1C76" w:rsidRDefault="00085672" w:rsidP="00085672">
      <w:pPr>
        <w:widowControl w:val="0"/>
        <w:tabs>
          <w:tab w:val="left" w:pos="449"/>
        </w:tabs>
        <w:autoSpaceDE w:val="0"/>
        <w:autoSpaceDN w:val="0"/>
        <w:rPr>
          <w:rFonts w:eastAsia="Calibri" w:cs="Calibri"/>
          <w:w w:val="105"/>
          <w:lang w:val="en-GB"/>
        </w:rPr>
      </w:pPr>
      <w:r w:rsidRPr="005A1C76">
        <w:rPr>
          <w:rFonts w:eastAsia="Calibri" w:cs="Calibri"/>
          <w:w w:val="105"/>
          <w:lang w:val="en-GB"/>
        </w:rPr>
        <w:t>Prateći preporučeni pristup za procjenu teških metala i organskih zagađivača, prosječne koncentracije zagađivača dobijene tokom perioda istraživanja upoređene su sa vrijednostima BAC, ERL, EAC i EC.</w:t>
      </w:r>
    </w:p>
    <w:p w14:paraId="6909C680" w14:textId="77777777" w:rsidR="00085672" w:rsidRPr="005A1C76" w:rsidRDefault="00085672" w:rsidP="00085672">
      <w:pPr>
        <w:widowControl w:val="0"/>
        <w:tabs>
          <w:tab w:val="left" w:pos="449"/>
        </w:tabs>
        <w:autoSpaceDE w:val="0"/>
        <w:autoSpaceDN w:val="0"/>
        <w:rPr>
          <w:rFonts w:eastAsia="Calibri"/>
          <w:color w:val="FF0000"/>
          <w:lang w:val="en-GB"/>
        </w:rPr>
      </w:pPr>
      <w:r w:rsidRPr="005A1C76">
        <w:rPr>
          <w:rFonts w:eastAsia="Calibri" w:cs="Calibri"/>
          <w:lang w:val="en-GB"/>
        </w:rPr>
        <w:t>Procjena GES-a za teške metale i organske kontaminate u sedimentu i bioti napravljene su upoređivanjem relevantnih kriterijuma za procjenu sa prosječnim vrijednostima metala i organskih zagađivača ispitivanih u periodu 2009-2011 i 2014-2019, za lokacije uzorkovanja iz trenutnog državnog monitoring programa kao i sa metalima (Cd, Hg i Pb) i organskim zagađivačima tokom istraživanja izvršenih 2019. godine u priobalnom području i otvorenim morskim vodama</w:t>
      </w:r>
      <w:r w:rsidRPr="005A1C76">
        <w:rPr>
          <w:rFonts w:eastAsia="Calibri"/>
          <w:vertAlign w:val="superscript"/>
          <w:lang w:val="en-GB"/>
        </w:rPr>
        <w:footnoteReference w:id="36"/>
      </w:r>
      <w:r w:rsidRPr="005A1C76">
        <w:rPr>
          <w:rFonts w:eastAsia="Calibri" w:cs="Calibri"/>
          <w:lang w:val="en-GB"/>
        </w:rPr>
        <w:t xml:space="preserve"> koje su van antropogenog uticaja. </w:t>
      </w:r>
      <w:r w:rsidRPr="005A1C76">
        <w:rPr>
          <w:rFonts w:eastAsia="Calibri"/>
          <w:lang w:val="en-GB"/>
        </w:rPr>
        <w:t xml:space="preserve"> </w:t>
      </w:r>
    </w:p>
    <w:p w14:paraId="3710FDE8" w14:textId="77777777" w:rsidR="00085672" w:rsidRPr="005A1C76" w:rsidRDefault="00085672" w:rsidP="00085672">
      <w:pPr>
        <w:widowControl w:val="0"/>
        <w:tabs>
          <w:tab w:val="left" w:pos="449"/>
        </w:tabs>
        <w:autoSpaceDE w:val="0"/>
        <w:autoSpaceDN w:val="0"/>
        <w:rPr>
          <w:rFonts w:eastAsia="Calibri"/>
          <w:lang w:val="en-GB"/>
        </w:rPr>
      </w:pPr>
      <w:r w:rsidRPr="005A1C76">
        <w:rPr>
          <w:rFonts w:eastAsia="Calibri"/>
          <w:lang w:val="en-GB"/>
        </w:rPr>
        <w:t>Područje istraživanja koje se koristi za procjenu GES-a za teške metale i organske kontaminate u sedimentu i bioti, obuhvata morsko područje od ušća rijeke Bojane na jugu do Bokokotorskog zaliva (Slika 2.23).</w:t>
      </w:r>
    </w:p>
    <w:p w14:paraId="572CDF97" w14:textId="77777777" w:rsidR="006075FE" w:rsidRDefault="006075FE" w:rsidP="004C3A51">
      <w:pPr>
        <w:spacing w:before="0" w:after="0" w:line="240" w:lineRule="auto"/>
        <w:jc w:val="center"/>
        <w:rPr>
          <w:rFonts w:eastAsia="Calibri" w:cs="Calibri"/>
          <w:b/>
          <w:szCs w:val="22"/>
          <w:lang w:val="en-GB" w:eastAsia="en-US"/>
        </w:rPr>
      </w:pPr>
    </w:p>
    <w:p w14:paraId="6F8A85C9" w14:textId="77777777" w:rsidR="006075FE" w:rsidRDefault="006075FE" w:rsidP="004C3A51">
      <w:pPr>
        <w:spacing w:before="0" w:after="0" w:line="240" w:lineRule="auto"/>
        <w:jc w:val="center"/>
        <w:rPr>
          <w:rFonts w:eastAsia="Calibri" w:cs="Calibri"/>
          <w:b/>
          <w:szCs w:val="22"/>
          <w:lang w:val="en-GB" w:eastAsia="en-US"/>
        </w:rPr>
      </w:pPr>
    </w:p>
    <w:p w14:paraId="303B595F" w14:textId="77777777" w:rsidR="006075FE" w:rsidRDefault="006075FE" w:rsidP="004C3A51">
      <w:pPr>
        <w:spacing w:before="0" w:after="0" w:line="240" w:lineRule="auto"/>
        <w:jc w:val="center"/>
        <w:rPr>
          <w:rFonts w:eastAsia="Calibri" w:cs="Calibri"/>
          <w:b/>
          <w:szCs w:val="22"/>
          <w:lang w:val="en-GB" w:eastAsia="en-US"/>
        </w:rPr>
      </w:pPr>
    </w:p>
    <w:p w14:paraId="6FE053F8" w14:textId="77777777" w:rsidR="006075FE" w:rsidRDefault="006075FE" w:rsidP="004C3A51">
      <w:pPr>
        <w:spacing w:before="0" w:after="0" w:line="240" w:lineRule="auto"/>
        <w:jc w:val="center"/>
        <w:rPr>
          <w:rFonts w:eastAsia="Calibri" w:cs="Calibri"/>
          <w:b/>
          <w:szCs w:val="22"/>
          <w:lang w:val="en-GB" w:eastAsia="en-US"/>
        </w:rPr>
      </w:pPr>
    </w:p>
    <w:p w14:paraId="0C0255B8" w14:textId="77777777" w:rsidR="006075FE" w:rsidRDefault="006075FE" w:rsidP="004C3A51">
      <w:pPr>
        <w:spacing w:before="0" w:after="0" w:line="240" w:lineRule="auto"/>
        <w:jc w:val="center"/>
        <w:rPr>
          <w:rFonts w:eastAsia="Calibri" w:cs="Calibri"/>
          <w:b/>
          <w:szCs w:val="22"/>
          <w:lang w:val="en-GB" w:eastAsia="en-US"/>
        </w:rPr>
      </w:pPr>
    </w:p>
    <w:p w14:paraId="509F3ACD" w14:textId="77777777" w:rsidR="006075FE" w:rsidRDefault="006075FE" w:rsidP="004C3A51">
      <w:pPr>
        <w:spacing w:before="0" w:after="0" w:line="240" w:lineRule="auto"/>
        <w:jc w:val="center"/>
        <w:rPr>
          <w:rFonts w:eastAsia="Calibri" w:cs="Calibri"/>
          <w:b/>
          <w:szCs w:val="22"/>
          <w:lang w:val="en-GB" w:eastAsia="en-US"/>
        </w:rPr>
      </w:pPr>
    </w:p>
    <w:p w14:paraId="079FA4D7" w14:textId="79A2A1A0" w:rsidR="006075FE" w:rsidRDefault="006075FE" w:rsidP="004C3A51">
      <w:pPr>
        <w:spacing w:before="0" w:after="0" w:line="240" w:lineRule="auto"/>
        <w:jc w:val="center"/>
        <w:rPr>
          <w:rFonts w:eastAsia="Calibri" w:cs="Calibri"/>
          <w:b/>
          <w:szCs w:val="22"/>
          <w:lang w:val="en-GB" w:eastAsia="en-US"/>
        </w:rPr>
      </w:pPr>
    </w:p>
    <w:p w14:paraId="6F1F5FA6" w14:textId="3D5679EE" w:rsidR="00965760" w:rsidRDefault="00965760" w:rsidP="004C3A51">
      <w:pPr>
        <w:spacing w:before="0" w:after="0" w:line="240" w:lineRule="auto"/>
        <w:jc w:val="center"/>
        <w:rPr>
          <w:rFonts w:eastAsia="Calibri" w:cs="Calibri"/>
          <w:b/>
          <w:szCs w:val="22"/>
          <w:lang w:val="en-GB" w:eastAsia="en-US"/>
        </w:rPr>
      </w:pPr>
    </w:p>
    <w:p w14:paraId="09F8AE60" w14:textId="77777777" w:rsidR="00B0259A" w:rsidRDefault="00B0259A" w:rsidP="004C3A51">
      <w:pPr>
        <w:spacing w:before="0" w:after="0" w:line="240" w:lineRule="auto"/>
        <w:jc w:val="center"/>
        <w:rPr>
          <w:rFonts w:eastAsia="Calibri" w:cs="Calibri"/>
          <w:b/>
          <w:szCs w:val="22"/>
          <w:lang w:val="en-GB" w:eastAsia="en-US"/>
        </w:rPr>
      </w:pPr>
    </w:p>
    <w:p w14:paraId="7767D68D" w14:textId="1388EF31" w:rsidR="00CC5D8B" w:rsidRPr="001C6CCA" w:rsidRDefault="00917989" w:rsidP="00CC5D8B">
      <w:pPr>
        <w:spacing w:before="0" w:after="0" w:line="240" w:lineRule="auto"/>
        <w:jc w:val="center"/>
        <w:rPr>
          <w:rFonts w:eastAsia="Calibri" w:cs="Calibri"/>
          <w:sz w:val="20"/>
          <w:szCs w:val="20"/>
          <w:lang w:val="en-GB" w:eastAsia="en-US"/>
        </w:rPr>
      </w:pPr>
      <w:r w:rsidRPr="001C6CCA">
        <w:rPr>
          <w:noProof/>
          <w:lang w:eastAsia="en-US"/>
        </w:rPr>
        <w:drawing>
          <wp:inline distT="0" distB="0" distL="0" distR="0" wp14:anchorId="658770EC" wp14:editId="195F2120">
            <wp:extent cx="5542817" cy="3765088"/>
            <wp:effectExtent l="0" t="0" r="1270" b="698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567425" cy="3781804"/>
                    </a:xfrm>
                    <a:prstGeom prst="rect">
                      <a:avLst/>
                    </a:prstGeom>
                    <a:noFill/>
                    <a:ln>
                      <a:noFill/>
                    </a:ln>
                  </pic:spPr>
                </pic:pic>
              </a:graphicData>
            </a:graphic>
          </wp:inline>
        </w:drawing>
      </w:r>
    </w:p>
    <w:p w14:paraId="52438CA5" w14:textId="77777777" w:rsidR="000413B6" w:rsidRDefault="000413B6" w:rsidP="000413B6">
      <w:pPr>
        <w:spacing w:before="0" w:after="0" w:line="240" w:lineRule="auto"/>
        <w:jc w:val="center"/>
        <w:rPr>
          <w:rFonts w:eastAsia="Calibri" w:cs="Calibri"/>
          <w:b/>
          <w:szCs w:val="22"/>
          <w:lang w:val="en-GB" w:eastAsia="en-US"/>
        </w:rPr>
      </w:pPr>
      <w:bookmarkStart w:id="197" w:name="_Toc83636914"/>
      <w:r>
        <w:rPr>
          <w:rFonts w:eastAsia="Calibri" w:cs="Calibri"/>
          <w:b/>
          <w:szCs w:val="22"/>
          <w:lang w:val="en-GB" w:eastAsia="en-US"/>
        </w:rPr>
        <w:t>Slika</w:t>
      </w:r>
      <w:r w:rsidRPr="001C6CCA">
        <w:rPr>
          <w:rFonts w:eastAsia="Calibri" w:cs="Calibri"/>
          <w:b/>
          <w:szCs w:val="22"/>
          <w:lang w:val="en-GB" w:eastAsia="en-US"/>
        </w:rPr>
        <w:t xml:space="preserve"> </w:t>
      </w:r>
      <w:r w:rsidRPr="0005763C">
        <w:rPr>
          <w:rFonts w:cs="Calibri"/>
          <w:b/>
          <w:iCs/>
          <w:szCs w:val="22"/>
          <w:lang w:val="en-GB" w:eastAsia="en-US"/>
        </w:rPr>
        <w:fldChar w:fldCharType="begin"/>
      </w:r>
      <w:r w:rsidRPr="0005763C">
        <w:rPr>
          <w:rFonts w:cs="Calibri"/>
          <w:b/>
          <w:iCs/>
          <w:szCs w:val="22"/>
          <w:lang w:val="en-GB" w:eastAsia="en-US"/>
        </w:rPr>
        <w:instrText xml:space="preserve"> STYLEREF 1 \s </w:instrText>
      </w:r>
      <w:r w:rsidRPr="0005763C">
        <w:rPr>
          <w:rFonts w:cs="Calibri"/>
          <w:b/>
          <w:iCs/>
          <w:szCs w:val="22"/>
          <w:lang w:val="en-GB" w:eastAsia="en-US"/>
        </w:rPr>
        <w:fldChar w:fldCharType="separate"/>
      </w:r>
      <w:r w:rsidR="000D1E20">
        <w:rPr>
          <w:rFonts w:cs="Calibri"/>
          <w:b/>
          <w:iCs/>
          <w:noProof/>
          <w:szCs w:val="22"/>
          <w:lang w:val="en-GB" w:eastAsia="en-US"/>
        </w:rPr>
        <w:t>2</w:t>
      </w:r>
      <w:r w:rsidRPr="0005763C">
        <w:rPr>
          <w:rFonts w:cs="Calibri"/>
          <w:b/>
          <w:iCs/>
          <w:szCs w:val="22"/>
          <w:lang w:val="en-GB" w:eastAsia="en-US"/>
        </w:rPr>
        <w:fldChar w:fldCharType="end"/>
      </w:r>
      <w:r w:rsidRPr="0005763C">
        <w:rPr>
          <w:rFonts w:cs="Calibri"/>
          <w:b/>
          <w:iCs/>
          <w:szCs w:val="22"/>
          <w:lang w:val="en-GB" w:eastAsia="en-US"/>
        </w:rPr>
        <w:t>.</w:t>
      </w:r>
      <w:r w:rsidRPr="0005763C">
        <w:rPr>
          <w:rFonts w:cs="Calibri"/>
          <w:b/>
          <w:iCs/>
          <w:szCs w:val="22"/>
          <w:lang w:val="en-GB" w:eastAsia="en-US"/>
        </w:rPr>
        <w:fldChar w:fldCharType="begin"/>
      </w:r>
      <w:r w:rsidRPr="0005763C">
        <w:rPr>
          <w:rFonts w:cs="Calibri"/>
          <w:b/>
          <w:iCs/>
          <w:szCs w:val="22"/>
          <w:lang w:val="en-GB" w:eastAsia="en-US"/>
        </w:rPr>
        <w:instrText xml:space="preserve"> SEQ Figure \* ARABIC \s 1 </w:instrText>
      </w:r>
      <w:r w:rsidRPr="0005763C">
        <w:rPr>
          <w:rFonts w:cs="Calibri"/>
          <w:b/>
          <w:iCs/>
          <w:szCs w:val="22"/>
          <w:lang w:val="en-GB" w:eastAsia="en-US"/>
        </w:rPr>
        <w:fldChar w:fldCharType="separate"/>
      </w:r>
      <w:r w:rsidR="000D1E20">
        <w:rPr>
          <w:rFonts w:cs="Calibri"/>
          <w:b/>
          <w:iCs/>
          <w:noProof/>
          <w:szCs w:val="22"/>
          <w:lang w:val="en-GB" w:eastAsia="en-US"/>
        </w:rPr>
        <w:t>19</w:t>
      </w:r>
      <w:r w:rsidRPr="0005763C">
        <w:rPr>
          <w:rFonts w:cs="Calibri"/>
          <w:b/>
          <w:iCs/>
          <w:szCs w:val="22"/>
          <w:lang w:val="en-GB" w:eastAsia="en-US"/>
        </w:rPr>
        <w:fldChar w:fldCharType="end"/>
      </w:r>
      <w:r w:rsidRPr="0005763C">
        <w:rPr>
          <w:szCs w:val="22"/>
        </w:rPr>
        <w:t>.</w:t>
      </w:r>
      <w:r>
        <w:rPr>
          <w:rFonts w:cs="Calibri"/>
          <w:szCs w:val="22"/>
          <w:lang w:val="en-GB" w:eastAsia="en-US"/>
        </w:rPr>
        <w:t xml:space="preserve"> </w:t>
      </w:r>
      <w:r w:rsidRPr="005A1C76">
        <w:rPr>
          <w:rFonts w:eastAsia="Calibri" w:cs="Calibri"/>
          <w:b/>
          <w:lang w:val="en-GB"/>
        </w:rPr>
        <w:t>Mapa lokacija uzorkovanja sedimenta za ispitivanje kontaminanata</w:t>
      </w:r>
      <w:bookmarkEnd w:id="197"/>
    </w:p>
    <w:p w14:paraId="4F98C003" w14:textId="77777777" w:rsidR="00965760" w:rsidRDefault="00965760" w:rsidP="00613052">
      <w:pPr>
        <w:spacing w:before="120" w:after="0"/>
        <w:jc w:val="center"/>
        <w:rPr>
          <w:b/>
          <w:szCs w:val="22"/>
          <w:lang w:val="en-GB"/>
        </w:rPr>
      </w:pPr>
    </w:p>
    <w:p w14:paraId="6F5D3CB7" w14:textId="77777777" w:rsidR="00965760" w:rsidRDefault="00965760" w:rsidP="00613052">
      <w:pPr>
        <w:spacing w:before="120" w:after="0"/>
        <w:jc w:val="center"/>
        <w:rPr>
          <w:b/>
          <w:szCs w:val="22"/>
          <w:lang w:val="en-GB"/>
        </w:rPr>
      </w:pPr>
    </w:p>
    <w:p w14:paraId="40D86534" w14:textId="6DA54B7D" w:rsidR="007D5736" w:rsidRPr="001C6CCA" w:rsidRDefault="007D5736" w:rsidP="00F65CFF">
      <w:pPr>
        <w:spacing w:before="0" w:after="0" w:line="240" w:lineRule="auto"/>
        <w:jc w:val="center"/>
        <w:rPr>
          <w:rFonts w:eastAsia="Calibri" w:cs="Calibri"/>
          <w:b/>
          <w:szCs w:val="22"/>
          <w:lang w:val="en-GB" w:eastAsia="en-US"/>
        </w:rPr>
      </w:pPr>
    </w:p>
    <w:p w14:paraId="7257686C" w14:textId="2ADACBF6" w:rsidR="00357A75" w:rsidRPr="001C6CCA" w:rsidRDefault="00613052" w:rsidP="00F65CFF">
      <w:pPr>
        <w:spacing w:before="0" w:after="0" w:line="240" w:lineRule="auto"/>
        <w:jc w:val="center"/>
        <w:rPr>
          <w:rFonts w:eastAsia="Calibri" w:cs="Calibri"/>
          <w:b/>
          <w:szCs w:val="22"/>
          <w:lang w:val="en-GB" w:eastAsia="en-US"/>
        </w:rPr>
      </w:pPr>
      <w:r w:rsidRPr="001C6CCA">
        <w:rPr>
          <w:noProof/>
          <w:lang w:eastAsia="en-US"/>
        </w:rPr>
        <w:drawing>
          <wp:inline distT="0" distB="0" distL="0" distR="0" wp14:anchorId="62A2E1C3" wp14:editId="39BBE349">
            <wp:extent cx="5585225" cy="3230294"/>
            <wp:effectExtent l="19050" t="19050" r="15875" b="2730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7">
                      <a:extLst>
                        <a:ext uri="{28A0092B-C50C-407E-A947-70E740481C1C}">
                          <a14:useLocalDpi xmlns:a14="http://schemas.microsoft.com/office/drawing/2010/main" val="0"/>
                        </a:ext>
                      </a:extLst>
                    </a:blip>
                    <a:srcRect t="19231"/>
                    <a:stretch/>
                  </pic:blipFill>
                  <pic:spPr bwMode="auto">
                    <a:xfrm>
                      <a:off x="0" y="0"/>
                      <a:ext cx="5599923" cy="3238795"/>
                    </a:xfrm>
                    <a:prstGeom prst="rect">
                      <a:avLst/>
                    </a:prstGeom>
                    <a:solidFill>
                      <a:sysClr val="windowText" lastClr="000000"/>
                    </a:solidFill>
                    <a:ln>
                      <a:solidFill>
                        <a:schemeClr val="tx1"/>
                      </a:solidFill>
                    </a:ln>
                    <a:extLst>
                      <a:ext uri="{53640926-AAD7-44D8-BBD7-CCE9431645EC}">
                        <a14:shadowObscured xmlns:a14="http://schemas.microsoft.com/office/drawing/2010/main"/>
                      </a:ext>
                    </a:extLst>
                  </pic:spPr>
                </pic:pic>
              </a:graphicData>
            </a:graphic>
          </wp:inline>
        </w:drawing>
      </w:r>
    </w:p>
    <w:p w14:paraId="740848D6" w14:textId="77777777" w:rsidR="000413B6" w:rsidRPr="001C6CCA" w:rsidRDefault="000413B6" w:rsidP="000413B6">
      <w:pPr>
        <w:spacing w:before="120" w:after="0"/>
        <w:jc w:val="center"/>
        <w:rPr>
          <w:rFonts w:eastAsia="Calibri" w:cs="Calibri"/>
          <w:szCs w:val="22"/>
          <w:lang w:val="en-GB" w:eastAsia="en-US"/>
        </w:rPr>
      </w:pPr>
      <w:bookmarkStart w:id="198" w:name="_Toc83636915"/>
      <w:r>
        <w:rPr>
          <w:b/>
          <w:szCs w:val="22"/>
          <w:lang w:val="en-GB"/>
        </w:rPr>
        <w:t>Slika</w:t>
      </w:r>
      <w:r w:rsidRPr="001C6CCA">
        <w:rPr>
          <w:b/>
          <w:szCs w:val="22"/>
          <w:lang w:val="en-GB"/>
        </w:rPr>
        <w:t xml:space="preserve"> </w:t>
      </w:r>
      <w:r>
        <w:rPr>
          <w:rFonts w:eastAsia="Calibri" w:cs="Calibri"/>
          <w:b/>
          <w:iCs/>
          <w:szCs w:val="22"/>
          <w:lang w:val="en-GB" w:eastAsia="en-US"/>
        </w:rPr>
        <w:fldChar w:fldCharType="begin"/>
      </w:r>
      <w:r>
        <w:rPr>
          <w:rFonts w:eastAsia="Calibri" w:cs="Calibri"/>
          <w:b/>
          <w:iCs/>
          <w:szCs w:val="22"/>
          <w:lang w:val="en-GB" w:eastAsia="en-US"/>
        </w:rPr>
        <w:instrText xml:space="preserve"> STYLEREF 1 \s </w:instrText>
      </w:r>
      <w:r>
        <w:rPr>
          <w:rFonts w:eastAsia="Calibri" w:cs="Calibri"/>
          <w:b/>
          <w:iCs/>
          <w:szCs w:val="22"/>
          <w:lang w:val="en-GB" w:eastAsia="en-US"/>
        </w:rPr>
        <w:fldChar w:fldCharType="separate"/>
      </w:r>
      <w:r w:rsidR="000D1E20">
        <w:rPr>
          <w:rFonts w:eastAsia="Calibri" w:cs="Calibri"/>
          <w:b/>
          <w:iCs/>
          <w:noProof/>
          <w:szCs w:val="22"/>
          <w:lang w:val="en-GB" w:eastAsia="en-US"/>
        </w:rPr>
        <w:t>2</w:t>
      </w:r>
      <w:r>
        <w:rPr>
          <w:rFonts w:eastAsia="Calibri" w:cs="Calibri"/>
          <w:b/>
          <w:iCs/>
          <w:szCs w:val="22"/>
          <w:lang w:val="en-GB" w:eastAsia="en-US"/>
        </w:rPr>
        <w:fldChar w:fldCharType="end"/>
      </w:r>
      <w:r>
        <w:rPr>
          <w:rFonts w:eastAsia="Calibri" w:cs="Calibri"/>
          <w:b/>
          <w:iCs/>
          <w:szCs w:val="22"/>
          <w:lang w:val="en-GB" w:eastAsia="en-US"/>
        </w:rPr>
        <w:t>.</w:t>
      </w:r>
      <w:r>
        <w:rPr>
          <w:rFonts w:eastAsia="Calibri" w:cs="Calibri"/>
          <w:b/>
          <w:iCs/>
          <w:szCs w:val="22"/>
          <w:lang w:val="en-GB" w:eastAsia="en-US"/>
        </w:rPr>
        <w:fldChar w:fldCharType="begin"/>
      </w:r>
      <w:r>
        <w:rPr>
          <w:rFonts w:eastAsia="Calibri" w:cs="Calibri"/>
          <w:b/>
          <w:iCs/>
          <w:szCs w:val="22"/>
          <w:lang w:val="en-GB" w:eastAsia="en-US"/>
        </w:rPr>
        <w:instrText xml:space="preserve"> SEQ Figure \* ARABIC \s 1 </w:instrText>
      </w:r>
      <w:r>
        <w:rPr>
          <w:rFonts w:eastAsia="Calibri" w:cs="Calibri"/>
          <w:b/>
          <w:iCs/>
          <w:szCs w:val="22"/>
          <w:lang w:val="en-GB" w:eastAsia="en-US"/>
        </w:rPr>
        <w:fldChar w:fldCharType="separate"/>
      </w:r>
      <w:r w:rsidR="000D1E20">
        <w:rPr>
          <w:rFonts w:eastAsia="Calibri" w:cs="Calibri"/>
          <w:b/>
          <w:iCs/>
          <w:noProof/>
          <w:szCs w:val="22"/>
          <w:lang w:val="en-GB" w:eastAsia="en-US"/>
        </w:rPr>
        <w:t>20</w:t>
      </w:r>
      <w:r>
        <w:rPr>
          <w:rFonts w:eastAsia="Calibri" w:cs="Calibri"/>
          <w:b/>
          <w:iCs/>
          <w:szCs w:val="22"/>
          <w:lang w:val="en-GB" w:eastAsia="en-US"/>
        </w:rPr>
        <w:fldChar w:fldCharType="end"/>
      </w:r>
      <w:r>
        <w:rPr>
          <w:szCs w:val="22"/>
        </w:rPr>
        <w:t>.</w:t>
      </w:r>
      <w:r w:rsidRPr="001C6CCA">
        <w:rPr>
          <w:rFonts w:eastAsia="Calibri" w:cs="Calibri"/>
          <w:szCs w:val="22"/>
          <w:lang w:val="en-GB" w:eastAsia="en-US"/>
        </w:rPr>
        <w:t xml:space="preserve"> </w:t>
      </w:r>
      <w:r>
        <w:rPr>
          <w:rFonts w:eastAsia="Calibri" w:cs="Calibri"/>
          <w:szCs w:val="22"/>
          <w:lang w:val="en-GB" w:eastAsia="en-US"/>
        </w:rPr>
        <w:t xml:space="preserve"> </w:t>
      </w:r>
      <w:r w:rsidRPr="005A1C76">
        <w:rPr>
          <w:rFonts w:eastAsia="Calibri" w:cs="Calibri"/>
          <w:b/>
          <w:lang w:val="en-GB"/>
        </w:rPr>
        <w:t>Mapa lokacija uzorkovanja školjki duž crnogorske obale</w:t>
      </w:r>
      <w:bookmarkEnd w:id="198"/>
    </w:p>
    <w:p w14:paraId="3FA09BA3" w14:textId="77777777" w:rsidR="00085672" w:rsidRDefault="00085672" w:rsidP="00085672">
      <w:pPr>
        <w:rPr>
          <w:rFonts w:eastAsia="Calibri" w:cs="Calibri"/>
          <w:b/>
          <w:lang w:val="en-GB"/>
        </w:rPr>
      </w:pPr>
    </w:p>
    <w:p w14:paraId="0A73C8F7" w14:textId="04E77C39" w:rsidR="00D06AC0" w:rsidRDefault="00085672" w:rsidP="00085672">
      <w:pPr>
        <w:rPr>
          <w:rFonts w:eastAsia="Calibri" w:cs="Calibri"/>
          <w:b/>
          <w:lang w:val="en-GB"/>
        </w:rPr>
      </w:pPr>
      <w:r w:rsidRPr="005A1C76">
        <w:rPr>
          <w:rFonts w:eastAsia="Calibri" w:cs="Calibri"/>
          <w:b/>
          <w:lang w:val="en-GB"/>
        </w:rPr>
        <w:t>Procjena GES-a za kontaminante u sedimentu</w:t>
      </w:r>
      <w:r w:rsidRPr="005A1C76">
        <w:rPr>
          <w:rFonts w:eastAsia="Calibri"/>
          <w:b/>
          <w:vertAlign w:val="superscript"/>
          <w:lang w:val="en-GB"/>
        </w:rPr>
        <w:footnoteReference w:id="37"/>
      </w:r>
    </w:p>
    <w:p w14:paraId="3F954457" w14:textId="7BD5E8F7" w:rsidR="00D06AC0" w:rsidRPr="00D06AC0" w:rsidRDefault="00D06AC0" w:rsidP="00085672">
      <w:pPr>
        <w:rPr>
          <w:rFonts w:eastAsia="Calibri" w:cs="Calibri"/>
          <w:b/>
          <w:u w:val="single"/>
          <w:lang w:val="en-GB"/>
        </w:rPr>
      </w:pPr>
      <w:r w:rsidRPr="00D06AC0">
        <w:rPr>
          <w:rFonts w:eastAsia="Calibri" w:cs="Calibri"/>
          <w:b/>
          <w:u w:val="single"/>
          <w:lang w:val="en-GB"/>
        </w:rPr>
        <w:t>Područje procjene: nacionalni nivo – crnogorski dio Jadrana</w:t>
      </w:r>
    </w:p>
    <w:p w14:paraId="784BBA7F" w14:textId="77777777" w:rsidR="00085672" w:rsidRPr="005A1C76" w:rsidRDefault="00085672" w:rsidP="00085672">
      <w:pPr>
        <w:rPr>
          <w:rFonts w:eastAsia="Calibri" w:cs="Calibri"/>
          <w:b/>
          <w:i/>
          <w:lang w:val="en-GB"/>
        </w:rPr>
      </w:pPr>
      <w:r w:rsidRPr="005A1C76">
        <w:rPr>
          <w:rFonts w:eastAsia="Calibri" w:cs="Calibri"/>
          <w:b/>
          <w:i/>
          <w:lang w:val="en-GB"/>
        </w:rPr>
        <w:t>Teški metali u sedimentu</w:t>
      </w:r>
    </w:p>
    <w:p w14:paraId="0C3E9D44" w14:textId="77777777" w:rsidR="00085672" w:rsidRPr="005A1C76" w:rsidRDefault="00085672" w:rsidP="00085672">
      <w:pPr>
        <w:rPr>
          <w:rFonts w:eastAsia="Calibri" w:cs="Calibri"/>
          <w:lang w:val="en-GB"/>
        </w:rPr>
      </w:pPr>
      <w:r w:rsidRPr="005A1C76">
        <w:rPr>
          <w:rFonts w:eastAsia="Calibri" w:cs="Calibri"/>
          <w:lang w:val="en-GB"/>
        </w:rPr>
        <w:t>Procjena GES-a za teške metale u sedimentu tokom perioda istraživanja na svakoj lokaciji crnogorskog primorja data je u tabeli 2.29. Na osnovu prikazanih rezultata u ovoj tabeli može se zaključiti sledeće:</w:t>
      </w:r>
    </w:p>
    <w:p w14:paraId="5923E862" w14:textId="77777777" w:rsidR="00085672" w:rsidRPr="005A1C76" w:rsidRDefault="00085672" w:rsidP="00C52E6F">
      <w:pPr>
        <w:numPr>
          <w:ilvl w:val="0"/>
          <w:numId w:val="33"/>
        </w:numPr>
        <w:ind w:left="360"/>
        <w:rPr>
          <w:rFonts w:cs="Calibri"/>
          <w:lang w:val="en-GB"/>
        </w:rPr>
      </w:pPr>
      <w:r w:rsidRPr="005A1C76">
        <w:rPr>
          <w:rFonts w:cs="Calibri"/>
          <w:lang w:val="en-GB"/>
        </w:rPr>
        <w:t>Bokokotorski zaliv: prosječna koncentracija Hg i Cu na svim ispitivanim lokacijama u Bokokotorskom zalivu prelazi ERL vrijednosti, a sadržaj Pb i Zn na više od 70% tih lokacija premašuje njihove ERL vrijednosti. Vrijednosti ostalih ispitivanih metala (As, Cd, Cr i Ni) na većini lokacija imale su nivoe koncentracije ispod vrijednosti BAC ili između vrijednosti BAC i ERL. Treba napomenuti da je većina ispitivanih lokacija u Bokokotorskom zalivu pripada „Hot Spot“ lokacijama: lukama, marinama kao i nekadašnjim institutima za popravku brodova (Brodogradilište Bijela i Porto Montenegro).</w:t>
      </w:r>
    </w:p>
    <w:p w14:paraId="5196D7A9" w14:textId="365501C3" w:rsidR="00085672" w:rsidRDefault="00085672" w:rsidP="00C52E6F">
      <w:pPr>
        <w:numPr>
          <w:ilvl w:val="0"/>
          <w:numId w:val="33"/>
        </w:numPr>
        <w:ind w:left="360"/>
        <w:rPr>
          <w:rFonts w:cs="Calibri"/>
          <w:lang w:val="en-GB"/>
        </w:rPr>
      </w:pPr>
      <w:r w:rsidRPr="005A1C76">
        <w:rPr>
          <w:rFonts w:cs="Calibri"/>
          <w:lang w:val="en-GB"/>
        </w:rPr>
        <w:t>Priobalne lokacije - otvoreno more Crne Gore: Rezultati analize teških metala potvrđuju da su 4 lokacije pod antropogenim uticajem (luka Budva, luka Bar, Port Milena i Ada Bojana). Rezultati analize sadržaja Cd, Hg, Pb, Cu i Ni na lokaciji Luka Bar su iznad vrijednosti ERL, što ukazuje na značajan antropogeni uticaj. Na lokaciji Luka Budva, sadržaj Cu je iznad vrijednosti ERL, a na lokacijama Port Milena i Ada Bojana koncentracije Cr premašuju graničnu vrijednost za ERL.</w:t>
      </w:r>
    </w:p>
    <w:p w14:paraId="38EBD744" w14:textId="1B1214F5" w:rsidR="00D17A2C" w:rsidRPr="0005763C" w:rsidRDefault="00930E9A" w:rsidP="006075FE">
      <w:pPr>
        <w:keepNext/>
        <w:spacing w:before="0" w:after="0" w:line="240" w:lineRule="auto"/>
        <w:ind w:left="142"/>
        <w:rPr>
          <w:rFonts w:eastAsia="Calibri" w:cs="Calibri"/>
          <w:b/>
          <w:iCs/>
          <w:szCs w:val="22"/>
          <w:lang w:val="en-GB" w:eastAsia="en-US"/>
        </w:rPr>
      </w:pPr>
      <w:bookmarkStart w:id="199" w:name="_Toc83643175"/>
      <w:r w:rsidRPr="001C6CCA">
        <w:rPr>
          <w:rFonts w:eastAsia="Calibri" w:cs="Calibri"/>
          <w:b/>
          <w:iCs/>
          <w:szCs w:val="22"/>
          <w:lang w:val="en-GB" w:eastAsia="en-US"/>
        </w:rPr>
        <w:t>Ta</w:t>
      </w:r>
      <w:r w:rsidR="00085672">
        <w:rPr>
          <w:rFonts w:eastAsia="Calibri" w:cs="Calibri"/>
          <w:b/>
          <w:iCs/>
          <w:szCs w:val="22"/>
          <w:lang w:val="en-GB" w:eastAsia="en-US"/>
        </w:rPr>
        <w:t>bela</w:t>
      </w:r>
      <w:r w:rsidRPr="001C6CCA">
        <w:rPr>
          <w:rFonts w:eastAsia="Calibri" w:cs="Calibri"/>
          <w:b/>
          <w:iCs/>
          <w:szCs w:val="22"/>
          <w:lang w:val="en-GB" w:eastAsia="en-US"/>
        </w:rPr>
        <w:t xml:space="preserve"> </w:t>
      </w:r>
      <w:r w:rsidR="003415D9" w:rsidRPr="00D932B6">
        <w:rPr>
          <w:b/>
          <w:szCs w:val="22"/>
        </w:rPr>
        <w:fldChar w:fldCharType="begin"/>
      </w:r>
      <w:r w:rsidR="003415D9" w:rsidRPr="00D932B6">
        <w:rPr>
          <w:b/>
          <w:szCs w:val="22"/>
        </w:rPr>
        <w:instrText xml:space="preserve"> STYLEREF 1 \s </w:instrText>
      </w:r>
      <w:r w:rsidR="003415D9" w:rsidRPr="00D932B6">
        <w:rPr>
          <w:b/>
          <w:szCs w:val="22"/>
        </w:rPr>
        <w:fldChar w:fldCharType="separate"/>
      </w:r>
      <w:r w:rsidR="000D1E20">
        <w:rPr>
          <w:b/>
          <w:noProof/>
          <w:szCs w:val="22"/>
        </w:rPr>
        <w:t>2</w:t>
      </w:r>
      <w:r w:rsidR="003415D9" w:rsidRPr="00D932B6">
        <w:rPr>
          <w:b/>
          <w:szCs w:val="22"/>
        </w:rPr>
        <w:fldChar w:fldCharType="end"/>
      </w:r>
      <w:r w:rsidR="003415D9" w:rsidRPr="00D932B6">
        <w:rPr>
          <w:b/>
          <w:szCs w:val="22"/>
        </w:rPr>
        <w:t>.</w:t>
      </w:r>
      <w:r w:rsidR="003415D9" w:rsidRPr="00D932B6">
        <w:rPr>
          <w:b/>
          <w:szCs w:val="22"/>
        </w:rPr>
        <w:fldChar w:fldCharType="begin"/>
      </w:r>
      <w:r w:rsidR="003415D9" w:rsidRPr="00D932B6">
        <w:rPr>
          <w:b/>
          <w:szCs w:val="22"/>
        </w:rPr>
        <w:instrText xml:space="preserve"> SEQ Table \* ARABIC \s 1 </w:instrText>
      </w:r>
      <w:r w:rsidR="003415D9" w:rsidRPr="00D932B6">
        <w:rPr>
          <w:b/>
          <w:szCs w:val="22"/>
        </w:rPr>
        <w:fldChar w:fldCharType="separate"/>
      </w:r>
      <w:r w:rsidR="000D1E20">
        <w:rPr>
          <w:b/>
          <w:noProof/>
          <w:szCs w:val="22"/>
        </w:rPr>
        <w:t>17</w:t>
      </w:r>
      <w:r w:rsidR="003415D9" w:rsidRPr="00D932B6">
        <w:rPr>
          <w:b/>
          <w:szCs w:val="22"/>
        </w:rPr>
        <w:fldChar w:fldCharType="end"/>
      </w:r>
      <w:r w:rsidR="003415D9">
        <w:rPr>
          <w:b/>
          <w:szCs w:val="22"/>
        </w:rPr>
        <w:t>.</w:t>
      </w:r>
      <w:r w:rsidR="003415D9" w:rsidRPr="001C6CCA">
        <w:rPr>
          <w:rFonts w:eastAsia="Calibri" w:cs="Calibri"/>
          <w:b/>
          <w:szCs w:val="22"/>
          <w:lang w:val="en-GB" w:eastAsia="en-US"/>
        </w:rPr>
        <w:t xml:space="preserve"> </w:t>
      </w:r>
      <w:r w:rsidR="00085672" w:rsidRPr="005A1C76">
        <w:rPr>
          <w:rFonts w:eastAsia="Calibri" w:cs="Calibri"/>
          <w:b/>
          <w:iCs/>
          <w:lang w:val="en-GB"/>
        </w:rPr>
        <w:t>Prikaz prosječnih vrijednosti metala u sedimentu tokom perioda istraživanja na lokacijama crnogorskog mora prema UNEP/MAP i OSPAR kriterijumima procjene</w:t>
      </w:r>
      <w:bookmarkEnd w:id="199"/>
    </w:p>
    <w:tbl>
      <w:tblPr>
        <w:tblW w:w="8827" w:type="dxa"/>
        <w:jc w:val="cente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shd w:val="clear" w:color="auto" w:fill="FFFF00"/>
        <w:tblCellMar>
          <w:left w:w="57" w:type="dxa"/>
          <w:right w:w="57" w:type="dxa"/>
        </w:tblCellMar>
        <w:tblLook w:val="04A0" w:firstRow="1" w:lastRow="0" w:firstColumn="1" w:lastColumn="0" w:noHBand="0" w:noVBand="1"/>
      </w:tblPr>
      <w:tblGrid>
        <w:gridCol w:w="1179"/>
        <w:gridCol w:w="1356"/>
        <w:gridCol w:w="655"/>
        <w:gridCol w:w="548"/>
        <w:gridCol w:w="723"/>
        <w:gridCol w:w="651"/>
        <w:gridCol w:w="723"/>
        <w:gridCol w:w="723"/>
        <w:gridCol w:w="723"/>
        <w:gridCol w:w="763"/>
        <w:gridCol w:w="783"/>
      </w:tblGrid>
      <w:tr w:rsidR="00085672" w:rsidRPr="005A1C76" w14:paraId="40788D83" w14:textId="77777777" w:rsidTr="00085672">
        <w:trPr>
          <w:cantSplit/>
          <w:trHeight w:hRule="exact" w:val="360"/>
          <w:jc w:val="center"/>
        </w:trPr>
        <w:tc>
          <w:tcPr>
            <w:tcW w:w="1179" w:type="dxa"/>
            <w:vMerge w:val="restart"/>
            <w:tcBorders>
              <w:top w:val="single" w:sz="4" w:space="0" w:color="FFFFFF"/>
              <w:left w:val="single" w:sz="4" w:space="0" w:color="FFFFFF"/>
              <w:bottom w:val="single" w:sz="4" w:space="0" w:color="FFFFFF"/>
              <w:right w:val="single" w:sz="4" w:space="0" w:color="FFFFFF"/>
            </w:tcBorders>
            <w:shd w:val="clear" w:color="auto" w:fill="2F5496"/>
            <w:vAlign w:val="center"/>
          </w:tcPr>
          <w:p w14:paraId="3C4D6F1A" w14:textId="77777777" w:rsidR="00085672" w:rsidRPr="005A1C76" w:rsidRDefault="00085672" w:rsidP="00085672">
            <w:pPr>
              <w:spacing w:after="0" w:line="20" w:lineRule="atLeast"/>
              <w:rPr>
                <w:rFonts w:eastAsia="Calibri" w:cs="Calibri"/>
                <w:b/>
                <w:color w:val="FFFFFF"/>
                <w:sz w:val="20"/>
                <w:szCs w:val="20"/>
                <w:lang w:val="en-GB"/>
              </w:rPr>
            </w:pPr>
            <w:r w:rsidRPr="005A1C76">
              <w:rPr>
                <w:rFonts w:eastAsia="Calibri" w:cs="Calibri"/>
                <w:b/>
                <w:color w:val="FFFFFF"/>
                <w:sz w:val="20"/>
                <w:szCs w:val="20"/>
                <w:lang w:val="en-GB"/>
              </w:rPr>
              <w:t>Zona</w:t>
            </w:r>
          </w:p>
        </w:tc>
        <w:tc>
          <w:tcPr>
            <w:tcW w:w="1356" w:type="dxa"/>
            <w:vMerge w:val="restart"/>
            <w:tcBorders>
              <w:top w:val="single" w:sz="4" w:space="0" w:color="FFFFFF"/>
              <w:left w:val="single" w:sz="4" w:space="0" w:color="FFFFFF"/>
              <w:bottom w:val="single" w:sz="4" w:space="0" w:color="FFFFFF"/>
              <w:right w:val="single" w:sz="4" w:space="0" w:color="FFFFFF"/>
            </w:tcBorders>
            <w:shd w:val="clear" w:color="auto" w:fill="2F5496"/>
            <w:vAlign w:val="center"/>
          </w:tcPr>
          <w:p w14:paraId="01AC0F24"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Naziv lokacije</w:t>
            </w:r>
          </w:p>
        </w:tc>
        <w:tc>
          <w:tcPr>
            <w:tcW w:w="5509" w:type="dxa"/>
            <w:gridSpan w:val="8"/>
            <w:tcBorders>
              <w:top w:val="single" w:sz="4" w:space="0" w:color="FFFFFF"/>
              <w:left w:val="single" w:sz="4" w:space="0" w:color="FFFFFF"/>
              <w:bottom w:val="single" w:sz="4" w:space="0" w:color="FFFFFF"/>
              <w:right w:val="single" w:sz="4" w:space="0" w:color="FFFFFF"/>
            </w:tcBorders>
            <w:shd w:val="clear" w:color="auto" w:fill="2F5496"/>
            <w:vAlign w:val="center"/>
          </w:tcPr>
          <w:p w14:paraId="40CD91A0" w14:textId="77777777" w:rsidR="00085672" w:rsidRPr="005A1C76" w:rsidRDefault="00085672" w:rsidP="00085672">
            <w:pPr>
              <w:spacing w:after="0" w:line="20" w:lineRule="atLeast"/>
              <w:jc w:val="center"/>
              <w:rPr>
                <w:rFonts w:eastAsia="Calibri" w:cs="Calibri"/>
                <w:b/>
                <w:color w:val="FFFFFF"/>
                <w:sz w:val="20"/>
                <w:szCs w:val="20"/>
                <w:lang w:val="en-GB"/>
              </w:rPr>
            </w:pPr>
            <w:r w:rsidRPr="005A1C76">
              <w:rPr>
                <w:rFonts w:eastAsia="Calibri" w:cs="Calibri"/>
                <w:b/>
                <w:color w:val="FFFFFF"/>
                <w:sz w:val="20"/>
                <w:szCs w:val="20"/>
                <w:lang w:val="en-GB"/>
              </w:rPr>
              <w:t>Teski metali µg/kg s.m.</w:t>
            </w:r>
          </w:p>
        </w:tc>
        <w:tc>
          <w:tcPr>
            <w:tcW w:w="783" w:type="dxa"/>
            <w:tcBorders>
              <w:top w:val="single" w:sz="4" w:space="0" w:color="FFFFFF"/>
              <w:left w:val="single" w:sz="4" w:space="0" w:color="FFFFFF"/>
              <w:bottom w:val="single" w:sz="4" w:space="0" w:color="FFFFFF"/>
              <w:right w:val="single" w:sz="4" w:space="0" w:color="FFFFFF"/>
            </w:tcBorders>
            <w:shd w:val="clear" w:color="auto" w:fill="2F5496"/>
            <w:vAlign w:val="center"/>
          </w:tcPr>
          <w:p w14:paraId="29586DC9" w14:textId="77777777" w:rsidR="00085672" w:rsidRPr="005A1C76" w:rsidRDefault="00085672" w:rsidP="00085672">
            <w:pPr>
              <w:spacing w:after="0" w:line="20" w:lineRule="atLeast"/>
              <w:jc w:val="center"/>
              <w:rPr>
                <w:rFonts w:eastAsia="Calibri" w:cs="Calibri"/>
                <w:b/>
                <w:color w:val="FFFFFF"/>
                <w:sz w:val="20"/>
                <w:szCs w:val="20"/>
                <w:lang w:val="en-GB"/>
              </w:rPr>
            </w:pPr>
          </w:p>
        </w:tc>
      </w:tr>
      <w:tr w:rsidR="00085672" w:rsidRPr="005A1C76" w14:paraId="5B0D37A7" w14:textId="77777777" w:rsidTr="00085672">
        <w:trPr>
          <w:cantSplit/>
          <w:trHeight w:hRule="exact" w:val="360"/>
          <w:jc w:val="center"/>
        </w:trPr>
        <w:tc>
          <w:tcPr>
            <w:tcW w:w="1179" w:type="dxa"/>
            <w:vMerge/>
            <w:tcBorders>
              <w:top w:val="single" w:sz="4" w:space="0" w:color="FFFFFF"/>
              <w:left w:val="single" w:sz="4" w:space="0" w:color="FFFFFF"/>
              <w:bottom w:val="single" w:sz="4" w:space="0" w:color="FFFFFF"/>
              <w:right w:val="single" w:sz="4" w:space="0" w:color="FFFFFF"/>
            </w:tcBorders>
            <w:shd w:val="clear" w:color="auto" w:fill="2F5496"/>
            <w:vAlign w:val="center"/>
          </w:tcPr>
          <w:p w14:paraId="6BD9BE18" w14:textId="77777777" w:rsidR="00085672" w:rsidRPr="005A1C76" w:rsidRDefault="00085672" w:rsidP="00085672">
            <w:pPr>
              <w:spacing w:after="0" w:line="20" w:lineRule="atLeast"/>
              <w:rPr>
                <w:rFonts w:eastAsia="Calibri" w:cs="Calibri"/>
                <w:b/>
                <w:color w:val="FFFFFF"/>
                <w:sz w:val="20"/>
                <w:szCs w:val="20"/>
                <w:lang w:val="en-GB"/>
              </w:rPr>
            </w:pPr>
          </w:p>
        </w:tc>
        <w:tc>
          <w:tcPr>
            <w:tcW w:w="1356" w:type="dxa"/>
            <w:vMerge/>
            <w:tcBorders>
              <w:top w:val="single" w:sz="4" w:space="0" w:color="FFFFFF"/>
              <w:left w:val="single" w:sz="4" w:space="0" w:color="FFFFFF"/>
              <w:bottom w:val="single" w:sz="4" w:space="0" w:color="FFFFFF"/>
              <w:right w:val="single" w:sz="4" w:space="0" w:color="FFFFFF"/>
            </w:tcBorders>
            <w:shd w:val="clear" w:color="auto" w:fill="2F5496"/>
            <w:vAlign w:val="center"/>
          </w:tcPr>
          <w:p w14:paraId="1B5E80F4" w14:textId="77777777" w:rsidR="00085672" w:rsidRPr="005A1C76" w:rsidRDefault="00085672" w:rsidP="00085672">
            <w:pPr>
              <w:spacing w:after="0" w:line="20" w:lineRule="atLeast"/>
              <w:rPr>
                <w:rFonts w:eastAsia="Calibri" w:cs="Calibri"/>
                <w:b/>
                <w:color w:val="FFFFFF"/>
                <w:sz w:val="20"/>
                <w:szCs w:val="20"/>
                <w:lang w:val="en-GB"/>
              </w:rPr>
            </w:pPr>
          </w:p>
        </w:tc>
        <w:tc>
          <w:tcPr>
            <w:tcW w:w="655" w:type="dxa"/>
            <w:tcBorders>
              <w:top w:val="single" w:sz="4" w:space="0" w:color="FFFFFF"/>
              <w:left w:val="single" w:sz="4" w:space="0" w:color="FFFFFF"/>
              <w:bottom w:val="single" w:sz="4" w:space="0" w:color="FFFFFF"/>
              <w:right w:val="single" w:sz="4" w:space="0" w:color="FFFFFF"/>
            </w:tcBorders>
            <w:shd w:val="clear" w:color="auto" w:fill="2F5496"/>
            <w:vAlign w:val="center"/>
          </w:tcPr>
          <w:p w14:paraId="1385C937" w14:textId="77777777" w:rsidR="00085672" w:rsidRPr="005A1C76" w:rsidRDefault="00085672" w:rsidP="00085672">
            <w:pPr>
              <w:spacing w:after="0" w:line="20" w:lineRule="atLeast"/>
              <w:jc w:val="center"/>
              <w:rPr>
                <w:rFonts w:eastAsia="Calibri" w:cs="Calibri"/>
                <w:b/>
                <w:color w:val="FFFFFF"/>
                <w:sz w:val="20"/>
                <w:szCs w:val="20"/>
                <w:lang w:val="en-GB"/>
              </w:rPr>
            </w:pPr>
            <w:r w:rsidRPr="005A1C76">
              <w:rPr>
                <w:rFonts w:eastAsia="Calibri" w:cs="Calibri"/>
                <w:b/>
                <w:color w:val="FFFFFF"/>
                <w:sz w:val="20"/>
                <w:szCs w:val="20"/>
                <w:lang w:val="en-GB"/>
              </w:rPr>
              <w:t>As</w:t>
            </w:r>
          </w:p>
        </w:tc>
        <w:tc>
          <w:tcPr>
            <w:tcW w:w="548" w:type="dxa"/>
            <w:tcBorders>
              <w:top w:val="single" w:sz="4" w:space="0" w:color="FFFFFF"/>
              <w:left w:val="single" w:sz="4" w:space="0" w:color="FFFFFF"/>
              <w:bottom w:val="single" w:sz="4" w:space="0" w:color="FFFFFF"/>
              <w:right w:val="single" w:sz="4" w:space="0" w:color="FFFFFF"/>
            </w:tcBorders>
            <w:shd w:val="clear" w:color="auto" w:fill="2F5496"/>
            <w:vAlign w:val="center"/>
          </w:tcPr>
          <w:p w14:paraId="0E84FBC8" w14:textId="77777777" w:rsidR="00085672" w:rsidRPr="005A1C76" w:rsidRDefault="00085672" w:rsidP="00085672">
            <w:pPr>
              <w:spacing w:after="0" w:line="20" w:lineRule="atLeast"/>
              <w:jc w:val="center"/>
              <w:rPr>
                <w:rFonts w:eastAsia="Calibri" w:cs="Calibri"/>
                <w:b/>
                <w:color w:val="FFFFFF"/>
                <w:sz w:val="20"/>
                <w:szCs w:val="20"/>
                <w:lang w:val="en-GB"/>
              </w:rPr>
            </w:pPr>
            <w:r w:rsidRPr="005A1C76">
              <w:rPr>
                <w:rFonts w:eastAsia="Calibri" w:cs="Calibri"/>
                <w:b/>
                <w:color w:val="FFFFFF"/>
                <w:sz w:val="20"/>
                <w:szCs w:val="20"/>
                <w:lang w:val="en-GB"/>
              </w:rPr>
              <w:t>Cd</w:t>
            </w:r>
          </w:p>
        </w:tc>
        <w:tc>
          <w:tcPr>
            <w:tcW w:w="723" w:type="dxa"/>
            <w:tcBorders>
              <w:top w:val="single" w:sz="4" w:space="0" w:color="FFFFFF"/>
              <w:left w:val="single" w:sz="4" w:space="0" w:color="FFFFFF"/>
              <w:bottom w:val="single" w:sz="4" w:space="0" w:color="FFFFFF"/>
              <w:right w:val="single" w:sz="4" w:space="0" w:color="FFFFFF"/>
            </w:tcBorders>
            <w:shd w:val="clear" w:color="auto" w:fill="2F5496"/>
            <w:vAlign w:val="center"/>
          </w:tcPr>
          <w:p w14:paraId="1EBBCEFF" w14:textId="77777777" w:rsidR="00085672" w:rsidRPr="005A1C76" w:rsidRDefault="00085672" w:rsidP="00085672">
            <w:pPr>
              <w:spacing w:after="0" w:line="20" w:lineRule="atLeast"/>
              <w:jc w:val="center"/>
              <w:rPr>
                <w:rFonts w:eastAsia="Calibri" w:cs="Calibri"/>
                <w:b/>
                <w:color w:val="FFFFFF"/>
                <w:sz w:val="20"/>
                <w:szCs w:val="20"/>
                <w:lang w:val="en-GB"/>
              </w:rPr>
            </w:pPr>
            <w:r w:rsidRPr="005A1C76">
              <w:rPr>
                <w:rFonts w:eastAsia="Calibri" w:cs="Calibri"/>
                <w:b/>
                <w:color w:val="FFFFFF"/>
                <w:sz w:val="20"/>
                <w:szCs w:val="20"/>
                <w:lang w:val="en-GB"/>
              </w:rPr>
              <w:t>Cr</w:t>
            </w:r>
          </w:p>
        </w:tc>
        <w:tc>
          <w:tcPr>
            <w:tcW w:w="651" w:type="dxa"/>
            <w:tcBorders>
              <w:top w:val="single" w:sz="4" w:space="0" w:color="FFFFFF"/>
              <w:left w:val="single" w:sz="4" w:space="0" w:color="FFFFFF"/>
              <w:bottom w:val="single" w:sz="4" w:space="0" w:color="FFFFFF"/>
              <w:right w:val="single" w:sz="4" w:space="0" w:color="FFFFFF"/>
            </w:tcBorders>
            <w:shd w:val="clear" w:color="auto" w:fill="2F5496"/>
            <w:vAlign w:val="center"/>
          </w:tcPr>
          <w:p w14:paraId="2600CDFA" w14:textId="77777777" w:rsidR="00085672" w:rsidRPr="005A1C76" w:rsidRDefault="00085672" w:rsidP="00085672">
            <w:pPr>
              <w:spacing w:after="0" w:line="20" w:lineRule="atLeast"/>
              <w:jc w:val="center"/>
              <w:rPr>
                <w:rFonts w:eastAsia="Calibri" w:cs="Calibri"/>
                <w:b/>
                <w:color w:val="FFFFFF"/>
                <w:sz w:val="20"/>
                <w:szCs w:val="20"/>
                <w:lang w:val="en-GB"/>
              </w:rPr>
            </w:pPr>
            <w:r w:rsidRPr="005A1C76">
              <w:rPr>
                <w:rFonts w:eastAsia="Calibri" w:cs="Calibri"/>
                <w:b/>
                <w:color w:val="FFFFFF"/>
                <w:sz w:val="20"/>
                <w:szCs w:val="20"/>
                <w:lang w:val="en-GB"/>
              </w:rPr>
              <w:t>Hg</w:t>
            </w:r>
          </w:p>
        </w:tc>
        <w:tc>
          <w:tcPr>
            <w:tcW w:w="723" w:type="dxa"/>
            <w:tcBorders>
              <w:top w:val="single" w:sz="4" w:space="0" w:color="FFFFFF"/>
              <w:left w:val="single" w:sz="4" w:space="0" w:color="FFFFFF"/>
              <w:bottom w:val="single" w:sz="4" w:space="0" w:color="FFFFFF"/>
              <w:right w:val="single" w:sz="4" w:space="0" w:color="FFFFFF"/>
            </w:tcBorders>
            <w:shd w:val="clear" w:color="auto" w:fill="2F5496"/>
            <w:vAlign w:val="center"/>
          </w:tcPr>
          <w:p w14:paraId="07EAB249" w14:textId="77777777" w:rsidR="00085672" w:rsidRPr="005A1C76" w:rsidRDefault="00085672" w:rsidP="00085672">
            <w:pPr>
              <w:spacing w:after="0" w:line="20" w:lineRule="atLeast"/>
              <w:jc w:val="center"/>
              <w:rPr>
                <w:rFonts w:eastAsia="Calibri" w:cs="Calibri"/>
                <w:b/>
                <w:color w:val="FFFFFF"/>
                <w:sz w:val="20"/>
                <w:szCs w:val="20"/>
                <w:lang w:val="en-GB"/>
              </w:rPr>
            </w:pPr>
            <w:r w:rsidRPr="005A1C76">
              <w:rPr>
                <w:rFonts w:eastAsia="Calibri" w:cs="Calibri"/>
                <w:b/>
                <w:color w:val="FFFFFF"/>
                <w:sz w:val="20"/>
                <w:szCs w:val="20"/>
                <w:lang w:val="en-GB"/>
              </w:rPr>
              <w:t>Pb</w:t>
            </w:r>
          </w:p>
        </w:tc>
        <w:tc>
          <w:tcPr>
            <w:tcW w:w="723" w:type="dxa"/>
            <w:tcBorders>
              <w:top w:val="single" w:sz="4" w:space="0" w:color="FFFFFF"/>
              <w:left w:val="single" w:sz="4" w:space="0" w:color="FFFFFF"/>
              <w:bottom w:val="single" w:sz="4" w:space="0" w:color="FFFFFF"/>
              <w:right w:val="single" w:sz="4" w:space="0" w:color="FFFFFF"/>
            </w:tcBorders>
            <w:shd w:val="clear" w:color="auto" w:fill="2F5496"/>
            <w:vAlign w:val="center"/>
          </w:tcPr>
          <w:p w14:paraId="51C6526A" w14:textId="77777777" w:rsidR="00085672" w:rsidRPr="005A1C76" w:rsidRDefault="00085672" w:rsidP="00085672">
            <w:pPr>
              <w:spacing w:after="0" w:line="20" w:lineRule="atLeast"/>
              <w:jc w:val="center"/>
              <w:rPr>
                <w:rFonts w:eastAsia="Calibri" w:cs="Calibri"/>
                <w:b/>
                <w:color w:val="FFFFFF"/>
                <w:sz w:val="20"/>
                <w:szCs w:val="20"/>
                <w:lang w:val="en-GB"/>
              </w:rPr>
            </w:pPr>
            <w:r w:rsidRPr="005A1C76">
              <w:rPr>
                <w:rFonts w:eastAsia="Calibri" w:cs="Calibri"/>
                <w:b/>
                <w:color w:val="FFFFFF"/>
                <w:sz w:val="20"/>
                <w:szCs w:val="20"/>
                <w:lang w:val="en-GB"/>
              </w:rPr>
              <w:t>Cu</w:t>
            </w:r>
          </w:p>
        </w:tc>
        <w:tc>
          <w:tcPr>
            <w:tcW w:w="723" w:type="dxa"/>
            <w:tcBorders>
              <w:top w:val="single" w:sz="4" w:space="0" w:color="FFFFFF"/>
              <w:left w:val="single" w:sz="4" w:space="0" w:color="FFFFFF"/>
              <w:bottom w:val="single" w:sz="4" w:space="0" w:color="FFFFFF"/>
              <w:right w:val="single" w:sz="4" w:space="0" w:color="FFFFFF"/>
            </w:tcBorders>
            <w:shd w:val="clear" w:color="auto" w:fill="2F5496"/>
            <w:vAlign w:val="center"/>
          </w:tcPr>
          <w:p w14:paraId="405499AE" w14:textId="77777777" w:rsidR="00085672" w:rsidRPr="005A1C76" w:rsidRDefault="00085672" w:rsidP="00085672">
            <w:pPr>
              <w:spacing w:after="0" w:line="20" w:lineRule="atLeast"/>
              <w:jc w:val="center"/>
              <w:rPr>
                <w:rFonts w:eastAsia="Calibri" w:cs="Calibri"/>
                <w:b/>
                <w:color w:val="FFFFFF"/>
                <w:sz w:val="20"/>
                <w:szCs w:val="20"/>
                <w:lang w:val="en-GB"/>
              </w:rPr>
            </w:pPr>
            <w:r w:rsidRPr="005A1C76">
              <w:rPr>
                <w:rFonts w:eastAsia="Calibri" w:cs="Calibri"/>
                <w:b/>
                <w:color w:val="FFFFFF"/>
                <w:sz w:val="20"/>
                <w:szCs w:val="20"/>
                <w:lang w:val="en-GB"/>
              </w:rPr>
              <w:t>Zn</w:t>
            </w:r>
          </w:p>
        </w:tc>
        <w:tc>
          <w:tcPr>
            <w:tcW w:w="763" w:type="dxa"/>
            <w:tcBorders>
              <w:top w:val="single" w:sz="4" w:space="0" w:color="FFFFFF"/>
              <w:left w:val="single" w:sz="4" w:space="0" w:color="FFFFFF"/>
              <w:bottom w:val="single" w:sz="4" w:space="0" w:color="FFFFFF"/>
              <w:right w:val="single" w:sz="4" w:space="0" w:color="FFFFFF"/>
            </w:tcBorders>
            <w:shd w:val="clear" w:color="auto" w:fill="2F5496"/>
            <w:vAlign w:val="center"/>
          </w:tcPr>
          <w:p w14:paraId="089874A4" w14:textId="77777777" w:rsidR="00085672" w:rsidRPr="005A1C76" w:rsidRDefault="00085672" w:rsidP="00085672">
            <w:pPr>
              <w:spacing w:after="0" w:line="20" w:lineRule="atLeast"/>
              <w:jc w:val="center"/>
              <w:rPr>
                <w:rFonts w:eastAsia="Calibri" w:cs="Calibri"/>
                <w:b/>
                <w:color w:val="FFFFFF"/>
                <w:sz w:val="20"/>
                <w:szCs w:val="20"/>
                <w:lang w:val="en-GB"/>
              </w:rPr>
            </w:pPr>
            <w:r w:rsidRPr="005A1C76">
              <w:rPr>
                <w:rFonts w:eastAsia="Calibri" w:cs="Calibri"/>
                <w:b/>
                <w:color w:val="FFFFFF"/>
                <w:sz w:val="20"/>
                <w:szCs w:val="20"/>
                <w:lang w:val="en-GB"/>
              </w:rPr>
              <w:t>Ni</w:t>
            </w:r>
          </w:p>
        </w:tc>
        <w:tc>
          <w:tcPr>
            <w:tcW w:w="783" w:type="dxa"/>
            <w:tcBorders>
              <w:top w:val="single" w:sz="4" w:space="0" w:color="FFFFFF"/>
              <w:left w:val="single" w:sz="4" w:space="0" w:color="FFFFFF"/>
              <w:bottom w:val="single" w:sz="4" w:space="0" w:color="FFFFFF"/>
              <w:right w:val="single" w:sz="4" w:space="0" w:color="FFFFFF"/>
            </w:tcBorders>
            <w:shd w:val="clear" w:color="auto" w:fill="2F5496"/>
            <w:vAlign w:val="center"/>
          </w:tcPr>
          <w:p w14:paraId="5BBF758B" w14:textId="5E71981E" w:rsidR="00085672" w:rsidRPr="005A1C76" w:rsidRDefault="00085672" w:rsidP="00085672">
            <w:pPr>
              <w:spacing w:after="0" w:line="20" w:lineRule="atLeast"/>
              <w:jc w:val="center"/>
              <w:rPr>
                <w:rFonts w:eastAsia="Calibri" w:cs="Calibri"/>
                <w:b/>
                <w:color w:val="FFFFFF"/>
                <w:sz w:val="20"/>
                <w:szCs w:val="20"/>
                <w:lang w:val="en-GB"/>
              </w:rPr>
            </w:pPr>
            <w:r w:rsidRPr="005A1C76">
              <w:rPr>
                <w:rFonts w:eastAsia="Calibri" w:cs="Calibri"/>
                <w:b/>
                <w:color w:val="FFFFFF"/>
                <w:sz w:val="20"/>
                <w:szCs w:val="20"/>
                <w:lang w:val="en-GB"/>
              </w:rPr>
              <w:t>Tip</w:t>
            </w:r>
            <w:r w:rsidR="00D06AC0">
              <w:rPr>
                <w:rStyle w:val="FootnoteReference"/>
                <w:rFonts w:eastAsia="Calibri"/>
                <w:b/>
                <w:color w:val="FFFFFF"/>
                <w:sz w:val="20"/>
                <w:szCs w:val="20"/>
                <w:lang w:val="en-GB"/>
              </w:rPr>
              <w:footnoteReference w:id="38"/>
            </w:r>
          </w:p>
        </w:tc>
      </w:tr>
      <w:tr w:rsidR="00085672" w:rsidRPr="005A1C76" w14:paraId="311C50E4" w14:textId="77777777" w:rsidTr="00085672">
        <w:trPr>
          <w:cantSplit/>
          <w:trHeight w:val="227"/>
          <w:jc w:val="center"/>
        </w:trPr>
        <w:tc>
          <w:tcPr>
            <w:tcW w:w="1179" w:type="dxa"/>
            <w:vMerge w:val="restart"/>
            <w:tcBorders>
              <w:top w:val="single" w:sz="4" w:space="0" w:color="FFFFFF"/>
            </w:tcBorders>
            <w:vAlign w:val="center"/>
          </w:tcPr>
          <w:p w14:paraId="251CD990"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r w:rsidRPr="005A1C76">
              <w:rPr>
                <w:rFonts w:eastAsia="Calibri" w:cs="Calibri"/>
                <w:sz w:val="20"/>
                <w:szCs w:val="20"/>
                <w:lang w:val="en-GB"/>
              </w:rPr>
              <w:t>Bokokotorski zaliv</w:t>
            </w:r>
          </w:p>
        </w:tc>
        <w:tc>
          <w:tcPr>
            <w:tcW w:w="1356" w:type="dxa"/>
            <w:tcBorders>
              <w:top w:val="single" w:sz="4" w:space="0" w:color="FFFFFF"/>
            </w:tcBorders>
            <w:shd w:val="clear" w:color="auto" w:fill="auto"/>
            <w:vAlign w:val="center"/>
          </w:tcPr>
          <w:p w14:paraId="5ED31F42" w14:textId="77777777" w:rsidR="00085672" w:rsidRPr="005A1C76" w:rsidRDefault="00085672" w:rsidP="00D06AC0">
            <w:pPr>
              <w:spacing w:after="0" w:line="240" w:lineRule="auto"/>
              <w:rPr>
                <w:rFonts w:eastAsia="Calibri" w:cs="Calibri"/>
                <w:sz w:val="20"/>
                <w:szCs w:val="20"/>
                <w:lang w:val="en-GB"/>
              </w:rPr>
            </w:pPr>
            <w:r w:rsidRPr="005A1C76">
              <w:rPr>
                <w:rFonts w:eastAsia="Calibri" w:cs="Calibri"/>
                <w:sz w:val="20"/>
                <w:szCs w:val="20"/>
                <w:lang w:val="en-GB"/>
              </w:rPr>
              <w:t>Luka Herceg Novi</w:t>
            </w:r>
          </w:p>
        </w:tc>
        <w:tc>
          <w:tcPr>
            <w:tcW w:w="655" w:type="dxa"/>
            <w:tcBorders>
              <w:top w:val="single" w:sz="4" w:space="0" w:color="FFFFFF"/>
            </w:tcBorders>
            <w:shd w:val="clear" w:color="000000" w:fill="00B0F0"/>
            <w:vAlign w:val="center"/>
          </w:tcPr>
          <w:p w14:paraId="64631EC9"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10385</w:t>
            </w:r>
          </w:p>
        </w:tc>
        <w:tc>
          <w:tcPr>
            <w:tcW w:w="548" w:type="dxa"/>
            <w:tcBorders>
              <w:top w:val="single" w:sz="4" w:space="0" w:color="FFFFFF"/>
            </w:tcBorders>
            <w:shd w:val="clear" w:color="000000" w:fill="00FF00"/>
            <w:vAlign w:val="center"/>
          </w:tcPr>
          <w:p w14:paraId="49A0EFDE"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246</w:t>
            </w:r>
          </w:p>
        </w:tc>
        <w:tc>
          <w:tcPr>
            <w:tcW w:w="723" w:type="dxa"/>
            <w:tcBorders>
              <w:top w:val="single" w:sz="4" w:space="0" w:color="FFFFFF"/>
            </w:tcBorders>
            <w:shd w:val="clear" w:color="000000" w:fill="00B0F0"/>
            <w:vAlign w:val="center"/>
          </w:tcPr>
          <w:p w14:paraId="3E1EF23D"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40646</w:t>
            </w:r>
          </w:p>
        </w:tc>
        <w:tc>
          <w:tcPr>
            <w:tcW w:w="651" w:type="dxa"/>
            <w:tcBorders>
              <w:top w:val="single" w:sz="4" w:space="0" w:color="FFFFFF"/>
            </w:tcBorders>
            <w:shd w:val="clear" w:color="000000" w:fill="FF0000"/>
            <w:vAlign w:val="center"/>
          </w:tcPr>
          <w:p w14:paraId="443FD8CA"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866</w:t>
            </w:r>
          </w:p>
        </w:tc>
        <w:tc>
          <w:tcPr>
            <w:tcW w:w="723" w:type="dxa"/>
            <w:tcBorders>
              <w:top w:val="single" w:sz="4" w:space="0" w:color="FFFFFF"/>
            </w:tcBorders>
            <w:shd w:val="clear" w:color="000000" w:fill="FF0000"/>
            <w:vAlign w:val="center"/>
          </w:tcPr>
          <w:p w14:paraId="606C93EC"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79699</w:t>
            </w:r>
          </w:p>
        </w:tc>
        <w:tc>
          <w:tcPr>
            <w:tcW w:w="723" w:type="dxa"/>
            <w:tcBorders>
              <w:top w:val="single" w:sz="4" w:space="0" w:color="FFFFFF"/>
            </w:tcBorders>
            <w:shd w:val="clear" w:color="000000" w:fill="FF0000"/>
            <w:vAlign w:val="center"/>
          </w:tcPr>
          <w:p w14:paraId="4073BD12"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452929</w:t>
            </w:r>
          </w:p>
        </w:tc>
        <w:tc>
          <w:tcPr>
            <w:tcW w:w="723" w:type="dxa"/>
            <w:tcBorders>
              <w:top w:val="single" w:sz="4" w:space="0" w:color="FFFFFF"/>
            </w:tcBorders>
            <w:shd w:val="clear" w:color="000000" w:fill="FF0000"/>
            <w:vAlign w:val="center"/>
          </w:tcPr>
          <w:p w14:paraId="33292A71"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213703</w:t>
            </w:r>
          </w:p>
        </w:tc>
        <w:tc>
          <w:tcPr>
            <w:tcW w:w="763" w:type="dxa"/>
            <w:tcBorders>
              <w:top w:val="single" w:sz="4" w:space="0" w:color="FFFFFF"/>
            </w:tcBorders>
            <w:shd w:val="clear" w:color="000000" w:fill="00FF00"/>
            <w:vAlign w:val="center"/>
          </w:tcPr>
          <w:p w14:paraId="4D4DEECB"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53303</w:t>
            </w:r>
          </w:p>
        </w:tc>
        <w:tc>
          <w:tcPr>
            <w:tcW w:w="783" w:type="dxa"/>
            <w:tcBorders>
              <w:top w:val="single" w:sz="4" w:space="0" w:color="FFFFFF"/>
            </w:tcBorders>
            <w:shd w:val="clear" w:color="auto" w:fill="auto"/>
            <w:vAlign w:val="center"/>
          </w:tcPr>
          <w:p w14:paraId="41CEAEFF" w14:textId="77777777" w:rsidR="00085672" w:rsidRPr="005A1C76" w:rsidRDefault="00085672" w:rsidP="00D06AC0">
            <w:pPr>
              <w:spacing w:after="0" w:line="240" w:lineRule="auto"/>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171CAABA" w14:textId="77777777" w:rsidTr="00085672">
        <w:trPr>
          <w:cantSplit/>
          <w:trHeight w:val="227"/>
          <w:jc w:val="center"/>
        </w:trPr>
        <w:tc>
          <w:tcPr>
            <w:tcW w:w="1179" w:type="dxa"/>
            <w:vMerge/>
            <w:vAlign w:val="center"/>
          </w:tcPr>
          <w:p w14:paraId="26581605" w14:textId="77777777" w:rsidR="00085672" w:rsidRPr="005A1C76" w:rsidRDefault="00085672" w:rsidP="00085672">
            <w:pPr>
              <w:spacing w:after="0" w:line="240" w:lineRule="auto"/>
              <w:rPr>
                <w:rFonts w:eastAsia="Calibri" w:cs="Calibri"/>
                <w:sz w:val="20"/>
                <w:szCs w:val="20"/>
                <w:lang w:val="en-GB"/>
              </w:rPr>
            </w:pPr>
          </w:p>
        </w:tc>
        <w:tc>
          <w:tcPr>
            <w:tcW w:w="1356" w:type="dxa"/>
            <w:shd w:val="clear" w:color="auto" w:fill="auto"/>
            <w:vAlign w:val="center"/>
          </w:tcPr>
          <w:p w14:paraId="1C517378" w14:textId="77777777" w:rsidR="00085672" w:rsidRPr="005A1C76" w:rsidRDefault="00085672" w:rsidP="00D06AC0">
            <w:pPr>
              <w:spacing w:after="0" w:line="240" w:lineRule="auto"/>
              <w:rPr>
                <w:rFonts w:eastAsia="Calibri" w:cs="Calibri"/>
                <w:sz w:val="20"/>
                <w:szCs w:val="20"/>
                <w:lang w:val="sr-Latn-ME"/>
              </w:rPr>
            </w:pPr>
            <w:r w:rsidRPr="005A1C76">
              <w:rPr>
                <w:rFonts w:eastAsia="Calibri" w:cs="Calibri"/>
                <w:sz w:val="20"/>
                <w:szCs w:val="20"/>
                <w:lang w:val="en-GB"/>
              </w:rPr>
              <w:t>Brodogradili</w:t>
            </w:r>
            <w:r w:rsidRPr="005A1C76">
              <w:rPr>
                <w:rFonts w:eastAsia="Calibri" w:cs="Calibri"/>
                <w:sz w:val="20"/>
                <w:szCs w:val="20"/>
                <w:lang w:val="sr-Latn-ME"/>
              </w:rPr>
              <w:t>šte Bijela</w:t>
            </w:r>
          </w:p>
        </w:tc>
        <w:tc>
          <w:tcPr>
            <w:tcW w:w="655" w:type="dxa"/>
            <w:shd w:val="clear" w:color="000000" w:fill="00FF00"/>
            <w:vAlign w:val="center"/>
          </w:tcPr>
          <w:p w14:paraId="7BC7782A"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20071</w:t>
            </w:r>
          </w:p>
        </w:tc>
        <w:tc>
          <w:tcPr>
            <w:tcW w:w="548" w:type="dxa"/>
            <w:shd w:val="clear" w:color="000000" w:fill="00FF00"/>
            <w:vAlign w:val="center"/>
          </w:tcPr>
          <w:p w14:paraId="2E59DE97"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205</w:t>
            </w:r>
          </w:p>
        </w:tc>
        <w:tc>
          <w:tcPr>
            <w:tcW w:w="723" w:type="dxa"/>
            <w:shd w:val="clear" w:color="000000" w:fill="FF0000"/>
            <w:vAlign w:val="center"/>
          </w:tcPr>
          <w:p w14:paraId="48BD2018"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573058</w:t>
            </w:r>
          </w:p>
        </w:tc>
        <w:tc>
          <w:tcPr>
            <w:tcW w:w="651" w:type="dxa"/>
            <w:shd w:val="clear" w:color="000000" w:fill="FF0000"/>
            <w:vAlign w:val="center"/>
          </w:tcPr>
          <w:p w14:paraId="1A851F60"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402</w:t>
            </w:r>
          </w:p>
        </w:tc>
        <w:tc>
          <w:tcPr>
            <w:tcW w:w="723" w:type="dxa"/>
            <w:shd w:val="clear" w:color="000000" w:fill="FF0000"/>
            <w:vAlign w:val="center"/>
          </w:tcPr>
          <w:p w14:paraId="00115383"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92978</w:t>
            </w:r>
          </w:p>
        </w:tc>
        <w:tc>
          <w:tcPr>
            <w:tcW w:w="723" w:type="dxa"/>
            <w:shd w:val="clear" w:color="000000" w:fill="FF0000"/>
            <w:vAlign w:val="center"/>
          </w:tcPr>
          <w:p w14:paraId="33BD6D75"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394257</w:t>
            </w:r>
          </w:p>
        </w:tc>
        <w:tc>
          <w:tcPr>
            <w:tcW w:w="723" w:type="dxa"/>
            <w:shd w:val="clear" w:color="000000" w:fill="FF0000"/>
            <w:vAlign w:val="center"/>
          </w:tcPr>
          <w:p w14:paraId="051CE312"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483976</w:t>
            </w:r>
          </w:p>
        </w:tc>
        <w:tc>
          <w:tcPr>
            <w:tcW w:w="763" w:type="dxa"/>
            <w:shd w:val="clear" w:color="000000" w:fill="00FF00"/>
            <w:vAlign w:val="center"/>
          </w:tcPr>
          <w:p w14:paraId="403FE82E"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150141</w:t>
            </w:r>
          </w:p>
        </w:tc>
        <w:tc>
          <w:tcPr>
            <w:tcW w:w="783" w:type="dxa"/>
            <w:shd w:val="clear" w:color="auto" w:fill="auto"/>
            <w:vAlign w:val="center"/>
          </w:tcPr>
          <w:p w14:paraId="6EBB00DA" w14:textId="77777777" w:rsidR="00085672" w:rsidRPr="005A1C76" w:rsidRDefault="00085672" w:rsidP="00D06AC0">
            <w:pPr>
              <w:spacing w:after="0" w:line="240" w:lineRule="auto"/>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32D037F3" w14:textId="77777777" w:rsidTr="00085672">
        <w:trPr>
          <w:cantSplit/>
          <w:trHeight w:val="227"/>
          <w:jc w:val="center"/>
        </w:trPr>
        <w:tc>
          <w:tcPr>
            <w:tcW w:w="1179" w:type="dxa"/>
            <w:vMerge/>
            <w:vAlign w:val="center"/>
          </w:tcPr>
          <w:p w14:paraId="41CE5B0A" w14:textId="77777777" w:rsidR="00085672" w:rsidRPr="005A1C76" w:rsidRDefault="00085672" w:rsidP="00085672">
            <w:pPr>
              <w:spacing w:after="0" w:line="240" w:lineRule="auto"/>
              <w:rPr>
                <w:rFonts w:eastAsia="Calibri" w:cs="Calibri"/>
                <w:sz w:val="20"/>
                <w:szCs w:val="20"/>
                <w:lang w:val="en-GB"/>
              </w:rPr>
            </w:pPr>
          </w:p>
        </w:tc>
        <w:tc>
          <w:tcPr>
            <w:tcW w:w="1356" w:type="dxa"/>
            <w:shd w:val="clear" w:color="auto" w:fill="auto"/>
            <w:vAlign w:val="center"/>
          </w:tcPr>
          <w:p w14:paraId="248774B0" w14:textId="77777777" w:rsidR="00085672" w:rsidRPr="005A1C76" w:rsidRDefault="00085672" w:rsidP="00D06AC0">
            <w:pPr>
              <w:spacing w:after="0" w:line="240" w:lineRule="auto"/>
              <w:rPr>
                <w:rFonts w:eastAsia="Calibri" w:cs="Calibri"/>
                <w:sz w:val="20"/>
                <w:szCs w:val="20"/>
                <w:lang w:val="en-GB"/>
              </w:rPr>
            </w:pPr>
            <w:r w:rsidRPr="005A1C76">
              <w:rPr>
                <w:rFonts w:eastAsia="Calibri" w:cs="Calibri"/>
                <w:sz w:val="20"/>
                <w:szCs w:val="20"/>
                <w:lang w:val="en-GB"/>
              </w:rPr>
              <w:t>Porto Montenegro</w:t>
            </w:r>
          </w:p>
        </w:tc>
        <w:tc>
          <w:tcPr>
            <w:tcW w:w="655" w:type="dxa"/>
            <w:shd w:val="clear" w:color="000000" w:fill="FF0000"/>
            <w:vAlign w:val="center"/>
          </w:tcPr>
          <w:p w14:paraId="7B94468C"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38073</w:t>
            </w:r>
          </w:p>
        </w:tc>
        <w:tc>
          <w:tcPr>
            <w:tcW w:w="548" w:type="dxa"/>
            <w:shd w:val="clear" w:color="000000" w:fill="00FF00"/>
            <w:vAlign w:val="center"/>
          </w:tcPr>
          <w:p w14:paraId="0263550F"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473</w:t>
            </w:r>
          </w:p>
        </w:tc>
        <w:tc>
          <w:tcPr>
            <w:tcW w:w="723" w:type="dxa"/>
            <w:shd w:val="clear" w:color="000000" w:fill="00B0F0"/>
            <w:vAlign w:val="center"/>
          </w:tcPr>
          <w:p w14:paraId="37C2DF04"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53129</w:t>
            </w:r>
          </w:p>
        </w:tc>
        <w:tc>
          <w:tcPr>
            <w:tcW w:w="651" w:type="dxa"/>
            <w:shd w:val="clear" w:color="000000" w:fill="FF0000"/>
            <w:vAlign w:val="center"/>
          </w:tcPr>
          <w:p w14:paraId="49F269A2"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5845</w:t>
            </w:r>
          </w:p>
        </w:tc>
        <w:tc>
          <w:tcPr>
            <w:tcW w:w="723" w:type="dxa"/>
            <w:shd w:val="clear" w:color="000000" w:fill="FF0000"/>
            <w:vAlign w:val="center"/>
          </w:tcPr>
          <w:p w14:paraId="73CB39C6"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198008</w:t>
            </w:r>
          </w:p>
        </w:tc>
        <w:tc>
          <w:tcPr>
            <w:tcW w:w="723" w:type="dxa"/>
            <w:shd w:val="clear" w:color="000000" w:fill="FF0000"/>
            <w:vAlign w:val="center"/>
          </w:tcPr>
          <w:p w14:paraId="56745D89"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107571</w:t>
            </w:r>
          </w:p>
        </w:tc>
        <w:tc>
          <w:tcPr>
            <w:tcW w:w="723" w:type="dxa"/>
            <w:shd w:val="clear" w:color="000000" w:fill="FF0000"/>
            <w:vAlign w:val="center"/>
          </w:tcPr>
          <w:p w14:paraId="49352D4E"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474134</w:t>
            </w:r>
          </w:p>
        </w:tc>
        <w:tc>
          <w:tcPr>
            <w:tcW w:w="763" w:type="dxa"/>
            <w:shd w:val="clear" w:color="000000" w:fill="00FF00"/>
            <w:vAlign w:val="center"/>
          </w:tcPr>
          <w:p w14:paraId="1817EFB1"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75630</w:t>
            </w:r>
          </w:p>
        </w:tc>
        <w:tc>
          <w:tcPr>
            <w:tcW w:w="783" w:type="dxa"/>
            <w:shd w:val="clear" w:color="auto" w:fill="auto"/>
            <w:vAlign w:val="center"/>
          </w:tcPr>
          <w:p w14:paraId="6953116B" w14:textId="77777777" w:rsidR="00085672" w:rsidRPr="005A1C76" w:rsidRDefault="00085672" w:rsidP="00D06AC0">
            <w:pPr>
              <w:spacing w:after="0" w:line="240" w:lineRule="auto"/>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6754663D" w14:textId="77777777" w:rsidTr="00085672">
        <w:trPr>
          <w:cantSplit/>
          <w:trHeight w:val="227"/>
          <w:jc w:val="center"/>
        </w:trPr>
        <w:tc>
          <w:tcPr>
            <w:tcW w:w="1179" w:type="dxa"/>
            <w:vMerge/>
            <w:vAlign w:val="center"/>
          </w:tcPr>
          <w:p w14:paraId="78FF2556" w14:textId="77777777" w:rsidR="00085672" w:rsidRPr="005A1C76" w:rsidRDefault="00085672" w:rsidP="00085672">
            <w:pPr>
              <w:spacing w:after="0" w:line="240" w:lineRule="auto"/>
              <w:rPr>
                <w:rFonts w:eastAsia="Calibri" w:cs="Calibri"/>
                <w:sz w:val="20"/>
                <w:szCs w:val="20"/>
                <w:lang w:val="en-GB"/>
              </w:rPr>
            </w:pPr>
          </w:p>
        </w:tc>
        <w:tc>
          <w:tcPr>
            <w:tcW w:w="1356" w:type="dxa"/>
            <w:shd w:val="clear" w:color="auto" w:fill="auto"/>
            <w:vAlign w:val="center"/>
          </w:tcPr>
          <w:p w14:paraId="6F48600E" w14:textId="77777777" w:rsidR="00085672" w:rsidRPr="005A1C76" w:rsidRDefault="00085672" w:rsidP="00D06AC0">
            <w:pPr>
              <w:spacing w:after="0" w:line="240" w:lineRule="auto"/>
              <w:rPr>
                <w:rFonts w:eastAsia="Calibri" w:cs="Calibri"/>
                <w:sz w:val="20"/>
                <w:szCs w:val="20"/>
                <w:lang w:val="en-GB"/>
              </w:rPr>
            </w:pPr>
            <w:r w:rsidRPr="005A1C76">
              <w:rPr>
                <w:rFonts w:eastAsia="Calibri" w:cs="Calibri"/>
                <w:sz w:val="20"/>
                <w:szCs w:val="20"/>
                <w:lang w:val="en-GB"/>
              </w:rPr>
              <w:t>Luka Tivat</w:t>
            </w:r>
          </w:p>
        </w:tc>
        <w:tc>
          <w:tcPr>
            <w:tcW w:w="655" w:type="dxa"/>
            <w:shd w:val="clear" w:color="000000" w:fill="00B0F0"/>
            <w:vAlign w:val="center"/>
          </w:tcPr>
          <w:p w14:paraId="4699F731"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11240</w:t>
            </w:r>
          </w:p>
        </w:tc>
        <w:tc>
          <w:tcPr>
            <w:tcW w:w="548" w:type="dxa"/>
            <w:shd w:val="clear" w:color="000000" w:fill="00B0F0"/>
            <w:vAlign w:val="center"/>
          </w:tcPr>
          <w:p w14:paraId="1BACE141"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126</w:t>
            </w:r>
          </w:p>
        </w:tc>
        <w:tc>
          <w:tcPr>
            <w:tcW w:w="723" w:type="dxa"/>
            <w:shd w:val="clear" w:color="000000" w:fill="00B0F0"/>
            <w:vAlign w:val="center"/>
          </w:tcPr>
          <w:p w14:paraId="524A34E8"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56634</w:t>
            </w:r>
          </w:p>
        </w:tc>
        <w:tc>
          <w:tcPr>
            <w:tcW w:w="651" w:type="dxa"/>
            <w:shd w:val="clear" w:color="000000" w:fill="FF0000"/>
            <w:vAlign w:val="center"/>
          </w:tcPr>
          <w:p w14:paraId="03DC8E43"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992</w:t>
            </w:r>
          </w:p>
        </w:tc>
        <w:tc>
          <w:tcPr>
            <w:tcW w:w="723" w:type="dxa"/>
            <w:shd w:val="clear" w:color="000000" w:fill="00FF00"/>
            <w:vAlign w:val="center"/>
          </w:tcPr>
          <w:p w14:paraId="3F4A5BFC"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41032</w:t>
            </w:r>
          </w:p>
        </w:tc>
        <w:tc>
          <w:tcPr>
            <w:tcW w:w="723" w:type="dxa"/>
            <w:shd w:val="clear" w:color="000000" w:fill="FF0000"/>
            <w:vAlign w:val="center"/>
          </w:tcPr>
          <w:p w14:paraId="22B79C81"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90656</w:t>
            </w:r>
          </w:p>
        </w:tc>
        <w:tc>
          <w:tcPr>
            <w:tcW w:w="723" w:type="dxa"/>
            <w:shd w:val="clear" w:color="000000" w:fill="61FD65"/>
            <w:vAlign w:val="center"/>
          </w:tcPr>
          <w:p w14:paraId="78FBBF0D"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140276</w:t>
            </w:r>
          </w:p>
        </w:tc>
        <w:tc>
          <w:tcPr>
            <w:tcW w:w="763" w:type="dxa"/>
            <w:shd w:val="clear" w:color="000000" w:fill="00FF00"/>
            <w:vAlign w:val="center"/>
          </w:tcPr>
          <w:p w14:paraId="6CDD4CC8"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91480</w:t>
            </w:r>
          </w:p>
        </w:tc>
        <w:tc>
          <w:tcPr>
            <w:tcW w:w="783" w:type="dxa"/>
            <w:shd w:val="clear" w:color="auto" w:fill="auto"/>
            <w:vAlign w:val="center"/>
          </w:tcPr>
          <w:p w14:paraId="00D786A0" w14:textId="77777777" w:rsidR="00085672" w:rsidRPr="005A1C76" w:rsidRDefault="00085672" w:rsidP="00D06AC0">
            <w:pPr>
              <w:spacing w:after="0" w:line="240" w:lineRule="auto"/>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032D5886" w14:textId="77777777" w:rsidTr="00085672">
        <w:trPr>
          <w:cantSplit/>
          <w:trHeight w:val="260"/>
          <w:jc w:val="center"/>
        </w:trPr>
        <w:tc>
          <w:tcPr>
            <w:tcW w:w="1179" w:type="dxa"/>
            <w:vMerge/>
            <w:vAlign w:val="center"/>
          </w:tcPr>
          <w:p w14:paraId="2BE32241" w14:textId="77777777" w:rsidR="00085672" w:rsidRPr="005A1C76" w:rsidRDefault="00085672" w:rsidP="00085672">
            <w:pPr>
              <w:spacing w:after="0" w:line="240" w:lineRule="auto"/>
              <w:rPr>
                <w:rFonts w:eastAsia="Calibri" w:cs="Calibri"/>
                <w:sz w:val="20"/>
                <w:szCs w:val="20"/>
                <w:lang w:val="en-GB"/>
              </w:rPr>
            </w:pPr>
          </w:p>
        </w:tc>
        <w:tc>
          <w:tcPr>
            <w:tcW w:w="1356" w:type="dxa"/>
            <w:shd w:val="clear" w:color="auto" w:fill="auto"/>
            <w:vAlign w:val="center"/>
          </w:tcPr>
          <w:p w14:paraId="43A5F2BA" w14:textId="77777777" w:rsidR="00085672" w:rsidRPr="005A1C76" w:rsidRDefault="00085672" w:rsidP="00D06AC0">
            <w:pPr>
              <w:spacing w:after="0" w:line="240" w:lineRule="auto"/>
              <w:rPr>
                <w:rFonts w:eastAsia="Calibri" w:cs="Calibri"/>
                <w:sz w:val="20"/>
                <w:szCs w:val="20"/>
                <w:lang w:val="en-GB"/>
              </w:rPr>
            </w:pPr>
            <w:r w:rsidRPr="005A1C76">
              <w:rPr>
                <w:rFonts w:eastAsia="Calibri" w:cs="Calibri"/>
                <w:sz w:val="20"/>
                <w:szCs w:val="20"/>
                <w:lang w:val="en-GB"/>
              </w:rPr>
              <w:t>Luka Risan</w:t>
            </w:r>
          </w:p>
        </w:tc>
        <w:tc>
          <w:tcPr>
            <w:tcW w:w="655" w:type="dxa"/>
            <w:shd w:val="clear" w:color="000000" w:fill="00B0F0"/>
            <w:vAlign w:val="center"/>
          </w:tcPr>
          <w:p w14:paraId="505D9E9D"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9143</w:t>
            </w:r>
          </w:p>
        </w:tc>
        <w:tc>
          <w:tcPr>
            <w:tcW w:w="548" w:type="dxa"/>
            <w:shd w:val="clear" w:color="000000" w:fill="00FF00"/>
            <w:vAlign w:val="center"/>
          </w:tcPr>
          <w:p w14:paraId="329ACD18"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299</w:t>
            </w:r>
          </w:p>
        </w:tc>
        <w:tc>
          <w:tcPr>
            <w:tcW w:w="723" w:type="dxa"/>
            <w:shd w:val="clear" w:color="000000" w:fill="00B0F0"/>
            <w:vAlign w:val="center"/>
          </w:tcPr>
          <w:p w14:paraId="77BAE64F"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34693</w:t>
            </w:r>
          </w:p>
        </w:tc>
        <w:tc>
          <w:tcPr>
            <w:tcW w:w="651" w:type="dxa"/>
            <w:shd w:val="clear" w:color="000000" w:fill="FF0000"/>
            <w:vAlign w:val="center"/>
          </w:tcPr>
          <w:p w14:paraId="582267AC"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337</w:t>
            </w:r>
          </w:p>
        </w:tc>
        <w:tc>
          <w:tcPr>
            <w:tcW w:w="723" w:type="dxa"/>
            <w:shd w:val="clear" w:color="000000" w:fill="00B0F0"/>
            <w:vAlign w:val="center"/>
          </w:tcPr>
          <w:p w14:paraId="3AF01ECE"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16582</w:t>
            </w:r>
          </w:p>
        </w:tc>
        <w:tc>
          <w:tcPr>
            <w:tcW w:w="723" w:type="dxa"/>
            <w:shd w:val="clear" w:color="000000" w:fill="FF0000"/>
            <w:vAlign w:val="center"/>
          </w:tcPr>
          <w:p w14:paraId="28DA9F34"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66743</w:t>
            </w:r>
          </w:p>
        </w:tc>
        <w:tc>
          <w:tcPr>
            <w:tcW w:w="723" w:type="dxa"/>
            <w:shd w:val="clear" w:color="000000" w:fill="00B0F0"/>
            <w:vAlign w:val="center"/>
          </w:tcPr>
          <w:p w14:paraId="661A439D"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79951</w:t>
            </w:r>
          </w:p>
        </w:tc>
        <w:tc>
          <w:tcPr>
            <w:tcW w:w="763" w:type="dxa"/>
            <w:shd w:val="clear" w:color="000000" w:fill="00FF00"/>
            <w:vAlign w:val="center"/>
          </w:tcPr>
          <w:p w14:paraId="18A0C0F1"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50257</w:t>
            </w:r>
          </w:p>
        </w:tc>
        <w:tc>
          <w:tcPr>
            <w:tcW w:w="783" w:type="dxa"/>
            <w:shd w:val="clear" w:color="auto" w:fill="auto"/>
            <w:vAlign w:val="center"/>
          </w:tcPr>
          <w:p w14:paraId="6A16AE65" w14:textId="77777777" w:rsidR="00085672" w:rsidRPr="005A1C76" w:rsidRDefault="00085672" w:rsidP="00D06AC0">
            <w:pPr>
              <w:spacing w:after="0" w:line="240" w:lineRule="auto"/>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4040E1F6" w14:textId="77777777" w:rsidTr="00085672">
        <w:trPr>
          <w:cantSplit/>
          <w:trHeight w:val="227"/>
          <w:jc w:val="center"/>
        </w:trPr>
        <w:tc>
          <w:tcPr>
            <w:tcW w:w="1179" w:type="dxa"/>
            <w:vMerge/>
            <w:vAlign w:val="center"/>
          </w:tcPr>
          <w:p w14:paraId="7DA9BB82" w14:textId="77777777" w:rsidR="00085672" w:rsidRPr="005A1C76" w:rsidRDefault="00085672" w:rsidP="00085672">
            <w:pPr>
              <w:spacing w:after="0" w:line="240" w:lineRule="auto"/>
              <w:rPr>
                <w:rFonts w:eastAsia="Calibri" w:cs="Calibri"/>
                <w:sz w:val="20"/>
                <w:szCs w:val="20"/>
                <w:lang w:val="en-GB"/>
              </w:rPr>
            </w:pPr>
          </w:p>
        </w:tc>
        <w:tc>
          <w:tcPr>
            <w:tcW w:w="1356" w:type="dxa"/>
            <w:shd w:val="clear" w:color="auto" w:fill="auto"/>
            <w:vAlign w:val="center"/>
          </w:tcPr>
          <w:p w14:paraId="738B5839" w14:textId="77777777" w:rsidR="00085672" w:rsidRPr="005A1C76" w:rsidRDefault="00085672" w:rsidP="00D06AC0">
            <w:pPr>
              <w:spacing w:after="0" w:line="240" w:lineRule="auto"/>
              <w:rPr>
                <w:rFonts w:eastAsia="Calibri" w:cs="Calibri"/>
                <w:sz w:val="20"/>
                <w:szCs w:val="20"/>
                <w:lang w:val="en-GB"/>
              </w:rPr>
            </w:pPr>
            <w:r w:rsidRPr="005A1C76">
              <w:rPr>
                <w:rFonts w:eastAsia="Calibri" w:cs="Calibri"/>
                <w:sz w:val="20"/>
                <w:szCs w:val="20"/>
                <w:lang w:val="en-GB"/>
              </w:rPr>
              <w:t>IBM-Dobrota</w:t>
            </w:r>
          </w:p>
        </w:tc>
        <w:tc>
          <w:tcPr>
            <w:tcW w:w="655" w:type="dxa"/>
            <w:shd w:val="clear" w:color="000000" w:fill="00B0F0"/>
            <w:vAlign w:val="center"/>
          </w:tcPr>
          <w:p w14:paraId="43C46623"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12310</w:t>
            </w:r>
          </w:p>
        </w:tc>
        <w:tc>
          <w:tcPr>
            <w:tcW w:w="548" w:type="dxa"/>
            <w:shd w:val="clear" w:color="000000" w:fill="00FF00"/>
            <w:vAlign w:val="center"/>
          </w:tcPr>
          <w:p w14:paraId="608F280D"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366</w:t>
            </w:r>
          </w:p>
        </w:tc>
        <w:tc>
          <w:tcPr>
            <w:tcW w:w="723" w:type="dxa"/>
            <w:shd w:val="clear" w:color="000000" w:fill="FF0000"/>
            <w:vAlign w:val="center"/>
          </w:tcPr>
          <w:p w14:paraId="6F0064AB"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172903</w:t>
            </w:r>
          </w:p>
        </w:tc>
        <w:tc>
          <w:tcPr>
            <w:tcW w:w="651" w:type="dxa"/>
            <w:shd w:val="clear" w:color="000000" w:fill="FF0000"/>
            <w:vAlign w:val="center"/>
          </w:tcPr>
          <w:p w14:paraId="7D22EE2D"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506</w:t>
            </w:r>
          </w:p>
        </w:tc>
        <w:tc>
          <w:tcPr>
            <w:tcW w:w="723" w:type="dxa"/>
            <w:shd w:val="clear" w:color="000000" w:fill="FF0000"/>
            <w:vAlign w:val="center"/>
          </w:tcPr>
          <w:p w14:paraId="40183081"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49621</w:t>
            </w:r>
          </w:p>
        </w:tc>
        <w:tc>
          <w:tcPr>
            <w:tcW w:w="723" w:type="dxa"/>
            <w:shd w:val="clear" w:color="000000" w:fill="FF0000"/>
            <w:vAlign w:val="center"/>
          </w:tcPr>
          <w:p w14:paraId="7B099DF3"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36868</w:t>
            </w:r>
          </w:p>
        </w:tc>
        <w:tc>
          <w:tcPr>
            <w:tcW w:w="723" w:type="dxa"/>
            <w:shd w:val="clear" w:color="000000" w:fill="FF0000"/>
            <w:vAlign w:val="center"/>
          </w:tcPr>
          <w:p w14:paraId="3AFD725B"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161956</w:t>
            </w:r>
          </w:p>
        </w:tc>
        <w:tc>
          <w:tcPr>
            <w:tcW w:w="763" w:type="dxa"/>
            <w:shd w:val="clear" w:color="000000" w:fill="00FF00"/>
            <w:vAlign w:val="center"/>
          </w:tcPr>
          <w:p w14:paraId="2818E94C"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101711</w:t>
            </w:r>
          </w:p>
        </w:tc>
        <w:tc>
          <w:tcPr>
            <w:tcW w:w="783" w:type="dxa"/>
            <w:shd w:val="clear" w:color="auto" w:fill="auto"/>
            <w:vAlign w:val="center"/>
          </w:tcPr>
          <w:p w14:paraId="5EBAD316" w14:textId="77777777" w:rsidR="00085672" w:rsidRPr="005A1C76" w:rsidRDefault="00085672" w:rsidP="00D06AC0">
            <w:pPr>
              <w:spacing w:after="0" w:line="240" w:lineRule="auto"/>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69695780" w14:textId="77777777" w:rsidTr="00085672">
        <w:trPr>
          <w:cantSplit/>
          <w:trHeight w:val="227"/>
          <w:jc w:val="center"/>
        </w:trPr>
        <w:tc>
          <w:tcPr>
            <w:tcW w:w="1179" w:type="dxa"/>
            <w:vMerge/>
            <w:vAlign w:val="center"/>
          </w:tcPr>
          <w:p w14:paraId="14297495" w14:textId="77777777" w:rsidR="00085672" w:rsidRPr="005A1C76" w:rsidRDefault="00085672" w:rsidP="00085672">
            <w:pPr>
              <w:spacing w:after="0" w:line="240" w:lineRule="auto"/>
              <w:rPr>
                <w:rFonts w:eastAsia="Calibri" w:cs="Calibri"/>
                <w:sz w:val="20"/>
                <w:szCs w:val="20"/>
                <w:lang w:val="en-GB"/>
              </w:rPr>
            </w:pPr>
          </w:p>
        </w:tc>
        <w:tc>
          <w:tcPr>
            <w:tcW w:w="1356" w:type="dxa"/>
            <w:shd w:val="clear" w:color="auto" w:fill="auto"/>
            <w:vAlign w:val="center"/>
          </w:tcPr>
          <w:p w14:paraId="156A4648" w14:textId="77777777" w:rsidR="00085672" w:rsidRPr="005A1C76" w:rsidRDefault="00085672" w:rsidP="00D06AC0">
            <w:pPr>
              <w:spacing w:after="0" w:line="240" w:lineRule="auto"/>
              <w:rPr>
                <w:rFonts w:eastAsia="Calibri" w:cs="Calibri"/>
                <w:sz w:val="20"/>
                <w:szCs w:val="20"/>
                <w:lang w:val="en-GB"/>
              </w:rPr>
            </w:pPr>
            <w:r w:rsidRPr="005A1C76">
              <w:rPr>
                <w:rFonts w:eastAsia="Calibri" w:cs="Calibri"/>
                <w:sz w:val="20"/>
                <w:szCs w:val="20"/>
                <w:lang w:val="en-GB"/>
              </w:rPr>
              <w:t>Luka Kotor</w:t>
            </w:r>
          </w:p>
        </w:tc>
        <w:tc>
          <w:tcPr>
            <w:tcW w:w="655" w:type="dxa"/>
            <w:shd w:val="clear" w:color="000000" w:fill="00B0F0"/>
            <w:vAlign w:val="center"/>
          </w:tcPr>
          <w:p w14:paraId="2916FCF1"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9775</w:t>
            </w:r>
          </w:p>
        </w:tc>
        <w:tc>
          <w:tcPr>
            <w:tcW w:w="548" w:type="dxa"/>
            <w:shd w:val="clear" w:color="000000" w:fill="00FF00"/>
            <w:vAlign w:val="center"/>
          </w:tcPr>
          <w:p w14:paraId="71F279A5"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533</w:t>
            </w:r>
          </w:p>
        </w:tc>
        <w:tc>
          <w:tcPr>
            <w:tcW w:w="723" w:type="dxa"/>
            <w:shd w:val="clear" w:color="000000" w:fill="00B0F0"/>
            <w:vAlign w:val="center"/>
          </w:tcPr>
          <w:p w14:paraId="7E31B5CF"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53924</w:t>
            </w:r>
          </w:p>
        </w:tc>
        <w:tc>
          <w:tcPr>
            <w:tcW w:w="651" w:type="dxa"/>
            <w:shd w:val="clear" w:color="000000" w:fill="FF0000"/>
            <w:vAlign w:val="center"/>
          </w:tcPr>
          <w:p w14:paraId="5418C49A"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899</w:t>
            </w:r>
          </w:p>
        </w:tc>
        <w:tc>
          <w:tcPr>
            <w:tcW w:w="723" w:type="dxa"/>
            <w:shd w:val="clear" w:color="000000" w:fill="FF0000"/>
            <w:vAlign w:val="center"/>
          </w:tcPr>
          <w:p w14:paraId="553B3245"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85133</w:t>
            </w:r>
          </w:p>
        </w:tc>
        <w:tc>
          <w:tcPr>
            <w:tcW w:w="723" w:type="dxa"/>
            <w:shd w:val="clear" w:color="000000" w:fill="FF0000"/>
            <w:vAlign w:val="center"/>
          </w:tcPr>
          <w:p w14:paraId="5B04513D"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76540</w:t>
            </w:r>
          </w:p>
        </w:tc>
        <w:tc>
          <w:tcPr>
            <w:tcW w:w="723" w:type="dxa"/>
            <w:shd w:val="clear" w:color="000000" w:fill="FF0000"/>
            <w:vAlign w:val="center"/>
          </w:tcPr>
          <w:p w14:paraId="4FAD78A3"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295169</w:t>
            </w:r>
          </w:p>
        </w:tc>
        <w:tc>
          <w:tcPr>
            <w:tcW w:w="763" w:type="dxa"/>
            <w:shd w:val="clear" w:color="000000" w:fill="00FF00"/>
            <w:vAlign w:val="center"/>
          </w:tcPr>
          <w:p w14:paraId="4CF9D922"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95191</w:t>
            </w:r>
          </w:p>
        </w:tc>
        <w:tc>
          <w:tcPr>
            <w:tcW w:w="783" w:type="dxa"/>
            <w:shd w:val="clear" w:color="auto" w:fill="auto"/>
            <w:vAlign w:val="center"/>
          </w:tcPr>
          <w:p w14:paraId="280BD7FA" w14:textId="77777777" w:rsidR="00085672" w:rsidRPr="005A1C76" w:rsidRDefault="00085672" w:rsidP="00D06AC0">
            <w:pPr>
              <w:spacing w:after="0" w:line="240" w:lineRule="auto"/>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5509CF2C" w14:textId="77777777" w:rsidTr="00085672">
        <w:trPr>
          <w:cantSplit/>
          <w:trHeight w:val="227"/>
          <w:jc w:val="center"/>
        </w:trPr>
        <w:tc>
          <w:tcPr>
            <w:tcW w:w="1179" w:type="dxa"/>
            <w:vMerge w:val="restart"/>
            <w:vAlign w:val="center"/>
          </w:tcPr>
          <w:p w14:paraId="094EC6DC"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r w:rsidRPr="005A1C76">
              <w:rPr>
                <w:rFonts w:eastAsia="Calibri" w:cs="Calibri"/>
                <w:sz w:val="20"/>
                <w:szCs w:val="20"/>
                <w:lang w:val="en-GB"/>
              </w:rPr>
              <w:t xml:space="preserve">Priobalno – otvoreno more </w:t>
            </w:r>
          </w:p>
          <w:p w14:paraId="2E2F94FA"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356" w:type="dxa"/>
            <w:shd w:val="clear" w:color="auto" w:fill="auto"/>
            <w:vAlign w:val="center"/>
          </w:tcPr>
          <w:p w14:paraId="7273175B" w14:textId="77777777" w:rsidR="00085672" w:rsidRPr="005A1C76" w:rsidRDefault="00085672" w:rsidP="00D06AC0">
            <w:pPr>
              <w:spacing w:after="0" w:line="240" w:lineRule="auto"/>
              <w:rPr>
                <w:rFonts w:eastAsia="Calibri" w:cs="Calibri"/>
                <w:sz w:val="20"/>
                <w:szCs w:val="20"/>
                <w:lang w:val="en-GB"/>
              </w:rPr>
            </w:pPr>
            <w:r w:rsidRPr="005A1C76">
              <w:rPr>
                <w:rFonts w:eastAsia="Calibri" w:cs="Calibri"/>
                <w:sz w:val="20"/>
                <w:szCs w:val="20"/>
                <w:lang w:val="en-GB"/>
              </w:rPr>
              <w:t>Lustica</w:t>
            </w:r>
          </w:p>
        </w:tc>
        <w:tc>
          <w:tcPr>
            <w:tcW w:w="655" w:type="dxa"/>
            <w:shd w:val="clear" w:color="000000" w:fill="00B0F0"/>
            <w:vAlign w:val="center"/>
          </w:tcPr>
          <w:p w14:paraId="4453E469"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12040</w:t>
            </w:r>
          </w:p>
        </w:tc>
        <w:tc>
          <w:tcPr>
            <w:tcW w:w="548" w:type="dxa"/>
            <w:shd w:val="clear" w:color="000000" w:fill="00FF00"/>
            <w:vAlign w:val="center"/>
          </w:tcPr>
          <w:p w14:paraId="616E6EC7"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484</w:t>
            </w:r>
          </w:p>
        </w:tc>
        <w:tc>
          <w:tcPr>
            <w:tcW w:w="723" w:type="dxa"/>
            <w:shd w:val="clear" w:color="000000" w:fill="00B0F0"/>
            <w:vAlign w:val="center"/>
          </w:tcPr>
          <w:p w14:paraId="649CB1F1"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27270</w:t>
            </w:r>
          </w:p>
        </w:tc>
        <w:tc>
          <w:tcPr>
            <w:tcW w:w="651" w:type="dxa"/>
            <w:shd w:val="clear" w:color="000000" w:fill="00B0F0"/>
            <w:vAlign w:val="center"/>
          </w:tcPr>
          <w:p w14:paraId="6A6348BC"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65</w:t>
            </w:r>
          </w:p>
        </w:tc>
        <w:tc>
          <w:tcPr>
            <w:tcW w:w="723" w:type="dxa"/>
            <w:shd w:val="clear" w:color="000000" w:fill="00B0F0"/>
            <w:vAlign w:val="center"/>
          </w:tcPr>
          <w:p w14:paraId="7DEA3A7F"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7735</w:t>
            </w:r>
          </w:p>
        </w:tc>
        <w:tc>
          <w:tcPr>
            <w:tcW w:w="723" w:type="dxa"/>
            <w:shd w:val="clear" w:color="000000" w:fill="FF0000"/>
            <w:vAlign w:val="center"/>
          </w:tcPr>
          <w:p w14:paraId="1DD3110D"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49960</w:t>
            </w:r>
          </w:p>
        </w:tc>
        <w:tc>
          <w:tcPr>
            <w:tcW w:w="723" w:type="dxa"/>
            <w:shd w:val="clear" w:color="000000" w:fill="00B0F0"/>
            <w:vAlign w:val="center"/>
          </w:tcPr>
          <w:p w14:paraId="4541DD63"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16065</w:t>
            </w:r>
          </w:p>
        </w:tc>
        <w:tc>
          <w:tcPr>
            <w:tcW w:w="763" w:type="dxa"/>
            <w:shd w:val="clear" w:color="000000" w:fill="00B0F0"/>
            <w:vAlign w:val="center"/>
          </w:tcPr>
          <w:p w14:paraId="0AD70B9D"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26758</w:t>
            </w:r>
          </w:p>
        </w:tc>
        <w:tc>
          <w:tcPr>
            <w:tcW w:w="783" w:type="dxa"/>
            <w:shd w:val="clear" w:color="auto" w:fill="auto"/>
            <w:vAlign w:val="center"/>
          </w:tcPr>
          <w:p w14:paraId="76E5480B" w14:textId="77777777" w:rsidR="00085672" w:rsidRPr="005A1C76" w:rsidRDefault="00085672" w:rsidP="00D06AC0">
            <w:pPr>
              <w:spacing w:after="0" w:line="240" w:lineRule="auto"/>
              <w:jc w:val="center"/>
              <w:rPr>
                <w:rFonts w:eastAsia="Calibri" w:cs="Calibri"/>
                <w:b/>
                <w:sz w:val="20"/>
                <w:szCs w:val="20"/>
                <w:lang w:val="en-GB"/>
              </w:rPr>
            </w:pPr>
            <w:r w:rsidRPr="005A1C76">
              <w:rPr>
                <w:rFonts w:eastAsia="Calibri" w:cs="Calibri"/>
                <w:b/>
                <w:sz w:val="20"/>
                <w:szCs w:val="20"/>
                <w:lang w:val="en-GB"/>
              </w:rPr>
              <w:t>CM</w:t>
            </w:r>
          </w:p>
        </w:tc>
      </w:tr>
      <w:tr w:rsidR="00085672" w:rsidRPr="005A1C76" w14:paraId="3D8F069E" w14:textId="77777777" w:rsidTr="00085672">
        <w:trPr>
          <w:cantSplit/>
          <w:trHeight w:val="227"/>
          <w:jc w:val="center"/>
        </w:trPr>
        <w:tc>
          <w:tcPr>
            <w:tcW w:w="1179" w:type="dxa"/>
            <w:vMerge/>
            <w:vAlign w:val="center"/>
          </w:tcPr>
          <w:p w14:paraId="745DAA84"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356" w:type="dxa"/>
            <w:shd w:val="clear" w:color="auto" w:fill="auto"/>
            <w:vAlign w:val="center"/>
          </w:tcPr>
          <w:p w14:paraId="48637A7F" w14:textId="77777777" w:rsidR="00085672" w:rsidRPr="005A1C76" w:rsidRDefault="00085672" w:rsidP="00D06AC0">
            <w:pPr>
              <w:spacing w:after="0" w:line="240" w:lineRule="auto"/>
              <w:rPr>
                <w:rFonts w:eastAsia="Calibri" w:cs="Calibri"/>
                <w:sz w:val="20"/>
                <w:szCs w:val="20"/>
                <w:lang w:val="en-GB"/>
              </w:rPr>
            </w:pPr>
            <w:r w:rsidRPr="005A1C76">
              <w:rPr>
                <w:rFonts w:eastAsia="Calibri" w:cs="Calibri"/>
                <w:sz w:val="20"/>
                <w:szCs w:val="20"/>
                <w:lang w:val="en-GB"/>
              </w:rPr>
              <w:t>Luštica-Dobra Luka</w:t>
            </w:r>
          </w:p>
        </w:tc>
        <w:tc>
          <w:tcPr>
            <w:tcW w:w="655" w:type="dxa"/>
            <w:shd w:val="clear" w:color="000000" w:fill="00B0F0"/>
            <w:vAlign w:val="center"/>
          </w:tcPr>
          <w:p w14:paraId="2B5F2D62"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5778</w:t>
            </w:r>
          </w:p>
        </w:tc>
        <w:tc>
          <w:tcPr>
            <w:tcW w:w="548" w:type="dxa"/>
            <w:shd w:val="clear" w:color="000000" w:fill="00FF00"/>
            <w:vAlign w:val="center"/>
          </w:tcPr>
          <w:p w14:paraId="7D5CDADF"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190</w:t>
            </w:r>
          </w:p>
        </w:tc>
        <w:tc>
          <w:tcPr>
            <w:tcW w:w="723" w:type="dxa"/>
            <w:shd w:val="clear" w:color="000000" w:fill="00B0F0"/>
            <w:vAlign w:val="center"/>
          </w:tcPr>
          <w:p w14:paraId="6E4587C8"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7700</w:t>
            </w:r>
          </w:p>
        </w:tc>
        <w:tc>
          <w:tcPr>
            <w:tcW w:w="651" w:type="dxa"/>
            <w:shd w:val="clear" w:color="000000" w:fill="00B0F0"/>
            <w:vAlign w:val="center"/>
          </w:tcPr>
          <w:p w14:paraId="7C76FDB6"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36</w:t>
            </w:r>
          </w:p>
        </w:tc>
        <w:tc>
          <w:tcPr>
            <w:tcW w:w="723" w:type="dxa"/>
            <w:shd w:val="clear" w:color="000000" w:fill="00B0F0"/>
            <w:vAlign w:val="center"/>
          </w:tcPr>
          <w:p w14:paraId="7BF02B45"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4512</w:t>
            </w:r>
          </w:p>
        </w:tc>
        <w:tc>
          <w:tcPr>
            <w:tcW w:w="723" w:type="dxa"/>
            <w:shd w:val="clear" w:color="000000" w:fill="00B0F0"/>
            <w:vAlign w:val="center"/>
          </w:tcPr>
          <w:p w14:paraId="47B8F585"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4181</w:t>
            </w:r>
          </w:p>
        </w:tc>
        <w:tc>
          <w:tcPr>
            <w:tcW w:w="723" w:type="dxa"/>
            <w:shd w:val="clear" w:color="000000" w:fill="00B0F0"/>
            <w:vAlign w:val="center"/>
          </w:tcPr>
          <w:p w14:paraId="1DAFC81C"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7246</w:t>
            </w:r>
          </w:p>
        </w:tc>
        <w:tc>
          <w:tcPr>
            <w:tcW w:w="763" w:type="dxa"/>
            <w:shd w:val="clear" w:color="000000" w:fill="00B0F0"/>
            <w:vAlign w:val="center"/>
          </w:tcPr>
          <w:p w14:paraId="7B9C9703"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7598</w:t>
            </w:r>
          </w:p>
        </w:tc>
        <w:tc>
          <w:tcPr>
            <w:tcW w:w="783" w:type="dxa"/>
            <w:shd w:val="clear" w:color="auto" w:fill="auto"/>
            <w:vAlign w:val="center"/>
          </w:tcPr>
          <w:p w14:paraId="415A3AD0" w14:textId="77777777" w:rsidR="00085672" w:rsidRPr="005A1C76" w:rsidRDefault="00085672" w:rsidP="00D06AC0">
            <w:pPr>
              <w:spacing w:after="0" w:line="240" w:lineRule="auto"/>
              <w:jc w:val="center"/>
              <w:rPr>
                <w:rFonts w:eastAsia="Calibri" w:cs="Calibri"/>
                <w:b/>
                <w:sz w:val="20"/>
                <w:szCs w:val="20"/>
                <w:lang w:val="en-GB"/>
              </w:rPr>
            </w:pPr>
            <w:r w:rsidRPr="005A1C76">
              <w:rPr>
                <w:rFonts w:eastAsia="Calibri" w:cs="Calibri"/>
                <w:b/>
                <w:sz w:val="20"/>
                <w:szCs w:val="20"/>
                <w:lang w:val="en-GB"/>
              </w:rPr>
              <w:t>CR</w:t>
            </w:r>
          </w:p>
        </w:tc>
      </w:tr>
      <w:tr w:rsidR="00085672" w:rsidRPr="005A1C76" w14:paraId="2D3EDE65" w14:textId="77777777" w:rsidTr="00085672">
        <w:trPr>
          <w:cantSplit/>
          <w:trHeight w:val="227"/>
          <w:jc w:val="center"/>
        </w:trPr>
        <w:tc>
          <w:tcPr>
            <w:tcW w:w="1179" w:type="dxa"/>
            <w:vMerge/>
            <w:vAlign w:val="center"/>
          </w:tcPr>
          <w:p w14:paraId="32FDB90F"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356" w:type="dxa"/>
            <w:shd w:val="clear" w:color="auto" w:fill="auto"/>
            <w:vAlign w:val="center"/>
          </w:tcPr>
          <w:p w14:paraId="4AB1503C" w14:textId="77777777" w:rsidR="00085672" w:rsidRPr="005A1C76" w:rsidRDefault="00085672" w:rsidP="00D06AC0">
            <w:pPr>
              <w:spacing w:after="0" w:line="240" w:lineRule="auto"/>
              <w:rPr>
                <w:rFonts w:eastAsia="Calibri" w:cs="Calibri"/>
                <w:sz w:val="20"/>
                <w:szCs w:val="20"/>
                <w:lang w:val="en-GB"/>
              </w:rPr>
            </w:pPr>
            <w:r w:rsidRPr="005A1C76">
              <w:rPr>
                <w:rFonts w:eastAsia="Calibri" w:cs="Calibri"/>
                <w:sz w:val="20"/>
                <w:szCs w:val="20"/>
                <w:lang w:val="en-GB"/>
              </w:rPr>
              <w:t>Luka Budva</w:t>
            </w:r>
          </w:p>
        </w:tc>
        <w:tc>
          <w:tcPr>
            <w:tcW w:w="655" w:type="dxa"/>
            <w:shd w:val="clear" w:color="000000" w:fill="00B0F0"/>
            <w:vAlign w:val="center"/>
          </w:tcPr>
          <w:p w14:paraId="0F5FFB32"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5390</w:t>
            </w:r>
          </w:p>
        </w:tc>
        <w:tc>
          <w:tcPr>
            <w:tcW w:w="548" w:type="dxa"/>
            <w:shd w:val="clear" w:color="000000" w:fill="00FF00"/>
            <w:vAlign w:val="center"/>
          </w:tcPr>
          <w:p w14:paraId="70346821"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168</w:t>
            </w:r>
          </w:p>
        </w:tc>
        <w:tc>
          <w:tcPr>
            <w:tcW w:w="723" w:type="dxa"/>
            <w:shd w:val="clear" w:color="000000" w:fill="00B0F0"/>
            <w:vAlign w:val="center"/>
          </w:tcPr>
          <w:p w14:paraId="258BB852"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18898</w:t>
            </w:r>
          </w:p>
        </w:tc>
        <w:tc>
          <w:tcPr>
            <w:tcW w:w="651" w:type="dxa"/>
            <w:shd w:val="clear" w:color="000000" w:fill="00FF00"/>
            <w:vAlign w:val="center"/>
          </w:tcPr>
          <w:p w14:paraId="7C2ADEDA"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107</w:t>
            </w:r>
          </w:p>
        </w:tc>
        <w:tc>
          <w:tcPr>
            <w:tcW w:w="723" w:type="dxa"/>
            <w:shd w:val="clear" w:color="000000" w:fill="00B0F0"/>
            <w:vAlign w:val="center"/>
          </w:tcPr>
          <w:p w14:paraId="13B452D3"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18829</w:t>
            </w:r>
          </w:p>
        </w:tc>
        <w:tc>
          <w:tcPr>
            <w:tcW w:w="723" w:type="dxa"/>
            <w:shd w:val="clear" w:color="000000" w:fill="FF0000"/>
            <w:vAlign w:val="center"/>
          </w:tcPr>
          <w:p w14:paraId="07DA256C"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37111</w:t>
            </w:r>
          </w:p>
        </w:tc>
        <w:tc>
          <w:tcPr>
            <w:tcW w:w="723" w:type="dxa"/>
            <w:shd w:val="clear" w:color="000000" w:fill="00B0F0"/>
            <w:vAlign w:val="center"/>
          </w:tcPr>
          <w:p w14:paraId="56DA5F9F"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62670</w:t>
            </w:r>
          </w:p>
        </w:tc>
        <w:tc>
          <w:tcPr>
            <w:tcW w:w="763" w:type="dxa"/>
            <w:shd w:val="clear" w:color="000000" w:fill="00B0F0"/>
            <w:vAlign w:val="center"/>
          </w:tcPr>
          <w:p w14:paraId="12934A3B"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30587</w:t>
            </w:r>
          </w:p>
        </w:tc>
        <w:tc>
          <w:tcPr>
            <w:tcW w:w="783" w:type="dxa"/>
            <w:shd w:val="clear" w:color="auto" w:fill="auto"/>
            <w:vAlign w:val="center"/>
          </w:tcPr>
          <w:p w14:paraId="37936963" w14:textId="77777777" w:rsidR="00085672" w:rsidRPr="005A1C76" w:rsidRDefault="00085672" w:rsidP="00D06AC0">
            <w:pPr>
              <w:spacing w:after="0" w:line="240" w:lineRule="auto"/>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3BB0E19C" w14:textId="77777777" w:rsidTr="00085672">
        <w:trPr>
          <w:cantSplit/>
          <w:trHeight w:val="227"/>
          <w:jc w:val="center"/>
        </w:trPr>
        <w:tc>
          <w:tcPr>
            <w:tcW w:w="1179" w:type="dxa"/>
            <w:vMerge/>
            <w:vAlign w:val="center"/>
          </w:tcPr>
          <w:p w14:paraId="5FE6A3F4"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356" w:type="dxa"/>
            <w:shd w:val="clear" w:color="auto" w:fill="auto"/>
            <w:vAlign w:val="center"/>
          </w:tcPr>
          <w:p w14:paraId="2E2CAA9F" w14:textId="77777777" w:rsidR="00085672" w:rsidRPr="005A1C76" w:rsidRDefault="00085672" w:rsidP="00D06AC0">
            <w:pPr>
              <w:spacing w:after="0" w:line="240" w:lineRule="auto"/>
              <w:rPr>
                <w:rFonts w:eastAsia="Calibri" w:cs="Calibri"/>
                <w:sz w:val="20"/>
                <w:szCs w:val="20"/>
                <w:lang w:val="en-GB"/>
              </w:rPr>
            </w:pPr>
            <w:r w:rsidRPr="005A1C76">
              <w:rPr>
                <w:rFonts w:eastAsia="Calibri" w:cs="Calibri"/>
                <w:sz w:val="20"/>
                <w:szCs w:val="20"/>
                <w:lang w:val="en-GB"/>
              </w:rPr>
              <w:t>Luka Bar</w:t>
            </w:r>
          </w:p>
        </w:tc>
        <w:tc>
          <w:tcPr>
            <w:tcW w:w="655" w:type="dxa"/>
            <w:shd w:val="clear" w:color="000000" w:fill="00B0F0"/>
            <w:vAlign w:val="center"/>
          </w:tcPr>
          <w:p w14:paraId="029A6D95"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13572</w:t>
            </w:r>
          </w:p>
        </w:tc>
        <w:tc>
          <w:tcPr>
            <w:tcW w:w="548" w:type="dxa"/>
            <w:shd w:val="clear" w:color="000000" w:fill="FF0000"/>
            <w:vAlign w:val="center"/>
          </w:tcPr>
          <w:p w14:paraId="796A9C1B"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2887</w:t>
            </w:r>
          </w:p>
        </w:tc>
        <w:tc>
          <w:tcPr>
            <w:tcW w:w="723" w:type="dxa"/>
            <w:shd w:val="clear" w:color="000000" w:fill="00B0F0"/>
            <w:vAlign w:val="center"/>
          </w:tcPr>
          <w:p w14:paraId="09F3B3BF"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45692</w:t>
            </w:r>
          </w:p>
        </w:tc>
        <w:tc>
          <w:tcPr>
            <w:tcW w:w="651" w:type="dxa"/>
            <w:shd w:val="clear" w:color="000000" w:fill="FF0000"/>
            <w:vAlign w:val="center"/>
          </w:tcPr>
          <w:p w14:paraId="65435B36"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312</w:t>
            </w:r>
          </w:p>
        </w:tc>
        <w:tc>
          <w:tcPr>
            <w:tcW w:w="723" w:type="dxa"/>
            <w:shd w:val="clear" w:color="000000" w:fill="FF0000"/>
            <w:vAlign w:val="center"/>
          </w:tcPr>
          <w:p w14:paraId="640F02A1"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288994</w:t>
            </w:r>
          </w:p>
        </w:tc>
        <w:tc>
          <w:tcPr>
            <w:tcW w:w="723" w:type="dxa"/>
            <w:shd w:val="clear" w:color="000000" w:fill="FF0000"/>
            <w:vAlign w:val="center"/>
          </w:tcPr>
          <w:p w14:paraId="2EE4B66D"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136562</w:t>
            </w:r>
          </w:p>
        </w:tc>
        <w:tc>
          <w:tcPr>
            <w:tcW w:w="723" w:type="dxa"/>
            <w:shd w:val="clear" w:color="000000" w:fill="FF0000"/>
            <w:vAlign w:val="center"/>
          </w:tcPr>
          <w:p w14:paraId="17374892"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808096</w:t>
            </w:r>
          </w:p>
        </w:tc>
        <w:tc>
          <w:tcPr>
            <w:tcW w:w="763" w:type="dxa"/>
            <w:shd w:val="clear" w:color="000000" w:fill="00FF00"/>
            <w:vAlign w:val="center"/>
          </w:tcPr>
          <w:p w14:paraId="3EE7BBC4"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618977</w:t>
            </w:r>
          </w:p>
        </w:tc>
        <w:tc>
          <w:tcPr>
            <w:tcW w:w="783" w:type="dxa"/>
            <w:shd w:val="clear" w:color="auto" w:fill="auto"/>
            <w:vAlign w:val="center"/>
          </w:tcPr>
          <w:p w14:paraId="5B1B26EB" w14:textId="77777777" w:rsidR="00085672" w:rsidRPr="005A1C76" w:rsidRDefault="00085672" w:rsidP="00D06AC0">
            <w:pPr>
              <w:spacing w:after="0" w:line="240" w:lineRule="auto"/>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4AAD27DD" w14:textId="77777777" w:rsidTr="00085672">
        <w:trPr>
          <w:cantSplit/>
          <w:trHeight w:val="227"/>
          <w:jc w:val="center"/>
        </w:trPr>
        <w:tc>
          <w:tcPr>
            <w:tcW w:w="1179" w:type="dxa"/>
            <w:vMerge/>
            <w:vAlign w:val="center"/>
          </w:tcPr>
          <w:p w14:paraId="0BCBE827"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356" w:type="dxa"/>
            <w:shd w:val="clear" w:color="auto" w:fill="auto"/>
            <w:vAlign w:val="center"/>
          </w:tcPr>
          <w:p w14:paraId="2895E8C6" w14:textId="77777777" w:rsidR="00085672" w:rsidRPr="005A1C76" w:rsidRDefault="00085672" w:rsidP="00D06AC0">
            <w:pPr>
              <w:spacing w:after="0" w:line="240" w:lineRule="auto"/>
              <w:rPr>
                <w:rFonts w:eastAsia="Calibri" w:cs="Calibri"/>
                <w:sz w:val="20"/>
                <w:szCs w:val="20"/>
                <w:lang w:val="en-GB"/>
              </w:rPr>
            </w:pPr>
            <w:r w:rsidRPr="005A1C76">
              <w:rPr>
                <w:rFonts w:eastAsia="Calibri" w:cs="Calibri"/>
                <w:sz w:val="20"/>
                <w:szCs w:val="20"/>
                <w:lang w:val="en-GB"/>
              </w:rPr>
              <w:t>Port Milena</w:t>
            </w:r>
          </w:p>
        </w:tc>
        <w:tc>
          <w:tcPr>
            <w:tcW w:w="655" w:type="dxa"/>
            <w:shd w:val="clear" w:color="000000" w:fill="00B0F0"/>
            <w:vAlign w:val="center"/>
          </w:tcPr>
          <w:p w14:paraId="1A0FCE25"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11000</w:t>
            </w:r>
          </w:p>
        </w:tc>
        <w:tc>
          <w:tcPr>
            <w:tcW w:w="548" w:type="dxa"/>
            <w:shd w:val="clear" w:color="000000" w:fill="00B0F0"/>
            <w:vAlign w:val="center"/>
          </w:tcPr>
          <w:p w14:paraId="6B642F97"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101</w:t>
            </w:r>
          </w:p>
        </w:tc>
        <w:tc>
          <w:tcPr>
            <w:tcW w:w="723" w:type="dxa"/>
            <w:shd w:val="clear" w:color="000000" w:fill="FF0000"/>
            <w:vAlign w:val="center"/>
          </w:tcPr>
          <w:p w14:paraId="7D829F00"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122000</w:t>
            </w:r>
          </w:p>
        </w:tc>
        <w:tc>
          <w:tcPr>
            <w:tcW w:w="651" w:type="dxa"/>
            <w:shd w:val="clear" w:color="000000" w:fill="00B0F0"/>
            <w:vAlign w:val="center"/>
          </w:tcPr>
          <w:p w14:paraId="171AB99D"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39</w:t>
            </w:r>
          </w:p>
        </w:tc>
        <w:tc>
          <w:tcPr>
            <w:tcW w:w="723" w:type="dxa"/>
            <w:shd w:val="clear" w:color="000000" w:fill="00B0F0"/>
            <w:vAlign w:val="center"/>
          </w:tcPr>
          <w:p w14:paraId="774F8430" w14:textId="77777777" w:rsidR="00085672" w:rsidRPr="005A1C76" w:rsidRDefault="00085672" w:rsidP="00D06AC0">
            <w:pPr>
              <w:spacing w:after="0" w:line="240" w:lineRule="auto"/>
              <w:jc w:val="center"/>
              <w:rPr>
                <w:rFonts w:eastAsia="Calibri" w:cs="Calibri"/>
                <w:bCs/>
                <w:sz w:val="20"/>
                <w:szCs w:val="20"/>
                <w:lang w:val="en-GB"/>
              </w:rPr>
            </w:pPr>
            <w:r w:rsidRPr="005A1C76">
              <w:rPr>
                <w:rFonts w:eastAsia="Calibri" w:cs="Calibri"/>
                <w:bCs/>
                <w:sz w:val="20"/>
                <w:szCs w:val="20"/>
                <w:lang w:val="en-GB"/>
              </w:rPr>
              <w:t>6567</w:t>
            </w:r>
          </w:p>
        </w:tc>
        <w:tc>
          <w:tcPr>
            <w:tcW w:w="723" w:type="dxa"/>
            <w:shd w:val="clear" w:color="000000" w:fill="00B0F0"/>
            <w:vAlign w:val="center"/>
          </w:tcPr>
          <w:p w14:paraId="408F2291"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15767</w:t>
            </w:r>
          </w:p>
        </w:tc>
        <w:tc>
          <w:tcPr>
            <w:tcW w:w="723" w:type="dxa"/>
            <w:shd w:val="clear" w:color="000000" w:fill="00B0F0"/>
            <w:vAlign w:val="center"/>
          </w:tcPr>
          <w:p w14:paraId="4E2DFBB4"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48000</w:t>
            </w:r>
          </w:p>
        </w:tc>
        <w:tc>
          <w:tcPr>
            <w:tcW w:w="763" w:type="dxa"/>
            <w:shd w:val="clear" w:color="000000" w:fill="00FF00"/>
            <w:vAlign w:val="center"/>
          </w:tcPr>
          <w:p w14:paraId="551DF8DD" w14:textId="77777777" w:rsidR="00085672" w:rsidRPr="005A1C76" w:rsidRDefault="00085672" w:rsidP="00D06AC0">
            <w:pPr>
              <w:spacing w:after="0" w:line="240" w:lineRule="auto"/>
              <w:jc w:val="center"/>
              <w:rPr>
                <w:rFonts w:eastAsia="Calibri" w:cs="Calibri"/>
                <w:bCs/>
                <w:color w:val="000000"/>
                <w:sz w:val="20"/>
                <w:szCs w:val="20"/>
                <w:lang w:val="en-GB"/>
              </w:rPr>
            </w:pPr>
            <w:r w:rsidRPr="005A1C76">
              <w:rPr>
                <w:rFonts w:eastAsia="Calibri" w:cs="Calibri"/>
                <w:bCs/>
                <w:color w:val="000000"/>
                <w:sz w:val="20"/>
                <w:szCs w:val="20"/>
                <w:lang w:val="en-GB"/>
              </w:rPr>
              <w:t>184667</w:t>
            </w:r>
          </w:p>
        </w:tc>
        <w:tc>
          <w:tcPr>
            <w:tcW w:w="783" w:type="dxa"/>
            <w:shd w:val="clear" w:color="auto" w:fill="auto"/>
            <w:vAlign w:val="center"/>
          </w:tcPr>
          <w:p w14:paraId="79E11345" w14:textId="77777777" w:rsidR="00085672" w:rsidRPr="005A1C76" w:rsidRDefault="00085672" w:rsidP="00D06AC0">
            <w:pPr>
              <w:spacing w:after="0" w:line="240" w:lineRule="auto"/>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78D01DED" w14:textId="77777777" w:rsidTr="00085672">
        <w:trPr>
          <w:cantSplit/>
          <w:trHeight w:val="227"/>
          <w:jc w:val="center"/>
        </w:trPr>
        <w:tc>
          <w:tcPr>
            <w:tcW w:w="1179" w:type="dxa"/>
            <w:vMerge/>
            <w:vAlign w:val="center"/>
          </w:tcPr>
          <w:p w14:paraId="6FDF3567" w14:textId="77777777" w:rsidR="00085672" w:rsidRPr="005A1C76" w:rsidRDefault="00085672" w:rsidP="00085672">
            <w:pPr>
              <w:spacing w:after="0" w:line="240" w:lineRule="auto"/>
              <w:jc w:val="center"/>
              <w:rPr>
                <w:rFonts w:eastAsia="Calibri" w:cs="Calibri"/>
                <w:sz w:val="20"/>
                <w:szCs w:val="20"/>
                <w:lang w:val="en-GB"/>
              </w:rPr>
            </w:pPr>
          </w:p>
        </w:tc>
        <w:tc>
          <w:tcPr>
            <w:tcW w:w="1356" w:type="dxa"/>
            <w:shd w:val="clear" w:color="auto" w:fill="auto"/>
            <w:vAlign w:val="center"/>
          </w:tcPr>
          <w:p w14:paraId="6110B4BD"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 xml:space="preserve">Ada Bojana </w:t>
            </w:r>
          </w:p>
        </w:tc>
        <w:tc>
          <w:tcPr>
            <w:tcW w:w="655" w:type="dxa"/>
            <w:shd w:val="clear" w:color="000000" w:fill="00B0F0"/>
            <w:vAlign w:val="center"/>
          </w:tcPr>
          <w:p w14:paraId="58F2AE78"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9647</w:t>
            </w:r>
          </w:p>
        </w:tc>
        <w:tc>
          <w:tcPr>
            <w:tcW w:w="548" w:type="dxa"/>
            <w:shd w:val="clear" w:color="000000" w:fill="00B0F0"/>
            <w:vAlign w:val="center"/>
          </w:tcPr>
          <w:p w14:paraId="711C1C70"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123</w:t>
            </w:r>
          </w:p>
        </w:tc>
        <w:tc>
          <w:tcPr>
            <w:tcW w:w="723" w:type="dxa"/>
            <w:shd w:val="clear" w:color="000000" w:fill="FF0000"/>
            <w:vAlign w:val="center"/>
          </w:tcPr>
          <w:p w14:paraId="5E7BF5A3"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94659</w:t>
            </w:r>
          </w:p>
        </w:tc>
        <w:tc>
          <w:tcPr>
            <w:tcW w:w="651" w:type="dxa"/>
            <w:shd w:val="clear" w:color="000000" w:fill="00B0F0"/>
            <w:vAlign w:val="center"/>
          </w:tcPr>
          <w:p w14:paraId="548B5F48"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55</w:t>
            </w:r>
          </w:p>
        </w:tc>
        <w:tc>
          <w:tcPr>
            <w:tcW w:w="723" w:type="dxa"/>
            <w:shd w:val="clear" w:color="000000" w:fill="00B0F0"/>
            <w:vAlign w:val="center"/>
          </w:tcPr>
          <w:p w14:paraId="01D32AA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6369</w:t>
            </w:r>
          </w:p>
        </w:tc>
        <w:tc>
          <w:tcPr>
            <w:tcW w:w="723" w:type="dxa"/>
            <w:shd w:val="clear" w:color="000000" w:fill="00B0F0"/>
            <w:vAlign w:val="center"/>
          </w:tcPr>
          <w:p w14:paraId="1D18AFF9"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19252</w:t>
            </w:r>
          </w:p>
        </w:tc>
        <w:tc>
          <w:tcPr>
            <w:tcW w:w="723" w:type="dxa"/>
            <w:shd w:val="clear" w:color="000000" w:fill="00B0F0"/>
            <w:vAlign w:val="center"/>
          </w:tcPr>
          <w:p w14:paraId="5723B2BB"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45096</w:t>
            </w:r>
          </w:p>
        </w:tc>
        <w:tc>
          <w:tcPr>
            <w:tcW w:w="763" w:type="dxa"/>
            <w:shd w:val="clear" w:color="000000" w:fill="00FF00"/>
            <w:vAlign w:val="center"/>
          </w:tcPr>
          <w:p w14:paraId="0F8CA786"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229149</w:t>
            </w:r>
          </w:p>
        </w:tc>
        <w:tc>
          <w:tcPr>
            <w:tcW w:w="783" w:type="dxa"/>
            <w:shd w:val="clear" w:color="auto" w:fill="auto"/>
            <w:vAlign w:val="center"/>
          </w:tcPr>
          <w:p w14:paraId="22036F43" w14:textId="77777777" w:rsidR="00085672" w:rsidRPr="005A1C76" w:rsidRDefault="00085672" w:rsidP="00085672">
            <w:pPr>
              <w:spacing w:after="0" w:line="240" w:lineRule="auto"/>
              <w:jc w:val="center"/>
              <w:rPr>
                <w:rFonts w:eastAsia="Calibri" w:cs="Calibri"/>
                <w:b/>
                <w:sz w:val="20"/>
                <w:szCs w:val="20"/>
                <w:lang w:val="en-GB"/>
              </w:rPr>
            </w:pPr>
            <w:r w:rsidRPr="005A1C76">
              <w:rPr>
                <w:rFonts w:eastAsia="Calibri" w:cs="Calibri"/>
                <w:b/>
                <w:sz w:val="20"/>
                <w:szCs w:val="20"/>
                <w:lang w:val="en-GB"/>
              </w:rPr>
              <w:t>CM</w:t>
            </w:r>
          </w:p>
        </w:tc>
      </w:tr>
    </w:tbl>
    <w:p w14:paraId="25AA5CC9" w14:textId="77777777" w:rsidR="00D06AC0" w:rsidRDefault="00D06AC0" w:rsidP="00960C00">
      <w:pPr>
        <w:spacing w:after="0" w:line="240" w:lineRule="auto"/>
        <w:rPr>
          <w:rFonts w:eastAsia="Calibri" w:cs="Calibri"/>
          <w:b/>
          <w:w w:val="115"/>
          <w:lang w:val="en-GB"/>
        </w:rPr>
      </w:pPr>
    </w:p>
    <w:p w14:paraId="72C6C318" w14:textId="58573C1F" w:rsidR="00085672" w:rsidRPr="00960C00" w:rsidRDefault="00085672" w:rsidP="00960C00">
      <w:pPr>
        <w:spacing w:after="0" w:line="240" w:lineRule="auto"/>
        <w:rPr>
          <w:rFonts w:eastAsia="Calibri" w:cs="Calibri"/>
          <w:bCs/>
          <w:sz w:val="20"/>
          <w:szCs w:val="20"/>
          <w:lang w:val="en-GB"/>
        </w:rPr>
      </w:pPr>
      <w:r w:rsidRPr="005A1C76">
        <w:rPr>
          <w:rFonts w:eastAsia="Calibri" w:cs="Calibri"/>
          <w:b/>
          <w:w w:val="115"/>
          <w:lang w:val="en-GB"/>
        </w:rPr>
        <w:t>Procjena GES-a za PAH u sedimentu</w:t>
      </w:r>
    </w:p>
    <w:p w14:paraId="4E376C40" w14:textId="77777777" w:rsidR="00085672" w:rsidRPr="005A1C76" w:rsidRDefault="00085672" w:rsidP="00085672">
      <w:pPr>
        <w:keepNext/>
        <w:rPr>
          <w:rFonts w:eastAsia="Calibri" w:cs="Calibri"/>
          <w:iCs/>
          <w:lang w:val="en-GB"/>
        </w:rPr>
      </w:pPr>
      <w:r w:rsidRPr="005A1C76">
        <w:rPr>
          <w:rFonts w:eastAsia="Calibri" w:cs="Calibri"/>
          <w:iCs/>
          <w:lang w:val="en-GB"/>
        </w:rPr>
        <w:t>Procjena GES-a za PAH u sedimentu tokom perioda istraživanja na svakoj lokaciji crnogorskog primorja data je u tabeli 2.30.</w:t>
      </w:r>
    </w:p>
    <w:p w14:paraId="3F40A8E5" w14:textId="77777777" w:rsidR="00085672" w:rsidRPr="005A1C76" w:rsidRDefault="00085672" w:rsidP="00C52E6F">
      <w:pPr>
        <w:numPr>
          <w:ilvl w:val="0"/>
          <w:numId w:val="36"/>
        </w:numPr>
        <w:rPr>
          <w:rFonts w:cs="Calibri"/>
          <w:lang w:val="en-GB"/>
        </w:rPr>
      </w:pPr>
      <w:r w:rsidRPr="005A1C76">
        <w:rPr>
          <w:rFonts w:cs="Calibri"/>
          <w:lang w:val="en-GB"/>
        </w:rPr>
        <w:t>Rezultati analize PAH-ova u Bokokotorskom zalivu pokazuju da su lokacije Brodogradilište Bijela, Porto Montenegro i Luka Kotor pod značajnim antropogenim uticajem, jer je prosječni sadržaj svih testiranih PAH-ova iznad vrijednosti kod kojih mogu nastati štetni efekti u morskim ekosistemima ( vrijednost ERL). U luci Herceg Novi, dvije trećine ispitivanih PAH-ova su iznad vrijednosti ERL. Na ostalim ispitivanim lokacijama sadržaj svih analiziranih PAH-ova je između vrijednosti BAC i ERL, osim benzo(ghi)-perilena koji je iznad vrijednosti ERL, što ukazuje da su koncentracije PAH-ova na nivoima gde ne postoji značajan rizik od nepovoljnog uticaja na životnu sredinu.</w:t>
      </w:r>
    </w:p>
    <w:p w14:paraId="2E9C2445" w14:textId="77777777" w:rsidR="00085672" w:rsidRPr="005A1C76" w:rsidRDefault="00085672" w:rsidP="00C52E6F">
      <w:pPr>
        <w:numPr>
          <w:ilvl w:val="0"/>
          <w:numId w:val="36"/>
        </w:numPr>
        <w:rPr>
          <w:rFonts w:cs="Calibri"/>
          <w:lang w:val="en-GB"/>
        </w:rPr>
      </w:pPr>
      <w:r w:rsidRPr="005A1C76">
        <w:rPr>
          <w:rFonts w:cs="Calibri"/>
          <w:lang w:val="en-GB"/>
        </w:rPr>
        <w:t>Na obalnom otvorenom području sadržaj PAH-ova premašuje ERL samo u luci Bar, na svim ostalim ispitanim lokacijama sadržaj PAH-ova je ispod vrijednosti BAC ili između vrijednosti BAC i ERL, što ukazuje, kao u slučaju analize teških metala, da su ove lokacije van antropogenog uticaja.</w:t>
      </w:r>
    </w:p>
    <w:p w14:paraId="7633F190" w14:textId="77777777" w:rsidR="00FC0EC0" w:rsidRPr="001C6CCA" w:rsidRDefault="00FC0EC0" w:rsidP="00FC0EC0">
      <w:pPr>
        <w:spacing w:before="0" w:after="0"/>
        <w:rPr>
          <w:rFonts w:cs="Calibri"/>
          <w:szCs w:val="22"/>
          <w:lang w:val="en-GB" w:eastAsia="en-US"/>
        </w:rPr>
      </w:pPr>
    </w:p>
    <w:p w14:paraId="1F2A1C30" w14:textId="1FBAC616" w:rsidR="00FC0EC0" w:rsidRPr="006075FE" w:rsidRDefault="00FC0EC0" w:rsidP="006075FE">
      <w:pPr>
        <w:spacing w:before="0" w:after="0" w:line="259" w:lineRule="auto"/>
        <w:rPr>
          <w:rFonts w:eastAsia="Calibri" w:cs="Calibri"/>
          <w:b/>
          <w:iCs/>
          <w:szCs w:val="22"/>
          <w:lang w:val="en-GB" w:eastAsia="en-US"/>
        </w:rPr>
      </w:pPr>
      <w:bookmarkStart w:id="200" w:name="_Toc83643176"/>
      <w:r w:rsidRPr="001C6CCA">
        <w:rPr>
          <w:rFonts w:eastAsia="Calibri"/>
          <w:b/>
          <w:iCs/>
          <w:szCs w:val="22"/>
          <w:lang w:val="en-GB" w:eastAsia="en-US"/>
        </w:rPr>
        <w:t>Tab</w:t>
      </w:r>
      <w:r w:rsidR="00085672">
        <w:rPr>
          <w:rFonts w:eastAsia="Calibri"/>
          <w:b/>
          <w:iCs/>
          <w:szCs w:val="22"/>
          <w:lang w:val="en-GB" w:eastAsia="en-US"/>
        </w:rPr>
        <w:t>ela</w:t>
      </w:r>
      <w:r w:rsidRPr="001C6CCA">
        <w:rPr>
          <w:rFonts w:eastAsia="Calibri"/>
          <w:b/>
          <w:iCs/>
          <w:szCs w:val="22"/>
          <w:lang w:val="en-GB" w:eastAsia="en-US"/>
        </w:rPr>
        <w:t xml:space="preserve"> </w:t>
      </w:r>
      <w:r w:rsidR="003415D9" w:rsidRPr="00D932B6">
        <w:rPr>
          <w:b/>
          <w:szCs w:val="22"/>
        </w:rPr>
        <w:fldChar w:fldCharType="begin"/>
      </w:r>
      <w:r w:rsidR="003415D9" w:rsidRPr="00D932B6">
        <w:rPr>
          <w:b/>
          <w:szCs w:val="22"/>
        </w:rPr>
        <w:instrText xml:space="preserve"> STYLEREF 1 \s </w:instrText>
      </w:r>
      <w:r w:rsidR="003415D9" w:rsidRPr="00D932B6">
        <w:rPr>
          <w:b/>
          <w:szCs w:val="22"/>
        </w:rPr>
        <w:fldChar w:fldCharType="separate"/>
      </w:r>
      <w:r w:rsidR="000D1E20">
        <w:rPr>
          <w:b/>
          <w:noProof/>
          <w:szCs w:val="22"/>
        </w:rPr>
        <w:t>2</w:t>
      </w:r>
      <w:r w:rsidR="003415D9" w:rsidRPr="00D932B6">
        <w:rPr>
          <w:b/>
          <w:szCs w:val="22"/>
        </w:rPr>
        <w:fldChar w:fldCharType="end"/>
      </w:r>
      <w:r w:rsidR="003415D9" w:rsidRPr="00D932B6">
        <w:rPr>
          <w:b/>
          <w:szCs w:val="22"/>
        </w:rPr>
        <w:t>.</w:t>
      </w:r>
      <w:r w:rsidR="003415D9" w:rsidRPr="00D932B6">
        <w:rPr>
          <w:b/>
          <w:szCs w:val="22"/>
        </w:rPr>
        <w:fldChar w:fldCharType="begin"/>
      </w:r>
      <w:r w:rsidR="003415D9" w:rsidRPr="00D932B6">
        <w:rPr>
          <w:b/>
          <w:szCs w:val="22"/>
        </w:rPr>
        <w:instrText xml:space="preserve"> SEQ Table \* ARABIC \s 1 </w:instrText>
      </w:r>
      <w:r w:rsidR="003415D9" w:rsidRPr="00D932B6">
        <w:rPr>
          <w:b/>
          <w:szCs w:val="22"/>
        </w:rPr>
        <w:fldChar w:fldCharType="separate"/>
      </w:r>
      <w:r w:rsidR="000D1E20">
        <w:rPr>
          <w:b/>
          <w:noProof/>
          <w:szCs w:val="22"/>
        </w:rPr>
        <w:t>18</w:t>
      </w:r>
      <w:r w:rsidR="003415D9" w:rsidRPr="00D932B6">
        <w:rPr>
          <w:b/>
          <w:szCs w:val="22"/>
        </w:rPr>
        <w:fldChar w:fldCharType="end"/>
      </w:r>
      <w:r w:rsidR="003415D9">
        <w:rPr>
          <w:b/>
          <w:szCs w:val="22"/>
        </w:rPr>
        <w:t>.</w:t>
      </w:r>
      <w:r w:rsidR="003415D9" w:rsidRPr="001C6CCA">
        <w:rPr>
          <w:rFonts w:eastAsia="Calibri" w:cs="Calibri"/>
          <w:b/>
          <w:szCs w:val="22"/>
          <w:lang w:val="en-GB" w:eastAsia="en-US"/>
        </w:rPr>
        <w:t xml:space="preserve"> </w:t>
      </w:r>
      <w:r w:rsidR="00085672" w:rsidRPr="005A1C76">
        <w:rPr>
          <w:rFonts w:eastAsia="Calibri" w:cs="Calibri"/>
          <w:b/>
          <w:iCs/>
          <w:lang w:val="en-GB"/>
        </w:rPr>
        <w:t>Prikaz prosječnih vrijednosti PAH u sedimentu tokom perioda istraživanja na lokacijama crnogorskog mora prema UNEP/MAP i OSPAR kriterijumima procjene</w:t>
      </w:r>
      <w:bookmarkEnd w:id="200"/>
    </w:p>
    <w:tbl>
      <w:tblPr>
        <w:tblW w:w="8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CellMar>
          <w:left w:w="57" w:type="dxa"/>
          <w:right w:w="57" w:type="dxa"/>
        </w:tblCellMar>
        <w:tblLook w:val="04A0" w:firstRow="1" w:lastRow="0" w:firstColumn="1" w:lastColumn="0" w:noHBand="0" w:noVBand="1"/>
      </w:tblPr>
      <w:tblGrid>
        <w:gridCol w:w="1135"/>
        <w:gridCol w:w="1264"/>
        <w:gridCol w:w="497"/>
        <w:gridCol w:w="571"/>
        <w:gridCol w:w="556"/>
        <w:gridCol w:w="709"/>
        <w:gridCol w:w="587"/>
        <w:gridCol w:w="590"/>
        <w:gridCol w:w="562"/>
        <w:gridCol w:w="589"/>
        <w:gridCol w:w="586"/>
        <w:gridCol w:w="585"/>
        <w:gridCol w:w="641"/>
      </w:tblGrid>
      <w:tr w:rsidR="00085672" w:rsidRPr="005A1C76" w14:paraId="0D5F4E4D" w14:textId="77777777" w:rsidTr="00085672">
        <w:trPr>
          <w:cantSplit/>
          <w:trHeight w:hRule="exact" w:val="360"/>
          <w:jc w:val="center"/>
        </w:trPr>
        <w:tc>
          <w:tcPr>
            <w:tcW w:w="1135" w:type="dxa"/>
            <w:vMerge w:val="restart"/>
            <w:shd w:val="clear" w:color="auto" w:fill="2F5496"/>
            <w:vAlign w:val="center"/>
          </w:tcPr>
          <w:p w14:paraId="7582C197" w14:textId="77777777" w:rsidR="00085672" w:rsidRPr="005A1C76" w:rsidRDefault="00085672" w:rsidP="00085672">
            <w:pPr>
              <w:spacing w:after="0" w:line="240" w:lineRule="auto"/>
              <w:rPr>
                <w:rFonts w:eastAsia="Calibri" w:cs="Calibri"/>
                <w:b/>
                <w:color w:val="FFFFFF"/>
                <w:sz w:val="20"/>
                <w:szCs w:val="20"/>
                <w:lang w:val="en-GB"/>
              </w:rPr>
            </w:pPr>
            <w:r w:rsidRPr="005A1C76">
              <w:rPr>
                <w:rFonts w:eastAsia="Calibri" w:cs="Calibri"/>
                <w:b/>
                <w:color w:val="FFFFFF"/>
                <w:sz w:val="20"/>
                <w:szCs w:val="20"/>
                <w:lang w:val="en-GB"/>
              </w:rPr>
              <w:t>Zona</w:t>
            </w:r>
          </w:p>
        </w:tc>
        <w:tc>
          <w:tcPr>
            <w:tcW w:w="1264" w:type="dxa"/>
            <w:vMerge w:val="restart"/>
            <w:shd w:val="clear" w:color="auto" w:fill="2F5496"/>
            <w:vAlign w:val="center"/>
          </w:tcPr>
          <w:p w14:paraId="3449ADF3"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Naziv lokacije</w:t>
            </w:r>
          </w:p>
        </w:tc>
        <w:tc>
          <w:tcPr>
            <w:tcW w:w="5832" w:type="dxa"/>
            <w:gridSpan w:val="10"/>
            <w:shd w:val="clear" w:color="auto" w:fill="2F5496"/>
            <w:vAlign w:val="center"/>
          </w:tcPr>
          <w:p w14:paraId="09A312EE" w14:textId="77777777" w:rsidR="00085672" w:rsidRPr="005A1C76" w:rsidRDefault="00085672" w:rsidP="00085672">
            <w:pPr>
              <w:spacing w:after="0" w:line="240" w:lineRule="auto"/>
              <w:rPr>
                <w:rFonts w:eastAsia="Calibri" w:cs="Calibri"/>
                <w:b/>
                <w:color w:val="FFFFFF"/>
                <w:sz w:val="20"/>
                <w:szCs w:val="20"/>
                <w:lang w:val="en-GB"/>
              </w:rPr>
            </w:pPr>
            <w:r w:rsidRPr="005A1C76">
              <w:rPr>
                <w:rFonts w:eastAsia="Calibri" w:cs="Calibri"/>
                <w:b/>
                <w:color w:val="FFFFFF"/>
                <w:sz w:val="20"/>
                <w:szCs w:val="20"/>
                <w:lang w:val="en-GB"/>
              </w:rPr>
              <w:t>Policiklični aromatični ugljovodonici µg/kg s.m.</w:t>
            </w:r>
          </w:p>
        </w:tc>
        <w:tc>
          <w:tcPr>
            <w:tcW w:w="641" w:type="dxa"/>
            <w:shd w:val="clear" w:color="auto" w:fill="2F5496"/>
            <w:vAlign w:val="center"/>
          </w:tcPr>
          <w:p w14:paraId="5019EB28" w14:textId="77777777" w:rsidR="00085672" w:rsidRPr="005A1C76" w:rsidRDefault="00085672" w:rsidP="00085672">
            <w:pPr>
              <w:spacing w:after="0" w:line="240" w:lineRule="auto"/>
              <w:jc w:val="center"/>
              <w:rPr>
                <w:rFonts w:eastAsia="Calibri" w:cs="Calibri"/>
                <w:b/>
                <w:color w:val="FFFFFF"/>
                <w:sz w:val="20"/>
                <w:szCs w:val="20"/>
                <w:lang w:val="en-GB"/>
              </w:rPr>
            </w:pPr>
          </w:p>
        </w:tc>
      </w:tr>
      <w:tr w:rsidR="00085672" w:rsidRPr="005A1C76" w14:paraId="38F76136" w14:textId="77777777" w:rsidTr="00085672">
        <w:trPr>
          <w:cantSplit/>
          <w:trHeight w:hRule="exact" w:val="360"/>
          <w:jc w:val="center"/>
        </w:trPr>
        <w:tc>
          <w:tcPr>
            <w:tcW w:w="1135" w:type="dxa"/>
            <w:vMerge/>
            <w:shd w:val="clear" w:color="auto" w:fill="2F5496"/>
            <w:vAlign w:val="center"/>
          </w:tcPr>
          <w:p w14:paraId="1C4BA19D" w14:textId="77777777" w:rsidR="00085672" w:rsidRPr="005A1C76" w:rsidRDefault="00085672" w:rsidP="00085672">
            <w:pPr>
              <w:spacing w:after="0" w:line="240" w:lineRule="auto"/>
              <w:rPr>
                <w:rFonts w:eastAsia="Calibri" w:cs="Calibri"/>
                <w:b/>
                <w:color w:val="FFFFFF"/>
                <w:sz w:val="20"/>
                <w:szCs w:val="20"/>
                <w:lang w:val="en-GB"/>
              </w:rPr>
            </w:pPr>
          </w:p>
        </w:tc>
        <w:tc>
          <w:tcPr>
            <w:tcW w:w="1264" w:type="dxa"/>
            <w:vMerge/>
            <w:shd w:val="clear" w:color="auto" w:fill="2F5496"/>
            <w:vAlign w:val="center"/>
          </w:tcPr>
          <w:p w14:paraId="1C83BC02" w14:textId="77777777" w:rsidR="00085672" w:rsidRPr="005A1C76" w:rsidRDefault="00085672" w:rsidP="00085672">
            <w:pPr>
              <w:spacing w:after="0" w:line="240" w:lineRule="auto"/>
              <w:rPr>
                <w:rFonts w:eastAsia="Calibri" w:cs="Calibri"/>
                <w:b/>
                <w:color w:val="FFFFFF"/>
                <w:sz w:val="20"/>
                <w:szCs w:val="20"/>
                <w:lang w:val="en-GB"/>
              </w:rPr>
            </w:pPr>
          </w:p>
        </w:tc>
        <w:tc>
          <w:tcPr>
            <w:tcW w:w="497" w:type="dxa"/>
            <w:shd w:val="clear" w:color="auto" w:fill="2F5496"/>
            <w:vAlign w:val="center"/>
          </w:tcPr>
          <w:p w14:paraId="04D06682"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Ant</w:t>
            </w:r>
          </w:p>
        </w:tc>
        <w:tc>
          <w:tcPr>
            <w:tcW w:w="571" w:type="dxa"/>
            <w:shd w:val="clear" w:color="auto" w:fill="2F5496"/>
            <w:vAlign w:val="center"/>
          </w:tcPr>
          <w:p w14:paraId="49F92B2B"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B(a)A</w:t>
            </w:r>
          </w:p>
        </w:tc>
        <w:tc>
          <w:tcPr>
            <w:tcW w:w="556" w:type="dxa"/>
            <w:shd w:val="clear" w:color="auto" w:fill="2F5496"/>
            <w:vAlign w:val="center"/>
          </w:tcPr>
          <w:p w14:paraId="76F9F552"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B(a)P</w:t>
            </w:r>
          </w:p>
        </w:tc>
        <w:tc>
          <w:tcPr>
            <w:tcW w:w="709" w:type="dxa"/>
            <w:shd w:val="clear" w:color="auto" w:fill="2F5496"/>
            <w:vAlign w:val="center"/>
          </w:tcPr>
          <w:p w14:paraId="6E454FC9"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B(ghi)P</w:t>
            </w:r>
          </w:p>
        </w:tc>
        <w:tc>
          <w:tcPr>
            <w:tcW w:w="587" w:type="dxa"/>
            <w:shd w:val="clear" w:color="auto" w:fill="2F5496"/>
            <w:vAlign w:val="center"/>
          </w:tcPr>
          <w:p w14:paraId="7412BBBE"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Chr</w:t>
            </w:r>
          </w:p>
        </w:tc>
        <w:tc>
          <w:tcPr>
            <w:tcW w:w="590" w:type="dxa"/>
            <w:shd w:val="clear" w:color="auto" w:fill="2F5496"/>
            <w:vAlign w:val="center"/>
          </w:tcPr>
          <w:p w14:paraId="0DB94D41"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I(cd)P</w:t>
            </w:r>
          </w:p>
        </w:tc>
        <w:tc>
          <w:tcPr>
            <w:tcW w:w="562" w:type="dxa"/>
            <w:shd w:val="clear" w:color="auto" w:fill="2F5496"/>
            <w:vAlign w:val="center"/>
          </w:tcPr>
          <w:p w14:paraId="18D57961"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Nap</w:t>
            </w:r>
          </w:p>
        </w:tc>
        <w:tc>
          <w:tcPr>
            <w:tcW w:w="589" w:type="dxa"/>
            <w:shd w:val="clear" w:color="auto" w:fill="2F5496"/>
            <w:vAlign w:val="center"/>
          </w:tcPr>
          <w:p w14:paraId="509E2BA5"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Phe</w:t>
            </w:r>
          </w:p>
        </w:tc>
        <w:tc>
          <w:tcPr>
            <w:tcW w:w="586" w:type="dxa"/>
            <w:shd w:val="clear" w:color="auto" w:fill="2F5496"/>
            <w:vAlign w:val="center"/>
          </w:tcPr>
          <w:p w14:paraId="5EFD35A0"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Pyr</w:t>
            </w:r>
          </w:p>
        </w:tc>
        <w:tc>
          <w:tcPr>
            <w:tcW w:w="585" w:type="dxa"/>
            <w:shd w:val="clear" w:color="auto" w:fill="2F5496"/>
            <w:vAlign w:val="center"/>
          </w:tcPr>
          <w:p w14:paraId="32FF2F6A"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Flu</w:t>
            </w:r>
          </w:p>
        </w:tc>
        <w:tc>
          <w:tcPr>
            <w:tcW w:w="641" w:type="dxa"/>
            <w:shd w:val="clear" w:color="auto" w:fill="2F5496"/>
            <w:vAlign w:val="center"/>
          </w:tcPr>
          <w:p w14:paraId="02CACBC1"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Tip*</w:t>
            </w:r>
          </w:p>
        </w:tc>
      </w:tr>
      <w:tr w:rsidR="00085672" w:rsidRPr="005A1C76" w14:paraId="5049CC74" w14:textId="77777777" w:rsidTr="00085672">
        <w:trPr>
          <w:cantSplit/>
          <w:trHeight w:val="227"/>
          <w:jc w:val="center"/>
        </w:trPr>
        <w:tc>
          <w:tcPr>
            <w:tcW w:w="1135" w:type="dxa"/>
            <w:vMerge w:val="restart"/>
            <w:vAlign w:val="center"/>
          </w:tcPr>
          <w:p w14:paraId="05593402"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r w:rsidRPr="005A1C76">
              <w:rPr>
                <w:rFonts w:eastAsia="Calibri" w:cs="Calibri"/>
                <w:sz w:val="20"/>
                <w:szCs w:val="20"/>
                <w:lang w:val="en-GB"/>
              </w:rPr>
              <w:t>Bokokotorski zaliv</w:t>
            </w:r>
          </w:p>
        </w:tc>
        <w:tc>
          <w:tcPr>
            <w:tcW w:w="1264" w:type="dxa"/>
            <w:shd w:val="clear" w:color="auto" w:fill="auto"/>
            <w:vAlign w:val="center"/>
          </w:tcPr>
          <w:p w14:paraId="4A2CDD9C"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Herceg Novi</w:t>
            </w:r>
          </w:p>
        </w:tc>
        <w:tc>
          <w:tcPr>
            <w:tcW w:w="497" w:type="dxa"/>
            <w:tcBorders>
              <w:top w:val="single" w:sz="8" w:space="0" w:color="auto"/>
              <w:left w:val="single" w:sz="8" w:space="0" w:color="auto"/>
              <w:bottom w:val="single" w:sz="8" w:space="0" w:color="auto"/>
              <w:right w:val="single" w:sz="8" w:space="0" w:color="auto"/>
            </w:tcBorders>
            <w:shd w:val="clear" w:color="000000" w:fill="FF0000"/>
            <w:vAlign w:val="center"/>
          </w:tcPr>
          <w:p w14:paraId="363E7BF2" w14:textId="77777777" w:rsidR="00085672" w:rsidRPr="005A1C76" w:rsidRDefault="00085672" w:rsidP="00085672">
            <w:pPr>
              <w:spacing w:after="0" w:line="240" w:lineRule="auto"/>
              <w:jc w:val="center"/>
              <w:rPr>
                <w:rFonts w:eastAsia="Calibri" w:cs="Calibri"/>
                <w:bCs/>
                <w:sz w:val="20"/>
                <w:szCs w:val="20"/>
                <w:lang w:val="en-GB"/>
              </w:rPr>
            </w:pPr>
            <w:r w:rsidRPr="005A1C76">
              <w:rPr>
                <w:rFonts w:eastAsia="Calibri" w:cs="Calibri"/>
                <w:bCs/>
                <w:sz w:val="20"/>
                <w:szCs w:val="20"/>
                <w:lang w:val="en-GB"/>
              </w:rPr>
              <w:t>121</w:t>
            </w:r>
          </w:p>
        </w:tc>
        <w:tc>
          <w:tcPr>
            <w:tcW w:w="571" w:type="dxa"/>
            <w:tcBorders>
              <w:top w:val="single" w:sz="8" w:space="0" w:color="auto"/>
              <w:left w:val="nil"/>
              <w:bottom w:val="single" w:sz="8" w:space="0" w:color="auto"/>
              <w:right w:val="single" w:sz="8" w:space="0" w:color="auto"/>
            </w:tcBorders>
            <w:shd w:val="clear" w:color="000000" w:fill="FF0000"/>
            <w:vAlign w:val="center"/>
          </w:tcPr>
          <w:p w14:paraId="1625B754"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427</w:t>
            </w:r>
          </w:p>
        </w:tc>
        <w:tc>
          <w:tcPr>
            <w:tcW w:w="556" w:type="dxa"/>
            <w:tcBorders>
              <w:top w:val="single" w:sz="8" w:space="0" w:color="auto"/>
              <w:left w:val="nil"/>
              <w:bottom w:val="single" w:sz="8" w:space="0" w:color="auto"/>
              <w:right w:val="single" w:sz="8" w:space="0" w:color="auto"/>
            </w:tcBorders>
            <w:shd w:val="clear" w:color="auto" w:fill="00FF00"/>
            <w:vAlign w:val="center"/>
          </w:tcPr>
          <w:p w14:paraId="3FF6BEC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398</w:t>
            </w:r>
          </w:p>
        </w:tc>
        <w:tc>
          <w:tcPr>
            <w:tcW w:w="709" w:type="dxa"/>
            <w:tcBorders>
              <w:top w:val="single" w:sz="8" w:space="0" w:color="auto"/>
              <w:left w:val="nil"/>
              <w:bottom w:val="single" w:sz="8" w:space="0" w:color="auto"/>
              <w:right w:val="single" w:sz="8" w:space="0" w:color="auto"/>
            </w:tcBorders>
            <w:shd w:val="clear" w:color="000000" w:fill="FF0000"/>
            <w:vAlign w:val="center"/>
          </w:tcPr>
          <w:p w14:paraId="780180AD"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240</w:t>
            </w:r>
          </w:p>
        </w:tc>
        <w:tc>
          <w:tcPr>
            <w:tcW w:w="587" w:type="dxa"/>
            <w:tcBorders>
              <w:top w:val="single" w:sz="8" w:space="0" w:color="auto"/>
              <w:left w:val="nil"/>
              <w:bottom w:val="single" w:sz="8" w:space="0" w:color="auto"/>
              <w:right w:val="single" w:sz="8" w:space="0" w:color="auto"/>
            </w:tcBorders>
            <w:shd w:val="clear" w:color="000000" w:fill="FF0000"/>
            <w:vAlign w:val="center"/>
          </w:tcPr>
          <w:p w14:paraId="6CB2696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430</w:t>
            </w:r>
          </w:p>
        </w:tc>
        <w:tc>
          <w:tcPr>
            <w:tcW w:w="590" w:type="dxa"/>
            <w:tcBorders>
              <w:top w:val="single" w:sz="8" w:space="0" w:color="auto"/>
              <w:left w:val="nil"/>
              <w:bottom w:val="single" w:sz="8" w:space="0" w:color="auto"/>
              <w:right w:val="single" w:sz="8" w:space="0" w:color="auto"/>
            </w:tcBorders>
            <w:shd w:val="clear" w:color="000000" w:fill="FF0000"/>
            <w:vAlign w:val="center"/>
          </w:tcPr>
          <w:p w14:paraId="138183E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275</w:t>
            </w:r>
          </w:p>
        </w:tc>
        <w:tc>
          <w:tcPr>
            <w:tcW w:w="562" w:type="dxa"/>
            <w:tcBorders>
              <w:top w:val="single" w:sz="8" w:space="0" w:color="auto"/>
              <w:left w:val="nil"/>
              <w:bottom w:val="single" w:sz="8" w:space="0" w:color="auto"/>
              <w:right w:val="single" w:sz="8" w:space="0" w:color="auto"/>
            </w:tcBorders>
            <w:shd w:val="clear" w:color="auto" w:fill="00FF00"/>
            <w:vAlign w:val="center"/>
          </w:tcPr>
          <w:p w14:paraId="6AAD404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54</w:t>
            </w:r>
          </w:p>
        </w:tc>
        <w:tc>
          <w:tcPr>
            <w:tcW w:w="589" w:type="dxa"/>
            <w:tcBorders>
              <w:top w:val="single" w:sz="8" w:space="0" w:color="auto"/>
              <w:left w:val="nil"/>
              <w:bottom w:val="single" w:sz="8" w:space="0" w:color="auto"/>
              <w:right w:val="single" w:sz="8" w:space="0" w:color="auto"/>
            </w:tcBorders>
            <w:shd w:val="clear" w:color="000000" w:fill="FF0000"/>
            <w:vAlign w:val="center"/>
          </w:tcPr>
          <w:p w14:paraId="1386DE93"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445</w:t>
            </w:r>
          </w:p>
        </w:tc>
        <w:tc>
          <w:tcPr>
            <w:tcW w:w="586" w:type="dxa"/>
            <w:tcBorders>
              <w:top w:val="single" w:sz="8" w:space="0" w:color="auto"/>
              <w:left w:val="nil"/>
              <w:bottom w:val="single" w:sz="8" w:space="0" w:color="auto"/>
              <w:right w:val="single" w:sz="8" w:space="0" w:color="auto"/>
            </w:tcBorders>
            <w:shd w:val="clear" w:color="auto" w:fill="00FF00"/>
            <w:vAlign w:val="center"/>
          </w:tcPr>
          <w:p w14:paraId="3815628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620</w:t>
            </w:r>
          </w:p>
        </w:tc>
        <w:tc>
          <w:tcPr>
            <w:tcW w:w="585" w:type="dxa"/>
            <w:tcBorders>
              <w:top w:val="single" w:sz="8" w:space="0" w:color="auto"/>
              <w:left w:val="nil"/>
              <w:bottom w:val="single" w:sz="8" w:space="0" w:color="auto"/>
              <w:right w:val="single" w:sz="8" w:space="0" w:color="auto"/>
            </w:tcBorders>
            <w:shd w:val="clear" w:color="000000" w:fill="FF0000"/>
            <w:vAlign w:val="center"/>
          </w:tcPr>
          <w:p w14:paraId="2771A69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667</w:t>
            </w:r>
          </w:p>
        </w:tc>
        <w:tc>
          <w:tcPr>
            <w:tcW w:w="641" w:type="dxa"/>
            <w:tcBorders>
              <w:top w:val="single" w:sz="8" w:space="0" w:color="auto"/>
              <w:left w:val="nil"/>
              <w:bottom w:val="single" w:sz="8" w:space="0" w:color="auto"/>
              <w:right w:val="single" w:sz="4" w:space="0" w:color="auto"/>
            </w:tcBorders>
            <w:shd w:val="clear" w:color="auto" w:fill="auto"/>
            <w:vAlign w:val="center"/>
          </w:tcPr>
          <w:p w14:paraId="4E0FD421"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18926D02" w14:textId="77777777" w:rsidTr="00085672">
        <w:trPr>
          <w:cantSplit/>
          <w:trHeight w:val="227"/>
          <w:jc w:val="center"/>
        </w:trPr>
        <w:tc>
          <w:tcPr>
            <w:tcW w:w="1135" w:type="dxa"/>
            <w:vMerge/>
            <w:vAlign w:val="center"/>
          </w:tcPr>
          <w:p w14:paraId="3A356F82" w14:textId="77777777" w:rsidR="00085672" w:rsidRPr="005A1C76" w:rsidRDefault="00085672" w:rsidP="00085672">
            <w:pPr>
              <w:spacing w:after="0" w:line="240" w:lineRule="auto"/>
              <w:rPr>
                <w:rFonts w:eastAsia="Calibri" w:cs="Calibri"/>
                <w:sz w:val="20"/>
                <w:szCs w:val="20"/>
                <w:lang w:val="en-GB"/>
              </w:rPr>
            </w:pPr>
          </w:p>
        </w:tc>
        <w:tc>
          <w:tcPr>
            <w:tcW w:w="1264" w:type="dxa"/>
            <w:shd w:val="clear" w:color="auto" w:fill="auto"/>
            <w:vAlign w:val="center"/>
          </w:tcPr>
          <w:p w14:paraId="2F03A140"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Brodogradili</w:t>
            </w:r>
            <w:r w:rsidRPr="005A1C76">
              <w:rPr>
                <w:rFonts w:eastAsia="Calibri" w:cs="Calibri"/>
                <w:sz w:val="20"/>
                <w:szCs w:val="20"/>
                <w:lang w:val="sr-Latn-ME"/>
              </w:rPr>
              <w:t>šte Bijela</w:t>
            </w:r>
          </w:p>
        </w:tc>
        <w:tc>
          <w:tcPr>
            <w:tcW w:w="497" w:type="dxa"/>
            <w:tcBorders>
              <w:top w:val="nil"/>
              <w:left w:val="single" w:sz="8" w:space="0" w:color="auto"/>
              <w:bottom w:val="single" w:sz="8" w:space="0" w:color="auto"/>
              <w:right w:val="single" w:sz="8" w:space="0" w:color="auto"/>
            </w:tcBorders>
            <w:shd w:val="clear" w:color="000000" w:fill="FF0000"/>
            <w:vAlign w:val="center"/>
          </w:tcPr>
          <w:p w14:paraId="394DD19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252</w:t>
            </w:r>
          </w:p>
        </w:tc>
        <w:tc>
          <w:tcPr>
            <w:tcW w:w="571" w:type="dxa"/>
            <w:tcBorders>
              <w:top w:val="nil"/>
              <w:left w:val="nil"/>
              <w:bottom w:val="single" w:sz="8" w:space="0" w:color="auto"/>
              <w:right w:val="single" w:sz="8" w:space="0" w:color="auto"/>
            </w:tcBorders>
            <w:shd w:val="clear" w:color="000000" w:fill="FF0000"/>
            <w:vAlign w:val="center"/>
          </w:tcPr>
          <w:p w14:paraId="796F6B2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1418</w:t>
            </w:r>
          </w:p>
        </w:tc>
        <w:tc>
          <w:tcPr>
            <w:tcW w:w="556" w:type="dxa"/>
            <w:tcBorders>
              <w:top w:val="nil"/>
              <w:left w:val="nil"/>
              <w:bottom w:val="single" w:sz="8" w:space="0" w:color="auto"/>
              <w:right w:val="single" w:sz="8" w:space="0" w:color="auto"/>
            </w:tcBorders>
            <w:shd w:val="clear" w:color="000000" w:fill="FF0000"/>
            <w:vAlign w:val="center"/>
          </w:tcPr>
          <w:p w14:paraId="426F497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1570</w:t>
            </w:r>
          </w:p>
        </w:tc>
        <w:tc>
          <w:tcPr>
            <w:tcW w:w="709" w:type="dxa"/>
            <w:tcBorders>
              <w:top w:val="nil"/>
              <w:left w:val="nil"/>
              <w:bottom w:val="single" w:sz="8" w:space="0" w:color="auto"/>
              <w:right w:val="single" w:sz="8" w:space="0" w:color="auto"/>
            </w:tcBorders>
            <w:shd w:val="clear" w:color="000000" w:fill="FF0000"/>
            <w:vAlign w:val="center"/>
          </w:tcPr>
          <w:p w14:paraId="4262CD13"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1165</w:t>
            </w:r>
          </w:p>
        </w:tc>
        <w:tc>
          <w:tcPr>
            <w:tcW w:w="587" w:type="dxa"/>
            <w:tcBorders>
              <w:top w:val="nil"/>
              <w:left w:val="nil"/>
              <w:bottom w:val="single" w:sz="8" w:space="0" w:color="auto"/>
              <w:right w:val="single" w:sz="8" w:space="0" w:color="auto"/>
            </w:tcBorders>
            <w:shd w:val="clear" w:color="000000" w:fill="FF0000"/>
            <w:vAlign w:val="center"/>
          </w:tcPr>
          <w:p w14:paraId="6362202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1614</w:t>
            </w:r>
          </w:p>
        </w:tc>
        <w:tc>
          <w:tcPr>
            <w:tcW w:w="590" w:type="dxa"/>
            <w:tcBorders>
              <w:top w:val="nil"/>
              <w:left w:val="nil"/>
              <w:bottom w:val="single" w:sz="8" w:space="0" w:color="auto"/>
              <w:right w:val="single" w:sz="8" w:space="0" w:color="auto"/>
            </w:tcBorders>
            <w:shd w:val="clear" w:color="000000" w:fill="FF0000"/>
            <w:vAlign w:val="center"/>
          </w:tcPr>
          <w:p w14:paraId="46775DB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1332</w:t>
            </w:r>
          </w:p>
        </w:tc>
        <w:tc>
          <w:tcPr>
            <w:tcW w:w="562" w:type="dxa"/>
            <w:tcBorders>
              <w:top w:val="nil"/>
              <w:left w:val="nil"/>
              <w:bottom w:val="single" w:sz="8" w:space="0" w:color="auto"/>
              <w:right w:val="single" w:sz="8" w:space="0" w:color="auto"/>
            </w:tcBorders>
            <w:shd w:val="clear" w:color="000000" w:fill="FF0000"/>
            <w:vAlign w:val="center"/>
          </w:tcPr>
          <w:p w14:paraId="6C540E0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163</w:t>
            </w:r>
          </w:p>
        </w:tc>
        <w:tc>
          <w:tcPr>
            <w:tcW w:w="589" w:type="dxa"/>
            <w:tcBorders>
              <w:top w:val="nil"/>
              <w:left w:val="nil"/>
              <w:bottom w:val="single" w:sz="8" w:space="0" w:color="auto"/>
              <w:right w:val="single" w:sz="8" w:space="0" w:color="auto"/>
            </w:tcBorders>
            <w:shd w:val="clear" w:color="000000" w:fill="FF0000"/>
            <w:vAlign w:val="center"/>
          </w:tcPr>
          <w:p w14:paraId="6FA9F6E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1594</w:t>
            </w:r>
          </w:p>
        </w:tc>
        <w:tc>
          <w:tcPr>
            <w:tcW w:w="586" w:type="dxa"/>
            <w:tcBorders>
              <w:top w:val="nil"/>
              <w:left w:val="nil"/>
              <w:bottom w:val="single" w:sz="8" w:space="0" w:color="auto"/>
              <w:right w:val="single" w:sz="8" w:space="0" w:color="auto"/>
            </w:tcBorders>
            <w:shd w:val="clear" w:color="000000" w:fill="FF0000"/>
            <w:vAlign w:val="center"/>
          </w:tcPr>
          <w:p w14:paraId="667110B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2655</w:t>
            </w:r>
          </w:p>
        </w:tc>
        <w:tc>
          <w:tcPr>
            <w:tcW w:w="585" w:type="dxa"/>
            <w:tcBorders>
              <w:top w:val="nil"/>
              <w:left w:val="nil"/>
              <w:bottom w:val="single" w:sz="8" w:space="0" w:color="auto"/>
              <w:right w:val="single" w:sz="8" w:space="0" w:color="auto"/>
            </w:tcBorders>
            <w:shd w:val="clear" w:color="000000" w:fill="FF0000"/>
            <w:vAlign w:val="center"/>
          </w:tcPr>
          <w:p w14:paraId="1A9A595A"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2565</w:t>
            </w:r>
          </w:p>
        </w:tc>
        <w:tc>
          <w:tcPr>
            <w:tcW w:w="641" w:type="dxa"/>
            <w:tcBorders>
              <w:top w:val="nil"/>
              <w:left w:val="nil"/>
              <w:bottom w:val="single" w:sz="8" w:space="0" w:color="auto"/>
              <w:right w:val="single" w:sz="4" w:space="0" w:color="auto"/>
            </w:tcBorders>
            <w:shd w:val="clear" w:color="auto" w:fill="auto"/>
            <w:vAlign w:val="center"/>
          </w:tcPr>
          <w:p w14:paraId="2E629F9F"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51781492" w14:textId="77777777" w:rsidTr="00085672">
        <w:trPr>
          <w:cantSplit/>
          <w:trHeight w:val="227"/>
          <w:jc w:val="center"/>
        </w:trPr>
        <w:tc>
          <w:tcPr>
            <w:tcW w:w="1135" w:type="dxa"/>
            <w:vMerge/>
            <w:vAlign w:val="center"/>
          </w:tcPr>
          <w:p w14:paraId="446C9BD3" w14:textId="77777777" w:rsidR="00085672" w:rsidRPr="005A1C76" w:rsidRDefault="00085672" w:rsidP="00085672">
            <w:pPr>
              <w:spacing w:after="0" w:line="240" w:lineRule="auto"/>
              <w:rPr>
                <w:rFonts w:eastAsia="Calibri" w:cs="Calibri"/>
                <w:sz w:val="20"/>
                <w:szCs w:val="20"/>
                <w:lang w:val="en-GB"/>
              </w:rPr>
            </w:pPr>
          </w:p>
        </w:tc>
        <w:tc>
          <w:tcPr>
            <w:tcW w:w="1264" w:type="dxa"/>
            <w:shd w:val="clear" w:color="auto" w:fill="auto"/>
            <w:vAlign w:val="center"/>
          </w:tcPr>
          <w:p w14:paraId="15A2CD0A"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Porto Montenegro</w:t>
            </w:r>
          </w:p>
        </w:tc>
        <w:tc>
          <w:tcPr>
            <w:tcW w:w="497" w:type="dxa"/>
            <w:tcBorders>
              <w:top w:val="nil"/>
              <w:left w:val="single" w:sz="8" w:space="0" w:color="auto"/>
              <w:bottom w:val="single" w:sz="8" w:space="0" w:color="auto"/>
              <w:right w:val="single" w:sz="8" w:space="0" w:color="auto"/>
            </w:tcBorders>
            <w:shd w:val="clear" w:color="000000" w:fill="FF0000"/>
            <w:vAlign w:val="center"/>
          </w:tcPr>
          <w:p w14:paraId="21A0B4E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362</w:t>
            </w:r>
          </w:p>
        </w:tc>
        <w:tc>
          <w:tcPr>
            <w:tcW w:w="571" w:type="dxa"/>
            <w:tcBorders>
              <w:top w:val="nil"/>
              <w:left w:val="nil"/>
              <w:bottom w:val="single" w:sz="8" w:space="0" w:color="auto"/>
              <w:right w:val="single" w:sz="8" w:space="0" w:color="auto"/>
            </w:tcBorders>
            <w:shd w:val="clear" w:color="000000" w:fill="FF0000"/>
            <w:vAlign w:val="center"/>
          </w:tcPr>
          <w:p w14:paraId="2D47D0B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1920</w:t>
            </w:r>
          </w:p>
        </w:tc>
        <w:tc>
          <w:tcPr>
            <w:tcW w:w="556" w:type="dxa"/>
            <w:tcBorders>
              <w:top w:val="nil"/>
              <w:left w:val="nil"/>
              <w:bottom w:val="single" w:sz="8" w:space="0" w:color="auto"/>
              <w:right w:val="single" w:sz="8" w:space="0" w:color="auto"/>
            </w:tcBorders>
            <w:shd w:val="clear" w:color="000000" w:fill="FF0000"/>
            <w:vAlign w:val="center"/>
          </w:tcPr>
          <w:p w14:paraId="371EC01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1565</w:t>
            </w:r>
          </w:p>
        </w:tc>
        <w:tc>
          <w:tcPr>
            <w:tcW w:w="709" w:type="dxa"/>
            <w:tcBorders>
              <w:top w:val="nil"/>
              <w:left w:val="nil"/>
              <w:bottom w:val="single" w:sz="8" w:space="0" w:color="auto"/>
              <w:right w:val="single" w:sz="8" w:space="0" w:color="auto"/>
            </w:tcBorders>
            <w:shd w:val="clear" w:color="000000" w:fill="FF0000"/>
            <w:vAlign w:val="center"/>
          </w:tcPr>
          <w:p w14:paraId="31BB1FD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1789</w:t>
            </w:r>
          </w:p>
        </w:tc>
        <w:tc>
          <w:tcPr>
            <w:tcW w:w="587" w:type="dxa"/>
            <w:tcBorders>
              <w:top w:val="nil"/>
              <w:left w:val="nil"/>
              <w:bottom w:val="single" w:sz="8" w:space="0" w:color="auto"/>
              <w:right w:val="single" w:sz="8" w:space="0" w:color="auto"/>
            </w:tcBorders>
            <w:shd w:val="clear" w:color="000000" w:fill="FF0000"/>
            <w:vAlign w:val="center"/>
          </w:tcPr>
          <w:p w14:paraId="72C283BA"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1801</w:t>
            </w:r>
          </w:p>
        </w:tc>
        <w:tc>
          <w:tcPr>
            <w:tcW w:w="590" w:type="dxa"/>
            <w:tcBorders>
              <w:top w:val="nil"/>
              <w:left w:val="nil"/>
              <w:bottom w:val="single" w:sz="8" w:space="0" w:color="auto"/>
              <w:right w:val="single" w:sz="8" w:space="0" w:color="auto"/>
            </w:tcBorders>
            <w:shd w:val="clear" w:color="000000" w:fill="FF0000"/>
            <w:vAlign w:val="center"/>
          </w:tcPr>
          <w:p w14:paraId="2B446EF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2899</w:t>
            </w:r>
          </w:p>
        </w:tc>
        <w:tc>
          <w:tcPr>
            <w:tcW w:w="562" w:type="dxa"/>
            <w:tcBorders>
              <w:top w:val="nil"/>
              <w:left w:val="nil"/>
              <w:bottom w:val="single" w:sz="8" w:space="0" w:color="auto"/>
              <w:right w:val="single" w:sz="8" w:space="0" w:color="auto"/>
            </w:tcBorders>
            <w:shd w:val="clear" w:color="000000" w:fill="FF0000"/>
            <w:vAlign w:val="center"/>
          </w:tcPr>
          <w:p w14:paraId="7B62691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212</w:t>
            </w:r>
          </w:p>
        </w:tc>
        <w:tc>
          <w:tcPr>
            <w:tcW w:w="589" w:type="dxa"/>
            <w:tcBorders>
              <w:top w:val="nil"/>
              <w:left w:val="nil"/>
              <w:bottom w:val="single" w:sz="8" w:space="0" w:color="auto"/>
              <w:right w:val="single" w:sz="8" w:space="0" w:color="auto"/>
            </w:tcBorders>
            <w:shd w:val="clear" w:color="000000" w:fill="FF0000"/>
            <w:vAlign w:val="center"/>
          </w:tcPr>
          <w:p w14:paraId="0967D795"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1942</w:t>
            </w:r>
          </w:p>
        </w:tc>
        <w:tc>
          <w:tcPr>
            <w:tcW w:w="586" w:type="dxa"/>
            <w:tcBorders>
              <w:top w:val="nil"/>
              <w:left w:val="nil"/>
              <w:bottom w:val="single" w:sz="8" w:space="0" w:color="auto"/>
              <w:right w:val="single" w:sz="8" w:space="0" w:color="auto"/>
            </w:tcBorders>
            <w:shd w:val="clear" w:color="000000" w:fill="FF0000"/>
            <w:vAlign w:val="center"/>
          </w:tcPr>
          <w:p w14:paraId="6FC6126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2529</w:t>
            </w:r>
          </w:p>
        </w:tc>
        <w:tc>
          <w:tcPr>
            <w:tcW w:w="585" w:type="dxa"/>
            <w:tcBorders>
              <w:top w:val="nil"/>
              <w:left w:val="nil"/>
              <w:bottom w:val="single" w:sz="8" w:space="0" w:color="auto"/>
              <w:right w:val="single" w:sz="8" w:space="0" w:color="auto"/>
            </w:tcBorders>
            <w:shd w:val="clear" w:color="000000" w:fill="FF0000"/>
            <w:vAlign w:val="center"/>
          </w:tcPr>
          <w:p w14:paraId="1CBD81E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3086</w:t>
            </w:r>
          </w:p>
        </w:tc>
        <w:tc>
          <w:tcPr>
            <w:tcW w:w="641" w:type="dxa"/>
            <w:tcBorders>
              <w:top w:val="nil"/>
              <w:left w:val="nil"/>
              <w:bottom w:val="single" w:sz="8" w:space="0" w:color="auto"/>
              <w:right w:val="single" w:sz="4" w:space="0" w:color="auto"/>
            </w:tcBorders>
            <w:shd w:val="clear" w:color="auto" w:fill="auto"/>
            <w:vAlign w:val="center"/>
          </w:tcPr>
          <w:p w14:paraId="2D2DCF57"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60757BD5" w14:textId="77777777" w:rsidTr="00085672">
        <w:trPr>
          <w:cantSplit/>
          <w:trHeight w:val="227"/>
          <w:jc w:val="center"/>
        </w:trPr>
        <w:tc>
          <w:tcPr>
            <w:tcW w:w="1135" w:type="dxa"/>
            <w:vMerge/>
            <w:vAlign w:val="center"/>
          </w:tcPr>
          <w:p w14:paraId="06BA0853" w14:textId="77777777" w:rsidR="00085672" w:rsidRPr="005A1C76" w:rsidRDefault="00085672" w:rsidP="00085672">
            <w:pPr>
              <w:spacing w:after="0" w:line="240" w:lineRule="auto"/>
              <w:rPr>
                <w:rFonts w:eastAsia="Calibri" w:cs="Calibri"/>
                <w:sz w:val="20"/>
                <w:szCs w:val="20"/>
                <w:lang w:val="en-GB"/>
              </w:rPr>
            </w:pPr>
          </w:p>
        </w:tc>
        <w:tc>
          <w:tcPr>
            <w:tcW w:w="1264" w:type="dxa"/>
            <w:shd w:val="clear" w:color="auto" w:fill="auto"/>
            <w:vAlign w:val="center"/>
          </w:tcPr>
          <w:p w14:paraId="29DDFF1E"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Tivat</w:t>
            </w:r>
          </w:p>
        </w:tc>
        <w:tc>
          <w:tcPr>
            <w:tcW w:w="497" w:type="dxa"/>
            <w:tcBorders>
              <w:top w:val="nil"/>
              <w:left w:val="single" w:sz="8" w:space="0" w:color="auto"/>
              <w:bottom w:val="single" w:sz="8" w:space="0" w:color="auto"/>
              <w:right w:val="single" w:sz="8" w:space="0" w:color="auto"/>
            </w:tcBorders>
            <w:shd w:val="clear" w:color="auto" w:fill="00FF00"/>
            <w:vAlign w:val="center"/>
          </w:tcPr>
          <w:p w14:paraId="4490E6C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29</w:t>
            </w:r>
          </w:p>
        </w:tc>
        <w:tc>
          <w:tcPr>
            <w:tcW w:w="571" w:type="dxa"/>
            <w:tcBorders>
              <w:top w:val="nil"/>
              <w:left w:val="nil"/>
              <w:bottom w:val="single" w:sz="8" w:space="0" w:color="auto"/>
              <w:right w:val="single" w:sz="8" w:space="0" w:color="auto"/>
            </w:tcBorders>
            <w:shd w:val="clear" w:color="auto" w:fill="00FF00"/>
            <w:vAlign w:val="center"/>
          </w:tcPr>
          <w:p w14:paraId="05F1778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163</w:t>
            </w:r>
          </w:p>
        </w:tc>
        <w:tc>
          <w:tcPr>
            <w:tcW w:w="556" w:type="dxa"/>
            <w:tcBorders>
              <w:top w:val="nil"/>
              <w:left w:val="nil"/>
              <w:bottom w:val="single" w:sz="8" w:space="0" w:color="auto"/>
              <w:right w:val="single" w:sz="8" w:space="0" w:color="auto"/>
            </w:tcBorders>
            <w:shd w:val="clear" w:color="auto" w:fill="00FF00"/>
            <w:vAlign w:val="center"/>
          </w:tcPr>
          <w:p w14:paraId="1B83EBE3"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160</w:t>
            </w:r>
          </w:p>
        </w:tc>
        <w:tc>
          <w:tcPr>
            <w:tcW w:w="709" w:type="dxa"/>
            <w:tcBorders>
              <w:top w:val="nil"/>
              <w:left w:val="nil"/>
              <w:bottom w:val="single" w:sz="8" w:space="0" w:color="auto"/>
              <w:right w:val="single" w:sz="8" w:space="0" w:color="auto"/>
            </w:tcBorders>
            <w:shd w:val="clear" w:color="000000" w:fill="FF0000"/>
            <w:vAlign w:val="center"/>
          </w:tcPr>
          <w:p w14:paraId="2EFD1585"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155</w:t>
            </w:r>
          </w:p>
        </w:tc>
        <w:tc>
          <w:tcPr>
            <w:tcW w:w="587" w:type="dxa"/>
            <w:tcBorders>
              <w:top w:val="nil"/>
              <w:left w:val="nil"/>
              <w:bottom w:val="single" w:sz="8" w:space="0" w:color="auto"/>
              <w:right w:val="single" w:sz="8" w:space="0" w:color="auto"/>
            </w:tcBorders>
            <w:shd w:val="clear" w:color="auto" w:fill="00FF00"/>
            <w:vAlign w:val="center"/>
          </w:tcPr>
          <w:p w14:paraId="3E2F4FA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181</w:t>
            </w:r>
          </w:p>
        </w:tc>
        <w:tc>
          <w:tcPr>
            <w:tcW w:w="590" w:type="dxa"/>
            <w:tcBorders>
              <w:top w:val="nil"/>
              <w:left w:val="nil"/>
              <w:bottom w:val="single" w:sz="8" w:space="0" w:color="auto"/>
              <w:right w:val="single" w:sz="8" w:space="0" w:color="auto"/>
            </w:tcBorders>
            <w:shd w:val="clear" w:color="auto" w:fill="00FF00"/>
            <w:vAlign w:val="center"/>
          </w:tcPr>
          <w:p w14:paraId="3810A12D"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145</w:t>
            </w:r>
          </w:p>
        </w:tc>
        <w:tc>
          <w:tcPr>
            <w:tcW w:w="562" w:type="dxa"/>
            <w:tcBorders>
              <w:top w:val="nil"/>
              <w:left w:val="nil"/>
              <w:bottom w:val="single" w:sz="8" w:space="0" w:color="auto"/>
              <w:right w:val="single" w:sz="8" w:space="0" w:color="auto"/>
            </w:tcBorders>
            <w:shd w:val="clear" w:color="auto" w:fill="00FF00"/>
            <w:vAlign w:val="center"/>
          </w:tcPr>
          <w:p w14:paraId="71040274"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74</w:t>
            </w:r>
          </w:p>
        </w:tc>
        <w:tc>
          <w:tcPr>
            <w:tcW w:w="589" w:type="dxa"/>
            <w:tcBorders>
              <w:top w:val="nil"/>
              <w:left w:val="nil"/>
              <w:bottom w:val="single" w:sz="8" w:space="0" w:color="auto"/>
              <w:right w:val="single" w:sz="8" w:space="0" w:color="auto"/>
            </w:tcBorders>
            <w:shd w:val="clear" w:color="auto" w:fill="00FF00"/>
            <w:vAlign w:val="center"/>
          </w:tcPr>
          <w:p w14:paraId="41DF047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169</w:t>
            </w:r>
          </w:p>
        </w:tc>
        <w:tc>
          <w:tcPr>
            <w:tcW w:w="586" w:type="dxa"/>
            <w:tcBorders>
              <w:top w:val="nil"/>
              <w:left w:val="nil"/>
              <w:bottom w:val="single" w:sz="8" w:space="0" w:color="auto"/>
              <w:right w:val="single" w:sz="8" w:space="0" w:color="auto"/>
            </w:tcBorders>
            <w:shd w:val="clear" w:color="auto" w:fill="00FF00"/>
            <w:vAlign w:val="center"/>
          </w:tcPr>
          <w:p w14:paraId="23BA36E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271</w:t>
            </w:r>
          </w:p>
        </w:tc>
        <w:tc>
          <w:tcPr>
            <w:tcW w:w="585" w:type="dxa"/>
            <w:tcBorders>
              <w:top w:val="nil"/>
              <w:left w:val="nil"/>
              <w:bottom w:val="single" w:sz="8" w:space="0" w:color="auto"/>
              <w:right w:val="single" w:sz="8" w:space="0" w:color="auto"/>
            </w:tcBorders>
            <w:shd w:val="clear" w:color="auto" w:fill="00FF00"/>
            <w:vAlign w:val="center"/>
          </w:tcPr>
          <w:p w14:paraId="39D8D2D9"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304</w:t>
            </w:r>
          </w:p>
        </w:tc>
        <w:tc>
          <w:tcPr>
            <w:tcW w:w="641" w:type="dxa"/>
            <w:tcBorders>
              <w:top w:val="nil"/>
              <w:left w:val="nil"/>
              <w:bottom w:val="single" w:sz="8" w:space="0" w:color="auto"/>
              <w:right w:val="single" w:sz="4" w:space="0" w:color="auto"/>
            </w:tcBorders>
            <w:shd w:val="clear" w:color="auto" w:fill="auto"/>
            <w:vAlign w:val="center"/>
          </w:tcPr>
          <w:p w14:paraId="4E1D98A3"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1FF90B82" w14:textId="77777777" w:rsidTr="00085672">
        <w:trPr>
          <w:cantSplit/>
          <w:trHeight w:val="260"/>
          <w:jc w:val="center"/>
        </w:trPr>
        <w:tc>
          <w:tcPr>
            <w:tcW w:w="1135" w:type="dxa"/>
            <w:vMerge/>
            <w:vAlign w:val="center"/>
          </w:tcPr>
          <w:p w14:paraId="161C7352" w14:textId="77777777" w:rsidR="00085672" w:rsidRPr="005A1C76" w:rsidRDefault="00085672" w:rsidP="00085672">
            <w:pPr>
              <w:spacing w:after="0" w:line="240" w:lineRule="auto"/>
              <w:rPr>
                <w:rFonts w:eastAsia="Calibri" w:cs="Calibri"/>
                <w:sz w:val="20"/>
                <w:szCs w:val="20"/>
                <w:lang w:val="en-GB"/>
              </w:rPr>
            </w:pPr>
          </w:p>
        </w:tc>
        <w:tc>
          <w:tcPr>
            <w:tcW w:w="1264" w:type="dxa"/>
            <w:shd w:val="clear" w:color="auto" w:fill="auto"/>
            <w:vAlign w:val="center"/>
          </w:tcPr>
          <w:p w14:paraId="5C80DB91"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Risan</w:t>
            </w:r>
          </w:p>
        </w:tc>
        <w:tc>
          <w:tcPr>
            <w:tcW w:w="497" w:type="dxa"/>
            <w:tcBorders>
              <w:top w:val="nil"/>
              <w:left w:val="single" w:sz="8" w:space="0" w:color="auto"/>
              <w:bottom w:val="single" w:sz="8" w:space="0" w:color="auto"/>
              <w:right w:val="single" w:sz="8" w:space="0" w:color="auto"/>
            </w:tcBorders>
            <w:shd w:val="clear" w:color="auto" w:fill="00FF00"/>
            <w:vAlign w:val="center"/>
          </w:tcPr>
          <w:p w14:paraId="56742E2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49</w:t>
            </w:r>
          </w:p>
        </w:tc>
        <w:tc>
          <w:tcPr>
            <w:tcW w:w="571" w:type="dxa"/>
            <w:tcBorders>
              <w:top w:val="nil"/>
              <w:left w:val="nil"/>
              <w:bottom w:val="single" w:sz="8" w:space="0" w:color="auto"/>
              <w:right w:val="single" w:sz="8" w:space="0" w:color="auto"/>
            </w:tcBorders>
            <w:shd w:val="clear" w:color="auto" w:fill="00FF00"/>
            <w:vAlign w:val="center"/>
          </w:tcPr>
          <w:p w14:paraId="421B7E43"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203</w:t>
            </w:r>
          </w:p>
        </w:tc>
        <w:tc>
          <w:tcPr>
            <w:tcW w:w="556" w:type="dxa"/>
            <w:tcBorders>
              <w:top w:val="nil"/>
              <w:left w:val="nil"/>
              <w:bottom w:val="single" w:sz="8" w:space="0" w:color="auto"/>
              <w:right w:val="single" w:sz="8" w:space="0" w:color="auto"/>
            </w:tcBorders>
            <w:shd w:val="clear" w:color="auto" w:fill="00FF00"/>
            <w:vAlign w:val="center"/>
          </w:tcPr>
          <w:p w14:paraId="33C79FFD"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203</w:t>
            </w:r>
          </w:p>
        </w:tc>
        <w:tc>
          <w:tcPr>
            <w:tcW w:w="709" w:type="dxa"/>
            <w:tcBorders>
              <w:top w:val="nil"/>
              <w:left w:val="nil"/>
              <w:bottom w:val="single" w:sz="8" w:space="0" w:color="auto"/>
              <w:right w:val="single" w:sz="8" w:space="0" w:color="auto"/>
            </w:tcBorders>
            <w:shd w:val="clear" w:color="000000" w:fill="FF0000"/>
            <w:vAlign w:val="center"/>
          </w:tcPr>
          <w:p w14:paraId="0C5189F9"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96</w:t>
            </w:r>
          </w:p>
        </w:tc>
        <w:tc>
          <w:tcPr>
            <w:tcW w:w="587" w:type="dxa"/>
            <w:tcBorders>
              <w:top w:val="nil"/>
              <w:left w:val="nil"/>
              <w:bottom w:val="single" w:sz="8" w:space="0" w:color="auto"/>
              <w:right w:val="single" w:sz="8" w:space="0" w:color="auto"/>
            </w:tcBorders>
            <w:shd w:val="clear" w:color="auto" w:fill="00FF00"/>
            <w:vAlign w:val="center"/>
          </w:tcPr>
          <w:p w14:paraId="2F26DFDD"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199</w:t>
            </w:r>
          </w:p>
        </w:tc>
        <w:tc>
          <w:tcPr>
            <w:tcW w:w="590" w:type="dxa"/>
            <w:tcBorders>
              <w:top w:val="nil"/>
              <w:left w:val="nil"/>
              <w:bottom w:val="single" w:sz="8" w:space="0" w:color="auto"/>
              <w:right w:val="single" w:sz="8" w:space="0" w:color="auto"/>
            </w:tcBorders>
            <w:shd w:val="clear" w:color="auto" w:fill="00FF00"/>
            <w:vAlign w:val="center"/>
          </w:tcPr>
          <w:p w14:paraId="0166E2ED"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152</w:t>
            </w:r>
          </w:p>
        </w:tc>
        <w:tc>
          <w:tcPr>
            <w:tcW w:w="562" w:type="dxa"/>
            <w:tcBorders>
              <w:top w:val="nil"/>
              <w:left w:val="nil"/>
              <w:bottom w:val="single" w:sz="8" w:space="0" w:color="auto"/>
              <w:right w:val="single" w:sz="8" w:space="0" w:color="auto"/>
            </w:tcBorders>
            <w:shd w:val="clear" w:color="auto" w:fill="00FF00"/>
            <w:vAlign w:val="center"/>
          </w:tcPr>
          <w:p w14:paraId="631C561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40</w:t>
            </w:r>
          </w:p>
        </w:tc>
        <w:tc>
          <w:tcPr>
            <w:tcW w:w="589" w:type="dxa"/>
            <w:tcBorders>
              <w:top w:val="nil"/>
              <w:left w:val="nil"/>
              <w:bottom w:val="single" w:sz="8" w:space="0" w:color="auto"/>
              <w:right w:val="single" w:sz="8" w:space="0" w:color="auto"/>
            </w:tcBorders>
            <w:shd w:val="clear" w:color="auto" w:fill="00FF00"/>
            <w:vAlign w:val="center"/>
          </w:tcPr>
          <w:p w14:paraId="511EBE5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184</w:t>
            </w:r>
          </w:p>
        </w:tc>
        <w:tc>
          <w:tcPr>
            <w:tcW w:w="586" w:type="dxa"/>
            <w:tcBorders>
              <w:top w:val="nil"/>
              <w:left w:val="nil"/>
              <w:bottom w:val="single" w:sz="8" w:space="0" w:color="auto"/>
              <w:right w:val="single" w:sz="8" w:space="0" w:color="auto"/>
            </w:tcBorders>
            <w:shd w:val="clear" w:color="auto" w:fill="00FF00"/>
            <w:vAlign w:val="center"/>
          </w:tcPr>
          <w:p w14:paraId="2377FD33"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308</w:t>
            </w:r>
          </w:p>
        </w:tc>
        <w:tc>
          <w:tcPr>
            <w:tcW w:w="585" w:type="dxa"/>
            <w:tcBorders>
              <w:top w:val="nil"/>
              <w:left w:val="nil"/>
              <w:bottom w:val="single" w:sz="8" w:space="0" w:color="auto"/>
              <w:right w:val="single" w:sz="8" w:space="0" w:color="auto"/>
            </w:tcBorders>
            <w:shd w:val="clear" w:color="auto" w:fill="00FF00"/>
            <w:vAlign w:val="center"/>
          </w:tcPr>
          <w:p w14:paraId="4D3943DA"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352</w:t>
            </w:r>
          </w:p>
        </w:tc>
        <w:tc>
          <w:tcPr>
            <w:tcW w:w="641" w:type="dxa"/>
            <w:tcBorders>
              <w:top w:val="nil"/>
              <w:left w:val="nil"/>
              <w:bottom w:val="single" w:sz="8" w:space="0" w:color="auto"/>
              <w:right w:val="single" w:sz="4" w:space="0" w:color="auto"/>
            </w:tcBorders>
            <w:shd w:val="clear" w:color="auto" w:fill="auto"/>
            <w:vAlign w:val="center"/>
          </w:tcPr>
          <w:p w14:paraId="28ECD01F"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17F3ED2D" w14:textId="77777777" w:rsidTr="00085672">
        <w:trPr>
          <w:cantSplit/>
          <w:trHeight w:val="227"/>
          <w:jc w:val="center"/>
        </w:trPr>
        <w:tc>
          <w:tcPr>
            <w:tcW w:w="1135" w:type="dxa"/>
            <w:vMerge/>
            <w:vAlign w:val="center"/>
          </w:tcPr>
          <w:p w14:paraId="303B3053" w14:textId="77777777" w:rsidR="00085672" w:rsidRPr="005A1C76" w:rsidRDefault="00085672" w:rsidP="00085672">
            <w:pPr>
              <w:spacing w:after="0" w:line="240" w:lineRule="auto"/>
              <w:rPr>
                <w:rFonts w:eastAsia="Calibri" w:cs="Calibri"/>
                <w:sz w:val="20"/>
                <w:szCs w:val="20"/>
                <w:lang w:val="en-GB"/>
              </w:rPr>
            </w:pPr>
          </w:p>
        </w:tc>
        <w:tc>
          <w:tcPr>
            <w:tcW w:w="1264" w:type="dxa"/>
            <w:shd w:val="clear" w:color="auto" w:fill="auto"/>
            <w:vAlign w:val="center"/>
          </w:tcPr>
          <w:p w14:paraId="69B9BF89"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IBM-Dobrota</w:t>
            </w:r>
          </w:p>
        </w:tc>
        <w:tc>
          <w:tcPr>
            <w:tcW w:w="497" w:type="dxa"/>
            <w:tcBorders>
              <w:top w:val="nil"/>
              <w:left w:val="single" w:sz="8" w:space="0" w:color="auto"/>
              <w:bottom w:val="single" w:sz="8" w:space="0" w:color="auto"/>
              <w:right w:val="single" w:sz="8" w:space="0" w:color="auto"/>
            </w:tcBorders>
            <w:shd w:val="clear" w:color="auto" w:fill="00FF00"/>
            <w:vAlign w:val="center"/>
          </w:tcPr>
          <w:p w14:paraId="15F5CD6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46</w:t>
            </w:r>
          </w:p>
        </w:tc>
        <w:tc>
          <w:tcPr>
            <w:tcW w:w="571" w:type="dxa"/>
            <w:tcBorders>
              <w:top w:val="nil"/>
              <w:left w:val="nil"/>
              <w:bottom w:val="single" w:sz="8" w:space="0" w:color="auto"/>
              <w:right w:val="single" w:sz="8" w:space="0" w:color="auto"/>
            </w:tcBorders>
            <w:shd w:val="clear" w:color="auto" w:fill="00FF00"/>
            <w:vAlign w:val="center"/>
          </w:tcPr>
          <w:p w14:paraId="11D4B73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227</w:t>
            </w:r>
          </w:p>
        </w:tc>
        <w:tc>
          <w:tcPr>
            <w:tcW w:w="556" w:type="dxa"/>
            <w:tcBorders>
              <w:top w:val="nil"/>
              <w:left w:val="nil"/>
              <w:bottom w:val="single" w:sz="8" w:space="0" w:color="auto"/>
              <w:right w:val="single" w:sz="8" w:space="0" w:color="auto"/>
            </w:tcBorders>
            <w:shd w:val="clear" w:color="auto" w:fill="00FF00"/>
            <w:vAlign w:val="center"/>
          </w:tcPr>
          <w:p w14:paraId="28857C9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231</w:t>
            </w:r>
          </w:p>
        </w:tc>
        <w:tc>
          <w:tcPr>
            <w:tcW w:w="709" w:type="dxa"/>
            <w:tcBorders>
              <w:top w:val="nil"/>
              <w:left w:val="nil"/>
              <w:bottom w:val="single" w:sz="8" w:space="0" w:color="auto"/>
              <w:right w:val="single" w:sz="8" w:space="0" w:color="auto"/>
            </w:tcBorders>
            <w:shd w:val="clear" w:color="000000" w:fill="FF0000"/>
            <w:vAlign w:val="center"/>
          </w:tcPr>
          <w:p w14:paraId="24089A5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135</w:t>
            </w:r>
          </w:p>
        </w:tc>
        <w:tc>
          <w:tcPr>
            <w:tcW w:w="587" w:type="dxa"/>
            <w:tcBorders>
              <w:top w:val="nil"/>
              <w:left w:val="nil"/>
              <w:bottom w:val="single" w:sz="8" w:space="0" w:color="auto"/>
              <w:right w:val="single" w:sz="8" w:space="0" w:color="auto"/>
            </w:tcBorders>
            <w:shd w:val="clear" w:color="auto" w:fill="00FF00"/>
            <w:vAlign w:val="center"/>
          </w:tcPr>
          <w:p w14:paraId="7917043A"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204</w:t>
            </w:r>
          </w:p>
        </w:tc>
        <w:tc>
          <w:tcPr>
            <w:tcW w:w="590" w:type="dxa"/>
            <w:tcBorders>
              <w:top w:val="nil"/>
              <w:left w:val="nil"/>
              <w:bottom w:val="single" w:sz="8" w:space="0" w:color="auto"/>
              <w:right w:val="single" w:sz="8" w:space="0" w:color="auto"/>
            </w:tcBorders>
            <w:shd w:val="clear" w:color="auto" w:fill="00FF00"/>
            <w:vAlign w:val="center"/>
          </w:tcPr>
          <w:p w14:paraId="030A1D7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154</w:t>
            </w:r>
          </w:p>
        </w:tc>
        <w:tc>
          <w:tcPr>
            <w:tcW w:w="562" w:type="dxa"/>
            <w:tcBorders>
              <w:top w:val="nil"/>
              <w:left w:val="nil"/>
              <w:bottom w:val="single" w:sz="8" w:space="0" w:color="auto"/>
              <w:right w:val="single" w:sz="8" w:space="0" w:color="auto"/>
            </w:tcBorders>
            <w:shd w:val="clear" w:color="auto" w:fill="00FF00"/>
            <w:vAlign w:val="center"/>
          </w:tcPr>
          <w:p w14:paraId="3619CDA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31</w:t>
            </w:r>
          </w:p>
        </w:tc>
        <w:tc>
          <w:tcPr>
            <w:tcW w:w="589" w:type="dxa"/>
            <w:tcBorders>
              <w:top w:val="nil"/>
              <w:left w:val="nil"/>
              <w:bottom w:val="single" w:sz="8" w:space="0" w:color="auto"/>
              <w:right w:val="single" w:sz="8" w:space="0" w:color="auto"/>
            </w:tcBorders>
            <w:shd w:val="clear" w:color="auto" w:fill="00FF00"/>
            <w:vAlign w:val="center"/>
          </w:tcPr>
          <w:p w14:paraId="16F25A15"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192</w:t>
            </w:r>
          </w:p>
        </w:tc>
        <w:tc>
          <w:tcPr>
            <w:tcW w:w="586" w:type="dxa"/>
            <w:tcBorders>
              <w:top w:val="nil"/>
              <w:left w:val="nil"/>
              <w:bottom w:val="single" w:sz="8" w:space="0" w:color="auto"/>
              <w:right w:val="single" w:sz="8" w:space="0" w:color="auto"/>
            </w:tcBorders>
            <w:shd w:val="clear" w:color="auto" w:fill="00FF00"/>
            <w:vAlign w:val="center"/>
          </w:tcPr>
          <w:p w14:paraId="6A7691C5"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357</w:t>
            </w:r>
          </w:p>
        </w:tc>
        <w:tc>
          <w:tcPr>
            <w:tcW w:w="585" w:type="dxa"/>
            <w:tcBorders>
              <w:top w:val="nil"/>
              <w:left w:val="nil"/>
              <w:bottom w:val="single" w:sz="8" w:space="0" w:color="auto"/>
              <w:right w:val="single" w:sz="8" w:space="0" w:color="auto"/>
            </w:tcBorders>
            <w:shd w:val="clear" w:color="auto" w:fill="00FF00"/>
            <w:vAlign w:val="center"/>
          </w:tcPr>
          <w:p w14:paraId="61C330F8"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412</w:t>
            </w:r>
          </w:p>
        </w:tc>
        <w:tc>
          <w:tcPr>
            <w:tcW w:w="641" w:type="dxa"/>
            <w:tcBorders>
              <w:top w:val="nil"/>
              <w:left w:val="nil"/>
              <w:bottom w:val="single" w:sz="8" w:space="0" w:color="auto"/>
              <w:right w:val="single" w:sz="4" w:space="0" w:color="auto"/>
            </w:tcBorders>
            <w:shd w:val="clear" w:color="auto" w:fill="auto"/>
            <w:vAlign w:val="center"/>
          </w:tcPr>
          <w:p w14:paraId="183A8458"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24E3B794" w14:textId="77777777" w:rsidTr="00085672">
        <w:trPr>
          <w:cantSplit/>
          <w:trHeight w:val="227"/>
          <w:jc w:val="center"/>
        </w:trPr>
        <w:tc>
          <w:tcPr>
            <w:tcW w:w="1135" w:type="dxa"/>
            <w:vMerge/>
            <w:vAlign w:val="center"/>
          </w:tcPr>
          <w:p w14:paraId="03DE9C96" w14:textId="77777777" w:rsidR="00085672" w:rsidRPr="005A1C76" w:rsidRDefault="00085672" w:rsidP="00085672">
            <w:pPr>
              <w:spacing w:after="0" w:line="240" w:lineRule="auto"/>
              <w:rPr>
                <w:rFonts w:eastAsia="Calibri" w:cs="Calibri"/>
                <w:sz w:val="20"/>
                <w:szCs w:val="20"/>
                <w:lang w:val="en-GB"/>
              </w:rPr>
            </w:pPr>
          </w:p>
        </w:tc>
        <w:tc>
          <w:tcPr>
            <w:tcW w:w="1264" w:type="dxa"/>
            <w:shd w:val="clear" w:color="auto" w:fill="auto"/>
            <w:vAlign w:val="center"/>
          </w:tcPr>
          <w:p w14:paraId="0E29D3AD"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Kotor</w:t>
            </w:r>
          </w:p>
        </w:tc>
        <w:tc>
          <w:tcPr>
            <w:tcW w:w="497" w:type="dxa"/>
            <w:tcBorders>
              <w:top w:val="nil"/>
              <w:left w:val="single" w:sz="8" w:space="0" w:color="auto"/>
              <w:bottom w:val="single" w:sz="8" w:space="0" w:color="auto"/>
              <w:right w:val="single" w:sz="8" w:space="0" w:color="auto"/>
            </w:tcBorders>
            <w:shd w:val="clear" w:color="000000" w:fill="FF0000"/>
            <w:vAlign w:val="center"/>
          </w:tcPr>
          <w:p w14:paraId="75AA5BA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682</w:t>
            </w:r>
          </w:p>
        </w:tc>
        <w:tc>
          <w:tcPr>
            <w:tcW w:w="571" w:type="dxa"/>
            <w:tcBorders>
              <w:top w:val="nil"/>
              <w:left w:val="nil"/>
              <w:bottom w:val="single" w:sz="8" w:space="0" w:color="auto"/>
              <w:right w:val="single" w:sz="8" w:space="0" w:color="auto"/>
            </w:tcBorders>
            <w:shd w:val="clear" w:color="000000" w:fill="FF0000"/>
            <w:vAlign w:val="center"/>
          </w:tcPr>
          <w:p w14:paraId="238A09C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2997</w:t>
            </w:r>
          </w:p>
        </w:tc>
        <w:tc>
          <w:tcPr>
            <w:tcW w:w="556" w:type="dxa"/>
            <w:tcBorders>
              <w:top w:val="nil"/>
              <w:left w:val="nil"/>
              <w:bottom w:val="single" w:sz="8" w:space="0" w:color="auto"/>
              <w:right w:val="single" w:sz="8" w:space="0" w:color="auto"/>
            </w:tcBorders>
            <w:shd w:val="clear" w:color="000000" w:fill="FF0000"/>
            <w:vAlign w:val="center"/>
          </w:tcPr>
          <w:p w14:paraId="01A5EC7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2515</w:t>
            </w:r>
          </w:p>
        </w:tc>
        <w:tc>
          <w:tcPr>
            <w:tcW w:w="709" w:type="dxa"/>
            <w:tcBorders>
              <w:top w:val="nil"/>
              <w:left w:val="nil"/>
              <w:bottom w:val="single" w:sz="8" w:space="0" w:color="auto"/>
              <w:right w:val="single" w:sz="8" w:space="0" w:color="auto"/>
            </w:tcBorders>
            <w:shd w:val="clear" w:color="000000" w:fill="FF0000"/>
            <w:vAlign w:val="center"/>
          </w:tcPr>
          <w:p w14:paraId="556E3F0A"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2123</w:t>
            </w:r>
          </w:p>
        </w:tc>
        <w:tc>
          <w:tcPr>
            <w:tcW w:w="587" w:type="dxa"/>
            <w:tcBorders>
              <w:top w:val="nil"/>
              <w:left w:val="nil"/>
              <w:bottom w:val="single" w:sz="8" w:space="0" w:color="auto"/>
              <w:right w:val="single" w:sz="8" w:space="0" w:color="auto"/>
            </w:tcBorders>
            <w:shd w:val="clear" w:color="000000" w:fill="FF0000"/>
            <w:vAlign w:val="center"/>
          </w:tcPr>
          <w:p w14:paraId="0175555A"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2845</w:t>
            </w:r>
          </w:p>
        </w:tc>
        <w:tc>
          <w:tcPr>
            <w:tcW w:w="590" w:type="dxa"/>
            <w:tcBorders>
              <w:top w:val="nil"/>
              <w:left w:val="nil"/>
              <w:bottom w:val="single" w:sz="8" w:space="0" w:color="auto"/>
              <w:right w:val="single" w:sz="8" w:space="0" w:color="auto"/>
            </w:tcBorders>
            <w:shd w:val="clear" w:color="000000" w:fill="FF0000"/>
            <w:vAlign w:val="center"/>
          </w:tcPr>
          <w:p w14:paraId="0D582029"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2168</w:t>
            </w:r>
          </w:p>
        </w:tc>
        <w:tc>
          <w:tcPr>
            <w:tcW w:w="562" w:type="dxa"/>
            <w:tcBorders>
              <w:top w:val="nil"/>
              <w:left w:val="nil"/>
              <w:bottom w:val="single" w:sz="8" w:space="0" w:color="auto"/>
              <w:right w:val="single" w:sz="8" w:space="0" w:color="auto"/>
            </w:tcBorders>
            <w:shd w:val="clear" w:color="000000" w:fill="FF0000"/>
            <w:vAlign w:val="center"/>
          </w:tcPr>
          <w:p w14:paraId="08D67CC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290</w:t>
            </w:r>
          </w:p>
        </w:tc>
        <w:tc>
          <w:tcPr>
            <w:tcW w:w="589" w:type="dxa"/>
            <w:tcBorders>
              <w:top w:val="nil"/>
              <w:left w:val="nil"/>
              <w:bottom w:val="single" w:sz="8" w:space="0" w:color="auto"/>
              <w:right w:val="single" w:sz="8" w:space="0" w:color="auto"/>
            </w:tcBorders>
            <w:shd w:val="clear" w:color="000000" w:fill="FF0000"/>
            <w:vAlign w:val="center"/>
          </w:tcPr>
          <w:p w14:paraId="277E4A0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2854</w:t>
            </w:r>
          </w:p>
        </w:tc>
        <w:tc>
          <w:tcPr>
            <w:tcW w:w="586" w:type="dxa"/>
            <w:tcBorders>
              <w:top w:val="nil"/>
              <w:left w:val="nil"/>
              <w:bottom w:val="single" w:sz="8" w:space="0" w:color="auto"/>
              <w:right w:val="single" w:sz="8" w:space="0" w:color="auto"/>
            </w:tcBorders>
            <w:shd w:val="clear" w:color="000000" w:fill="FF0000"/>
            <w:vAlign w:val="center"/>
          </w:tcPr>
          <w:p w14:paraId="32EBD62A"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5531</w:t>
            </w:r>
          </w:p>
        </w:tc>
        <w:tc>
          <w:tcPr>
            <w:tcW w:w="585" w:type="dxa"/>
            <w:tcBorders>
              <w:top w:val="nil"/>
              <w:left w:val="nil"/>
              <w:bottom w:val="single" w:sz="8" w:space="0" w:color="auto"/>
              <w:right w:val="single" w:sz="8" w:space="0" w:color="auto"/>
            </w:tcBorders>
            <w:shd w:val="clear" w:color="000000" w:fill="FF0000"/>
            <w:vAlign w:val="center"/>
          </w:tcPr>
          <w:p w14:paraId="1C83C7A3"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6210</w:t>
            </w:r>
          </w:p>
        </w:tc>
        <w:tc>
          <w:tcPr>
            <w:tcW w:w="641" w:type="dxa"/>
            <w:tcBorders>
              <w:top w:val="nil"/>
              <w:left w:val="nil"/>
              <w:bottom w:val="single" w:sz="8" w:space="0" w:color="auto"/>
              <w:right w:val="single" w:sz="4" w:space="0" w:color="auto"/>
            </w:tcBorders>
            <w:shd w:val="clear" w:color="auto" w:fill="auto"/>
            <w:vAlign w:val="center"/>
          </w:tcPr>
          <w:p w14:paraId="068E8728"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70207D3D" w14:textId="77777777" w:rsidTr="00085672">
        <w:trPr>
          <w:cantSplit/>
          <w:trHeight w:val="227"/>
          <w:jc w:val="center"/>
        </w:trPr>
        <w:tc>
          <w:tcPr>
            <w:tcW w:w="1135" w:type="dxa"/>
            <w:vMerge w:val="restart"/>
            <w:vAlign w:val="center"/>
          </w:tcPr>
          <w:p w14:paraId="4F0660C6"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r w:rsidRPr="005A1C76">
              <w:rPr>
                <w:rFonts w:eastAsia="Calibri" w:cs="Calibri"/>
                <w:sz w:val="20"/>
                <w:szCs w:val="20"/>
                <w:lang w:val="en-GB"/>
              </w:rPr>
              <w:t xml:space="preserve">Priobalno – otvoreno more </w:t>
            </w:r>
          </w:p>
          <w:p w14:paraId="42BB705F"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264" w:type="dxa"/>
            <w:shd w:val="clear" w:color="auto" w:fill="auto"/>
            <w:vAlign w:val="center"/>
          </w:tcPr>
          <w:p w14:paraId="2BD2C5FA"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Lustica</w:t>
            </w:r>
          </w:p>
        </w:tc>
        <w:tc>
          <w:tcPr>
            <w:tcW w:w="497" w:type="dxa"/>
            <w:tcBorders>
              <w:top w:val="single" w:sz="8" w:space="0" w:color="auto"/>
              <w:left w:val="single" w:sz="8" w:space="0" w:color="auto"/>
              <w:bottom w:val="single" w:sz="8" w:space="0" w:color="auto"/>
              <w:right w:val="single" w:sz="8" w:space="0" w:color="auto"/>
            </w:tcBorders>
            <w:shd w:val="clear" w:color="auto" w:fill="00FF00"/>
            <w:vAlign w:val="center"/>
          </w:tcPr>
          <w:p w14:paraId="5001DD03"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28</w:t>
            </w:r>
          </w:p>
        </w:tc>
        <w:tc>
          <w:tcPr>
            <w:tcW w:w="571" w:type="dxa"/>
            <w:tcBorders>
              <w:top w:val="single" w:sz="8" w:space="0" w:color="auto"/>
              <w:left w:val="nil"/>
              <w:bottom w:val="single" w:sz="8" w:space="0" w:color="auto"/>
              <w:right w:val="single" w:sz="8" w:space="0" w:color="auto"/>
            </w:tcBorders>
            <w:shd w:val="clear" w:color="auto" w:fill="00FF00"/>
            <w:vAlign w:val="center"/>
          </w:tcPr>
          <w:p w14:paraId="7288AA15"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133</w:t>
            </w:r>
          </w:p>
        </w:tc>
        <w:tc>
          <w:tcPr>
            <w:tcW w:w="556" w:type="dxa"/>
            <w:tcBorders>
              <w:top w:val="single" w:sz="8" w:space="0" w:color="auto"/>
              <w:left w:val="nil"/>
              <w:bottom w:val="single" w:sz="8" w:space="0" w:color="auto"/>
              <w:right w:val="single" w:sz="8" w:space="0" w:color="auto"/>
            </w:tcBorders>
            <w:shd w:val="clear" w:color="auto" w:fill="00FF00"/>
            <w:vAlign w:val="center"/>
          </w:tcPr>
          <w:p w14:paraId="7FF1DA5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131</w:t>
            </w:r>
          </w:p>
        </w:tc>
        <w:tc>
          <w:tcPr>
            <w:tcW w:w="709" w:type="dxa"/>
            <w:tcBorders>
              <w:top w:val="single" w:sz="8" w:space="0" w:color="auto"/>
              <w:left w:val="nil"/>
              <w:bottom w:val="single" w:sz="8" w:space="0" w:color="auto"/>
              <w:right w:val="single" w:sz="8" w:space="0" w:color="auto"/>
            </w:tcBorders>
            <w:shd w:val="clear" w:color="auto" w:fill="00FF00"/>
            <w:vAlign w:val="center"/>
          </w:tcPr>
          <w:p w14:paraId="7C523F6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78</w:t>
            </w:r>
          </w:p>
        </w:tc>
        <w:tc>
          <w:tcPr>
            <w:tcW w:w="587" w:type="dxa"/>
            <w:tcBorders>
              <w:top w:val="single" w:sz="8" w:space="0" w:color="auto"/>
              <w:left w:val="nil"/>
              <w:bottom w:val="single" w:sz="8" w:space="0" w:color="auto"/>
              <w:right w:val="single" w:sz="8" w:space="0" w:color="auto"/>
            </w:tcBorders>
            <w:shd w:val="clear" w:color="auto" w:fill="00FF00"/>
            <w:vAlign w:val="center"/>
          </w:tcPr>
          <w:p w14:paraId="7A573FB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125</w:t>
            </w:r>
          </w:p>
        </w:tc>
        <w:tc>
          <w:tcPr>
            <w:tcW w:w="590" w:type="dxa"/>
            <w:tcBorders>
              <w:top w:val="single" w:sz="8" w:space="0" w:color="auto"/>
              <w:left w:val="nil"/>
              <w:bottom w:val="single" w:sz="8" w:space="0" w:color="auto"/>
              <w:right w:val="single" w:sz="8" w:space="0" w:color="auto"/>
            </w:tcBorders>
            <w:shd w:val="clear" w:color="auto" w:fill="00FF00"/>
            <w:vAlign w:val="center"/>
          </w:tcPr>
          <w:p w14:paraId="0035101A"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82</w:t>
            </w:r>
          </w:p>
        </w:tc>
        <w:tc>
          <w:tcPr>
            <w:tcW w:w="562" w:type="dxa"/>
            <w:tcBorders>
              <w:top w:val="single" w:sz="8" w:space="0" w:color="auto"/>
              <w:left w:val="nil"/>
              <w:bottom w:val="single" w:sz="8" w:space="0" w:color="auto"/>
              <w:right w:val="single" w:sz="8" w:space="0" w:color="auto"/>
            </w:tcBorders>
            <w:shd w:val="clear" w:color="auto" w:fill="00FF00"/>
            <w:vAlign w:val="center"/>
          </w:tcPr>
          <w:p w14:paraId="0EB7723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24</w:t>
            </w:r>
          </w:p>
        </w:tc>
        <w:tc>
          <w:tcPr>
            <w:tcW w:w="589" w:type="dxa"/>
            <w:tcBorders>
              <w:top w:val="single" w:sz="8" w:space="0" w:color="auto"/>
              <w:left w:val="nil"/>
              <w:bottom w:val="single" w:sz="8" w:space="0" w:color="auto"/>
              <w:right w:val="single" w:sz="8" w:space="0" w:color="auto"/>
            </w:tcBorders>
            <w:shd w:val="clear" w:color="auto" w:fill="00FF00"/>
            <w:vAlign w:val="center"/>
          </w:tcPr>
          <w:p w14:paraId="2EA5675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128</w:t>
            </w:r>
          </w:p>
        </w:tc>
        <w:tc>
          <w:tcPr>
            <w:tcW w:w="586" w:type="dxa"/>
            <w:tcBorders>
              <w:top w:val="single" w:sz="8" w:space="0" w:color="auto"/>
              <w:left w:val="nil"/>
              <w:bottom w:val="single" w:sz="8" w:space="0" w:color="auto"/>
              <w:right w:val="single" w:sz="8" w:space="0" w:color="auto"/>
            </w:tcBorders>
            <w:shd w:val="clear" w:color="auto" w:fill="00FF00"/>
            <w:vAlign w:val="center"/>
          </w:tcPr>
          <w:p w14:paraId="1A7B82F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221</w:t>
            </w:r>
          </w:p>
        </w:tc>
        <w:tc>
          <w:tcPr>
            <w:tcW w:w="585" w:type="dxa"/>
            <w:tcBorders>
              <w:top w:val="single" w:sz="8" w:space="0" w:color="auto"/>
              <w:left w:val="nil"/>
              <w:bottom w:val="single" w:sz="8" w:space="0" w:color="auto"/>
              <w:right w:val="single" w:sz="8" w:space="0" w:color="auto"/>
            </w:tcBorders>
            <w:shd w:val="clear" w:color="auto" w:fill="00FF00"/>
            <w:vAlign w:val="center"/>
          </w:tcPr>
          <w:p w14:paraId="0F5CB094"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247</w:t>
            </w:r>
          </w:p>
        </w:tc>
        <w:tc>
          <w:tcPr>
            <w:tcW w:w="641" w:type="dxa"/>
            <w:tcBorders>
              <w:top w:val="single" w:sz="8" w:space="0" w:color="auto"/>
              <w:left w:val="nil"/>
              <w:bottom w:val="single" w:sz="8" w:space="0" w:color="auto"/>
              <w:right w:val="single" w:sz="4" w:space="0" w:color="auto"/>
            </w:tcBorders>
            <w:shd w:val="clear" w:color="auto" w:fill="auto"/>
            <w:vAlign w:val="center"/>
          </w:tcPr>
          <w:p w14:paraId="71EEC5A0" w14:textId="77777777" w:rsidR="00085672" w:rsidRPr="005A1C76" w:rsidRDefault="00085672" w:rsidP="00085672">
            <w:pPr>
              <w:spacing w:after="0" w:line="240" w:lineRule="auto"/>
              <w:jc w:val="center"/>
              <w:rPr>
                <w:rFonts w:eastAsia="Calibri" w:cs="Calibri"/>
                <w:b/>
                <w:sz w:val="20"/>
                <w:szCs w:val="20"/>
                <w:lang w:val="en-GB"/>
              </w:rPr>
            </w:pPr>
            <w:r w:rsidRPr="005A1C76">
              <w:rPr>
                <w:rFonts w:eastAsia="Calibri" w:cs="Calibri"/>
                <w:b/>
                <w:sz w:val="20"/>
                <w:szCs w:val="20"/>
                <w:lang w:val="en-GB"/>
              </w:rPr>
              <w:t>CM</w:t>
            </w:r>
          </w:p>
        </w:tc>
      </w:tr>
      <w:tr w:rsidR="00085672" w:rsidRPr="005A1C76" w14:paraId="1008E7D5" w14:textId="77777777" w:rsidTr="00085672">
        <w:trPr>
          <w:cantSplit/>
          <w:trHeight w:val="227"/>
          <w:jc w:val="center"/>
        </w:trPr>
        <w:tc>
          <w:tcPr>
            <w:tcW w:w="1135" w:type="dxa"/>
            <w:vMerge/>
            <w:vAlign w:val="center"/>
          </w:tcPr>
          <w:p w14:paraId="29717F94"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264" w:type="dxa"/>
            <w:shd w:val="clear" w:color="auto" w:fill="auto"/>
            <w:vAlign w:val="center"/>
          </w:tcPr>
          <w:p w14:paraId="02381255"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Luštica-Dobra Luka</w:t>
            </w:r>
          </w:p>
        </w:tc>
        <w:tc>
          <w:tcPr>
            <w:tcW w:w="497" w:type="dxa"/>
            <w:tcBorders>
              <w:top w:val="nil"/>
              <w:left w:val="single" w:sz="8" w:space="0" w:color="auto"/>
              <w:bottom w:val="single" w:sz="8" w:space="0" w:color="auto"/>
              <w:right w:val="single" w:sz="8" w:space="0" w:color="auto"/>
            </w:tcBorders>
            <w:shd w:val="clear" w:color="auto" w:fill="00FF00"/>
            <w:vAlign w:val="center"/>
          </w:tcPr>
          <w:p w14:paraId="3C23F7E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w:t>
            </w:r>
          </w:p>
        </w:tc>
        <w:tc>
          <w:tcPr>
            <w:tcW w:w="571" w:type="dxa"/>
            <w:tcBorders>
              <w:top w:val="nil"/>
              <w:left w:val="nil"/>
              <w:bottom w:val="single" w:sz="8" w:space="0" w:color="auto"/>
              <w:right w:val="single" w:sz="8" w:space="0" w:color="auto"/>
            </w:tcBorders>
            <w:shd w:val="clear" w:color="000000" w:fill="00B0F0"/>
            <w:vAlign w:val="center"/>
          </w:tcPr>
          <w:p w14:paraId="4AE96B0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w:t>
            </w:r>
          </w:p>
        </w:tc>
        <w:tc>
          <w:tcPr>
            <w:tcW w:w="556" w:type="dxa"/>
            <w:tcBorders>
              <w:top w:val="nil"/>
              <w:left w:val="nil"/>
              <w:bottom w:val="single" w:sz="8" w:space="0" w:color="auto"/>
              <w:right w:val="single" w:sz="8" w:space="0" w:color="auto"/>
            </w:tcBorders>
            <w:shd w:val="clear" w:color="000000" w:fill="00B0F0"/>
            <w:vAlign w:val="center"/>
          </w:tcPr>
          <w:p w14:paraId="77BABDE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w:t>
            </w:r>
          </w:p>
        </w:tc>
        <w:tc>
          <w:tcPr>
            <w:tcW w:w="709" w:type="dxa"/>
            <w:tcBorders>
              <w:top w:val="nil"/>
              <w:left w:val="nil"/>
              <w:bottom w:val="single" w:sz="8" w:space="0" w:color="auto"/>
              <w:right w:val="single" w:sz="8" w:space="0" w:color="auto"/>
            </w:tcBorders>
            <w:shd w:val="clear" w:color="000000" w:fill="00B0F0"/>
            <w:vAlign w:val="center"/>
          </w:tcPr>
          <w:p w14:paraId="521558F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w:t>
            </w:r>
          </w:p>
        </w:tc>
        <w:tc>
          <w:tcPr>
            <w:tcW w:w="587" w:type="dxa"/>
            <w:tcBorders>
              <w:top w:val="nil"/>
              <w:left w:val="nil"/>
              <w:bottom w:val="single" w:sz="8" w:space="0" w:color="auto"/>
              <w:right w:val="single" w:sz="8" w:space="0" w:color="auto"/>
            </w:tcBorders>
            <w:shd w:val="clear" w:color="000000" w:fill="00B0F0"/>
            <w:vAlign w:val="center"/>
          </w:tcPr>
          <w:p w14:paraId="1803896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5</w:t>
            </w:r>
          </w:p>
        </w:tc>
        <w:tc>
          <w:tcPr>
            <w:tcW w:w="590" w:type="dxa"/>
            <w:tcBorders>
              <w:top w:val="nil"/>
              <w:left w:val="nil"/>
              <w:bottom w:val="single" w:sz="8" w:space="0" w:color="auto"/>
              <w:right w:val="single" w:sz="8" w:space="0" w:color="auto"/>
            </w:tcBorders>
            <w:shd w:val="clear" w:color="000000" w:fill="00B0F0"/>
            <w:vAlign w:val="center"/>
          </w:tcPr>
          <w:p w14:paraId="5ABADD54"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w:t>
            </w:r>
          </w:p>
        </w:tc>
        <w:tc>
          <w:tcPr>
            <w:tcW w:w="562" w:type="dxa"/>
            <w:tcBorders>
              <w:top w:val="nil"/>
              <w:left w:val="nil"/>
              <w:bottom w:val="single" w:sz="8" w:space="0" w:color="auto"/>
              <w:right w:val="single" w:sz="8" w:space="0" w:color="auto"/>
            </w:tcBorders>
            <w:shd w:val="clear" w:color="000000" w:fill="00B0F0"/>
            <w:vAlign w:val="center"/>
          </w:tcPr>
          <w:p w14:paraId="4DC9C019"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w:t>
            </w:r>
          </w:p>
        </w:tc>
        <w:tc>
          <w:tcPr>
            <w:tcW w:w="589" w:type="dxa"/>
            <w:tcBorders>
              <w:top w:val="nil"/>
              <w:left w:val="nil"/>
              <w:bottom w:val="single" w:sz="8" w:space="0" w:color="auto"/>
              <w:right w:val="single" w:sz="8" w:space="0" w:color="auto"/>
            </w:tcBorders>
            <w:shd w:val="clear" w:color="000000" w:fill="00B0F0"/>
            <w:vAlign w:val="center"/>
          </w:tcPr>
          <w:p w14:paraId="4FDB5E1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7</w:t>
            </w:r>
          </w:p>
        </w:tc>
        <w:tc>
          <w:tcPr>
            <w:tcW w:w="586" w:type="dxa"/>
            <w:tcBorders>
              <w:top w:val="nil"/>
              <w:left w:val="nil"/>
              <w:bottom w:val="single" w:sz="8" w:space="0" w:color="auto"/>
              <w:right w:val="single" w:sz="8" w:space="0" w:color="auto"/>
            </w:tcBorders>
            <w:shd w:val="clear" w:color="000000" w:fill="00B0F0"/>
            <w:vAlign w:val="center"/>
          </w:tcPr>
          <w:p w14:paraId="2DB57E7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7</w:t>
            </w:r>
          </w:p>
        </w:tc>
        <w:tc>
          <w:tcPr>
            <w:tcW w:w="585" w:type="dxa"/>
            <w:tcBorders>
              <w:top w:val="nil"/>
              <w:left w:val="nil"/>
              <w:bottom w:val="single" w:sz="8" w:space="0" w:color="auto"/>
              <w:right w:val="single" w:sz="8" w:space="0" w:color="auto"/>
            </w:tcBorders>
            <w:shd w:val="clear" w:color="000000" w:fill="00B0F0"/>
            <w:vAlign w:val="center"/>
          </w:tcPr>
          <w:p w14:paraId="26C224A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8</w:t>
            </w:r>
          </w:p>
        </w:tc>
        <w:tc>
          <w:tcPr>
            <w:tcW w:w="641" w:type="dxa"/>
            <w:tcBorders>
              <w:top w:val="nil"/>
              <w:left w:val="nil"/>
              <w:bottom w:val="single" w:sz="8" w:space="0" w:color="auto"/>
              <w:right w:val="single" w:sz="4" w:space="0" w:color="auto"/>
            </w:tcBorders>
            <w:shd w:val="clear" w:color="auto" w:fill="auto"/>
            <w:vAlign w:val="center"/>
          </w:tcPr>
          <w:p w14:paraId="0103F634" w14:textId="77777777" w:rsidR="00085672" w:rsidRPr="005A1C76" w:rsidRDefault="00085672" w:rsidP="00085672">
            <w:pPr>
              <w:spacing w:after="0" w:line="240" w:lineRule="auto"/>
              <w:jc w:val="center"/>
              <w:rPr>
                <w:rFonts w:eastAsia="Calibri" w:cs="Calibri"/>
                <w:b/>
                <w:sz w:val="20"/>
                <w:szCs w:val="20"/>
                <w:lang w:val="en-GB"/>
              </w:rPr>
            </w:pPr>
            <w:r w:rsidRPr="005A1C76">
              <w:rPr>
                <w:rFonts w:eastAsia="Calibri" w:cs="Calibri"/>
                <w:b/>
                <w:sz w:val="20"/>
                <w:szCs w:val="20"/>
                <w:lang w:val="en-GB"/>
              </w:rPr>
              <w:t>CR</w:t>
            </w:r>
          </w:p>
        </w:tc>
      </w:tr>
      <w:tr w:rsidR="00085672" w:rsidRPr="005A1C76" w14:paraId="16F61C26" w14:textId="77777777" w:rsidTr="00085672">
        <w:trPr>
          <w:cantSplit/>
          <w:trHeight w:val="227"/>
          <w:jc w:val="center"/>
        </w:trPr>
        <w:tc>
          <w:tcPr>
            <w:tcW w:w="1135" w:type="dxa"/>
            <w:vMerge/>
            <w:vAlign w:val="center"/>
          </w:tcPr>
          <w:p w14:paraId="40B2A009"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264" w:type="dxa"/>
            <w:shd w:val="clear" w:color="auto" w:fill="auto"/>
            <w:vAlign w:val="center"/>
          </w:tcPr>
          <w:p w14:paraId="1FB24D74"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Budva</w:t>
            </w:r>
          </w:p>
        </w:tc>
        <w:tc>
          <w:tcPr>
            <w:tcW w:w="497" w:type="dxa"/>
            <w:tcBorders>
              <w:top w:val="single" w:sz="8" w:space="0" w:color="auto"/>
              <w:left w:val="single" w:sz="8" w:space="0" w:color="auto"/>
              <w:bottom w:val="single" w:sz="8" w:space="0" w:color="auto"/>
              <w:right w:val="single" w:sz="8" w:space="0" w:color="auto"/>
            </w:tcBorders>
            <w:shd w:val="clear" w:color="auto" w:fill="00FF00"/>
            <w:vAlign w:val="center"/>
          </w:tcPr>
          <w:p w14:paraId="16522493"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39</w:t>
            </w:r>
          </w:p>
        </w:tc>
        <w:tc>
          <w:tcPr>
            <w:tcW w:w="571" w:type="dxa"/>
            <w:tcBorders>
              <w:top w:val="single" w:sz="8" w:space="0" w:color="auto"/>
              <w:left w:val="nil"/>
              <w:bottom w:val="single" w:sz="8" w:space="0" w:color="auto"/>
              <w:right w:val="single" w:sz="8" w:space="0" w:color="auto"/>
            </w:tcBorders>
            <w:shd w:val="clear" w:color="auto" w:fill="00FF00"/>
            <w:vAlign w:val="center"/>
          </w:tcPr>
          <w:p w14:paraId="6851CF2D"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165</w:t>
            </w:r>
          </w:p>
        </w:tc>
        <w:tc>
          <w:tcPr>
            <w:tcW w:w="556" w:type="dxa"/>
            <w:tcBorders>
              <w:top w:val="single" w:sz="8" w:space="0" w:color="auto"/>
              <w:left w:val="nil"/>
              <w:bottom w:val="single" w:sz="8" w:space="0" w:color="auto"/>
              <w:right w:val="single" w:sz="8" w:space="0" w:color="auto"/>
            </w:tcBorders>
            <w:shd w:val="clear" w:color="auto" w:fill="00FF00"/>
            <w:vAlign w:val="center"/>
          </w:tcPr>
          <w:p w14:paraId="2585DEE5"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232</w:t>
            </w:r>
          </w:p>
        </w:tc>
        <w:tc>
          <w:tcPr>
            <w:tcW w:w="709" w:type="dxa"/>
            <w:tcBorders>
              <w:top w:val="single" w:sz="8" w:space="0" w:color="auto"/>
              <w:left w:val="nil"/>
              <w:bottom w:val="single" w:sz="8" w:space="0" w:color="auto"/>
              <w:right w:val="single" w:sz="8" w:space="0" w:color="auto"/>
            </w:tcBorders>
            <w:shd w:val="clear" w:color="000000" w:fill="FF0000"/>
            <w:vAlign w:val="center"/>
          </w:tcPr>
          <w:p w14:paraId="1BC4C019"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155</w:t>
            </w:r>
          </w:p>
        </w:tc>
        <w:tc>
          <w:tcPr>
            <w:tcW w:w="587" w:type="dxa"/>
            <w:tcBorders>
              <w:top w:val="single" w:sz="8" w:space="0" w:color="auto"/>
              <w:left w:val="nil"/>
              <w:bottom w:val="single" w:sz="8" w:space="0" w:color="auto"/>
              <w:right w:val="single" w:sz="8" w:space="0" w:color="auto"/>
            </w:tcBorders>
            <w:shd w:val="clear" w:color="auto" w:fill="00FF00"/>
            <w:vAlign w:val="center"/>
          </w:tcPr>
          <w:p w14:paraId="660A4EC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236</w:t>
            </w:r>
          </w:p>
        </w:tc>
        <w:tc>
          <w:tcPr>
            <w:tcW w:w="590" w:type="dxa"/>
            <w:tcBorders>
              <w:top w:val="single" w:sz="8" w:space="0" w:color="auto"/>
              <w:left w:val="nil"/>
              <w:bottom w:val="single" w:sz="8" w:space="0" w:color="auto"/>
              <w:right w:val="single" w:sz="8" w:space="0" w:color="auto"/>
            </w:tcBorders>
            <w:shd w:val="clear" w:color="auto" w:fill="00FF00"/>
            <w:vAlign w:val="center"/>
          </w:tcPr>
          <w:p w14:paraId="347E18D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164</w:t>
            </w:r>
          </w:p>
        </w:tc>
        <w:tc>
          <w:tcPr>
            <w:tcW w:w="562" w:type="dxa"/>
            <w:tcBorders>
              <w:top w:val="single" w:sz="8" w:space="0" w:color="auto"/>
              <w:left w:val="nil"/>
              <w:bottom w:val="single" w:sz="8" w:space="0" w:color="auto"/>
              <w:right w:val="single" w:sz="8" w:space="0" w:color="auto"/>
            </w:tcBorders>
            <w:shd w:val="clear" w:color="auto" w:fill="00FF00"/>
            <w:vAlign w:val="center"/>
          </w:tcPr>
          <w:p w14:paraId="648CC2E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37</w:t>
            </w:r>
          </w:p>
        </w:tc>
        <w:tc>
          <w:tcPr>
            <w:tcW w:w="589" w:type="dxa"/>
            <w:tcBorders>
              <w:top w:val="single" w:sz="8" w:space="0" w:color="auto"/>
              <w:left w:val="nil"/>
              <w:bottom w:val="single" w:sz="8" w:space="0" w:color="auto"/>
              <w:right w:val="single" w:sz="8" w:space="0" w:color="auto"/>
            </w:tcBorders>
            <w:shd w:val="clear" w:color="auto" w:fill="00FF00"/>
            <w:vAlign w:val="center"/>
          </w:tcPr>
          <w:p w14:paraId="071F0CD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203</w:t>
            </w:r>
          </w:p>
        </w:tc>
        <w:tc>
          <w:tcPr>
            <w:tcW w:w="586" w:type="dxa"/>
            <w:tcBorders>
              <w:top w:val="single" w:sz="8" w:space="0" w:color="auto"/>
              <w:left w:val="nil"/>
              <w:bottom w:val="single" w:sz="8" w:space="0" w:color="auto"/>
              <w:right w:val="single" w:sz="8" w:space="0" w:color="auto"/>
            </w:tcBorders>
            <w:shd w:val="clear" w:color="auto" w:fill="00FF00"/>
            <w:vAlign w:val="center"/>
          </w:tcPr>
          <w:p w14:paraId="4D3C488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264</w:t>
            </w:r>
          </w:p>
        </w:tc>
        <w:tc>
          <w:tcPr>
            <w:tcW w:w="585" w:type="dxa"/>
            <w:tcBorders>
              <w:top w:val="single" w:sz="8" w:space="0" w:color="auto"/>
              <w:left w:val="nil"/>
              <w:bottom w:val="single" w:sz="8" w:space="0" w:color="auto"/>
              <w:right w:val="single" w:sz="8" w:space="0" w:color="auto"/>
            </w:tcBorders>
            <w:shd w:val="clear" w:color="auto" w:fill="00FF00"/>
            <w:vAlign w:val="center"/>
          </w:tcPr>
          <w:p w14:paraId="1CB84F1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374</w:t>
            </w:r>
          </w:p>
        </w:tc>
        <w:tc>
          <w:tcPr>
            <w:tcW w:w="641" w:type="dxa"/>
            <w:tcBorders>
              <w:top w:val="single" w:sz="8" w:space="0" w:color="auto"/>
              <w:left w:val="nil"/>
              <w:bottom w:val="single" w:sz="8" w:space="0" w:color="auto"/>
              <w:right w:val="single" w:sz="4" w:space="0" w:color="auto"/>
            </w:tcBorders>
            <w:shd w:val="clear" w:color="auto" w:fill="auto"/>
            <w:vAlign w:val="center"/>
          </w:tcPr>
          <w:p w14:paraId="65C02270"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5C3CCDF5" w14:textId="77777777" w:rsidTr="00085672">
        <w:trPr>
          <w:cantSplit/>
          <w:trHeight w:val="227"/>
          <w:jc w:val="center"/>
        </w:trPr>
        <w:tc>
          <w:tcPr>
            <w:tcW w:w="1135" w:type="dxa"/>
            <w:vMerge/>
            <w:vAlign w:val="center"/>
          </w:tcPr>
          <w:p w14:paraId="7AA2A223"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264" w:type="dxa"/>
            <w:shd w:val="clear" w:color="auto" w:fill="auto"/>
            <w:vAlign w:val="center"/>
          </w:tcPr>
          <w:p w14:paraId="4C330BBB"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Bar</w:t>
            </w:r>
          </w:p>
        </w:tc>
        <w:tc>
          <w:tcPr>
            <w:tcW w:w="497" w:type="dxa"/>
            <w:tcBorders>
              <w:top w:val="nil"/>
              <w:left w:val="single" w:sz="8" w:space="0" w:color="auto"/>
              <w:bottom w:val="single" w:sz="8" w:space="0" w:color="auto"/>
              <w:right w:val="single" w:sz="8" w:space="0" w:color="auto"/>
            </w:tcBorders>
            <w:shd w:val="clear" w:color="000000" w:fill="FF0000"/>
            <w:vAlign w:val="center"/>
          </w:tcPr>
          <w:p w14:paraId="5D55D7E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275</w:t>
            </w:r>
          </w:p>
        </w:tc>
        <w:tc>
          <w:tcPr>
            <w:tcW w:w="571" w:type="dxa"/>
            <w:tcBorders>
              <w:top w:val="nil"/>
              <w:left w:val="nil"/>
              <w:bottom w:val="single" w:sz="8" w:space="0" w:color="auto"/>
              <w:right w:val="single" w:sz="8" w:space="0" w:color="auto"/>
            </w:tcBorders>
            <w:shd w:val="clear" w:color="000000" w:fill="FF0000"/>
            <w:vAlign w:val="center"/>
          </w:tcPr>
          <w:p w14:paraId="4147AF8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904</w:t>
            </w:r>
          </w:p>
        </w:tc>
        <w:tc>
          <w:tcPr>
            <w:tcW w:w="556" w:type="dxa"/>
            <w:tcBorders>
              <w:top w:val="nil"/>
              <w:left w:val="nil"/>
              <w:bottom w:val="single" w:sz="8" w:space="0" w:color="auto"/>
              <w:right w:val="single" w:sz="8" w:space="0" w:color="auto"/>
            </w:tcBorders>
            <w:shd w:val="clear" w:color="000000" w:fill="FF0000"/>
            <w:vAlign w:val="center"/>
          </w:tcPr>
          <w:p w14:paraId="76249664"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939</w:t>
            </w:r>
          </w:p>
        </w:tc>
        <w:tc>
          <w:tcPr>
            <w:tcW w:w="709" w:type="dxa"/>
            <w:tcBorders>
              <w:top w:val="nil"/>
              <w:left w:val="nil"/>
              <w:bottom w:val="single" w:sz="8" w:space="0" w:color="auto"/>
              <w:right w:val="single" w:sz="8" w:space="0" w:color="auto"/>
            </w:tcBorders>
            <w:shd w:val="clear" w:color="000000" w:fill="FF0000"/>
            <w:vAlign w:val="center"/>
          </w:tcPr>
          <w:p w14:paraId="74AA72C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575</w:t>
            </w:r>
          </w:p>
        </w:tc>
        <w:tc>
          <w:tcPr>
            <w:tcW w:w="587" w:type="dxa"/>
            <w:tcBorders>
              <w:top w:val="nil"/>
              <w:left w:val="nil"/>
              <w:bottom w:val="single" w:sz="8" w:space="0" w:color="auto"/>
              <w:right w:val="single" w:sz="8" w:space="0" w:color="auto"/>
            </w:tcBorders>
            <w:shd w:val="clear" w:color="000000" w:fill="FF0000"/>
            <w:vAlign w:val="center"/>
          </w:tcPr>
          <w:p w14:paraId="4A03726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950</w:t>
            </w:r>
          </w:p>
        </w:tc>
        <w:tc>
          <w:tcPr>
            <w:tcW w:w="590" w:type="dxa"/>
            <w:tcBorders>
              <w:top w:val="nil"/>
              <w:left w:val="nil"/>
              <w:bottom w:val="single" w:sz="8" w:space="0" w:color="auto"/>
              <w:right w:val="single" w:sz="8" w:space="0" w:color="auto"/>
            </w:tcBorders>
            <w:shd w:val="clear" w:color="000000" w:fill="FF0000"/>
            <w:vAlign w:val="center"/>
          </w:tcPr>
          <w:p w14:paraId="01488EF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718</w:t>
            </w:r>
          </w:p>
        </w:tc>
        <w:tc>
          <w:tcPr>
            <w:tcW w:w="562" w:type="dxa"/>
            <w:tcBorders>
              <w:top w:val="nil"/>
              <w:left w:val="nil"/>
              <w:bottom w:val="single" w:sz="8" w:space="0" w:color="auto"/>
              <w:right w:val="single" w:sz="8" w:space="0" w:color="auto"/>
            </w:tcBorders>
            <w:shd w:val="clear" w:color="auto" w:fill="00FF00"/>
            <w:vAlign w:val="center"/>
          </w:tcPr>
          <w:p w14:paraId="57A27B3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76</w:t>
            </w:r>
          </w:p>
        </w:tc>
        <w:tc>
          <w:tcPr>
            <w:tcW w:w="589" w:type="dxa"/>
            <w:tcBorders>
              <w:top w:val="nil"/>
              <w:left w:val="nil"/>
              <w:bottom w:val="single" w:sz="8" w:space="0" w:color="auto"/>
              <w:right w:val="single" w:sz="8" w:space="0" w:color="auto"/>
            </w:tcBorders>
            <w:shd w:val="clear" w:color="000000" w:fill="FF0000"/>
            <w:vAlign w:val="center"/>
          </w:tcPr>
          <w:p w14:paraId="0F5ED29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943</w:t>
            </w:r>
          </w:p>
        </w:tc>
        <w:tc>
          <w:tcPr>
            <w:tcW w:w="586" w:type="dxa"/>
            <w:tcBorders>
              <w:top w:val="nil"/>
              <w:left w:val="nil"/>
              <w:bottom w:val="single" w:sz="8" w:space="0" w:color="auto"/>
              <w:right w:val="single" w:sz="8" w:space="0" w:color="auto"/>
            </w:tcBorders>
            <w:shd w:val="clear" w:color="000000" w:fill="FF0000"/>
            <w:vAlign w:val="center"/>
          </w:tcPr>
          <w:p w14:paraId="43C2B53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1496</w:t>
            </w:r>
          </w:p>
        </w:tc>
        <w:tc>
          <w:tcPr>
            <w:tcW w:w="585" w:type="dxa"/>
            <w:tcBorders>
              <w:top w:val="nil"/>
              <w:left w:val="nil"/>
              <w:bottom w:val="single" w:sz="8" w:space="0" w:color="auto"/>
              <w:right w:val="single" w:sz="8" w:space="0" w:color="auto"/>
            </w:tcBorders>
            <w:shd w:val="clear" w:color="000000" w:fill="FF0000"/>
            <w:vAlign w:val="center"/>
          </w:tcPr>
          <w:p w14:paraId="1FAED334"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1918</w:t>
            </w:r>
          </w:p>
        </w:tc>
        <w:tc>
          <w:tcPr>
            <w:tcW w:w="641" w:type="dxa"/>
            <w:tcBorders>
              <w:top w:val="nil"/>
              <w:left w:val="nil"/>
              <w:bottom w:val="single" w:sz="8" w:space="0" w:color="auto"/>
              <w:right w:val="single" w:sz="4" w:space="0" w:color="auto"/>
            </w:tcBorders>
            <w:shd w:val="clear" w:color="auto" w:fill="auto"/>
            <w:vAlign w:val="center"/>
          </w:tcPr>
          <w:p w14:paraId="10E92BAA"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428E0BB4" w14:textId="77777777" w:rsidTr="00085672">
        <w:trPr>
          <w:cantSplit/>
          <w:trHeight w:val="227"/>
          <w:jc w:val="center"/>
        </w:trPr>
        <w:tc>
          <w:tcPr>
            <w:tcW w:w="1135" w:type="dxa"/>
            <w:vMerge/>
            <w:vAlign w:val="center"/>
          </w:tcPr>
          <w:p w14:paraId="23B6087F"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264" w:type="dxa"/>
            <w:shd w:val="clear" w:color="auto" w:fill="auto"/>
            <w:vAlign w:val="center"/>
          </w:tcPr>
          <w:p w14:paraId="1970B779"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Port Milena</w:t>
            </w:r>
          </w:p>
        </w:tc>
        <w:tc>
          <w:tcPr>
            <w:tcW w:w="497" w:type="dxa"/>
            <w:tcBorders>
              <w:top w:val="single" w:sz="8" w:space="0" w:color="auto"/>
              <w:left w:val="single" w:sz="8" w:space="0" w:color="auto"/>
              <w:bottom w:val="single" w:sz="8" w:space="0" w:color="auto"/>
              <w:right w:val="single" w:sz="8" w:space="0" w:color="auto"/>
            </w:tcBorders>
            <w:shd w:val="clear" w:color="auto" w:fill="00FF00"/>
            <w:vAlign w:val="center"/>
          </w:tcPr>
          <w:p w14:paraId="143B4D7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35</w:t>
            </w:r>
          </w:p>
        </w:tc>
        <w:tc>
          <w:tcPr>
            <w:tcW w:w="571" w:type="dxa"/>
            <w:tcBorders>
              <w:top w:val="single" w:sz="8" w:space="0" w:color="auto"/>
              <w:left w:val="nil"/>
              <w:bottom w:val="single" w:sz="8" w:space="0" w:color="auto"/>
              <w:right w:val="single" w:sz="8" w:space="0" w:color="auto"/>
            </w:tcBorders>
            <w:shd w:val="clear" w:color="auto" w:fill="00FF00"/>
            <w:vAlign w:val="center"/>
          </w:tcPr>
          <w:p w14:paraId="4216892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116</w:t>
            </w:r>
          </w:p>
        </w:tc>
        <w:tc>
          <w:tcPr>
            <w:tcW w:w="556" w:type="dxa"/>
            <w:tcBorders>
              <w:top w:val="single" w:sz="8" w:space="0" w:color="auto"/>
              <w:left w:val="nil"/>
              <w:bottom w:val="single" w:sz="8" w:space="0" w:color="auto"/>
              <w:right w:val="single" w:sz="8" w:space="0" w:color="auto"/>
            </w:tcBorders>
            <w:shd w:val="clear" w:color="auto" w:fill="00FF00"/>
            <w:vAlign w:val="center"/>
          </w:tcPr>
          <w:p w14:paraId="75991B6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112</w:t>
            </w:r>
          </w:p>
        </w:tc>
        <w:tc>
          <w:tcPr>
            <w:tcW w:w="709" w:type="dxa"/>
            <w:tcBorders>
              <w:top w:val="single" w:sz="8" w:space="0" w:color="auto"/>
              <w:left w:val="nil"/>
              <w:bottom w:val="single" w:sz="8" w:space="0" w:color="auto"/>
              <w:right w:val="single" w:sz="8" w:space="0" w:color="auto"/>
            </w:tcBorders>
            <w:shd w:val="clear" w:color="auto" w:fill="00FF00"/>
            <w:vAlign w:val="center"/>
          </w:tcPr>
          <w:p w14:paraId="0DBCFDA9"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66</w:t>
            </w:r>
          </w:p>
        </w:tc>
        <w:tc>
          <w:tcPr>
            <w:tcW w:w="587" w:type="dxa"/>
            <w:tcBorders>
              <w:top w:val="single" w:sz="8" w:space="0" w:color="auto"/>
              <w:left w:val="nil"/>
              <w:bottom w:val="single" w:sz="8" w:space="0" w:color="auto"/>
              <w:right w:val="single" w:sz="8" w:space="0" w:color="auto"/>
            </w:tcBorders>
            <w:shd w:val="clear" w:color="auto" w:fill="00FF00"/>
            <w:vAlign w:val="center"/>
          </w:tcPr>
          <w:p w14:paraId="265BFB9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112</w:t>
            </w:r>
          </w:p>
        </w:tc>
        <w:tc>
          <w:tcPr>
            <w:tcW w:w="590" w:type="dxa"/>
            <w:tcBorders>
              <w:top w:val="single" w:sz="8" w:space="0" w:color="auto"/>
              <w:left w:val="nil"/>
              <w:bottom w:val="single" w:sz="8" w:space="0" w:color="auto"/>
              <w:right w:val="single" w:sz="8" w:space="0" w:color="auto"/>
            </w:tcBorders>
            <w:shd w:val="clear" w:color="auto" w:fill="00FF00"/>
            <w:vAlign w:val="center"/>
          </w:tcPr>
          <w:p w14:paraId="31CE7B83"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67</w:t>
            </w:r>
          </w:p>
        </w:tc>
        <w:tc>
          <w:tcPr>
            <w:tcW w:w="562" w:type="dxa"/>
            <w:tcBorders>
              <w:top w:val="single" w:sz="8" w:space="0" w:color="auto"/>
              <w:left w:val="nil"/>
              <w:bottom w:val="single" w:sz="8" w:space="0" w:color="auto"/>
              <w:right w:val="single" w:sz="8" w:space="0" w:color="auto"/>
            </w:tcBorders>
            <w:shd w:val="clear" w:color="auto" w:fill="00FF00"/>
            <w:vAlign w:val="center"/>
          </w:tcPr>
          <w:p w14:paraId="59650CE8"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41</w:t>
            </w:r>
          </w:p>
        </w:tc>
        <w:tc>
          <w:tcPr>
            <w:tcW w:w="589" w:type="dxa"/>
            <w:tcBorders>
              <w:top w:val="single" w:sz="8" w:space="0" w:color="auto"/>
              <w:left w:val="nil"/>
              <w:bottom w:val="single" w:sz="8" w:space="0" w:color="auto"/>
              <w:right w:val="single" w:sz="8" w:space="0" w:color="auto"/>
            </w:tcBorders>
            <w:shd w:val="clear" w:color="auto" w:fill="00FF00"/>
            <w:vAlign w:val="center"/>
          </w:tcPr>
          <w:p w14:paraId="14AD029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131</w:t>
            </w:r>
          </w:p>
        </w:tc>
        <w:tc>
          <w:tcPr>
            <w:tcW w:w="586" w:type="dxa"/>
            <w:tcBorders>
              <w:top w:val="single" w:sz="8" w:space="0" w:color="auto"/>
              <w:left w:val="nil"/>
              <w:bottom w:val="single" w:sz="8" w:space="0" w:color="auto"/>
              <w:right w:val="single" w:sz="8" w:space="0" w:color="auto"/>
            </w:tcBorders>
            <w:shd w:val="clear" w:color="auto" w:fill="00FF00"/>
            <w:vAlign w:val="center"/>
          </w:tcPr>
          <w:p w14:paraId="4C491A5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165</w:t>
            </w:r>
          </w:p>
        </w:tc>
        <w:tc>
          <w:tcPr>
            <w:tcW w:w="585" w:type="dxa"/>
            <w:tcBorders>
              <w:top w:val="single" w:sz="8" w:space="0" w:color="auto"/>
              <w:left w:val="nil"/>
              <w:bottom w:val="single" w:sz="8" w:space="0" w:color="auto"/>
              <w:right w:val="single" w:sz="8" w:space="0" w:color="auto"/>
            </w:tcBorders>
            <w:shd w:val="clear" w:color="auto" w:fill="00FF00"/>
            <w:vAlign w:val="center"/>
          </w:tcPr>
          <w:p w14:paraId="2B838FD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194</w:t>
            </w:r>
          </w:p>
        </w:tc>
        <w:tc>
          <w:tcPr>
            <w:tcW w:w="641" w:type="dxa"/>
            <w:tcBorders>
              <w:top w:val="single" w:sz="8" w:space="0" w:color="auto"/>
              <w:left w:val="single" w:sz="4" w:space="0" w:color="auto"/>
              <w:bottom w:val="single" w:sz="8" w:space="0" w:color="auto"/>
              <w:right w:val="single" w:sz="8" w:space="0" w:color="auto"/>
            </w:tcBorders>
            <w:shd w:val="clear" w:color="auto" w:fill="auto"/>
            <w:vAlign w:val="center"/>
          </w:tcPr>
          <w:p w14:paraId="7132BD1E"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0C470A2C" w14:textId="77777777" w:rsidTr="00085672">
        <w:trPr>
          <w:cantSplit/>
          <w:trHeight w:val="227"/>
          <w:jc w:val="center"/>
        </w:trPr>
        <w:tc>
          <w:tcPr>
            <w:tcW w:w="1135" w:type="dxa"/>
            <w:vMerge/>
            <w:vAlign w:val="center"/>
          </w:tcPr>
          <w:p w14:paraId="5E63D021" w14:textId="77777777" w:rsidR="00085672" w:rsidRPr="005A1C76" w:rsidRDefault="00085672" w:rsidP="00085672">
            <w:pPr>
              <w:spacing w:after="0" w:line="240" w:lineRule="auto"/>
              <w:jc w:val="center"/>
              <w:rPr>
                <w:rFonts w:eastAsia="Calibri" w:cs="Calibri"/>
                <w:sz w:val="20"/>
                <w:szCs w:val="20"/>
                <w:lang w:val="en-GB"/>
              </w:rPr>
            </w:pPr>
          </w:p>
        </w:tc>
        <w:tc>
          <w:tcPr>
            <w:tcW w:w="1264" w:type="dxa"/>
            <w:shd w:val="clear" w:color="auto" w:fill="auto"/>
            <w:vAlign w:val="center"/>
          </w:tcPr>
          <w:p w14:paraId="363476BA"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 xml:space="preserve">Ada Bojana </w:t>
            </w:r>
          </w:p>
        </w:tc>
        <w:tc>
          <w:tcPr>
            <w:tcW w:w="497" w:type="dxa"/>
            <w:tcBorders>
              <w:top w:val="nil"/>
              <w:left w:val="single" w:sz="8" w:space="0" w:color="auto"/>
              <w:bottom w:val="single" w:sz="8" w:space="0" w:color="auto"/>
              <w:right w:val="single" w:sz="8" w:space="0" w:color="auto"/>
            </w:tcBorders>
            <w:shd w:val="clear" w:color="auto" w:fill="00FF00"/>
            <w:vAlign w:val="center"/>
          </w:tcPr>
          <w:p w14:paraId="15BB9743"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w:t>
            </w:r>
          </w:p>
        </w:tc>
        <w:tc>
          <w:tcPr>
            <w:tcW w:w="571" w:type="dxa"/>
            <w:tcBorders>
              <w:top w:val="nil"/>
              <w:left w:val="nil"/>
              <w:bottom w:val="single" w:sz="8" w:space="0" w:color="auto"/>
              <w:right w:val="single" w:sz="8" w:space="0" w:color="auto"/>
            </w:tcBorders>
            <w:shd w:val="clear" w:color="auto" w:fill="00FF00"/>
            <w:vAlign w:val="center"/>
          </w:tcPr>
          <w:p w14:paraId="58A6A913"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9</w:t>
            </w:r>
          </w:p>
        </w:tc>
        <w:tc>
          <w:tcPr>
            <w:tcW w:w="556" w:type="dxa"/>
            <w:tcBorders>
              <w:top w:val="nil"/>
              <w:left w:val="nil"/>
              <w:bottom w:val="single" w:sz="8" w:space="0" w:color="auto"/>
              <w:right w:val="single" w:sz="8" w:space="0" w:color="auto"/>
            </w:tcBorders>
            <w:shd w:val="clear" w:color="000000" w:fill="00B0F0"/>
            <w:vAlign w:val="center"/>
          </w:tcPr>
          <w:p w14:paraId="0CB11F8A"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8</w:t>
            </w:r>
          </w:p>
        </w:tc>
        <w:tc>
          <w:tcPr>
            <w:tcW w:w="709" w:type="dxa"/>
            <w:tcBorders>
              <w:top w:val="nil"/>
              <w:left w:val="nil"/>
              <w:bottom w:val="single" w:sz="8" w:space="0" w:color="auto"/>
              <w:right w:val="single" w:sz="8" w:space="0" w:color="auto"/>
            </w:tcBorders>
            <w:shd w:val="clear" w:color="000000" w:fill="00B0F0"/>
            <w:vAlign w:val="center"/>
          </w:tcPr>
          <w:p w14:paraId="0213984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7</w:t>
            </w:r>
          </w:p>
        </w:tc>
        <w:tc>
          <w:tcPr>
            <w:tcW w:w="587" w:type="dxa"/>
            <w:tcBorders>
              <w:top w:val="nil"/>
              <w:left w:val="nil"/>
              <w:bottom w:val="single" w:sz="8" w:space="0" w:color="auto"/>
              <w:right w:val="single" w:sz="8" w:space="0" w:color="auto"/>
            </w:tcBorders>
            <w:shd w:val="clear" w:color="auto" w:fill="00FF00"/>
            <w:vAlign w:val="center"/>
          </w:tcPr>
          <w:p w14:paraId="44C47BA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18</w:t>
            </w:r>
          </w:p>
        </w:tc>
        <w:tc>
          <w:tcPr>
            <w:tcW w:w="590" w:type="dxa"/>
            <w:tcBorders>
              <w:top w:val="nil"/>
              <w:left w:val="nil"/>
              <w:bottom w:val="single" w:sz="8" w:space="0" w:color="auto"/>
              <w:right w:val="single" w:sz="8" w:space="0" w:color="auto"/>
            </w:tcBorders>
            <w:shd w:val="clear" w:color="000000" w:fill="00B0F0"/>
            <w:vAlign w:val="center"/>
          </w:tcPr>
          <w:p w14:paraId="40C9B76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8</w:t>
            </w:r>
          </w:p>
        </w:tc>
        <w:tc>
          <w:tcPr>
            <w:tcW w:w="562" w:type="dxa"/>
            <w:tcBorders>
              <w:top w:val="nil"/>
              <w:left w:val="nil"/>
              <w:bottom w:val="single" w:sz="8" w:space="0" w:color="auto"/>
              <w:right w:val="single" w:sz="8" w:space="0" w:color="auto"/>
            </w:tcBorders>
            <w:shd w:val="clear" w:color="auto" w:fill="00FF00"/>
            <w:vAlign w:val="center"/>
          </w:tcPr>
          <w:p w14:paraId="158DB83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9</w:t>
            </w:r>
          </w:p>
        </w:tc>
        <w:tc>
          <w:tcPr>
            <w:tcW w:w="589" w:type="dxa"/>
            <w:tcBorders>
              <w:top w:val="nil"/>
              <w:left w:val="nil"/>
              <w:bottom w:val="single" w:sz="8" w:space="0" w:color="auto"/>
              <w:right w:val="single" w:sz="8" w:space="0" w:color="auto"/>
            </w:tcBorders>
            <w:shd w:val="clear" w:color="auto" w:fill="00FF00"/>
            <w:vAlign w:val="center"/>
          </w:tcPr>
          <w:p w14:paraId="78E01E7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11</w:t>
            </w:r>
          </w:p>
        </w:tc>
        <w:tc>
          <w:tcPr>
            <w:tcW w:w="586" w:type="dxa"/>
            <w:tcBorders>
              <w:top w:val="nil"/>
              <w:left w:val="nil"/>
              <w:bottom w:val="single" w:sz="8" w:space="0" w:color="auto"/>
              <w:right w:val="single" w:sz="8" w:space="0" w:color="auto"/>
            </w:tcBorders>
            <w:shd w:val="clear" w:color="auto" w:fill="00FF00"/>
            <w:vAlign w:val="center"/>
          </w:tcPr>
          <w:p w14:paraId="48FDC64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17</w:t>
            </w:r>
          </w:p>
        </w:tc>
        <w:tc>
          <w:tcPr>
            <w:tcW w:w="585" w:type="dxa"/>
            <w:tcBorders>
              <w:top w:val="nil"/>
              <w:left w:val="nil"/>
              <w:bottom w:val="single" w:sz="8" w:space="0" w:color="auto"/>
              <w:right w:val="single" w:sz="8" w:space="0" w:color="auto"/>
            </w:tcBorders>
            <w:shd w:val="clear" w:color="auto" w:fill="00FF00"/>
            <w:vAlign w:val="center"/>
          </w:tcPr>
          <w:p w14:paraId="4AAD303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23</w:t>
            </w:r>
          </w:p>
        </w:tc>
        <w:tc>
          <w:tcPr>
            <w:tcW w:w="641" w:type="dxa"/>
            <w:tcBorders>
              <w:top w:val="nil"/>
              <w:left w:val="nil"/>
              <w:bottom w:val="single" w:sz="8" w:space="0" w:color="auto"/>
              <w:right w:val="single" w:sz="4" w:space="0" w:color="auto"/>
            </w:tcBorders>
            <w:shd w:val="clear" w:color="auto" w:fill="auto"/>
            <w:vAlign w:val="center"/>
          </w:tcPr>
          <w:p w14:paraId="7120A42B" w14:textId="77777777" w:rsidR="00085672" w:rsidRPr="005A1C76" w:rsidRDefault="00085672" w:rsidP="00085672">
            <w:pPr>
              <w:spacing w:after="0" w:line="240" w:lineRule="auto"/>
              <w:jc w:val="center"/>
              <w:rPr>
                <w:rFonts w:eastAsia="Calibri" w:cs="Calibri"/>
                <w:b/>
                <w:sz w:val="20"/>
                <w:szCs w:val="20"/>
                <w:lang w:val="en-GB"/>
              </w:rPr>
            </w:pPr>
            <w:r w:rsidRPr="005A1C76">
              <w:rPr>
                <w:rFonts w:eastAsia="Calibri" w:cs="Calibri"/>
                <w:b/>
                <w:sz w:val="20"/>
                <w:szCs w:val="20"/>
                <w:lang w:val="en-GB"/>
              </w:rPr>
              <w:t>CM</w:t>
            </w:r>
          </w:p>
        </w:tc>
      </w:tr>
    </w:tbl>
    <w:p w14:paraId="0C061697" w14:textId="77777777" w:rsidR="00BF2784" w:rsidRPr="001C6CCA" w:rsidRDefault="00BF2784" w:rsidP="00FC0EC0">
      <w:pPr>
        <w:spacing w:before="0" w:after="0" w:line="240" w:lineRule="auto"/>
        <w:jc w:val="left"/>
        <w:rPr>
          <w:rFonts w:eastAsia="Calibri" w:cs="Calibri"/>
          <w:bCs/>
          <w:sz w:val="20"/>
          <w:szCs w:val="20"/>
          <w:lang w:val="en-GB" w:eastAsia="en-US"/>
        </w:rPr>
      </w:pPr>
    </w:p>
    <w:p w14:paraId="7DAED3B9" w14:textId="77777777" w:rsidR="00085672" w:rsidRPr="007E5C21" w:rsidRDefault="00085672" w:rsidP="00085672">
      <w:pPr>
        <w:spacing w:after="0" w:line="240" w:lineRule="auto"/>
        <w:rPr>
          <w:rFonts w:eastAsia="Calibri" w:cs="Calibri"/>
          <w:bCs/>
          <w:sz w:val="20"/>
          <w:szCs w:val="20"/>
          <w:lang w:val="en-GB"/>
        </w:rPr>
      </w:pPr>
      <w:r w:rsidRPr="005A1C76">
        <w:rPr>
          <w:rFonts w:eastAsia="Calibri" w:cs="Calibri"/>
          <w:b/>
          <w:bCs/>
          <w:sz w:val="20"/>
          <w:szCs w:val="20"/>
          <w:lang w:val="en-GB"/>
        </w:rPr>
        <w:t xml:space="preserve">  * </w:t>
      </w:r>
      <w:r w:rsidRPr="007E5C21">
        <w:rPr>
          <w:rFonts w:eastAsia="Calibri" w:cs="Calibri"/>
          <w:bCs/>
          <w:sz w:val="20"/>
          <w:szCs w:val="20"/>
          <w:lang w:val="en-GB"/>
        </w:rPr>
        <w:t>Tip:  CM – Obalna Master, CR – Obalna Referentna, CH – Obalna Hot Spot</w:t>
      </w:r>
    </w:p>
    <w:p w14:paraId="36FD5CD0" w14:textId="77777777" w:rsidR="00085672" w:rsidRDefault="00085672" w:rsidP="00085672">
      <w:pPr>
        <w:rPr>
          <w:rFonts w:eastAsia="Calibri" w:cs="Calibri"/>
          <w:b/>
          <w:color w:val="FF0000"/>
          <w:lang w:val="en-GB"/>
        </w:rPr>
      </w:pPr>
    </w:p>
    <w:p w14:paraId="5B4DED9E" w14:textId="77777777" w:rsidR="006075FE" w:rsidRDefault="006075FE" w:rsidP="00085672">
      <w:pPr>
        <w:rPr>
          <w:rFonts w:eastAsia="Calibri" w:cs="Calibri"/>
          <w:b/>
          <w:color w:val="FF0000"/>
          <w:lang w:val="en-GB"/>
        </w:rPr>
      </w:pPr>
    </w:p>
    <w:p w14:paraId="57A1A601" w14:textId="563B5648" w:rsidR="006075FE" w:rsidRDefault="006075FE" w:rsidP="00085672">
      <w:pPr>
        <w:rPr>
          <w:rFonts w:eastAsia="Calibri" w:cs="Calibri"/>
          <w:b/>
          <w:color w:val="FF0000"/>
          <w:lang w:val="en-GB"/>
        </w:rPr>
      </w:pPr>
    </w:p>
    <w:p w14:paraId="3D69EFEF" w14:textId="77777777" w:rsidR="00960C00" w:rsidRPr="005A1C76" w:rsidRDefault="00960C00" w:rsidP="00085672">
      <w:pPr>
        <w:rPr>
          <w:rFonts w:eastAsia="Calibri" w:cs="Calibri"/>
          <w:b/>
          <w:color w:val="FF0000"/>
          <w:lang w:val="en-GB"/>
        </w:rPr>
      </w:pPr>
    </w:p>
    <w:p w14:paraId="30DE741A" w14:textId="77777777" w:rsidR="00085672" w:rsidRPr="005A1C76" w:rsidRDefault="00085672" w:rsidP="00085672">
      <w:pPr>
        <w:rPr>
          <w:rFonts w:eastAsia="Calibri" w:cs="Calibri"/>
          <w:b/>
          <w:lang w:val="en-GB"/>
        </w:rPr>
      </w:pPr>
      <w:r w:rsidRPr="005A1C76">
        <w:rPr>
          <w:rFonts w:eastAsia="Calibri" w:cs="Calibri"/>
          <w:b/>
          <w:lang w:val="en-GB"/>
        </w:rPr>
        <w:t>Procjena GES-a za PCB i OCl u sedimentu</w:t>
      </w:r>
    </w:p>
    <w:p w14:paraId="6118C96F" w14:textId="77777777" w:rsidR="00085672" w:rsidRPr="005A1C76" w:rsidRDefault="00085672" w:rsidP="00085672">
      <w:pPr>
        <w:keepNext/>
        <w:rPr>
          <w:rFonts w:eastAsia="Calibri" w:cs="Calibri"/>
          <w:iCs/>
          <w:lang w:val="en-GB"/>
        </w:rPr>
      </w:pPr>
      <w:r w:rsidRPr="005A1C76">
        <w:rPr>
          <w:rFonts w:eastAsia="Calibri" w:cs="Calibri"/>
          <w:iCs/>
          <w:lang w:val="en-GB"/>
        </w:rPr>
        <w:t>Procjena GES-a za PCB i OCl u sedimentu tokom perioda istraživanja na svakoj lokaciji crnogorskog primorja data je u tabeli 2.31. Na osnovu predstavljenih rezultata može se zaključiti:</w:t>
      </w:r>
    </w:p>
    <w:p w14:paraId="0EF485D0" w14:textId="77777777" w:rsidR="00085672" w:rsidRPr="005A1C76" w:rsidRDefault="00085672" w:rsidP="00C52E6F">
      <w:pPr>
        <w:numPr>
          <w:ilvl w:val="0"/>
          <w:numId w:val="41"/>
        </w:numPr>
        <w:ind w:left="270"/>
        <w:contextualSpacing/>
        <w:rPr>
          <w:rFonts w:cs="Calibri"/>
          <w:lang w:val="en-GB"/>
        </w:rPr>
      </w:pPr>
      <w:r w:rsidRPr="005A1C76">
        <w:rPr>
          <w:rFonts w:cs="Calibri"/>
          <w:lang w:val="en-GB"/>
        </w:rPr>
        <w:t>Bokokotorski zaliv: rezultati analize PCB kongenera tokom perioda ispitivanja pokazuju da su lokacije Brodogradilište Bijela, Porto Montenegro i luka Tivat pod značajnim antropogenim uticajem, jer je prosječni sadržaj svih ili većine ispitanih PCB kongenera iznad vrijednosti ERL. Na lokacijama luka Herceg Novi i luka Kotor, više od polovine analiziranih PCB kongenera je iznad vrijednosti ERL. Na drugim lokacijama sadržaj PCB kongenera je između vrijednosti BAC i ERL, pa se može zaključiti da postoji određeni antropogeni uticaj bez rizika od štetnih uticaja na životnu sredinu.</w:t>
      </w:r>
    </w:p>
    <w:p w14:paraId="55BE31E9" w14:textId="77777777" w:rsidR="00085672" w:rsidRPr="005A1C76" w:rsidRDefault="00085672" w:rsidP="00C52E6F">
      <w:pPr>
        <w:numPr>
          <w:ilvl w:val="0"/>
          <w:numId w:val="41"/>
        </w:numPr>
        <w:ind w:left="270"/>
        <w:contextualSpacing/>
        <w:rPr>
          <w:rFonts w:cs="Calibri"/>
          <w:lang w:val="en-GB"/>
        </w:rPr>
      </w:pPr>
      <w:r w:rsidRPr="005A1C76">
        <w:rPr>
          <w:rFonts w:cs="Calibri"/>
          <w:lang w:val="en-GB"/>
        </w:rPr>
        <w:t>Priobalne lokacije - otvoreno more: kao u slučaju PAH-ova i teških metala, koncentracija PCB kogenera na većini ispitivanih lokacija je ispod BAC ili između vrijednosti BAC i ERL, što ukazuje da su ove lokacije van antropogenog uticaja. Izuzetak su lokacije Luka Bar i Luka Budva gdje je sadržaj većine analiziranih PCB kongenera iznad vrijednosti ERL i Luštica gde je sadržaj PCB kongenera (PCB 28 i PCB 118) iznad vrijednosti ERL. To ukazuje na značajan antropogeni uticaj na tim lokacijama.</w:t>
      </w:r>
    </w:p>
    <w:p w14:paraId="7C8D9E11" w14:textId="77777777" w:rsidR="00085672" w:rsidRPr="005A1C76" w:rsidRDefault="00085672" w:rsidP="00C52E6F">
      <w:pPr>
        <w:numPr>
          <w:ilvl w:val="0"/>
          <w:numId w:val="34"/>
        </w:numPr>
        <w:ind w:left="270"/>
        <w:rPr>
          <w:rFonts w:cs="Calibri"/>
          <w:lang w:val="en-GB"/>
        </w:rPr>
      </w:pPr>
      <w:r w:rsidRPr="005A1C76">
        <w:rPr>
          <w:rFonts w:cs="Calibri"/>
          <w:lang w:val="en-GB"/>
        </w:rPr>
        <w:t>Analiza organohlornih pesticida (OCls) u morskom sedimentu Boke Kotorske pokazuje da je prosječna vrijednost koncentracije DDE (p,p') tokom ispitivanog perioda na lokacijama Brodogradilište Bijela, Luka Tivat, IBM Dobrota i Luka Kotor bila iznad EAC vrijednost, dok je prosječna koncentracija dieldrina bila iznad EAC vrijednosti u Porto Montenegro.</w:t>
      </w:r>
    </w:p>
    <w:p w14:paraId="7B1DD103" w14:textId="77777777" w:rsidR="00085672" w:rsidRPr="00085672" w:rsidRDefault="00085672" w:rsidP="00C52E6F">
      <w:pPr>
        <w:pStyle w:val="ListParagraph"/>
        <w:numPr>
          <w:ilvl w:val="0"/>
          <w:numId w:val="34"/>
        </w:numPr>
        <w:rPr>
          <w:rFonts w:cs="Calibri"/>
          <w:lang w:val="en-GB"/>
        </w:rPr>
      </w:pPr>
      <w:r w:rsidRPr="00085672">
        <w:rPr>
          <w:rFonts w:cs="Calibri"/>
          <w:lang w:val="en-GB"/>
        </w:rPr>
        <w:t>Priobalne lokacije - otvoreno more: prosječna koncentracija DDE (p,p') u luci Budva i diledrina u luci Bar tokom perioda istraživanja bila je iznad odgovarajućih vrijednosti EAC, što potvrđuje da su ove lokacije izložene snažan antropogeni uticaj. Koncentracije OCls na drugim lokacijama u ovom području bile su ispod granice kvantifikacije metode što ukazuje da ove lokacije nisu pod antropogenim uticajem.</w:t>
      </w:r>
    </w:p>
    <w:p w14:paraId="07FC764A" w14:textId="77777777" w:rsidR="00FC0EC0" w:rsidRPr="001C6CCA" w:rsidRDefault="00FC0EC0" w:rsidP="00F65CFF">
      <w:pPr>
        <w:spacing w:before="0" w:after="0" w:line="259" w:lineRule="auto"/>
        <w:rPr>
          <w:rFonts w:eastAsia="Calibri" w:cs="Calibri"/>
          <w:w w:val="115"/>
          <w:szCs w:val="22"/>
          <w:lang w:val="en-GB" w:eastAsia="en-US"/>
        </w:rPr>
      </w:pPr>
    </w:p>
    <w:p w14:paraId="3A025FA2" w14:textId="1BE9619D" w:rsidR="00085672" w:rsidRPr="005A1C76" w:rsidRDefault="00FC0EC0" w:rsidP="00085672">
      <w:pPr>
        <w:keepNext/>
        <w:spacing w:after="0" w:line="240" w:lineRule="auto"/>
        <w:rPr>
          <w:rFonts w:eastAsia="Calibri" w:cs="Calibri"/>
          <w:b/>
          <w:iCs/>
          <w:lang w:val="en-GB"/>
        </w:rPr>
      </w:pPr>
      <w:bookmarkStart w:id="201" w:name="_Toc83643177"/>
      <w:r w:rsidRPr="001C6CCA">
        <w:rPr>
          <w:rFonts w:eastAsia="Calibri"/>
          <w:b/>
          <w:iCs/>
          <w:szCs w:val="22"/>
          <w:lang w:val="en-GB" w:eastAsia="en-US"/>
        </w:rPr>
        <w:t>Tab</w:t>
      </w:r>
      <w:r w:rsidR="00085672">
        <w:rPr>
          <w:rFonts w:eastAsia="Calibri"/>
          <w:b/>
          <w:iCs/>
          <w:szCs w:val="22"/>
          <w:lang w:val="en-GB" w:eastAsia="en-US"/>
        </w:rPr>
        <w:t>ela</w:t>
      </w:r>
      <w:r w:rsidRPr="001C6CCA">
        <w:rPr>
          <w:rFonts w:eastAsia="Calibri"/>
          <w:b/>
          <w:iCs/>
          <w:szCs w:val="22"/>
          <w:lang w:val="en-GB" w:eastAsia="en-US"/>
        </w:rPr>
        <w:t xml:space="preserve"> </w:t>
      </w:r>
      <w:r w:rsidR="003415D9" w:rsidRPr="00D932B6">
        <w:rPr>
          <w:b/>
          <w:szCs w:val="22"/>
        </w:rPr>
        <w:fldChar w:fldCharType="begin"/>
      </w:r>
      <w:r w:rsidR="003415D9" w:rsidRPr="00D932B6">
        <w:rPr>
          <w:b/>
          <w:szCs w:val="22"/>
        </w:rPr>
        <w:instrText xml:space="preserve"> STYLEREF 1 \s </w:instrText>
      </w:r>
      <w:r w:rsidR="003415D9" w:rsidRPr="00D932B6">
        <w:rPr>
          <w:b/>
          <w:szCs w:val="22"/>
        </w:rPr>
        <w:fldChar w:fldCharType="separate"/>
      </w:r>
      <w:r w:rsidR="000D1E20">
        <w:rPr>
          <w:b/>
          <w:noProof/>
          <w:szCs w:val="22"/>
        </w:rPr>
        <w:t>2</w:t>
      </w:r>
      <w:r w:rsidR="003415D9" w:rsidRPr="00D932B6">
        <w:rPr>
          <w:b/>
          <w:szCs w:val="22"/>
        </w:rPr>
        <w:fldChar w:fldCharType="end"/>
      </w:r>
      <w:r w:rsidR="003415D9" w:rsidRPr="00D932B6">
        <w:rPr>
          <w:b/>
          <w:szCs w:val="22"/>
        </w:rPr>
        <w:t>.</w:t>
      </w:r>
      <w:r w:rsidR="003415D9" w:rsidRPr="00D932B6">
        <w:rPr>
          <w:b/>
          <w:szCs w:val="22"/>
        </w:rPr>
        <w:fldChar w:fldCharType="begin"/>
      </w:r>
      <w:r w:rsidR="003415D9" w:rsidRPr="00D932B6">
        <w:rPr>
          <w:b/>
          <w:szCs w:val="22"/>
        </w:rPr>
        <w:instrText xml:space="preserve"> SEQ Table \* ARABIC \s 1 </w:instrText>
      </w:r>
      <w:r w:rsidR="003415D9" w:rsidRPr="00D932B6">
        <w:rPr>
          <w:b/>
          <w:szCs w:val="22"/>
        </w:rPr>
        <w:fldChar w:fldCharType="separate"/>
      </w:r>
      <w:r w:rsidR="000D1E20">
        <w:rPr>
          <w:b/>
          <w:noProof/>
          <w:szCs w:val="22"/>
        </w:rPr>
        <w:t>19</w:t>
      </w:r>
      <w:r w:rsidR="003415D9" w:rsidRPr="00D932B6">
        <w:rPr>
          <w:b/>
          <w:szCs w:val="22"/>
        </w:rPr>
        <w:fldChar w:fldCharType="end"/>
      </w:r>
      <w:r w:rsidR="003415D9">
        <w:rPr>
          <w:b/>
          <w:szCs w:val="22"/>
        </w:rPr>
        <w:t>.</w:t>
      </w:r>
      <w:r w:rsidR="003415D9" w:rsidRPr="001C6CCA">
        <w:rPr>
          <w:rFonts w:eastAsia="Calibri" w:cs="Calibri"/>
          <w:b/>
          <w:szCs w:val="22"/>
          <w:lang w:val="en-GB" w:eastAsia="en-US"/>
        </w:rPr>
        <w:t xml:space="preserve"> </w:t>
      </w:r>
      <w:r w:rsidR="00085672" w:rsidRPr="005A1C76">
        <w:rPr>
          <w:rFonts w:eastAsia="Calibri" w:cs="Calibri"/>
          <w:b/>
          <w:iCs/>
          <w:lang w:val="en-GB"/>
        </w:rPr>
        <w:t>Prikaz prosječnih vrijednosti PCB i OCl u sedimentu tokom perioda istraživanja na lokacijama crnogorskog mora prema UNEP/MAP i OSPAR kriterijumima procjene</w:t>
      </w:r>
      <w:bookmarkEnd w:id="201"/>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CellMar>
          <w:left w:w="57" w:type="dxa"/>
          <w:right w:w="57" w:type="dxa"/>
        </w:tblCellMar>
        <w:tblLook w:val="04A0" w:firstRow="1" w:lastRow="0" w:firstColumn="1" w:lastColumn="0" w:noHBand="0" w:noVBand="1"/>
      </w:tblPr>
      <w:tblGrid>
        <w:gridCol w:w="1179"/>
        <w:gridCol w:w="1356"/>
        <w:gridCol w:w="482"/>
        <w:gridCol w:w="489"/>
        <w:gridCol w:w="490"/>
        <w:gridCol w:w="470"/>
        <w:gridCol w:w="490"/>
        <w:gridCol w:w="490"/>
        <w:gridCol w:w="490"/>
        <w:gridCol w:w="660"/>
        <w:gridCol w:w="571"/>
        <w:gridCol w:w="483"/>
        <w:gridCol w:w="604"/>
        <w:gridCol w:w="669"/>
        <w:gridCol w:w="511"/>
      </w:tblGrid>
      <w:tr w:rsidR="00085672" w:rsidRPr="005A1C76" w14:paraId="264F988E" w14:textId="77777777" w:rsidTr="00D06AC0">
        <w:trPr>
          <w:cantSplit/>
          <w:trHeight w:hRule="exact" w:val="298"/>
          <w:tblHeader/>
          <w:jc w:val="center"/>
        </w:trPr>
        <w:tc>
          <w:tcPr>
            <w:tcW w:w="1179" w:type="dxa"/>
            <w:vMerge w:val="restart"/>
            <w:shd w:val="clear" w:color="auto" w:fill="2F5496"/>
            <w:vAlign w:val="center"/>
          </w:tcPr>
          <w:p w14:paraId="4D71A348" w14:textId="77777777" w:rsidR="00085672" w:rsidRPr="005A1C76" w:rsidRDefault="00085672" w:rsidP="00085672">
            <w:pPr>
              <w:spacing w:after="0" w:line="240" w:lineRule="auto"/>
              <w:rPr>
                <w:rFonts w:eastAsia="Calibri" w:cs="Calibri"/>
                <w:b/>
                <w:color w:val="FFFFFF"/>
                <w:sz w:val="20"/>
                <w:szCs w:val="20"/>
                <w:lang w:val="en-GB"/>
              </w:rPr>
            </w:pPr>
            <w:r w:rsidRPr="005A1C76">
              <w:rPr>
                <w:rFonts w:eastAsia="Calibri" w:cs="Calibri"/>
                <w:b/>
                <w:color w:val="FFFFFF"/>
                <w:sz w:val="20"/>
                <w:szCs w:val="20"/>
                <w:lang w:val="en-GB"/>
              </w:rPr>
              <w:t>Zona</w:t>
            </w:r>
          </w:p>
        </w:tc>
        <w:tc>
          <w:tcPr>
            <w:tcW w:w="1356" w:type="dxa"/>
            <w:vMerge w:val="restart"/>
            <w:shd w:val="clear" w:color="auto" w:fill="2F5496"/>
            <w:vAlign w:val="center"/>
          </w:tcPr>
          <w:p w14:paraId="1B91DA40"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Naziv lokacije</w:t>
            </w:r>
          </w:p>
        </w:tc>
        <w:tc>
          <w:tcPr>
            <w:tcW w:w="6388" w:type="dxa"/>
            <w:gridSpan w:val="12"/>
            <w:shd w:val="clear" w:color="auto" w:fill="2F5496"/>
            <w:vAlign w:val="center"/>
          </w:tcPr>
          <w:p w14:paraId="456E7B9A"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 xml:space="preserve">Polihlorovani bifenili i organohlorni pesticidi µg/kg s.m. </w:t>
            </w:r>
          </w:p>
        </w:tc>
        <w:tc>
          <w:tcPr>
            <w:tcW w:w="511" w:type="dxa"/>
            <w:shd w:val="clear" w:color="auto" w:fill="2F5496"/>
            <w:vAlign w:val="center"/>
          </w:tcPr>
          <w:p w14:paraId="3A889F2F" w14:textId="77777777" w:rsidR="00085672" w:rsidRPr="005A1C76" w:rsidRDefault="00085672" w:rsidP="00085672">
            <w:pPr>
              <w:spacing w:after="0" w:line="240" w:lineRule="auto"/>
              <w:jc w:val="center"/>
              <w:rPr>
                <w:rFonts w:eastAsia="Calibri" w:cs="Calibri"/>
                <w:b/>
                <w:color w:val="FFFFFF"/>
                <w:sz w:val="20"/>
                <w:szCs w:val="20"/>
                <w:lang w:val="en-GB"/>
              </w:rPr>
            </w:pPr>
          </w:p>
        </w:tc>
      </w:tr>
      <w:tr w:rsidR="00085672" w:rsidRPr="005A1C76" w14:paraId="7E5EABB5" w14:textId="77777777" w:rsidTr="00CF4B47">
        <w:trPr>
          <w:cantSplit/>
          <w:trHeight w:hRule="exact" w:val="577"/>
          <w:tblHeader/>
          <w:jc w:val="center"/>
        </w:trPr>
        <w:tc>
          <w:tcPr>
            <w:tcW w:w="1179" w:type="dxa"/>
            <w:vMerge/>
            <w:shd w:val="clear" w:color="auto" w:fill="2F5496"/>
            <w:vAlign w:val="center"/>
          </w:tcPr>
          <w:p w14:paraId="569C4831" w14:textId="77777777" w:rsidR="00085672" w:rsidRPr="005A1C76" w:rsidRDefault="00085672" w:rsidP="00085672">
            <w:pPr>
              <w:spacing w:after="0" w:line="240" w:lineRule="auto"/>
              <w:rPr>
                <w:rFonts w:eastAsia="Calibri" w:cs="Calibri"/>
                <w:b/>
                <w:color w:val="FFFFFF"/>
                <w:sz w:val="20"/>
                <w:szCs w:val="20"/>
                <w:lang w:val="en-GB"/>
              </w:rPr>
            </w:pPr>
          </w:p>
        </w:tc>
        <w:tc>
          <w:tcPr>
            <w:tcW w:w="1356" w:type="dxa"/>
            <w:vMerge/>
            <w:shd w:val="clear" w:color="auto" w:fill="2F5496"/>
            <w:vAlign w:val="center"/>
          </w:tcPr>
          <w:p w14:paraId="448A5A04" w14:textId="77777777" w:rsidR="00085672" w:rsidRPr="005A1C76" w:rsidRDefault="00085672" w:rsidP="00085672">
            <w:pPr>
              <w:spacing w:after="0" w:line="240" w:lineRule="auto"/>
              <w:rPr>
                <w:rFonts w:eastAsia="Calibri" w:cs="Calibri"/>
                <w:b/>
                <w:color w:val="FFFFFF"/>
                <w:sz w:val="20"/>
                <w:szCs w:val="20"/>
                <w:lang w:val="en-GB"/>
              </w:rPr>
            </w:pPr>
          </w:p>
        </w:tc>
        <w:tc>
          <w:tcPr>
            <w:tcW w:w="482" w:type="dxa"/>
            <w:shd w:val="clear" w:color="auto" w:fill="2F5496"/>
            <w:vAlign w:val="center"/>
          </w:tcPr>
          <w:p w14:paraId="0AAC199B" w14:textId="77777777" w:rsidR="00085672" w:rsidRPr="005A1C76" w:rsidRDefault="00085672" w:rsidP="00085672">
            <w:pPr>
              <w:spacing w:after="0" w:line="20" w:lineRule="atLeast"/>
              <w:jc w:val="center"/>
              <w:rPr>
                <w:rFonts w:eastAsia="Calibri" w:cs="Calibri"/>
                <w:b/>
                <w:bCs/>
                <w:color w:val="FFFFFF"/>
                <w:sz w:val="20"/>
                <w:szCs w:val="20"/>
                <w:lang w:val="en-GB"/>
              </w:rPr>
            </w:pPr>
            <w:r w:rsidRPr="005A1C76">
              <w:rPr>
                <w:rFonts w:eastAsia="Calibri" w:cs="Calibri"/>
                <w:b/>
                <w:bCs/>
                <w:color w:val="FFFFFF"/>
                <w:sz w:val="20"/>
                <w:szCs w:val="20"/>
                <w:lang w:val="en-GB"/>
              </w:rPr>
              <w:t>PCB 28</w:t>
            </w:r>
          </w:p>
        </w:tc>
        <w:tc>
          <w:tcPr>
            <w:tcW w:w="489" w:type="dxa"/>
            <w:shd w:val="clear" w:color="auto" w:fill="2F5496"/>
            <w:vAlign w:val="center"/>
          </w:tcPr>
          <w:p w14:paraId="075F1419" w14:textId="77777777" w:rsidR="00085672" w:rsidRPr="005A1C76" w:rsidRDefault="00085672" w:rsidP="00085672">
            <w:pPr>
              <w:spacing w:after="0" w:line="20" w:lineRule="atLeast"/>
              <w:jc w:val="center"/>
              <w:rPr>
                <w:rFonts w:eastAsia="Calibri" w:cs="Calibri"/>
                <w:b/>
                <w:bCs/>
                <w:color w:val="FFFFFF"/>
                <w:sz w:val="20"/>
                <w:szCs w:val="20"/>
                <w:lang w:val="en-GB"/>
              </w:rPr>
            </w:pPr>
            <w:r w:rsidRPr="005A1C76">
              <w:rPr>
                <w:rFonts w:eastAsia="Calibri" w:cs="Calibri"/>
                <w:b/>
                <w:bCs/>
                <w:color w:val="FFFFFF"/>
                <w:sz w:val="20"/>
                <w:szCs w:val="20"/>
                <w:lang w:val="en-GB"/>
              </w:rPr>
              <w:t>PCB 52</w:t>
            </w:r>
          </w:p>
        </w:tc>
        <w:tc>
          <w:tcPr>
            <w:tcW w:w="490" w:type="dxa"/>
            <w:shd w:val="clear" w:color="auto" w:fill="2F5496"/>
            <w:vAlign w:val="center"/>
          </w:tcPr>
          <w:p w14:paraId="6592ACD1" w14:textId="77777777" w:rsidR="00085672" w:rsidRPr="005A1C76" w:rsidRDefault="00085672" w:rsidP="00085672">
            <w:pPr>
              <w:spacing w:after="0" w:line="20" w:lineRule="atLeast"/>
              <w:jc w:val="center"/>
              <w:rPr>
                <w:rFonts w:eastAsia="Calibri" w:cs="Calibri"/>
                <w:b/>
                <w:bCs/>
                <w:color w:val="FFFFFF"/>
                <w:sz w:val="20"/>
                <w:szCs w:val="20"/>
                <w:lang w:val="en-GB"/>
              </w:rPr>
            </w:pPr>
            <w:r w:rsidRPr="005A1C76">
              <w:rPr>
                <w:rFonts w:eastAsia="Calibri" w:cs="Calibri"/>
                <w:b/>
                <w:bCs/>
                <w:color w:val="FFFFFF"/>
                <w:sz w:val="20"/>
                <w:szCs w:val="20"/>
                <w:lang w:val="en-GB"/>
              </w:rPr>
              <w:t>PCB 101</w:t>
            </w:r>
          </w:p>
        </w:tc>
        <w:tc>
          <w:tcPr>
            <w:tcW w:w="470" w:type="dxa"/>
            <w:shd w:val="clear" w:color="auto" w:fill="2F5496"/>
            <w:vAlign w:val="center"/>
          </w:tcPr>
          <w:p w14:paraId="46FCAE6F" w14:textId="77777777" w:rsidR="00085672" w:rsidRPr="005A1C76" w:rsidRDefault="00085672" w:rsidP="00085672">
            <w:pPr>
              <w:spacing w:after="0" w:line="20" w:lineRule="atLeast"/>
              <w:jc w:val="center"/>
              <w:rPr>
                <w:rFonts w:eastAsia="Calibri" w:cs="Calibri"/>
                <w:b/>
                <w:bCs/>
                <w:color w:val="FFFFFF"/>
                <w:sz w:val="20"/>
                <w:szCs w:val="20"/>
                <w:lang w:val="en-GB"/>
              </w:rPr>
            </w:pPr>
            <w:r w:rsidRPr="005A1C76">
              <w:rPr>
                <w:rFonts w:eastAsia="Calibri" w:cs="Calibri"/>
                <w:b/>
                <w:bCs/>
                <w:color w:val="FFFFFF"/>
                <w:sz w:val="20"/>
                <w:szCs w:val="20"/>
                <w:lang w:val="en-GB"/>
              </w:rPr>
              <w:t>PCB 118</w:t>
            </w:r>
          </w:p>
        </w:tc>
        <w:tc>
          <w:tcPr>
            <w:tcW w:w="490" w:type="dxa"/>
            <w:shd w:val="clear" w:color="auto" w:fill="2F5496"/>
            <w:vAlign w:val="center"/>
          </w:tcPr>
          <w:p w14:paraId="66BCB05D" w14:textId="77777777" w:rsidR="00085672" w:rsidRPr="005A1C76" w:rsidRDefault="00085672" w:rsidP="00085672">
            <w:pPr>
              <w:spacing w:after="0" w:line="20" w:lineRule="atLeast"/>
              <w:jc w:val="center"/>
              <w:rPr>
                <w:rFonts w:eastAsia="Calibri" w:cs="Calibri"/>
                <w:b/>
                <w:bCs/>
                <w:color w:val="FFFFFF"/>
                <w:sz w:val="20"/>
                <w:szCs w:val="20"/>
                <w:lang w:val="en-GB"/>
              </w:rPr>
            </w:pPr>
            <w:r w:rsidRPr="005A1C76">
              <w:rPr>
                <w:rFonts w:eastAsia="Calibri" w:cs="Calibri"/>
                <w:b/>
                <w:bCs/>
                <w:color w:val="FFFFFF"/>
                <w:sz w:val="20"/>
                <w:szCs w:val="20"/>
                <w:lang w:val="en-GB"/>
              </w:rPr>
              <w:t>PCB 138</w:t>
            </w:r>
          </w:p>
        </w:tc>
        <w:tc>
          <w:tcPr>
            <w:tcW w:w="490" w:type="dxa"/>
            <w:shd w:val="clear" w:color="auto" w:fill="2F5496"/>
            <w:vAlign w:val="center"/>
          </w:tcPr>
          <w:p w14:paraId="6FC6CA08" w14:textId="77777777" w:rsidR="00085672" w:rsidRPr="005A1C76" w:rsidRDefault="00085672" w:rsidP="00085672">
            <w:pPr>
              <w:spacing w:after="0" w:line="20" w:lineRule="atLeast"/>
              <w:jc w:val="center"/>
              <w:rPr>
                <w:rFonts w:eastAsia="Calibri" w:cs="Calibri"/>
                <w:b/>
                <w:bCs/>
                <w:color w:val="FFFFFF"/>
                <w:sz w:val="20"/>
                <w:szCs w:val="20"/>
                <w:lang w:val="en-GB"/>
              </w:rPr>
            </w:pPr>
            <w:r w:rsidRPr="005A1C76">
              <w:rPr>
                <w:rFonts w:eastAsia="Calibri" w:cs="Calibri"/>
                <w:b/>
                <w:bCs/>
                <w:color w:val="FFFFFF"/>
                <w:sz w:val="20"/>
                <w:szCs w:val="20"/>
                <w:lang w:val="en-GB"/>
              </w:rPr>
              <w:t>PCB 153</w:t>
            </w:r>
          </w:p>
        </w:tc>
        <w:tc>
          <w:tcPr>
            <w:tcW w:w="490" w:type="dxa"/>
            <w:shd w:val="clear" w:color="auto" w:fill="2F5496"/>
            <w:vAlign w:val="center"/>
          </w:tcPr>
          <w:p w14:paraId="3841847A" w14:textId="77777777" w:rsidR="00085672" w:rsidRPr="005A1C76" w:rsidRDefault="00085672" w:rsidP="00085672">
            <w:pPr>
              <w:spacing w:after="0" w:line="20" w:lineRule="atLeast"/>
              <w:jc w:val="center"/>
              <w:rPr>
                <w:rFonts w:eastAsia="Calibri" w:cs="Calibri"/>
                <w:b/>
                <w:bCs/>
                <w:color w:val="FFFFFF"/>
                <w:sz w:val="20"/>
                <w:szCs w:val="20"/>
                <w:lang w:val="en-GB"/>
              </w:rPr>
            </w:pPr>
            <w:r w:rsidRPr="005A1C76">
              <w:rPr>
                <w:rFonts w:eastAsia="Calibri" w:cs="Calibri"/>
                <w:b/>
                <w:bCs/>
                <w:color w:val="FFFFFF"/>
                <w:sz w:val="20"/>
                <w:szCs w:val="20"/>
                <w:lang w:val="en-GB"/>
              </w:rPr>
              <w:t>PCB 180</w:t>
            </w:r>
          </w:p>
        </w:tc>
        <w:tc>
          <w:tcPr>
            <w:tcW w:w="660" w:type="dxa"/>
            <w:shd w:val="clear" w:color="auto" w:fill="2F5496"/>
            <w:vAlign w:val="center"/>
          </w:tcPr>
          <w:p w14:paraId="448401A1" w14:textId="77777777" w:rsidR="00085672" w:rsidRPr="005A1C76" w:rsidRDefault="00085672" w:rsidP="00085672">
            <w:pPr>
              <w:spacing w:after="0" w:line="20" w:lineRule="atLeast"/>
              <w:jc w:val="center"/>
              <w:rPr>
                <w:rFonts w:eastAsia="Calibri" w:cs="Calibri"/>
                <w:b/>
                <w:bCs/>
                <w:color w:val="FFFFFF"/>
                <w:sz w:val="20"/>
                <w:szCs w:val="20"/>
                <w:lang w:val="en-GB"/>
              </w:rPr>
            </w:pPr>
            <w:r w:rsidRPr="005A1C76">
              <w:rPr>
                <w:rFonts w:ascii="Cambria Math" w:eastAsia="Calibri" w:hAnsi="Cambria Math" w:cs="Cambria Math"/>
                <w:b/>
                <w:bCs/>
                <w:color w:val="FFFFFF"/>
                <w:sz w:val="20"/>
                <w:szCs w:val="20"/>
                <w:lang w:val="en-GB"/>
              </w:rPr>
              <w:t>⅀</w:t>
            </w:r>
            <w:r w:rsidRPr="005A1C76">
              <w:rPr>
                <w:rFonts w:eastAsia="Calibri" w:cs="Calibri"/>
                <w:b/>
                <w:bCs/>
                <w:color w:val="FFFFFF"/>
                <w:sz w:val="20"/>
                <w:szCs w:val="20"/>
                <w:lang w:val="en-GB"/>
              </w:rPr>
              <w:t>7CBs ICES</w:t>
            </w:r>
          </w:p>
        </w:tc>
        <w:tc>
          <w:tcPr>
            <w:tcW w:w="571" w:type="dxa"/>
            <w:tcBorders>
              <w:bottom w:val="single" w:sz="4" w:space="0" w:color="auto"/>
            </w:tcBorders>
            <w:shd w:val="clear" w:color="auto" w:fill="2F5496"/>
            <w:vAlign w:val="center"/>
          </w:tcPr>
          <w:p w14:paraId="173F5801" w14:textId="77777777" w:rsidR="00085672" w:rsidRPr="005A1C76" w:rsidRDefault="00085672" w:rsidP="00085672">
            <w:pPr>
              <w:spacing w:after="0" w:line="20" w:lineRule="atLeast"/>
              <w:jc w:val="center"/>
              <w:rPr>
                <w:rFonts w:eastAsia="Calibri" w:cs="Calibri"/>
                <w:b/>
                <w:bCs/>
                <w:color w:val="FFFFFF"/>
                <w:sz w:val="20"/>
                <w:szCs w:val="20"/>
                <w:lang w:val="en-GB"/>
              </w:rPr>
            </w:pPr>
            <w:r w:rsidRPr="005A1C76">
              <w:rPr>
                <w:rFonts w:eastAsia="Calibri" w:cs="Calibri"/>
                <w:b/>
                <w:bCs/>
                <w:color w:val="FFFFFF"/>
                <w:sz w:val="20"/>
                <w:szCs w:val="20"/>
                <w:lang w:val="en-GB"/>
              </w:rPr>
              <w:t>DDE (p,p’)</w:t>
            </w:r>
          </w:p>
        </w:tc>
        <w:tc>
          <w:tcPr>
            <w:tcW w:w="483" w:type="dxa"/>
            <w:tcBorders>
              <w:bottom w:val="single" w:sz="4" w:space="0" w:color="auto"/>
            </w:tcBorders>
            <w:shd w:val="clear" w:color="auto" w:fill="2F5496"/>
            <w:vAlign w:val="center"/>
          </w:tcPr>
          <w:p w14:paraId="741FE205" w14:textId="77777777" w:rsidR="00085672" w:rsidRPr="005A1C76" w:rsidRDefault="00085672" w:rsidP="00085672">
            <w:pPr>
              <w:spacing w:after="0" w:line="20" w:lineRule="atLeast"/>
              <w:jc w:val="center"/>
              <w:rPr>
                <w:rFonts w:eastAsia="Calibri" w:cs="Calibri"/>
                <w:b/>
                <w:bCs/>
                <w:color w:val="FFFFFF"/>
                <w:sz w:val="20"/>
                <w:szCs w:val="20"/>
                <w:lang w:val="en-GB"/>
              </w:rPr>
            </w:pPr>
            <w:r w:rsidRPr="005A1C76">
              <w:rPr>
                <w:rFonts w:eastAsia="Calibri" w:cs="Calibri"/>
                <w:b/>
                <w:bCs/>
                <w:color w:val="FFFFFF"/>
                <w:sz w:val="20"/>
                <w:szCs w:val="20"/>
                <w:lang w:val="en-GB"/>
              </w:rPr>
              <w:t>HCB</w:t>
            </w:r>
          </w:p>
        </w:tc>
        <w:tc>
          <w:tcPr>
            <w:tcW w:w="604" w:type="dxa"/>
            <w:tcBorders>
              <w:bottom w:val="single" w:sz="4" w:space="0" w:color="auto"/>
            </w:tcBorders>
            <w:shd w:val="clear" w:color="auto" w:fill="2F5496"/>
            <w:vAlign w:val="center"/>
          </w:tcPr>
          <w:p w14:paraId="062EDAD9" w14:textId="77777777" w:rsidR="00085672" w:rsidRPr="005A1C76" w:rsidRDefault="00085672" w:rsidP="00085672">
            <w:pPr>
              <w:spacing w:after="0" w:line="20" w:lineRule="atLeast"/>
              <w:jc w:val="center"/>
              <w:rPr>
                <w:rFonts w:eastAsia="Calibri" w:cs="Calibri"/>
                <w:b/>
                <w:bCs/>
                <w:color w:val="FFFFFF"/>
                <w:sz w:val="20"/>
                <w:szCs w:val="20"/>
                <w:lang w:val="en-GB"/>
              </w:rPr>
            </w:pPr>
            <w:r w:rsidRPr="005A1C76">
              <w:rPr>
                <w:rFonts w:eastAsia="Calibri" w:cs="Calibri"/>
                <w:b/>
                <w:bCs/>
                <w:color w:val="FFFFFF"/>
                <w:sz w:val="20"/>
                <w:szCs w:val="20"/>
                <w:lang w:val="en-GB"/>
              </w:rPr>
              <w:t>Dield.</w:t>
            </w:r>
          </w:p>
        </w:tc>
        <w:tc>
          <w:tcPr>
            <w:tcW w:w="669" w:type="dxa"/>
            <w:tcBorders>
              <w:bottom w:val="single" w:sz="4" w:space="0" w:color="auto"/>
            </w:tcBorders>
            <w:shd w:val="clear" w:color="auto" w:fill="2F5496"/>
            <w:vAlign w:val="center"/>
          </w:tcPr>
          <w:p w14:paraId="4E8E6237" w14:textId="77777777" w:rsidR="00085672" w:rsidRPr="005A1C76" w:rsidRDefault="00085672" w:rsidP="00085672">
            <w:pPr>
              <w:spacing w:after="0" w:line="20" w:lineRule="atLeast"/>
              <w:jc w:val="center"/>
              <w:rPr>
                <w:rFonts w:eastAsia="Calibri" w:cs="Calibri"/>
                <w:b/>
                <w:bCs/>
                <w:color w:val="FFFFFF"/>
                <w:sz w:val="20"/>
                <w:szCs w:val="20"/>
                <w:lang w:val="en-GB"/>
              </w:rPr>
            </w:pPr>
            <w:r w:rsidRPr="005A1C76">
              <w:rPr>
                <w:rFonts w:eastAsia="Calibri" w:cs="Calibri"/>
                <w:b/>
                <w:bCs/>
                <w:color w:val="FFFFFF"/>
                <w:sz w:val="20"/>
                <w:szCs w:val="20"/>
                <w:lang w:val="en-GB"/>
              </w:rPr>
              <w:t>Lindan</w:t>
            </w:r>
          </w:p>
        </w:tc>
        <w:tc>
          <w:tcPr>
            <w:tcW w:w="511" w:type="dxa"/>
            <w:shd w:val="clear" w:color="auto" w:fill="2F5496"/>
            <w:vAlign w:val="center"/>
          </w:tcPr>
          <w:p w14:paraId="475AB857"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Tip*</w:t>
            </w:r>
          </w:p>
        </w:tc>
      </w:tr>
      <w:tr w:rsidR="00085672" w:rsidRPr="005A1C76" w14:paraId="153CFF9B" w14:textId="77777777" w:rsidTr="00D06AC0">
        <w:trPr>
          <w:cantSplit/>
          <w:trHeight w:val="227"/>
          <w:jc w:val="center"/>
        </w:trPr>
        <w:tc>
          <w:tcPr>
            <w:tcW w:w="1179" w:type="dxa"/>
            <w:vMerge w:val="restart"/>
            <w:vAlign w:val="center"/>
          </w:tcPr>
          <w:p w14:paraId="10EE313F"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r w:rsidRPr="005A1C76">
              <w:rPr>
                <w:rFonts w:eastAsia="Calibri" w:cs="Calibri"/>
                <w:sz w:val="20"/>
                <w:szCs w:val="20"/>
                <w:lang w:val="en-GB"/>
              </w:rPr>
              <w:t>Bokokotorski zaliv</w:t>
            </w:r>
          </w:p>
        </w:tc>
        <w:tc>
          <w:tcPr>
            <w:tcW w:w="1356" w:type="dxa"/>
            <w:shd w:val="clear" w:color="auto" w:fill="auto"/>
            <w:vAlign w:val="center"/>
          </w:tcPr>
          <w:p w14:paraId="1CE40658"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Herceg Novi</w:t>
            </w:r>
          </w:p>
        </w:tc>
        <w:tc>
          <w:tcPr>
            <w:tcW w:w="482" w:type="dxa"/>
            <w:tcBorders>
              <w:top w:val="single" w:sz="8" w:space="0" w:color="auto"/>
              <w:left w:val="single" w:sz="8" w:space="0" w:color="auto"/>
              <w:bottom w:val="single" w:sz="8" w:space="0" w:color="auto"/>
              <w:right w:val="single" w:sz="8" w:space="0" w:color="auto"/>
            </w:tcBorders>
            <w:shd w:val="clear" w:color="auto" w:fill="00FF00"/>
            <w:vAlign w:val="center"/>
          </w:tcPr>
          <w:p w14:paraId="72D42A3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0.6</w:t>
            </w:r>
          </w:p>
        </w:tc>
        <w:tc>
          <w:tcPr>
            <w:tcW w:w="489" w:type="dxa"/>
            <w:tcBorders>
              <w:top w:val="single" w:sz="8" w:space="0" w:color="auto"/>
              <w:left w:val="nil"/>
              <w:bottom w:val="single" w:sz="8" w:space="0" w:color="auto"/>
              <w:right w:val="single" w:sz="8" w:space="0" w:color="auto"/>
            </w:tcBorders>
            <w:shd w:val="clear" w:color="auto" w:fill="00FF00"/>
            <w:vAlign w:val="center"/>
          </w:tcPr>
          <w:p w14:paraId="5065894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1.3</w:t>
            </w:r>
          </w:p>
        </w:tc>
        <w:tc>
          <w:tcPr>
            <w:tcW w:w="490" w:type="dxa"/>
            <w:tcBorders>
              <w:top w:val="single" w:sz="8" w:space="0" w:color="auto"/>
              <w:left w:val="nil"/>
              <w:bottom w:val="single" w:sz="8" w:space="0" w:color="auto"/>
              <w:right w:val="single" w:sz="8" w:space="0" w:color="auto"/>
            </w:tcBorders>
            <w:shd w:val="clear" w:color="000000" w:fill="FF0000"/>
            <w:vAlign w:val="center"/>
          </w:tcPr>
          <w:p w14:paraId="62505344"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5.5</w:t>
            </w:r>
          </w:p>
        </w:tc>
        <w:tc>
          <w:tcPr>
            <w:tcW w:w="470" w:type="dxa"/>
            <w:tcBorders>
              <w:top w:val="single" w:sz="8" w:space="0" w:color="auto"/>
              <w:left w:val="nil"/>
              <w:bottom w:val="single" w:sz="8" w:space="0" w:color="auto"/>
              <w:right w:val="single" w:sz="8" w:space="0" w:color="auto"/>
            </w:tcBorders>
            <w:shd w:val="clear" w:color="000000" w:fill="FF0000"/>
            <w:vAlign w:val="center"/>
          </w:tcPr>
          <w:p w14:paraId="3E9735D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3.7</w:t>
            </w:r>
          </w:p>
        </w:tc>
        <w:tc>
          <w:tcPr>
            <w:tcW w:w="490" w:type="dxa"/>
            <w:tcBorders>
              <w:top w:val="single" w:sz="8" w:space="0" w:color="auto"/>
              <w:left w:val="nil"/>
              <w:bottom w:val="single" w:sz="8" w:space="0" w:color="auto"/>
              <w:right w:val="single" w:sz="8" w:space="0" w:color="auto"/>
            </w:tcBorders>
            <w:shd w:val="clear" w:color="000000" w:fill="FF0000"/>
            <w:vAlign w:val="center"/>
          </w:tcPr>
          <w:p w14:paraId="49F84BC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13.4</w:t>
            </w:r>
          </w:p>
        </w:tc>
        <w:tc>
          <w:tcPr>
            <w:tcW w:w="490" w:type="dxa"/>
            <w:tcBorders>
              <w:top w:val="single" w:sz="8" w:space="0" w:color="auto"/>
              <w:left w:val="nil"/>
              <w:bottom w:val="single" w:sz="8" w:space="0" w:color="auto"/>
              <w:right w:val="single" w:sz="8" w:space="0" w:color="auto"/>
            </w:tcBorders>
            <w:shd w:val="clear" w:color="auto" w:fill="00FF00"/>
            <w:vAlign w:val="center"/>
          </w:tcPr>
          <w:p w14:paraId="5580A5C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17.3</w:t>
            </w:r>
          </w:p>
        </w:tc>
        <w:tc>
          <w:tcPr>
            <w:tcW w:w="490" w:type="dxa"/>
            <w:tcBorders>
              <w:top w:val="single" w:sz="8" w:space="0" w:color="auto"/>
              <w:left w:val="nil"/>
              <w:bottom w:val="single" w:sz="8" w:space="0" w:color="auto"/>
              <w:right w:val="single" w:sz="8" w:space="0" w:color="auto"/>
            </w:tcBorders>
            <w:shd w:val="clear" w:color="auto" w:fill="00FF00"/>
            <w:vAlign w:val="center"/>
          </w:tcPr>
          <w:p w14:paraId="4364A6D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11.6</w:t>
            </w:r>
          </w:p>
        </w:tc>
        <w:tc>
          <w:tcPr>
            <w:tcW w:w="660" w:type="dxa"/>
            <w:tcBorders>
              <w:top w:val="single" w:sz="8" w:space="0" w:color="auto"/>
              <w:left w:val="nil"/>
              <w:bottom w:val="single" w:sz="8" w:space="0" w:color="auto"/>
              <w:right w:val="single" w:sz="4" w:space="0" w:color="auto"/>
            </w:tcBorders>
            <w:shd w:val="clear" w:color="000000" w:fill="FF0000"/>
            <w:vAlign w:val="center"/>
          </w:tcPr>
          <w:p w14:paraId="0762A23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52.5</w:t>
            </w:r>
          </w:p>
        </w:tc>
        <w:tc>
          <w:tcPr>
            <w:tcW w:w="571" w:type="dxa"/>
            <w:tcBorders>
              <w:top w:val="single" w:sz="4" w:space="0" w:color="auto"/>
              <w:left w:val="single" w:sz="4" w:space="0" w:color="auto"/>
              <w:bottom w:val="single" w:sz="4" w:space="0" w:color="auto"/>
              <w:right w:val="single" w:sz="4" w:space="0" w:color="auto"/>
            </w:tcBorders>
            <w:shd w:val="clear" w:color="auto" w:fill="00B0F0"/>
            <w:vAlign w:val="center"/>
          </w:tcPr>
          <w:p w14:paraId="6DF5CC5A"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483" w:type="dxa"/>
            <w:tcBorders>
              <w:top w:val="single" w:sz="4" w:space="0" w:color="auto"/>
              <w:left w:val="single" w:sz="4" w:space="0" w:color="auto"/>
              <w:bottom w:val="single" w:sz="4" w:space="0" w:color="auto"/>
              <w:right w:val="single" w:sz="4" w:space="0" w:color="auto"/>
            </w:tcBorders>
            <w:shd w:val="clear" w:color="auto" w:fill="00B0F0"/>
            <w:vAlign w:val="center"/>
          </w:tcPr>
          <w:p w14:paraId="09AD97A1"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04" w:type="dxa"/>
            <w:tcBorders>
              <w:top w:val="single" w:sz="4" w:space="0" w:color="auto"/>
              <w:left w:val="single" w:sz="4" w:space="0" w:color="auto"/>
              <w:bottom w:val="single" w:sz="4" w:space="0" w:color="auto"/>
              <w:right w:val="single" w:sz="4" w:space="0" w:color="auto"/>
            </w:tcBorders>
            <w:shd w:val="clear" w:color="auto" w:fill="00B0F0"/>
            <w:vAlign w:val="center"/>
          </w:tcPr>
          <w:p w14:paraId="639EA393"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69" w:type="dxa"/>
            <w:tcBorders>
              <w:top w:val="single" w:sz="4" w:space="0" w:color="auto"/>
              <w:left w:val="single" w:sz="4" w:space="0" w:color="auto"/>
              <w:bottom w:val="single" w:sz="4" w:space="0" w:color="auto"/>
              <w:right w:val="single" w:sz="4" w:space="0" w:color="auto"/>
            </w:tcBorders>
            <w:shd w:val="clear" w:color="auto" w:fill="00B0F0"/>
            <w:vAlign w:val="center"/>
          </w:tcPr>
          <w:p w14:paraId="57F61F0F"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511" w:type="dxa"/>
            <w:tcBorders>
              <w:top w:val="single" w:sz="8" w:space="0" w:color="auto"/>
              <w:left w:val="single" w:sz="4" w:space="0" w:color="auto"/>
              <w:bottom w:val="single" w:sz="8" w:space="0" w:color="auto"/>
              <w:right w:val="single" w:sz="4" w:space="0" w:color="auto"/>
            </w:tcBorders>
            <w:shd w:val="clear" w:color="auto" w:fill="auto"/>
            <w:vAlign w:val="center"/>
          </w:tcPr>
          <w:p w14:paraId="1812686E"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6302AF32" w14:textId="77777777" w:rsidTr="00D06AC0">
        <w:trPr>
          <w:cantSplit/>
          <w:trHeight w:val="227"/>
          <w:jc w:val="center"/>
        </w:trPr>
        <w:tc>
          <w:tcPr>
            <w:tcW w:w="1179" w:type="dxa"/>
            <w:vMerge/>
            <w:vAlign w:val="center"/>
          </w:tcPr>
          <w:p w14:paraId="6026A743" w14:textId="77777777" w:rsidR="00085672" w:rsidRPr="005A1C76" w:rsidRDefault="00085672" w:rsidP="00085672">
            <w:pPr>
              <w:spacing w:after="0" w:line="240" w:lineRule="auto"/>
              <w:rPr>
                <w:rFonts w:eastAsia="Calibri" w:cs="Calibri"/>
                <w:sz w:val="20"/>
                <w:szCs w:val="20"/>
                <w:lang w:val="en-GB"/>
              </w:rPr>
            </w:pPr>
          </w:p>
        </w:tc>
        <w:tc>
          <w:tcPr>
            <w:tcW w:w="1356" w:type="dxa"/>
            <w:shd w:val="clear" w:color="auto" w:fill="auto"/>
            <w:vAlign w:val="center"/>
          </w:tcPr>
          <w:p w14:paraId="45EB99E5"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Brodogradili</w:t>
            </w:r>
            <w:r w:rsidRPr="005A1C76">
              <w:rPr>
                <w:rFonts w:eastAsia="Calibri" w:cs="Calibri"/>
                <w:sz w:val="20"/>
                <w:szCs w:val="20"/>
                <w:lang w:val="sr-Latn-ME"/>
              </w:rPr>
              <w:t>šte Bijela</w:t>
            </w:r>
          </w:p>
        </w:tc>
        <w:tc>
          <w:tcPr>
            <w:tcW w:w="482" w:type="dxa"/>
            <w:tcBorders>
              <w:top w:val="nil"/>
              <w:left w:val="single" w:sz="8" w:space="0" w:color="auto"/>
              <w:bottom w:val="single" w:sz="8" w:space="0" w:color="auto"/>
              <w:right w:val="single" w:sz="8" w:space="0" w:color="auto"/>
            </w:tcBorders>
            <w:shd w:val="clear" w:color="000000" w:fill="FF0000"/>
            <w:vAlign w:val="center"/>
          </w:tcPr>
          <w:p w14:paraId="7A7BB6E3"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8.7</w:t>
            </w:r>
          </w:p>
        </w:tc>
        <w:tc>
          <w:tcPr>
            <w:tcW w:w="489" w:type="dxa"/>
            <w:tcBorders>
              <w:top w:val="nil"/>
              <w:left w:val="nil"/>
              <w:bottom w:val="single" w:sz="8" w:space="0" w:color="auto"/>
              <w:right w:val="single" w:sz="8" w:space="0" w:color="auto"/>
            </w:tcBorders>
            <w:shd w:val="clear" w:color="000000" w:fill="FF0000"/>
            <w:vAlign w:val="center"/>
          </w:tcPr>
          <w:p w14:paraId="7724145A"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56.2</w:t>
            </w:r>
          </w:p>
        </w:tc>
        <w:tc>
          <w:tcPr>
            <w:tcW w:w="490" w:type="dxa"/>
            <w:tcBorders>
              <w:top w:val="nil"/>
              <w:left w:val="nil"/>
              <w:bottom w:val="single" w:sz="8" w:space="0" w:color="auto"/>
              <w:right w:val="single" w:sz="8" w:space="0" w:color="auto"/>
            </w:tcBorders>
            <w:shd w:val="clear" w:color="000000" w:fill="FF0000"/>
            <w:vAlign w:val="center"/>
          </w:tcPr>
          <w:p w14:paraId="3E2DC47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177</w:t>
            </w:r>
          </w:p>
        </w:tc>
        <w:tc>
          <w:tcPr>
            <w:tcW w:w="470" w:type="dxa"/>
            <w:tcBorders>
              <w:top w:val="nil"/>
              <w:left w:val="nil"/>
              <w:bottom w:val="single" w:sz="8" w:space="0" w:color="auto"/>
              <w:right w:val="single" w:sz="8" w:space="0" w:color="auto"/>
            </w:tcBorders>
            <w:shd w:val="clear" w:color="000000" w:fill="FF0000"/>
            <w:vAlign w:val="center"/>
          </w:tcPr>
          <w:p w14:paraId="7CD8031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99</w:t>
            </w:r>
          </w:p>
        </w:tc>
        <w:tc>
          <w:tcPr>
            <w:tcW w:w="490" w:type="dxa"/>
            <w:tcBorders>
              <w:top w:val="nil"/>
              <w:left w:val="nil"/>
              <w:bottom w:val="single" w:sz="8" w:space="0" w:color="auto"/>
              <w:right w:val="single" w:sz="8" w:space="0" w:color="auto"/>
            </w:tcBorders>
            <w:shd w:val="clear" w:color="000000" w:fill="FF0000"/>
            <w:vAlign w:val="center"/>
          </w:tcPr>
          <w:p w14:paraId="05FB8A1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369</w:t>
            </w:r>
          </w:p>
        </w:tc>
        <w:tc>
          <w:tcPr>
            <w:tcW w:w="490" w:type="dxa"/>
            <w:tcBorders>
              <w:top w:val="nil"/>
              <w:left w:val="nil"/>
              <w:bottom w:val="single" w:sz="8" w:space="0" w:color="auto"/>
              <w:right w:val="single" w:sz="8" w:space="0" w:color="auto"/>
            </w:tcBorders>
            <w:shd w:val="clear" w:color="000000" w:fill="FF0000"/>
            <w:vAlign w:val="center"/>
          </w:tcPr>
          <w:p w14:paraId="1DED23D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332</w:t>
            </w:r>
          </w:p>
        </w:tc>
        <w:tc>
          <w:tcPr>
            <w:tcW w:w="490" w:type="dxa"/>
            <w:tcBorders>
              <w:top w:val="nil"/>
              <w:left w:val="nil"/>
              <w:bottom w:val="single" w:sz="8" w:space="0" w:color="auto"/>
              <w:right w:val="single" w:sz="8" w:space="0" w:color="auto"/>
            </w:tcBorders>
            <w:shd w:val="clear" w:color="000000" w:fill="FF0000"/>
            <w:vAlign w:val="center"/>
          </w:tcPr>
          <w:p w14:paraId="2D85C62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235</w:t>
            </w:r>
          </w:p>
        </w:tc>
        <w:tc>
          <w:tcPr>
            <w:tcW w:w="660" w:type="dxa"/>
            <w:tcBorders>
              <w:top w:val="nil"/>
              <w:left w:val="nil"/>
              <w:bottom w:val="single" w:sz="8" w:space="0" w:color="auto"/>
              <w:right w:val="single" w:sz="4" w:space="0" w:color="auto"/>
            </w:tcBorders>
            <w:shd w:val="clear" w:color="000000" w:fill="FF0000"/>
            <w:vAlign w:val="center"/>
          </w:tcPr>
          <w:p w14:paraId="000EA899"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1277</w:t>
            </w:r>
          </w:p>
        </w:tc>
        <w:tc>
          <w:tcPr>
            <w:tcW w:w="571" w:type="dxa"/>
            <w:tcBorders>
              <w:top w:val="single" w:sz="4" w:space="0" w:color="auto"/>
              <w:left w:val="single" w:sz="4" w:space="0" w:color="auto"/>
              <w:bottom w:val="single" w:sz="4" w:space="0" w:color="auto"/>
              <w:right w:val="single" w:sz="4" w:space="0" w:color="auto"/>
            </w:tcBorders>
            <w:shd w:val="clear" w:color="auto" w:fill="FF0000"/>
            <w:vAlign w:val="center"/>
          </w:tcPr>
          <w:p w14:paraId="4D66A96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5.61</w:t>
            </w:r>
          </w:p>
        </w:tc>
        <w:tc>
          <w:tcPr>
            <w:tcW w:w="483" w:type="dxa"/>
            <w:tcBorders>
              <w:top w:val="single" w:sz="4" w:space="0" w:color="auto"/>
              <w:left w:val="single" w:sz="4" w:space="0" w:color="auto"/>
              <w:bottom w:val="single" w:sz="4" w:space="0" w:color="auto"/>
              <w:right w:val="single" w:sz="4" w:space="0" w:color="auto"/>
            </w:tcBorders>
            <w:shd w:val="clear" w:color="auto" w:fill="00B0F0"/>
            <w:vAlign w:val="center"/>
          </w:tcPr>
          <w:p w14:paraId="767ED579"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04" w:type="dxa"/>
            <w:tcBorders>
              <w:top w:val="single" w:sz="4" w:space="0" w:color="auto"/>
              <w:left w:val="single" w:sz="4" w:space="0" w:color="auto"/>
              <w:bottom w:val="single" w:sz="4" w:space="0" w:color="auto"/>
              <w:right w:val="single" w:sz="4" w:space="0" w:color="auto"/>
            </w:tcBorders>
            <w:shd w:val="clear" w:color="auto" w:fill="00B0F0"/>
            <w:vAlign w:val="center"/>
          </w:tcPr>
          <w:p w14:paraId="7AD07BBD"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69" w:type="dxa"/>
            <w:tcBorders>
              <w:top w:val="single" w:sz="4" w:space="0" w:color="auto"/>
              <w:left w:val="single" w:sz="4" w:space="0" w:color="auto"/>
              <w:bottom w:val="single" w:sz="4" w:space="0" w:color="auto"/>
              <w:right w:val="single" w:sz="4" w:space="0" w:color="auto"/>
            </w:tcBorders>
            <w:shd w:val="clear" w:color="auto" w:fill="00B0F0"/>
            <w:vAlign w:val="center"/>
          </w:tcPr>
          <w:p w14:paraId="2B27FA5F"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511" w:type="dxa"/>
            <w:tcBorders>
              <w:top w:val="nil"/>
              <w:left w:val="single" w:sz="4" w:space="0" w:color="auto"/>
              <w:bottom w:val="single" w:sz="8" w:space="0" w:color="auto"/>
              <w:right w:val="single" w:sz="4" w:space="0" w:color="auto"/>
            </w:tcBorders>
            <w:shd w:val="clear" w:color="auto" w:fill="auto"/>
            <w:vAlign w:val="center"/>
          </w:tcPr>
          <w:p w14:paraId="37BCD9F7"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596A8522" w14:textId="77777777" w:rsidTr="00D06AC0">
        <w:trPr>
          <w:cantSplit/>
          <w:trHeight w:val="227"/>
          <w:jc w:val="center"/>
        </w:trPr>
        <w:tc>
          <w:tcPr>
            <w:tcW w:w="1179" w:type="dxa"/>
            <w:vMerge/>
            <w:vAlign w:val="center"/>
          </w:tcPr>
          <w:p w14:paraId="79080287" w14:textId="77777777" w:rsidR="00085672" w:rsidRPr="005A1C76" w:rsidRDefault="00085672" w:rsidP="00085672">
            <w:pPr>
              <w:spacing w:after="0" w:line="240" w:lineRule="auto"/>
              <w:rPr>
                <w:rFonts w:eastAsia="Calibri" w:cs="Calibri"/>
                <w:sz w:val="20"/>
                <w:szCs w:val="20"/>
                <w:lang w:val="en-GB"/>
              </w:rPr>
            </w:pPr>
          </w:p>
        </w:tc>
        <w:tc>
          <w:tcPr>
            <w:tcW w:w="1356" w:type="dxa"/>
            <w:shd w:val="clear" w:color="auto" w:fill="auto"/>
            <w:vAlign w:val="center"/>
          </w:tcPr>
          <w:p w14:paraId="4355EE6D"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Porto Montenegro</w:t>
            </w:r>
          </w:p>
        </w:tc>
        <w:tc>
          <w:tcPr>
            <w:tcW w:w="482" w:type="dxa"/>
            <w:tcBorders>
              <w:top w:val="nil"/>
              <w:left w:val="single" w:sz="8" w:space="0" w:color="auto"/>
              <w:bottom w:val="single" w:sz="8" w:space="0" w:color="auto"/>
              <w:right w:val="single" w:sz="8" w:space="0" w:color="auto"/>
            </w:tcBorders>
            <w:shd w:val="clear" w:color="000000" w:fill="FF0000"/>
            <w:vAlign w:val="center"/>
          </w:tcPr>
          <w:p w14:paraId="52A8AF54"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2.4</w:t>
            </w:r>
          </w:p>
        </w:tc>
        <w:tc>
          <w:tcPr>
            <w:tcW w:w="489" w:type="dxa"/>
            <w:tcBorders>
              <w:top w:val="nil"/>
              <w:left w:val="nil"/>
              <w:bottom w:val="single" w:sz="8" w:space="0" w:color="auto"/>
              <w:right w:val="single" w:sz="8" w:space="0" w:color="auto"/>
            </w:tcBorders>
            <w:shd w:val="clear" w:color="000000" w:fill="FF0000"/>
            <w:vAlign w:val="center"/>
          </w:tcPr>
          <w:p w14:paraId="2C5AFA4A"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9.6</w:t>
            </w:r>
          </w:p>
        </w:tc>
        <w:tc>
          <w:tcPr>
            <w:tcW w:w="490" w:type="dxa"/>
            <w:tcBorders>
              <w:top w:val="nil"/>
              <w:left w:val="nil"/>
              <w:bottom w:val="single" w:sz="8" w:space="0" w:color="auto"/>
              <w:right w:val="single" w:sz="8" w:space="0" w:color="auto"/>
            </w:tcBorders>
            <w:shd w:val="clear" w:color="000000" w:fill="FF0000"/>
            <w:vAlign w:val="center"/>
          </w:tcPr>
          <w:p w14:paraId="3940BB6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41</w:t>
            </w:r>
          </w:p>
        </w:tc>
        <w:tc>
          <w:tcPr>
            <w:tcW w:w="470" w:type="dxa"/>
            <w:tcBorders>
              <w:top w:val="nil"/>
              <w:left w:val="nil"/>
              <w:bottom w:val="single" w:sz="8" w:space="0" w:color="auto"/>
              <w:right w:val="single" w:sz="8" w:space="0" w:color="auto"/>
            </w:tcBorders>
            <w:shd w:val="clear" w:color="000000" w:fill="FF0000"/>
            <w:vAlign w:val="center"/>
          </w:tcPr>
          <w:p w14:paraId="0361518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27</w:t>
            </w:r>
          </w:p>
        </w:tc>
        <w:tc>
          <w:tcPr>
            <w:tcW w:w="490" w:type="dxa"/>
            <w:tcBorders>
              <w:top w:val="nil"/>
              <w:left w:val="nil"/>
              <w:bottom w:val="single" w:sz="8" w:space="0" w:color="auto"/>
              <w:right w:val="single" w:sz="8" w:space="0" w:color="auto"/>
            </w:tcBorders>
            <w:shd w:val="clear" w:color="000000" w:fill="FF0000"/>
            <w:vAlign w:val="center"/>
          </w:tcPr>
          <w:p w14:paraId="47827BD8"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86</w:t>
            </w:r>
          </w:p>
        </w:tc>
        <w:tc>
          <w:tcPr>
            <w:tcW w:w="490" w:type="dxa"/>
            <w:tcBorders>
              <w:top w:val="nil"/>
              <w:left w:val="nil"/>
              <w:bottom w:val="single" w:sz="8" w:space="0" w:color="auto"/>
              <w:right w:val="single" w:sz="8" w:space="0" w:color="auto"/>
            </w:tcBorders>
            <w:shd w:val="clear" w:color="000000" w:fill="FF0000"/>
            <w:vAlign w:val="center"/>
          </w:tcPr>
          <w:p w14:paraId="73D5DD5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85</w:t>
            </w:r>
          </w:p>
        </w:tc>
        <w:tc>
          <w:tcPr>
            <w:tcW w:w="490" w:type="dxa"/>
            <w:tcBorders>
              <w:top w:val="nil"/>
              <w:left w:val="nil"/>
              <w:bottom w:val="single" w:sz="8" w:space="0" w:color="auto"/>
              <w:right w:val="single" w:sz="8" w:space="0" w:color="auto"/>
            </w:tcBorders>
            <w:shd w:val="clear" w:color="000000" w:fill="FF0000"/>
            <w:vAlign w:val="center"/>
          </w:tcPr>
          <w:p w14:paraId="6E99449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59.0</w:t>
            </w:r>
          </w:p>
        </w:tc>
        <w:tc>
          <w:tcPr>
            <w:tcW w:w="660" w:type="dxa"/>
            <w:tcBorders>
              <w:top w:val="nil"/>
              <w:left w:val="nil"/>
              <w:bottom w:val="single" w:sz="8" w:space="0" w:color="auto"/>
              <w:right w:val="single" w:sz="4" w:space="0" w:color="auto"/>
            </w:tcBorders>
            <w:shd w:val="clear" w:color="000000" w:fill="FF0000"/>
            <w:vAlign w:val="center"/>
          </w:tcPr>
          <w:p w14:paraId="08E8798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309</w:t>
            </w:r>
          </w:p>
        </w:tc>
        <w:tc>
          <w:tcPr>
            <w:tcW w:w="571" w:type="dxa"/>
            <w:tcBorders>
              <w:top w:val="single" w:sz="4" w:space="0" w:color="auto"/>
              <w:left w:val="single" w:sz="4" w:space="0" w:color="auto"/>
              <w:bottom w:val="single" w:sz="4" w:space="0" w:color="auto"/>
              <w:right w:val="single" w:sz="4" w:space="0" w:color="auto"/>
            </w:tcBorders>
            <w:shd w:val="clear" w:color="auto" w:fill="00B0F0"/>
            <w:vAlign w:val="center"/>
          </w:tcPr>
          <w:p w14:paraId="598AAD1F"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483" w:type="dxa"/>
            <w:tcBorders>
              <w:top w:val="single" w:sz="4" w:space="0" w:color="auto"/>
              <w:left w:val="single" w:sz="4" w:space="0" w:color="auto"/>
              <w:bottom w:val="single" w:sz="4" w:space="0" w:color="auto"/>
              <w:right w:val="single" w:sz="4" w:space="0" w:color="auto"/>
            </w:tcBorders>
            <w:shd w:val="clear" w:color="auto" w:fill="00B0F0"/>
            <w:vAlign w:val="center"/>
          </w:tcPr>
          <w:p w14:paraId="382054E1"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04" w:type="dxa"/>
            <w:tcBorders>
              <w:top w:val="single" w:sz="4" w:space="0" w:color="auto"/>
              <w:left w:val="single" w:sz="4" w:space="0" w:color="auto"/>
              <w:bottom w:val="single" w:sz="4" w:space="0" w:color="auto"/>
              <w:right w:val="single" w:sz="4" w:space="0" w:color="auto"/>
            </w:tcBorders>
            <w:shd w:val="clear" w:color="auto" w:fill="FF0000"/>
            <w:vAlign w:val="center"/>
          </w:tcPr>
          <w:p w14:paraId="4B6514A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2.20</w:t>
            </w:r>
          </w:p>
        </w:tc>
        <w:tc>
          <w:tcPr>
            <w:tcW w:w="669" w:type="dxa"/>
            <w:tcBorders>
              <w:top w:val="single" w:sz="4" w:space="0" w:color="auto"/>
              <w:left w:val="single" w:sz="4" w:space="0" w:color="auto"/>
              <w:bottom w:val="single" w:sz="4" w:space="0" w:color="auto"/>
              <w:right w:val="single" w:sz="4" w:space="0" w:color="auto"/>
            </w:tcBorders>
            <w:shd w:val="clear" w:color="auto" w:fill="00B0F0"/>
            <w:vAlign w:val="center"/>
          </w:tcPr>
          <w:p w14:paraId="7FD721FC"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511" w:type="dxa"/>
            <w:tcBorders>
              <w:top w:val="nil"/>
              <w:left w:val="single" w:sz="4" w:space="0" w:color="auto"/>
              <w:bottom w:val="single" w:sz="8" w:space="0" w:color="auto"/>
              <w:right w:val="single" w:sz="4" w:space="0" w:color="auto"/>
            </w:tcBorders>
            <w:shd w:val="clear" w:color="auto" w:fill="auto"/>
            <w:vAlign w:val="center"/>
          </w:tcPr>
          <w:p w14:paraId="7B3FCB63"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4E87D15B" w14:textId="77777777" w:rsidTr="00D06AC0">
        <w:trPr>
          <w:cantSplit/>
          <w:trHeight w:val="227"/>
          <w:jc w:val="center"/>
        </w:trPr>
        <w:tc>
          <w:tcPr>
            <w:tcW w:w="1179" w:type="dxa"/>
            <w:vMerge/>
            <w:vAlign w:val="center"/>
          </w:tcPr>
          <w:p w14:paraId="6682400B" w14:textId="77777777" w:rsidR="00085672" w:rsidRPr="005A1C76" w:rsidRDefault="00085672" w:rsidP="00085672">
            <w:pPr>
              <w:spacing w:after="0" w:line="240" w:lineRule="auto"/>
              <w:rPr>
                <w:rFonts w:eastAsia="Calibri" w:cs="Calibri"/>
                <w:sz w:val="20"/>
                <w:szCs w:val="20"/>
                <w:lang w:val="en-GB"/>
              </w:rPr>
            </w:pPr>
          </w:p>
        </w:tc>
        <w:tc>
          <w:tcPr>
            <w:tcW w:w="1356" w:type="dxa"/>
            <w:shd w:val="clear" w:color="auto" w:fill="auto"/>
            <w:vAlign w:val="center"/>
          </w:tcPr>
          <w:p w14:paraId="2DDFC5E8"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Tivat</w:t>
            </w:r>
          </w:p>
        </w:tc>
        <w:tc>
          <w:tcPr>
            <w:tcW w:w="482" w:type="dxa"/>
            <w:tcBorders>
              <w:top w:val="nil"/>
              <w:left w:val="single" w:sz="8" w:space="0" w:color="auto"/>
              <w:bottom w:val="single" w:sz="8" w:space="0" w:color="auto"/>
              <w:right w:val="single" w:sz="8" w:space="0" w:color="auto"/>
            </w:tcBorders>
            <w:shd w:val="clear" w:color="000000" w:fill="FF0000"/>
            <w:vAlign w:val="center"/>
          </w:tcPr>
          <w:p w14:paraId="7CB81BE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5.1</w:t>
            </w:r>
          </w:p>
        </w:tc>
        <w:tc>
          <w:tcPr>
            <w:tcW w:w="489" w:type="dxa"/>
            <w:tcBorders>
              <w:top w:val="nil"/>
              <w:left w:val="nil"/>
              <w:bottom w:val="single" w:sz="8" w:space="0" w:color="auto"/>
              <w:right w:val="single" w:sz="8" w:space="0" w:color="auto"/>
            </w:tcBorders>
            <w:shd w:val="clear" w:color="000000" w:fill="FF0000"/>
            <w:vAlign w:val="center"/>
          </w:tcPr>
          <w:p w14:paraId="3E14AB0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5.3</w:t>
            </w:r>
          </w:p>
        </w:tc>
        <w:tc>
          <w:tcPr>
            <w:tcW w:w="490" w:type="dxa"/>
            <w:tcBorders>
              <w:top w:val="nil"/>
              <w:left w:val="nil"/>
              <w:bottom w:val="single" w:sz="8" w:space="0" w:color="auto"/>
              <w:right w:val="single" w:sz="8" w:space="0" w:color="auto"/>
            </w:tcBorders>
            <w:shd w:val="clear" w:color="000000" w:fill="FF0000"/>
            <w:vAlign w:val="center"/>
          </w:tcPr>
          <w:p w14:paraId="39F28B5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7.3</w:t>
            </w:r>
          </w:p>
        </w:tc>
        <w:tc>
          <w:tcPr>
            <w:tcW w:w="470" w:type="dxa"/>
            <w:tcBorders>
              <w:top w:val="nil"/>
              <w:left w:val="nil"/>
              <w:bottom w:val="single" w:sz="8" w:space="0" w:color="auto"/>
              <w:right w:val="single" w:sz="8" w:space="0" w:color="auto"/>
            </w:tcBorders>
            <w:shd w:val="clear" w:color="000000" w:fill="FF0000"/>
            <w:vAlign w:val="center"/>
          </w:tcPr>
          <w:p w14:paraId="28D8EB0A"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8.1</w:t>
            </w:r>
          </w:p>
        </w:tc>
        <w:tc>
          <w:tcPr>
            <w:tcW w:w="490" w:type="dxa"/>
            <w:tcBorders>
              <w:top w:val="nil"/>
              <w:left w:val="nil"/>
              <w:bottom w:val="single" w:sz="8" w:space="0" w:color="auto"/>
              <w:right w:val="single" w:sz="8" w:space="0" w:color="auto"/>
            </w:tcBorders>
            <w:shd w:val="clear" w:color="000000" w:fill="FF0000"/>
            <w:vAlign w:val="center"/>
          </w:tcPr>
          <w:p w14:paraId="24BDB554"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16.0</w:t>
            </w:r>
          </w:p>
        </w:tc>
        <w:tc>
          <w:tcPr>
            <w:tcW w:w="490" w:type="dxa"/>
            <w:tcBorders>
              <w:top w:val="nil"/>
              <w:left w:val="nil"/>
              <w:bottom w:val="single" w:sz="8" w:space="0" w:color="auto"/>
              <w:right w:val="single" w:sz="8" w:space="0" w:color="auto"/>
            </w:tcBorders>
            <w:shd w:val="clear" w:color="auto" w:fill="00FF00"/>
            <w:vAlign w:val="center"/>
          </w:tcPr>
          <w:p w14:paraId="1CE2111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23.5</w:t>
            </w:r>
          </w:p>
        </w:tc>
        <w:tc>
          <w:tcPr>
            <w:tcW w:w="490" w:type="dxa"/>
            <w:tcBorders>
              <w:top w:val="nil"/>
              <w:left w:val="nil"/>
              <w:bottom w:val="single" w:sz="8" w:space="0" w:color="auto"/>
              <w:right w:val="single" w:sz="8" w:space="0" w:color="auto"/>
            </w:tcBorders>
            <w:shd w:val="clear" w:color="000000" w:fill="FF0000"/>
            <w:vAlign w:val="center"/>
          </w:tcPr>
          <w:p w14:paraId="27B55979"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12.3</w:t>
            </w:r>
          </w:p>
        </w:tc>
        <w:tc>
          <w:tcPr>
            <w:tcW w:w="660" w:type="dxa"/>
            <w:tcBorders>
              <w:top w:val="nil"/>
              <w:left w:val="nil"/>
              <w:bottom w:val="single" w:sz="8" w:space="0" w:color="auto"/>
              <w:right w:val="single" w:sz="4" w:space="0" w:color="auto"/>
            </w:tcBorders>
            <w:shd w:val="clear" w:color="000000" w:fill="FF0000"/>
            <w:vAlign w:val="center"/>
          </w:tcPr>
          <w:p w14:paraId="7336357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77.4</w:t>
            </w:r>
          </w:p>
        </w:tc>
        <w:tc>
          <w:tcPr>
            <w:tcW w:w="571" w:type="dxa"/>
            <w:tcBorders>
              <w:top w:val="single" w:sz="4" w:space="0" w:color="auto"/>
              <w:left w:val="single" w:sz="4" w:space="0" w:color="auto"/>
              <w:bottom w:val="single" w:sz="4" w:space="0" w:color="auto"/>
              <w:right w:val="single" w:sz="4" w:space="0" w:color="auto"/>
            </w:tcBorders>
            <w:shd w:val="clear" w:color="auto" w:fill="FF0000"/>
            <w:vAlign w:val="center"/>
          </w:tcPr>
          <w:p w14:paraId="01AD42FD"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13.4</w:t>
            </w:r>
          </w:p>
        </w:tc>
        <w:tc>
          <w:tcPr>
            <w:tcW w:w="483" w:type="dxa"/>
            <w:tcBorders>
              <w:top w:val="single" w:sz="4" w:space="0" w:color="auto"/>
              <w:left w:val="single" w:sz="4" w:space="0" w:color="auto"/>
              <w:bottom w:val="single" w:sz="4" w:space="0" w:color="auto"/>
              <w:right w:val="single" w:sz="4" w:space="0" w:color="auto"/>
            </w:tcBorders>
            <w:shd w:val="clear" w:color="auto" w:fill="00B0F0"/>
            <w:vAlign w:val="center"/>
          </w:tcPr>
          <w:p w14:paraId="6EEF9F07"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04" w:type="dxa"/>
            <w:tcBorders>
              <w:top w:val="single" w:sz="4" w:space="0" w:color="auto"/>
              <w:left w:val="single" w:sz="4" w:space="0" w:color="auto"/>
              <w:bottom w:val="single" w:sz="4" w:space="0" w:color="auto"/>
              <w:right w:val="single" w:sz="4" w:space="0" w:color="auto"/>
            </w:tcBorders>
            <w:shd w:val="clear" w:color="auto" w:fill="00B0F0"/>
            <w:vAlign w:val="center"/>
          </w:tcPr>
          <w:p w14:paraId="79B4B572"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69" w:type="dxa"/>
            <w:tcBorders>
              <w:top w:val="single" w:sz="4" w:space="0" w:color="auto"/>
              <w:left w:val="single" w:sz="4" w:space="0" w:color="auto"/>
              <w:bottom w:val="single" w:sz="4" w:space="0" w:color="auto"/>
              <w:right w:val="single" w:sz="4" w:space="0" w:color="auto"/>
            </w:tcBorders>
            <w:shd w:val="clear" w:color="auto" w:fill="00B0F0"/>
            <w:vAlign w:val="center"/>
          </w:tcPr>
          <w:p w14:paraId="24A1C888"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511" w:type="dxa"/>
            <w:tcBorders>
              <w:top w:val="nil"/>
              <w:left w:val="single" w:sz="4" w:space="0" w:color="auto"/>
              <w:bottom w:val="single" w:sz="8" w:space="0" w:color="auto"/>
              <w:right w:val="single" w:sz="4" w:space="0" w:color="auto"/>
            </w:tcBorders>
            <w:shd w:val="clear" w:color="auto" w:fill="auto"/>
            <w:vAlign w:val="center"/>
          </w:tcPr>
          <w:p w14:paraId="6D96D575"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282D033A" w14:textId="77777777" w:rsidTr="00D06AC0">
        <w:trPr>
          <w:cantSplit/>
          <w:trHeight w:val="260"/>
          <w:jc w:val="center"/>
        </w:trPr>
        <w:tc>
          <w:tcPr>
            <w:tcW w:w="1179" w:type="dxa"/>
            <w:vMerge/>
            <w:vAlign w:val="center"/>
          </w:tcPr>
          <w:p w14:paraId="4B77609B" w14:textId="77777777" w:rsidR="00085672" w:rsidRPr="005A1C76" w:rsidRDefault="00085672" w:rsidP="00085672">
            <w:pPr>
              <w:spacing w:after="0" w:line="240" w:lineRule="auto"/>
              <w:rPr>
                <w:rFonts w:eastAsia="Calibri" w:cs="Calibri"/>
                <w:sz w:val="20"/>
                <w:szCs w:val="20"/>
                <w:lang w:val="en-GB"/>
              </w:rPr>
            </w:pPr>
          </w:p>
        </w:tc>
        <w:tc>
          <w:tcPr>
            <w:tcW w:w="1356" w:type="dxa"/>
            <w:shd w:val="clear" w:color="auto" w:fill="auto"/>
            <w:vAlign w:val="center"/>
          </w:tcPr>
          <w:p w14:paraId="3DC1FE43"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Risan</w:t>
            </w:r>
          </w:p>
        </w:tc>
        <w:tc>
          <w:tcPr>
            <w:tcW w:w="482" w:type="dxa"/>
            <w:tcBorders>
              <w:top w:val="nil"/>
              <w:left w:val="single" w:sz="8" w:space="0" w:color="auto"/>
              <w:bottom w:val="single" w:sz="8" w:space="0" w:color="auto"/>
              <w:right w:val="single" w:sz="8" w:space="0" w:color="auto"/>
            </w:tcBorders>
            <w:shd w:val="clear" w:color="auto" w:fill="00FF00"/>
            <w:vAlign w:val="center"/>
          </w:tcPr>
          <w:p w14:paraId="56443604"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0.4</w:t>
            </w:r>
          </w:p>
        </w:tc>
        <w:tc>
          <w:tcPr>
            <w:tcW w:w="489" w:type="dxa"/>
            <w:tcBorders>
              <w:top w:val="nil"/>
              <w:left w:val="nil"/>
              <w:bottom w:val="single" w:sz="8" w:space="0" w:color="auto"/>
              <w:right w:val="single" w:sz="8" w:space="0" w:color="auto"/>
            </w:tcBorders>
            <w:shd w:val="clear" w:color="auto" w:fill="00FF00"/>
            <w:vAlign w:val="center"/>
          </w:tcPr>
          <w:p w14:paraId="11D923F4"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0.5</w:t>
            </w:r>
          </w:p>
        </w:tc>
        <w:tc>
          <w:tcPr>
            <w:tcW w:w="490" w:type="dxa"/>
            <w:tcBorders>
              <w:top w:val="nil"/>
              <w:left w:val="nil"/>
              <w:bottom w:val="single" w:sz="8" w:space="0" w:color="auto"/>
              <w:right w:val="single" w:sz="8" w:space="0" w:color="auto"/>
            </w:tcBorders>
            <w:shd w:val="clear" w:color="auto" w:fill="00FF00"/>
            <w:vAlign w:val="center"/>
          </w:tcPr>
          <w:p w14:paraId="5244FBB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1.9</w:t>
            </w:r>
          </w:p>
        </w:tc>
        <w:tc>
          <w:tcPr>
            <w:tcW w:w="470" w:type="dxa"/>
            <w:tcBorders>
              <w:top w:val="nil"/>
              <w:left w:val="nil"/>
              <w:bottom w:val="single" w:sz="8" w:space="0" w:color="auto"/>
              <w:right w:val="single" w:sz="8" w:space="0" w:color="auto"/>
            </w:tcBorders>
            <w:shd w:val="clear" w:color="000000" w:fill="FF0000"/>
            <w:vAlign w:val="center"/>
          </w:tcPr>
          <w:p w14:paraId="3B797E89"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1.8</w:t>
            </w:r>
          </w:p>
        </w:tc>
        <w:tc>
          <w:tcPr>
            <w:tcW w:w="490" w:type="dxa"/>
            <w:tcBorders>
              <w:top w:val="nil"/>
              <w:left w:val="nil"/>
              <w:bottom w:val="single" w:sz="8" w:space="0" w:color="auto"/>
              <w:right w:val="single" w:sz="8" w:space="0" w:color="auto"/>
            </w:tcBorders>
            <w:shd w:val="clear" w:color="auto" w:fill="00FF00"/>
            <w:vAlign w:val="center"/>
          </w:tcPr>
          <w:p w14:paraId="3EF82C8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3.5</w:t>
            </w:r>
          </w:p>
        </w:tc>
        <w:tc>
          <w:tcPr>
            <w:tcW w:w="490" w:type="dxa"/>
            <w:tcBorders>
              <w:top w:val="nil"/>
              <w:left w:val="nil"/>
              <w:bottom w:val="single" w:sz="8" w:space="0" w:color="auto"/>
              <w:right w:val="single" w:sz="8" w:space="0" w:color="auto"/>
            </w:tcBorders>
            <w:shd w:val="clear" w:color="auto" w:fill="00FF00"/>
            <w:vAlign w:val="center"/>
          </w:tcPr>
          <w:p w14:paraId="51D214C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4.3</w:t>
            </w:r>
          </w:p>
        </w:tc>
        <w:tc>
          <w:tcPr>
            <w:tcW w:w="490" w:type="dxa"/>
            <w:tcBorders>
              <w:top w:val="nil"/>
              <w:left w:val="nil"/>
              <w:bottom w:val="single" w:sz="8" w:space="0" w:color="auto"/>
              <w:right w:val="single" w:sz="8" w:space="0" w:color="auto"/>
            </w:tcBorders>
            <w:shd w:val="clear" w:color="auto" w:fill="00FF00"/>
            <w:vAlign w:val="center"/>
          </w:tcPr>
          <w:p w14:paraId="03751F25"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2.4</w:t>
            </w:r>
          </w:p>
        </w:tc>
        <w:tc>
          <w:tcPr>
            <w:tcW w:w="660" w:type="dxa"/>
            <w:tcBorders>
              <w:top w:val="nil"/>
              <w:left w:val="nil"/>
              <w:bottom w:val="single" w:sz="8" w:space="0" w:color="auto"/>
              <w:right w:val="single" w:sz="4" w:space="0" w:color="auto"/>
            </w:tcBorders>
            <w:shd w:val="clear" w:color="000000" w:fill="FF0000"/>
            <w:vAlign w:val="center"/>
          </w:tcPr>
          <w:p w14:paraId="3F388F08"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13.6</w:t>
            </w:r>
          </w:p>
        </w:tc>
        <w:tc>
          <w:tcPr>
            <w:tcW w:w="571" w:type="dxa"/>
            <w:tcBorders>
              <w:top w:val="single" w:sz="4" w:space="0" w:color="auto"/>
              <w:left w:val="single" w:sz="4" w:space="0" w:color="auto"/>
              <w:bottom w:val="single" w:sz="4" w:space="0" w:color="auto"/>
              <w:right w:val="single" w:sz="4" w:space="0" w:color="auto"/>
            </w:tcBorders>
            <w:shd w:val="clear" w:color="auto" w:fill="00B0F0"/>
            <w:vAlign w:val="center"/>
          </w:tcPr>
          <w:p w14:paraId="77D3EF68"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483" w:type="dxa"/>
            <w:tcBorders>
              <w:top w:val="single" w:sz="4" w:space="0" w:color="auto"/>
              <w:left w:val="single" w:sz="4" w:space="0" w:color="auto"/>
              <w:bottom w:val="single" w:sz="4" w:space="0" w:color="auto"/>
              <w:right w:val="single" w:sz="4" w:space="0" w:color="auto"/>
            </w:tcBorders>
            <w:shd w:val="clear" w:color="auto" w:fill="00B0F0"/>
            <w:vAlign w:val="center"/>
          </w:tcPr>
          <w:p w14:paraId="18947041"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04" w:type="dxa"/>
            <w:tcBorders>
              <w:top w:val="single" w:sz="4" w:space="0" w:color="auto"/>
              <w:left w:val="single" w:sz="4" w:space="0" w:color="auto"/>
              <w:bottom w:val="single" w:sz="4" w:space="0" w:color="auto"/>
              <w:right w:val="single" w:sz="4" w:space="0" w:color="auto"/>
            </w:tcBorders>
            <w:shd w:val="clear" w:color="auto" w:fill="00B0F0"/>
            <w:vAlign w:val="center"/>
          </w:tcPr>
          <w:p w14:paraId="11A330AD"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69" w:type="dxa"/>
            <w:tcBorders>
              <w:top w:val="single" w:sz="4" w:space="0" w:color="auto"/>
              <w:left w:val="single" w:sz="4" w:space="0" w:color="auto"/>
              <w:bottom w:val="single" w:sz="4" w:space="0" w:color="auto"/>
              <w:right w:val="single" w:sz="4" w:space="0" w:color="auto"/>
            </w:tcBorders>
            <w:shd w:val="clear" w:color="auto" w:fill="00B0F0"/>
            <w:vAlign w:val="center"/>
          </w:tcPr>
          <w:p w14:paraId="3C8F2621"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511" w:type="dxa"/>
            <w:tcBorders>
              <w:top w:val="nil"/>
              <w:left w:val="single" w:sz="4" w:space="0" w:color="auto"/>
              <w:bottom w:val="single" w:sz="8" w:space="0" w:color="auto"/>
              <w:right w:val="single" w:sz="4" w:space="0" w:color="auto"/>
            </w:tcBorders>
            <w:shd w:val="clear" w:color="auto" w:fill="auto"/>
            <w:vAlign w:val="center"/>
          </w:tcPr>
          <w:p w14:paraId="5AB68C30"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640D8332" w14:textId="77777777" w:rsidTr="00D06AC0">
        <w:trPr>
          <w:cantSplit/>
          <w:trHeight w:val="227"/>
          <w:jc w:val="center"/>
        </w:trPr>
        <w:tc>
          <w:tcPr>
            <w:tcW w:w="1179" w:type="dxa"/>
            <w:vMerge/>
            <w:vAlign w:val="center"/>
          </w:tcPr>
          <w:p w14:paraId="61E19039" w14:textId="77777777" w:rsidR="00085672" w:rsidRPr="005A1C76" w:rsidRDefault="00085672" w:rsidP="00085672">
            <w:pPr>
              <w:spacing w:after="0" w:line="240" w:lineRule="auto"/>
              <w:rPr>
                <w:rFonts w:eastAsia="Calibri" w:cs="Calibri"/>
                <w:sz w:val="20"/>
                <w:szCs w:val="20"/>
                <w:lang w:val="en-GB"/>
              </w:rPr>
            </w:pPr>
          </w:p>
        </w:tc>
        <w:tc>
          <w:tcPr>
            <w:tcW w:w="1356" w:type="dxa"/>
            <w:shd w:val="clear" w:color="auto" w:fill="auto"/>
            <w:vAlign w:val="center"/>
          </w:tcPr>
          <w:p w14:paraId="2566D7D7"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IBM-Dobrota</w:t>
            </w:r>
          </w:p>
        </w:tc>
        <w:tc>
          <w:tcPr>
            <w:tcW w:w="482" w:type="dxa"/>
            <w:tcBorders>
              <w:top w:val="nil"/>
              <w:left w:val="single" w:sz="8" w:space="0" w:color="auto"/>
              <w:bottom w:val="single" w:sz="8" w:space="0" w:color="auto"/>
              <w:right w:val="single" w:sz="8" w:space="0" w:color="auto"/>
            </w:tcBorders>
            <w:shd w:val="clear" w:color="auto" w:fill="00FF00"/>
            <w:vAlign w:val="center"/>
          </w:tcPr>
          <w:p w14:paraId="7573139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0.6</w:t>
            </w:r>
          </w:p>
        </w:tc>
        <w:tc>
          <w:tcPr>
            <w:tcW w:w="489" w:type="dxa"/>
            <w:tcBorders>
              <w:top w:val="nil"/>
              <w:left w:val="nil"/>
              <w:bottom w:val="single" w:sz="8" w:space="0" w:color="auto"/>
              <w:right w:val="single" w:sz="8" w:space="0" w:color="auto"/>
            </w:tcBorders>
            <w:shd w:val="clear" w:color="auto" w:fill="00FF00"/>
            <w:vAlign w:val="center"/>
          </w:tcPr>
          <w:p w14:paraId="5AC47D4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1.0</w:t>
            </w:r>
          </w:p>
        </w:tc>
        <w:tc>
          <w:tcPr>
            <w:tcW w:w="490" w:type="dxa"/>
            <w:tcBorders>
              <w:top w:val="nil"/>
              <w:left w:val="nil"/>
              <w:bottom w:val="single" w:sz="8" w:space="0" w:color="auto"/>
              <w:right w:val="single" w:sz="8" w:space="0" w:color="auto"/>
            </w:tcBorders>
            <w:shd w:val="clear" w:color="auto" w:fill="00FF00"/>
            <w:vAlign w:val="center"/>
          </w:tcPr>
          <w:p w14:paraId="3F07B1D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2.2</w:t>
            </w:r>
          </w:p>
        </w:tc>
        <w:tc>
          <w:tcPr>
            <w:tcW w:w="470" w:type="dxa"/>
            <w:tcBorders>
              <w:top w:val="nil"/>
              <w:left w:val="nil"/>
              <w:bottom w:val="single" w:sz="8" w:space="0" w:color="auto"/>
              <w:right w:val="single" w:sz="8" w:space="0" w:color="auto"/>
            </w:tcBorders>
            <w:shd w:val="clear" w:color="000000" w:fill="FF0000"/>
            <w:vAlign w:val="center"/>
          </w:tcPr>
          <w:p w14:paraId="253E47C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1.3</w:t>
            </w:r>
          </w:p>
        </w:tc>
        <w:tc>
          <w:tcPr>
            <w:tcW w:w="490" w:type="dxa"/>
            <w:tcBorders>
              <w:top w:val="nil"/>
              <w:left w:val="nil"/>
              <w:bottom w:val="single" w:sz="8" w:space="0" w:color="auto"/>
              <w:right w:val="single" w:sz="8" w:space="0" w:color="auto"/>
            </w:tcBorders>
            <w:shd w:val="clear" w:color="auto" w:fill="00FF00"/>
            <w:vAlign w:val="center"/>
          </w:tcPr>
          <w:p w14:paraId="6155038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2.9</w:t>
            </w:r>
          </w:p>
        </w:tc>
        <w:tc>
          <w:tcPr>
            <w:tcW w:w="490" w:type="dxa"/>
            <w:tcBorders>
              <w:top w:val="nil"/>
              <w:left w:val="nil"/>
              <w:bottom w:val="single" w:sz="8" w:space="0" w:color="auto"/>
              <w:right w:val="single" w:sz="8" w:space="0" w:color="auto"/>
            </w:tcBorders>
            <w:shd w:val="clear" w:color="auto" w:fill="00FF00"/>
            <w:vAlign w:val="center"/>
          </w:tcPr>
          <w:p w14:paraId="1575F2A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3.6</w:t>
            </w:r>
          </w:p>
        </w:tc>
        <w:tc>
          <w:tcPr>
            <w:tcW w:w="490" w:type="dxa"/>
            <w:tcBorders>
              <w:top w:val="nil"/>
              <w:left w:val="nil"/>
              <w:bottom w:val="single" w:sz="8" w:space="0" w:color="auto"/>
              <w:right w:val="single" w:sz="8" w:space="0" w:color="auto"/>
            </w:tcBorders>
            <w:shd w:val="clear" w:color="auto" w:fill="00FF00"/>
            <w:vAlign w:val="center"/>
          </w:tcPr>
          <w:p w14:paraId="68EB57A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2.0</w:t>
            </w:r>
          </w:p>
        </w:tc>
        <w:tc>
          <w:tcPr>
            <w:tcW w:w="660" w:type="dxa"/>
            <w:tcBorders>
              <w:top w:val="nil"/>
              <w:left w:val="nil"/>
              <w:bottom w:val="single" w:sz="8" w:space="0" w:color="auto"/>
              <w:right w:val="single" w:sz="4" w:space="0" w:color="auto"/>
            </w:tcBorders>
            <w:shd w:val="clear" w:color="auto" w:fill="00FF00"/>
            <w:vAlign w:val="center"/>
          </w:tcPr>
          <w:p w14:paraId="278F3B4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10.5</w:t>
            </w:r>
          </w:p>
        </w:tc>
        <w:tc>
          <w:tcPr>
            <w:tcW w:w="571" w:type="dxa"/>
            <w:tcBorders>
              <w:top w:val="single" w:sz="4" w:space="0" w:color="auto"/>
              <w:left w:val="single" w:sz="4" w:space="0" w:color="auto"/>
              <w:bottom w:val="single" w:sz="4" w:space="0" w:color="auto"/>
              <w:right w:val="single" w:sz="4" w:space="0" w:color="auto"/>
            </w:tcBorders>
            <w:shd w:val="clear" w:color="auto" w:fill="FF0000"/>
            <w:vAlign w:val="center"/>
          </w:tcPr>
          <w:p w14:paraId="3CE0D0F4"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2.91</w:t>
            </w:r>
          </w:p>
        </w:tc>
        <w:tc>
          <w:tcPr>
            <w:tcW w:w="483" w:type="dxa"/>
            <w:tcBorders>
              <w:top w:val="single" w:sz="4" w:space="0" w:color="auto"/>
              <w:left w:val="single" w:sz="4" w:space="0" w:color="auto"/>
              <w:bottom w:val="single" w:sz="4" w:space="0" w:color="auto"/>
              <w:right w:val="single" w:sz="4" w:space="0" w:color="auto"/>
            </w:tcBorders>
            <w:shd w:val="clear" w:color="auto" w:fill="00B0F0"/>
            <w:vAlign w:val="center"/>
          </w:tcPr>
          <w:p w14:paraId="17BCFE27"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04" w:type="dxa"/>
            <w:tcBorders>
              <w:top w:val="single" w:sz="4" w:space="0" w:color="auto"/>
              <w:left w:val="single" w:sz="4" w:space="0" w:color="auto"/>
              <w:bottom w:val="single" w:sz="4" w:space="0" w:color="auto"/>
              <w:right w:val="single" w:sz="4" w:space="0" w:color="auto"/>
            </w:tcBorders>
            <w:shd w:val="clear" w:color="auto" w:fill="00B0F0"/>
            <w:vAlign w:val="center"/>
          </w:tcPr>
          <w:p w14:paraId="486EEC05"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69" w:type="dxa"/>
            <w:tcBorders>
              <w:top w:val="single" w:sz="4" w:space="0" w:color="auto"/>
              <w:left w:val="single" w:sz="4" w:space="0" w:color="auto"/>
              <w:bottom w:val="single" w:sz="4" w:space="0" w:color="auto"/>
              <w:right w:val="single" w:sz="4" w:space="0" w:color="auto"/>
            </w:tcBorders>
            <w:shd w:val="clear" w:color="auto" w:fill="00B0F0"/>
            <w:vAlign w:val="center"/>
          </w:tcPr>
          <w:p w14:paraId="62614B17"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511" w:type="dxa"/>
            <w:tcBorders>
              <w:top w:val="nil"/>
              <w:left w:val="single" w:sz="4" w:space="0" w:color="auto"/>
              <w:bottom w:val="single" w:sz="8" w:space="0" w:color="auto"/>
              <w:right w:val="single" w:sz="4" w:space="0" w:color="auto"/>
            </w:tcBorders>
            <w:shd w:val="clear" w:color="auto" w:fill="auto"/>
            <w:vAlign w:val="center"/>
          </w:tcPr>
          <w:p w14:paraId="498A91F0"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3DA74930" w14:textId="77777777" w:rsidTr="00D06AC0">
        <w:trPr>
          <w:cantSplit/>
          <w:trHeight w:val="227"/>
          <w:jc w:val="center"/>
        </w:trPr>
        <w:tc>
          <w:tcPr>
            <w:tcW w:w="1179" w:type="dxa"/>
            <w:vMerge/>
            <w:vAlign w:val="center"/>
          </w:tcPr>
          <w:p w14:paraId="756EFB4A" w14:textId="77777777" w:rsidR="00085672" w:rsidRPr="005A1C76" w:rsidRDefault="00085672" w:rsidP="00085672">
            <w:pPr>
              <w:spacing w:after="0" w:line="240" w:lineRule="auto"/>
              <w:rPr>
                <w:rFonts w:eastAsia="Calibri" w:cs="Calibri"/>
                <w:sz w:val="20"/>
                <w:szCs w:val="20"/>
                <w:lang w:val="en-GB"/>
              </w:rPr>
            </w:pPr>
          </w:p>
        </w:tc>
        <w:tc>
          <w:tcPr>
            <w:tcW w:w="1356" w:type="dxa"/>
            <w:shd w:val="clear" w:color="auto" w:fill="auto"/>
            <w:vAlign w:val="center"/>
          </w:tcPr>
          <w:p w14:paraId="3DAB35D3"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Kotor</w:t>
            </w:r>
          </w:p>
        </w:tc>
        <w:tc>
          <w:tcPr>
            <w:tcW w:w="482" w:type="dxa"/>
            <w:tcBorders>
              <w:top w:val="nil"/>
              <w:left w:val="single" w:sz="8" w:space="0" w:color="auto"/>
              <w:bottom w:val="single" w:sz="8" w:space="0" w:color="auto"/>
              <w:right w:val="single" w:sz="8" w:space="0" w:color="auto"/>
            </w:tcBorders>
            <w:shd w:val="clear" w:color="auto" w:fill="00FF00"/>
            <w:vAlign w:val="center"/>
          </w:tcPr>
          <w:p w14:paraId="6C3CC7E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0.4</w:t>
            </w:r>
          </w:p>
        </w:tc>
        <w:tc>
          <w:tcPr>
            <w:tcW w:w="489" w:type="dxa"/>
            <w:tcBorders>
              <w:top w:val="nil"/>
              <w:left w:val="nil"/>
              <w:bottom w:val="single" w:sz="8" w:space="0" w:color="auto"/>
              <w:right w:val="single" w:sz="8" w:space="0" w:color="auto"/>
            </w:tcBorders>
            <w:shd w:val="clear" w:color="auto" w:fill="00FF00"/>
            <w:vAlign w:val="center"/>
          </w:tcPr>
          <w:p w14:paraId="72CCCF9D"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0.9</w:t>
            </w:r>
          </w:p>
        </w:tc>
        <w:tc>
          <w:tcPr>
            <w:tcW w:w="490" w:type="dxa"/>
            <w:tcBorders>
              <w:top w:val="nil"/>
              <w:left w:val="nil"/>
              <w:bottom w:val="single" w:sz="8" w:space="0" w:color="auto"/>
              <w:right w:val="single" w:sz="8" w:space="0" w:color="auto"/>
            </w:tcBorders>
            <w:shd w:val="clear" w:color="000000" w:fill="FF0000"/>
            <w:vAlign w:val="center"/>
          </w:tcPr>
          <w:p w14:paraId="3645A1F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6.6</w:t>
            </w:r>
          </w:p>
        </w:tc>
        <w:tc>
          <w:tcPr>
            <w:tcW w:w="470" w:type="dxa"/>
            <w:tcBorders>
              <w:top w:val="nil"/>
              <w:left w:val="nil"/>
              <w:bottom w:val="single" w:sz="8" w:space="0" w:color="auto"/>
              <w:right w:val="single" w:sz="8" w:space="0" w:color="auto"/>
            </w:tcBorders>
            <w:shd w:val="clear" w:color="000000" w:fill="FF0000"/>
            <w:vAlign w:val="center"/>
          </w:tcPr>
          <w:p w14:paraId="286331C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4.2</w:t>
            </w:r>
          </w:p>
        </w:tc>
        <w:tc>
          <w:tcPr>
            <w:tcW w:w="490" w:type="dxa"/>
            <w:tcBorders>
              <w:top w:val="nil"/>
              <w:left w:val="nil"/>
              <w:bottom w:val="single" w:sz="8" w:space="0" w:color="auto"/>
              <w:right w:val="single" w:sz="8" w:space="0" w:color="auto"/>
            </w:tcBorders>
            <w:shd w:val="clear" w:color="000000" w:fill="FF0000"/>
            <w:vAlign w:val="center"/>
          </w:tcPr>
          <w:p w14:paraId="007AAB1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18.8</w:t>
            </w:r>
          </w:p>
        </w:tc>
        <w:tc>
          <w:tcPr>
            <w:tcW w:w="490" w:type="dxa"/>
            <w:tcBorders>
              <w:top w:val="nil"/>
              <w:left w:val="nil"/>
              <w:bottom w:val="single" w:sz="8" w:space="0" w:color="auto"/>
              <w:right w:val="single" w:sz="8" w:space="0" w:color="auto"/>
            </w:tcBorders>
            <w:shd w:val="clear" w:color="auto" w:fill="00FF00"/>
            <w:vAlign w:val="center"/>
          </w:tcPr>
          <w:p w14:paraId="7D016EF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26.4</w:t>
            </w:r>
          </w:p>
        </w:tc>
        <w:tc>
          <w:tcPr>
            <w:tcW w:w="490" w:type="dxa"/>
            <w:tcBorders>
              <w:top w:val="nil"/>
              <w:left w:val="nil"/>
              <w:bottom w:val="single" w:sz="8" w:space="0" w:color="auto"/>
              <w:right w:val="single" w:sz="8" w:space="0" w:color="auto"/>
            </w:tcBorders>
            <w:shd w:val="clear" w:color="000000" w:fill="FF0000"/>
            <w:vAlign w:val="center"/>
          </w:tcPr>
          <w:p w14:paraId="3B0BA22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19.1</w:t>
            </w:r>
          </w:p>
        </w:tc>
        <w:tc>
          <w:tcPr>
            <w:tcW w:w="660" w:type="dxa"/>
            <w:tcBorders>
              <w:top w:val="nil"/>
              <w:left w:val="nil"/>
              <w:bottom w:val="single" w:sz="8" w:space="0" w:color="auto"/>
              <w:right w:val="single" w:sz="4" w:space="0" w:color="auto"/>
            </w:tcBorders>
            <w:shd w:val="clear" w:color="000000" w:fill="FF0000"/>
            <w:vAlign w:val="center"/>
          </w:tcPr>
          <w:p w14:paraId="485860B3"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76</w:t>
            </w:r>
          </w:p>
        </w:tc>
        <w:tc>
          <w:tcPr>
            <w:tcW w:w="571" w:type="dxa"/>
            <w:tcBorders>
              <w:top w:val="single" w:sz="4" w:space="0" w:color="auto"/>
              <w:left w:val="single" w:sz="4" w:space="0" w:color="auto"/>
              <w:bottom w:val="single" w:sz="4" w:space="0" w:color="auto"/>
              <w:right w:val="single" w:sz="4" w:space="0" w:color="auto"/>
            </w:tcBorders>
            <w:shd w:val="clear" w:color="auto" w:fill="FF0000"/>
            <w:vAlign w:val="center"/>
          </w:tcPr>
          <w:p w14:paraId="0182852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8.75</w:t>
            </w:r>
          </w:p>
        </w:tc>
        <w:tc>
          <w:tcPr>
            <w:tcW w:w="483" w:type="dxa"/>
            <w:tcBorders>
              <w:top w:val="single" w:sz="4" w:space="0" w:color="auto"/>
              <w:left w:val="single" w:sz="4" w:space="0" w:color="auto"/>
              <w:bottom w:val="single" w:sz="4" w:space="0" w:color="auto"/>
              <w:right w:val="single" w:sz="4" w:space="0" w:color="auto"/>
            </w:tcBorders>
            <w:shd w:val="clear" w:color="auto" w:fill="00B0F0"/>
            <w:vAlign w:val="center"/>
          </w:tcPr>
          <w:p w14:paraId="073ADFA5"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04" w:type="dxa"/>
            <w:tcBorders>
              <w:top w:val="single" w:sz="4" w:space="0" w:color="auto"/>
              <w:left w:val="single" w:sz="4" w:space="0" w:color="auto"/>
              <w:bottom w:val="single" w:sz="4" w:space="0" w:color="auto"/>
              <w:right w:val="single" w:sz="4" w:space="0" w:color="auto"/>
            </w:tcBorders>
            <w:shd w:val="clear" w:color="auto" w:fill="00B0F0"/>
            <w:vAlign w:val="center"/>
          </w:tcPr>
          <w:p w14:paraId="78A27270"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69" w:type="dxa"/>
            <w:tcBorders>
              <w:top w:val="single" w:sz="4" w:space="0" w:color="auto"/>
              <w:left w:val="single" w:sz="4" w:space="0" w:color="auto"/>
              <w:bottom w:val="single" w:sz="4" w:space="0" w:color="auto"/>
              <w:right w:val="single" w:sz="4" w:space="0" w:color="auto"/>
            </w:tcBorders>
            <w:shd w:val="clear" w:color="auto" w:fill="00B0F0"/>
            <w:vAlign w:val="center"/>
          </w:tcPr>
          <w:p w14:paraId="0B0D328E"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511" w:type="dxa"/>
            <w:tcBorders>
              <w:top w:val="nil"/>
              <w:left w:val="single" w:sz="4" w:space="0" w:color="auto"/>
              <w:bottom w:val="single" w:sz="8" w:space="0" w:color="auto"/>
              <w:right w:val="single" w:sz="4" w:space="0" w:color="auto"/>
            </w:tcBorders>
            <w:shd w:val="clear" w:color="auto" w:fill="auto"/>
            <w:vAlign w:val="center"/>
          </w:tcPr>
          <w:p w14:paraId="14593733"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15861933" w14:textId="77777777" w:rsidTr="00D06AC0">
        <w:trPr>
          <w:cantSplit/>
          <w:trHeight w:val="227"/>
          <w:jc w:val="center"/>
        </w:trPr>
        <w:tc>
          <w:tcPr>
            <w:tcW w:w="1179" w:type="dxa"/>
            <w:vMerge w:val="restart"/>
            <w:vAlign w:val="center"/>
          </w:tcPr>
          <w:p w14:paraId="55AF8FFA"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r w:rsidRPr="005A1C76">
              <w:rPr>
                <w:rFonts w:eastAsia="Calibri" w:cs="Calibri"/>
                <w:sz w:val="20"/>
                <w:szCs w:val="20"/>
                <w:lang w:val="en-GB"/>
              </w:rPr>
              <w:t xml:space="preserve">Priobalno – otvoreno more </w:t>
            </w:r>
          </w:p>
          <w:p w14:paraId="4B3345FB"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356" w:type="dxa"/>
            <w:shd w:val="clear" w:color="auto" w:fill="auto"/>
            <w:vAlign w:val="center"/>
          </w:tcPr>
          <w:p w14:paraId="09109810"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Lustica</w:t>
            </w:r>
          </w:p>
        </w:tc>
        <w:tc>
          <w:tcPr>
            <w:tcW w:w="482" w:type="dxa"/>
            <w:tcBorders>
              <w:top w:val="single" w:sz="8" w:space="0" w:color="auto"/>
              <w:left w:val="single" w:sz="8" w:space="0" w:color="auto"/>
              <w:bottom w:val="single" w:sz="8" w:space="0" w:color="auto"/>
              <w:right w:val="single" w:sz="8" w:space="0" w:color="auto"/>
            </w:tcBorders>
            <w:shd w:val="clear" w:color="000000" w:fill="FF0000"/>
            <w:vAlign w:val="center"/>
          </w:tcPr>
          <w:p w14:paraId="5CA6442D"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3.7</w:t>
            </w:r>
          </w:p>
        </w:tc>
        <w:tc>
          <w:tcPr>
            <w:tcW w:w="489" w:type="dxa"/>
            <w:tcBorders>
              <w:top w:val="single" w:sz="8" w:space="0" w:color="auto"/>
              <w:left w:val="nil"/>
              <w:bottom w:val="single" w:sz="8" w:space="0" w:color="auto"/>
              <w:right w:val="single" w:sz="8" w:space="0" w:color="auto"/>
            </w:tcBorders>
            <w:shd w:val="clear" w:color="auto" w:fill="00FF00"/>
            <w:vAlign w:val="center"/>
          </w:tcPr>
          <w:p w14:paraId="71924C2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1.3</w:t>
            </w:r>
          </w:p>
        </w:tc>
        <w:tc>
          <w:tcPr>
            <w:tcW w:w="490" w:type="dxa"/>
            <w:tcBorders>
              <w:top w:val="single" w:sz="8" w:space="0" w:color="auto"/>
              <w:left w:val="nil"/>
              <w:bottom w:val="single" w:sz="8" w:space="0" w:color="auto"/>
              <w:right w:val="single" w:sz="8" w:space="0" w:color="auto"/>
            </w:tcBorders>
            <w:shd w:val="clear" w:color="auto" w:fill="00FF00"/>
            <w:vAlign w:val="center"/>
          </w:tcPr>
          <w:p w14:paraId="14819F1D"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1.0</w:t>
            </w:r>
          </w:p>
        </w:tc>
        <w:tc>
          <w:tcPr>
            <w:tcW w:w="470" w:type="dxa"/>
            <w:tcBorders>
              <w:top w:val="single" w:sz="8" w:space="0" w:color="auto"/>
              <w:left w:val="nil"/>
              <w:bottom w:val="single" w:sz="8" w:space="0" w:color="auto"/>
              <w:right w:val="single" w:sz="8" w:space="0" w:color="auto"/>
            </w:tcBorders>
            <w:shd w:val="clear" w:color="000000" w:fill="FF0000"/>
            <w:vAlign w:val="center"/>
          </w:tcPr>
          <w:p w14:paraId="4BC1CEB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1.0</w:t>
            </w:r>
          </w:p>
        </w:tc>
        <w:tc>
          <w:tcPr>
            <w:tcW w:w="490" w:type="dxa"/>
            <w:tcBorders>
              <w:top w:val="single" w:sz="8" w:space="0" w:color="auto"/>
              <w:left w:val="nil"/>
              <w:bottom w:val="single" w:sz="8" w:space="0" w:color="auto"/>
              <w:right w:val="single" w:sz="8" w:space="0" w:color="auto"/>
            </w:tcBorders>
            <w:shd w:val="clear" w:color="auto" w:fill="00FF00"/>
            <w:vAlign w:val="center"/>
          </w:tcPr>
          <w:p w14:paraId="6523F84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1.0</w:t>
            </w:r>
          </w:p>
        </w:tc>
        <w:tc>
          <w:tcPr>
            <w:tcW w:w="490" w:type="dxa"/>
            <w:tcBorders>
              <w:top w:val="single" w:sz="8" w:space="0" w:color="auto"/>
              <w:left w:val="nil"/>
              <w:bottom w:val="single" w:sz="8" w:space="0" w:color="auto"/>
              <w:right w:val="single" w:sz="8" w:space="0" w:color="auto"/>
            </w:tcBorders>
            <w:shd w:val="clear" w:color="auto" w:fill="00FF00"/>
            <w:vAlign w:val="center"/>
          </w:tcPr>
          <w:p w14:paraId="2FF8A5A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1.3</w:t>
            </w:r>
          </w:p>
        </w:tc>
        <w:tc>
          <w:tcPr>
            <w:tcW w:w="490" w:type="dxa"/>
            <w:tcBorders>
              <w:top w:val="single" w:sz="8" w:space="0" w:color="auto"/>
              <w:left w:val="nil"/>
              <w:bottom w:val="single" w:sz="8" w:space="0" w:color="auto"/>
              <w:right w:val="single" w:sz="8" w:space="0" w:color="auto"/>
            </w:tcBorders>
            <w:shd w:val="clear" w:color="auto" w:fill="00FF00"/>
            <w:vAlign w:val="center"/>
          </w:tcPr>
          <w:p w14:paraId="70F85DD8"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1.0</w:t>
            </w:r>
          </w:p>
        </w:tc>
        <w:tc>
          <w:tcPr>
            <w:tcW w:w="660" w:type="dxa"/>
            <w:tcBorders>
              <w:top w:val="single" w:sz="8" w:space="0" w:color="auto"/>
              <w:left w:val="nil"/>
              <w:bottom w:val="single" w:sz="8" w:space="0" w:color="auto"/>
              <w:right w:val="single" w:sz="4" w:space="0" w:color="auto"/>
            </w:tcBorders>
            <w:shd w:val="clear" w:color="auto" w:fill="00FF00"/>
            <w:vAlign w:val="center"/>
          </w:tcPr>
          <w:p w14:paraId="033527AD"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6.3</w:t>
            </w:r>
          </w:p>
        </w:tc>
        <w:tc>
          <w:tcPr>
            <w:tcW w:w="571" w:type="dxa"/>
            <w:tcBorders>
              <w:top w:val="single" w:sz="4" w:space="0" w:color="auto"/>
              <w:left w:val="single" w:sz="4" w:space="0" w:color="auto"/>
              <w:bottom w:val="single" w:sz="4" w:space="0" w:color="auto"/>
              <w:right w:val="single" w:sz="4" w:space="0" w:color="auto"/>
            </w:tcBorders>
            <w:shd w:val="clear" w:color="auto" w:fill="00B0F0"/>
            <w:vAlign w:val="center"/>
          </w:tcPr>
          <w:p w14:paraId="293FC33C"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483" w:type="dxa"/>
            <w:tcBorders>
              <w:top w:val="single" w:sz="4" w:space="0" w:color="auto"/>
              <w:left w:val="single" w:sz="4" w:space="0" w:color="auto"/>
              <w:bottom w:val="single" w:sz="4" w:space="0" w:color="auto"/>
              <w:right w:val="single" w:sz="4" w:space="0" w:color="auto"/>
            </w:tcBorders>
            <w:shd w:val="clear" w:color="auto" w:fill="00B0F0"/>
            <w:vAlign w:val="center"/>
          </w:tcPr>
          <w:p w14:paraId="0E318ECC"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04" w:type="dxa"/>
            <w:tcBorders>
              <w:top w:val="single" w:sz="4" w:space="0" w:color="auto"/>
              <w:left w:val="single" w:sz="4" w:space="0" w:color="auto"/>
              <w:bottom w:val="single" w:sz="4" w:space="0" w:color="auto"/>
              <w:right w:val="single" w:sz="4" w:space="0" w:color="auto"/>
            </w:tcBorders>
            <w:shd w:val="clear" w:color="auto" w:fill="00B0F0"/>
            <w:vAlign w:val="center"/>
          </w:tcPr>
          <w:p w14:paraId="1E3FE2DB"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69" w:type="dxa"/>
            <w:tcBorders>
              <w:top w:val="single" w:sz="4" w:space="0" w:color="auto"/>
              <w:left w:val="single" w:sz="4" w:space="0" w:color="auto"/>
              <w:bottom w:val="single" w:sz="4" w:space="0" w:color="auto"/>
              <w:right w:val="single" w:sz="4" w:space="0" w:color="auto"/>
            </w:tcBorders>
            <w:shd w:val="clear" w:color="auto" w:fill="00B0F0"/>
            <w:vAlign w:val="center"/>
          </w:tcPr>
          <w:p w14:paraId="13EEAE9F"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511" w:type="dxa"/>
            <w:tcBorders>
              <w:top w:val="single" w:sz="8" w:space="0" w:color="auto"/>
              <w:left w:val="single" w:sz="4" w:space="0" w:color="auto"/>
              <w:bottom w:val="single" w:sz="8" w:space="0" w:color="auto"/>
              <w:right w:val="single" w:sz="4" w:space="0" w:color="auto"/>
            </w:tcBorders>
            <w:shd w:val="clear" w:color="auto" w:fill="auto"/>
            <w:vAlign w:val="center"/>
          </w:tcPr>
          <w:p w14:paraId="46ADD30B" w14:textId="77777777" w:rsidR="00085672" w:rsidRPr="005A1C76" w:rsidRDefault="00085672" w:rsidP="00085672">
            <w:pPr>
              <w:spacing w:after="0" w:line="240" w:lineRule="auto"/>
              <w:jc w:val="center"/>
              <w:rPr>
                <w:rFonts w:eastAsia="Calibri" w:cs="Calibri"/>
                <w:b/>
                <w:sz w:val="20"/>
                <w:szCs w:val="20"/>
                <w:lang w:val="en-GB"/>
              </w:rPr>
            </w:pPr>
            <w:r w:rsidRPr="005A1C76">
              <w:rPr>
                <w:rFonts w:eastAsia="Calibri" w:cs="Calibri"/>
                <w:b/>
                <w:sz w:val="20"/>
                <w:szCs w:val="20"/>
                <w:lang w:val="en-GB"/>
              </w:rPr>
              <w:t>CM</w:t>
            </w:r>
          </w:p>
        </w:tc>
      </w:tr>
      <w:tr w:rsidR="00085672" w:rsidRPr="005A1C76" w14:paraId="7758A53E" w14:textId="77777777" w:rsidTr="00D06AC0">
        <w:trPr>
          <w:cantSplit/>
          <w:trHeight w:val="227"/>
          <w:jc w:val="center"/>
        </w:trPr>
        <w:tc>
          <w:tcPr>
            <w:tcW w:w="1179" w:type="dxa"/>
            <w:vMerge/>
            <w:vAlign w:val="center"/>
          </w:tcPr>
          <w:p w14:paraId="548188F3"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356" w:type="dxa"/>
            <w:shd w:val="clear" w:color="auto" w:fill="auto"/>
            <w:vAlign w:val="center"/>
          </w:tcPr>
          <w:p w14:paraId="086FC0CD"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Luštica-Dobra Luka</w:t>
            </w:r>
          </w:p>
        </w:tc>
        <w:tc>
          <w:tcPr>
            <w:tcW w:w="482" w:type="dxa"/>
            <w:tcBorders>
              <w:top w:val="nil"/>
              <w:left w:val="single" w:sz="8" w:space="0" w:color="auto"/>
              <w:bottom w:val="single" w:sz="8" w:space="0" w:color="auto"/>
              <w:right w:val="single" w:sz="8" w:space="0" w:color="auto"/>
            </w:tcBorders>
            <w:shd w:val="clear" w:color="auto" w:fill="00FF00"/>
            <w:vAlign w:val="center"/>
          </w:tcPr>
          <w:p w14:paraId="424428E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0.5</w:t>
            </w:r>
          </w:p>
        </w:tc>
        <w:tc>
          <w:tcPr>
            <w:tcW w:w="489" w:type="dxa"/>
            <w:tcBorders>
              <w:top w:val="nil"/>
              <w:left w:val="nil"/>
              <w:bottom w:val="single" w:sz="8" w:space="0" w:color="auto"/>
              <w:right w:val="single" w:sz="8" w:space="0" w:color="auto"/>
            </w:tcBorders>
            <w:shd w:val="clear" w:color="auto" w:fill="00FF00"/>
            <w:vAlign w:val="center"/>
          </w:tcPr>
          <w:p w14:paraId="4BE1004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0.5</w:t>
            </w:r>
          </w:p>
        </w:tc>
        <w:tc>
          <w:tcPr>
            <w:tcW w:w="490" w:type="dxa"/>
            <w:tcBorders>
              <w:top w:val="nil"/>
              <w:left w:val="nil"/>
              <w:bottom w:val="single" w:sz="8" w:space="0" w:color="auto"/>
              <w:right w:val="single" w:sz="8" w:space="0" w:color="auto"/>
            </w:tcBorders>
            <w:shd w:val="clear" w:color="auto" w:fill="00FF00"/>
            <w:vAlign w:val="center"/>
          </w:tcPr>
          <w:p w14:paraId="11D3802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0.5</w:t>
            </w:r>
          </w:p>
        </w:tc>
        <w:tc>
          <w:tcPr>
            <w:tcW w:w="470" w:type="dxa"/>
            <w:tcBorders>
              <w:top w:val="nil"/>
              <w:left w:val="nil"/>
              <w:bottom w:val="single" w:sz="8" w:space="0" w:color="auto"/>
              <w:right w:val="single" w:sz="8" w:space="0" w:color="auto"/>
            </w:tcBorders>
            <w:shd w:val="clear" w:color="auto" w:fill="00FF00"/>
            <w:vAlign w:val="center"/>
          </w:tcPr>
          <w:p w14:paraId="79E81708"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0.5</w:t>
            </w:r>
          </w:p>
        </w:tc>
        <w:tc>
          <w:tcPr>
            <w:tcW w:w="490" w:type="dxa"/>
            <w:tcBorders>
              <w:top w:val="nil"/>
              <w:left w:val="nil"/>
              <w:bottom w:val="single" w:sz="8" w:space="0" w:color="auto"/>
              <w:right w:val="single" w:sz="8" w:space="0" w:color="auto"/>
            </w:tcBorders>
            <w:shd w:val="clear" w:color="auto" w:fill="00FF00"/>
            <w:vAlign w:val="center"/>
          </w:tcPr>
          <w:p w14:paraId="57C876F4"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0.5</w:t>
            </w:r>
          </w:p>
        </w:tc>
        <w:tc>
          <w:tcPr>
            <w:tcW w:w="490" w:type="dxa"/>
            <w:tcBorders>
              <w:top w:val="nil"/>
              <w:left w:val="nil"/>
              <w:bottom w:val="single" w:sz="8" w:space="0" w:color="auto"/>
              <w:right w:val="single" w:sz="8" w:space="0" w:color="auto"/>
            </w:tcBorders>
            <w:shd w:val="clear" w:color="auto" w:fill="00FF00"/>
            <w:vAlign w:val="center"/>
          </w:tcPr>
          <w:p w14:paraId="408861F5"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0.6</w:t>
            </w:r>
          </w:p>
        </w:tc>
        <w:tc>
          <w:tcPr>
            <w:tcW w:w="490" w:type="dxa"/>
            <w:tcBorders>
              <w:top w:val="nil"/>
              <w:left w:val="nil"/>
              <w:bottom w:val="single" w:sz="8" w:space="0" w:color="auto"/>
              <w:right w:val="single" w:sz="8" w:space="0" w:color="auto"/>
            </w:tcBorders>
            <w:shd w:val="clear" w:color="auto" w:fill="00FF00"/>
            <w:vAlign w:val="center"/>
          </w:tcPr>
          <w:p w14:paraId="4B22BC6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0.5</w:t>
            </w:r>
          </w:p>
        </w:tc>
        <w:tc>
          <w:tcPr>
            <w:tcW w:w="660" w:type="dxa"/>
            <w:tcBorders>
              <w:top w:val="nil"/>
              <w:left w:val="nil"/>
              <w:bottom w:val="single" w:sz="8" w:space="0" w:color="auto"/>
              <w:right w:val="single" w:sz="4" w:space="0" w:color="auto"/>
            </w:tcBorders>
            <w:shd w:val="clear" w:color="auto" w:fill="00FF00"/>
            <w:vAlign w:val="center"/>
          </w:tcPr>
          <w:p w14:paraId="0EA1E74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0.5</w:t>
            </w:r>
          </w:p>
        </w:tc>
        <w:tc>
          <w:tcPr>
            <w:tcW w:w="571" w:type="dxa"/>
            <w:tcBorders>
              <w:top w:val="single" w:sz="4" w:space="0" w:color="auto"/>
              <w:left w:val="single" w:sz="4" w:space="0" w:color="auto"/>
              <w:bottom w:val="single" w:sz="4" w:space="0" w:color="auto"/>
              <w:right w:val="single" w:sz="4" w:space="0" w:color="auto"/>
            </w:tcBorders>
            <w:shd w:val="clear" w:color="auto" w:fill="00B0F0"/>
            <w:vAlign w:val="center"/>
          </w:tcPr>
          <w:p w14:paraId="743242F1"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483" w:type="dxa"/>
            <w:tcBorders>
              <w:top w:val="single" w:sz="4" w:space="0" w:color="auto"/>
              <w:left w:val="single" w:sz="4" w:space="0" w:color="auto"/>
              <w:bottom w:val="single" w:sz="4" w:space="0" w:color="auto"/>
              <w:right w:val="single" w:sz="4" w:space="0" w:color="auto"/>
            </w:tcBorders>
            <w:shd w:val="clear" w:color="auto" w:fill="00B0F0"/>
            <w:vAlign w:val="center"/>
          </w:tcPr>
          <w:p w14:paraId="473F0193"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04" w:type="dxa"/>
            <w:tcBorders>
              <w:top w:val="single" w:sz="4" w:space="0" w:color="auto"/>
              <w:left w:val="single" w:sz="4" w:space="0" w:color="auto"/>
              <w:bottom w:val="single" w:sz="4" w:space="0" w:color="auto"/>
              <w:right w:val="single" w:sz="4" w:space="0" w:color="auto"/>
            </w:tcBorders>
            <w:shd w:val="clear" w:color="auto" w:fill="00B0F0"/>
            <w:vAlign w:val="center"/>
          </w:tcPr>
          <w:p w14:paraId="572C3F24"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69" w:type="dxa"/>
            <w:tcBorders>
              <w:top w:val="single" w:sz="4" w:space="0" w:color="auto"/>
              <w:left w:val="single" w:sz="4" w:space="0" w:color="auto"/>
              <w:bottom w:val="single" w:sz="4" w:space="0" w:color="auto"/>
              <w:right w:val="single" w:sz="4" w:space="0" w:color="auto"/>
            </w:tcBorders>
            <w:shd w:val="clear" w:color="auto" w:fill="00B0F0"/>
            <w:vAlign w:val="center"/>
          </w:tcPr>
          <w:p w14:paraId="577F20A4"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511" w:type="dxa"/>
            <w:tcBorders>
              <w:top w:val="nil"/>
              <w:left w:val="single" w:sz="4" w:space="0" w:color="auto"/>
              <w:bottom w:val="single" w:sz="8" w:space="0" w:color="auto"/>
              <w:right w:val="single" w:sz="4" w:space="0" w:color="auto"/>
            </w:tcBorders>
            <w:shd w:val="clear" w:color="auto" w:fill="auto"/>
            <w:vAlign w:val="center"/>
          </w:tcPr>
          <w:p w14:paraId="4314283E" w14:textId="77777777" w:rsidR="00085672" w:rsidRPr="005A1C76" w:rsidRDefault="00085672" w:rsidP="00085672">
            <w:pPr>
              <w:spacing w:after="0" w:line="240" w:lineRule="auto"/>
              <w:jc w:val="center"/>
              <w:rPr>
                <w:rFonts w:eastAsia="Calibri" w:cs="Calibri"/>
                <w:b/>
                <w:sz w:val="20"/>
                <w:szCs w:val="20"/>
                <w:lang w:val="en-GB"/>
              </w:rPr>
            </w:pPr>
            <w:r w:rsidRPr="005A1C76">
              <w:rPr>
                <w:rFonts w:eastAsia="Calibri" w:cs="Calibri"/>
                <w:b/>
                <w:sz w:val="20"/>
                <w:szCs w:val="20"/>
                <w:lang w:val="en-GB"/>
              </w:rPr>
              <w:t>CR</w:t>
            </w:r>
          </w:p>
        </w:tc>
      </w:tr>
      <w:tr w:rsidR="00085672" w:rsidRPr="005A1C76" w14:paraId="0C53E9D4" w14:textId="77777777" w:rsidTr="00D06AC0">
        <w:trPr>
          <w:cantSplit/>
          <w:trHeight w:val="227"/>
          <w:jc w:val="center"/>
        </w:trPr>
        <w:tc>
          <w:tcPr>
            <w:tcW w:w="1179" w:type="dxa"/>
            <w:vMerge/>
            <w:vAlign w:val="center"/>
          </w:tcPr>
          <w:p w14:paraId="1EC829BF"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356" w:type="dxa"/>
            <w:shd w:val="clear" w:color="auto" w:fill="auto"/>
            <w:vAlign w:val="center"/>
          </w:tcPr>
          <w:p w14:paraId="7FF63F5A"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Budva</w:t>
            </w:r>
          </w:p>
        </w:tc>
        <w:tc>
          <w:tcPr>
            <w:tcW w:w="482" w:type="dxa"/>
            <w:tcBorders>
              <w:top w:val="single" w:sz="8" w:space="0" w:color="auto"/>
              <w:left w:val="single" w:sz="8" w:space="0" w:color="auto"/>
              <w:bottom w:val="single" w:sz="8" w:space="0" w:color="auto"/>
              <w:right w:val="single" w:sz="8" w:space="0" w:color="auto"/>
            </w:tcBorders>
            <w:shd w:val="clear" w:color="auto" w:fill="00FF00"/>
            <w:vAlign w:val="center"/>
          </w:tcPr>
          <w:p w14:paraId="24E95E0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0.8</w:t>
            </w:r>
          </w:p>
        </w:tc>
        <w:tc>
          <w:tcPr>
            <w:tcW w:w="489" w:type="dxa"/>
            <w:tcBorders>
              <w:top w:val="single" w:sz="8" w:space="0" w:color="auto"/>
              <w:left w:val="nil"/>
              <w:bottom w:val="single" w:sz="8" w:space="0" w:color="auto"/>
              <w:right w:val="single" w:sz="8" w:space="0" w:color="auto"/>
            </w:tcBorders>
            <w:shd w:val="clear" w:color="000000" w:fill="FF0000"/>
            <w:vAlign w:val="center"/>
          </w:tcPr>
          <w:p w14:paraId="27C8EF9D"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3.2</w:t>
            </w:r>
          </w:p>
        </w:tc>
        <w:tc>
          <w:tcPr>
            <w:tcW w:w="490" w:type="dxa"/>
            <w:tcBorders>
              <w:top w:val="single" w:sz="8" w:space="0" w:color="auto"/>
              <w:left w:val="nil"/>
              <w:bottom w:val="single" w:sz="8" w:space="0" w:color="auto"/>
              <w:right w:val="single" w:sz="8" w:space="0" w:color="auto"/>
            </w:tcBorders>
            <w:shd w:val="clear" w:color="000000" w:fill="FF0000"/>
            <w:vAlign w:val="center"/>
          </w:tcPr>
          <w:p w14:paraId="629D0EEF"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8.2</w:t>
            </w:r>
          </w:p>
        </w:tc>
        <w:tc>
          <w:tcPr>
            <w:tcW w:w="470" w:type="dxa"/>
            <w:tcBorders>
              <w:top w:val="single" w:sz="8" w:space="0" w:color="auto"/>
              <w:left w:val="nil"/>
              <w:bottom w:val="single" w:sz="8" w:space="0" w:color="auto"/>
              <w:right w:val="single" w:sz="8" w:space="0" w:color="auto"/>
            </w:tcBorders>
            <w:shd w:val="clear" w:color="000000" w:fill="FF0000"/>
            <w:vAlign w:val="center"/>
          </w:tcPr>
          <w:p w14:paraId="3E52C9C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7.6</w:t>
            </w:r>
          </w:p>
        </w:tc>
        <w:tc>
          <w:tcPr>
            <w:tcW w:w="490" w:type="dxa"/>
            <w:tcBorders>
              <w:top w:val="single" w:sz="8" w:space="0" w:color="auto"/>
              <w:left w:val="nil"/>
              <w:bottom w:val="single" w:sz="8" w:space="0" w:color="auto"/>
              <w:right w:val="single" w:sz="8" w:space="0" w:color="auto"/>
            </w:tcBorders>
            <w:shd w:val="clear" w:color="000000" w:fill="FF0000"/>
            <w:vAlign w:val="center"/>
          </w:tcPr>
          <w:p w14:paraId="0914BBA8"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12.5</w:t>
            </w:r>
          </w:p>
        </w:tc>
        <w:tc>
          <w:tcPr>
            <w:tcW w:w="490" w:type="dxa"/>
            <w:tcBorders>
              <w:top w:val="single" w:sz="8" w:space="0" w:color="auto"/>
              <w:left w:val="nil"/>
              <w:bottom w:val="single" w:sz="8" w:space="0" w:color="auto"/>
              <w:right w:val="single" w:sz="8" w:space="0" w:color="auto"/>
            </w:tcBorders>
            <w:shd w:val="clear" w:color="auto" w:fill="00FF00"/>
            <w:vAlign w:val="center"/>
          </w:tcPr>
          <w:p w14:paraId="7B6FCB0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7.9</w:t>
            </w:r>
          </w:p>
        </w:tc>
        <w:tc>
          <w:tcPr>
            <w:tcW w:w="490" w:type="dxa"/>
            <w:tcBorders>
              <w:top w:val="single" w:sz="8" w:space="0" w:color="auto"/>
              <w:left w:val="nil"/>
              <w:bottom w:val="single" w:sz="8" w:space="0" w:color="auto"/>
              <w:right w:val="single" w:sz="8" w:space="0" w:color="auto"/>
            </w:tcBorders>
            <w:shd w:val="clear" w:color="auto" w:fill="00FF00"/>
            <w:vAlign w:val="center"/>
          </w:tcPr>
          <w:p w14:paraId="0ACC07A9"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3.3</w:t>
            </w:r>
          </w:p>
        </w:tc>
        <w:tc>
          <w:tcPr>
            <w:tcW w:w="660" w:type="dxa"/>
            <w:tcBorders>
              <w:top w:val="single" w:sz="8" w:space="0" w:color="auto"/>
              <w:left w:val="nil"/>
              <w:bottom w:val="single" w:sz="8" w:space="0" w:color="auto"/>
              <w:right w:val="single" w:sz="4" w:space="0" w:color="auto"/>
            </w:tcBorders>
            <w:shd w:val="clear" w:color="000000" w:fill="FF0000"/>
            <w:vAlign w:val="center"/>
          </w:tcPr>
          <w:p w14:paraId="504EA2A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42.9</w:t>
            </w:r>
          </w:p>
        </w:tc>
        <w:tc>
          <w:tcPr>
            <w:tcW w:w="571" w:type="dxa"/>
            <w:tcBorders>
              <w:top w:val="single" w:sz="4" w:space="0" w:color="auto"/>
              <w:left w:val="single" w:sz="4" w:space="0" w:color="auto"/>
              <w:bottom w:val="single" w:sz="4" w:space="0" w:color="auto"/>
              <w:right w:val="single" w:sz="4" w:space="0" w:color="auto"/>
            </w:tcBorders>
            <w:shd w:val="clear" w:color="auto" w:fill="FF0000"/>
            <w:vAlign w:val="center"/>
          </w:tcPr>
          <w:p w14:paraId="73C2CCB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2.46</w:t>
            </w:r>
          </w:p>
        </w:tc>
        <w:tc>
          <w:tcPr>
            <w:tcW w:w="483" w:type="dxa"/>
            <w:tcBorders>
              <w:top w:val="single" w:sz="4" w:space="0" w:color="auto"/>
              <w:left w:val="single" w:sz="4" w:space="0" w:color="auto"/>
              <w:bottom w:val="single" w:sz="4" w:space="0" w:color="auto"/>
              <w:right w:val="single" w:sz="4" w:space="0" w:color="auto"/>
            </w:tcBorders>
            <w:shd w:val="clear" w:color="auto" w:fill="00B0F0"/>
            <w:vAlign w:val="center"/>
          </w:tcPr>
          <w:p w14:paraId="13345F7A"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04" w:type="dxa"/>
            <w:tcBorders>
              <w:top w:val="single" w:sz="4" w:space="0" w:color="auto"/>
              <w:left w:val="single" w:sz="4" w:space="0" w:color="auto"/>
              <w:bottom w:val="single" w:sz="4" w:space="0" w:color="auto"/>
              <w:right w:val="single" w:sz="4" w:space="0" w:color="auto"/>
            </w:tcBorders>
            <w:shd w:val="clear" w:color="auto" w:fill="00B0F0"/>
            <w:vAlign w:val="center"/>
          </w:tcPr>
          <w:p w14:paraId="5B3F7A73"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69" w:type="dxa"/>
            <w:tcBorders>
              <w:top w:val="single" w:sz="4" w:space="0" w:color="auto"/>
              <w:left w:val="single" w:sz="4" w:space="0" w:color="auto"/>
              <w:bottom w:val="single" w:sz="4" w:space="0" w:color="auto"/>
              <w:right w:val="single" w:sz="4" w:space="0" w:color="auto"/>
            </w:tcBorders>
            <w:shd w:val="clear" w:color="auto" w:fill="00B0F0"/>
            <w:vAlign w:val="center"/>
          </w:tcPr>
          <w:p w14:paraId="2D497149"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511" w:type="dxa"/>
            <w:tcBorders>
              <w:top w:val="single" w:sz="8" w:space="0" w:color="auto"/>
              <w:left w:val="single" w:sz="4" w:space="0" w:color="auto"/>
              <w:bottom w:val="single" w:sz="8" w:space="0" w:color="auto"/>
              <w:right w:val="single" w:sz="4" w:space="0" w:color="auto"/>
            </w:tcBorders>
            <w:shd w:val="clear" w:color="auto" w:fill="auto"/>
            <w:vAlign w:val="center"/>
          </w:tcPr>
          <w:p w14:paraId="758BB962"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065A1E0A" w14:textId="77777777" w:rsidTr="00D06AC0">
        <w:trPr>
          <w:cantSplit/>
          <w:trHeight w:val="227"/>
          <w:jc w:val="center"/>
        </w:trPr>
        <w:tc>
          <w:tcPr>
            <w:tcW w:w="1179" w:type="dxa"/>
            <w:vMerge/>
            <w:vAlign w:val="center"/>
          </w:tcPr>
          <w:p w14:paraId="0A3E1BFF"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356" w:type="dxa"/>
            <w:shd w:val="clear" w:color="auto" w:fill="auto"/>
            <w:vAlign w:val="center"/>
          </w:tcPr>
          <w:p w14:paraId="0BC4BF09"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Bar</w:t>
            </w:r>
          </w:p>
        </w:tc>
        <w:tc>
          <w:tcPr>
            <w:tcW w:w="482" w:type="dxa"/>
            <w:tcBorders>
              <w:top w:val="nil"/>
              <w:left w:val="single" w:sz="8" w:space="0" w:color="auto"/>
              <w:bottom w:val="single" w:sz="8" w:space="0" w:color="auto"/>
              <w:right w:val="single" w:sz="8" w:space="0" w:color="auto"/>
            </w:tcBorders>
            <w:shd w:val="clear" w:color="auto" w:fill="00FF00"/>
            <w:vAlign w:val="center"/>
          </w:tcPr>
          <w:p w14:paraId="15E174F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1.4</w:t>
            </w:r>
          </w:p>
        </w:tc>
        <w:tc>
          <w:tcPr>
            <w:tcW w:w="489" w:type="dxa"/>
            <w:tcBorders>
              <w:top w:val="nil"/>
              <w:left w:val="nil"/>
              <w:bottom w:val="single" w:sz="8" w:space="0" w:color="auto"/>
              <w:right w:val="single" w:sz="8" w:space="0" w:color="auto"/>
            </w:tcBorders>
            <w:shd w:val="clear" w:color="000000" w:fill="FF0000"/>
            <w:vAlign w:val="center"/>
          </w:tcPr>
          <w:p w14:paraId="0551FB0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6.5</w:t>
            </w:r>
          </w:p>
        </w:tc>
        <w:tc>
          <w:tcPr>
            <w:tcW w:w="490" w:type="dxa"/>
            <w:tcBorders>
              <w:top w:val="nil"/>
              <w:left w:val="nil"/>
              <w:bottom w:val="single" w:sz="8" w:space="0" w:color="auto"/>
              <w:right w:val="single" w:sz="8" w:space="0" w:color="auto"/>
            </w:tcBorders>
            <w:shd w:val="clear" w:color="000000" w:fill="FF0000"/>
            <w:vAlign w:val="center"/>
          </w:tcPr>
          <w:p w14:paraId="3517413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19.6</w:t>
            </w:r>
          </w:p>
        </w:tc>
        <w:tc>
          <w:tcPr>
            <w:tcW w:w="470" w:type="dxa"/>
            <w:tcBorders>
              <w:top w:val="nil"/>
              <w:left w:val="nil"/>
              <w:bottom w:val="single" w:sz="8" w:space="0" w:color="auto"/>
              <w:right w:val="single" w:sz="8" w:space="0" w:color="auto"/>
            </w:tcBorders>
            <w:shd w:val="clear" w:color="000000" w:fill="FF0000"/>
            <w:vAlign w:val="center"/>
          </w:tcPr>
          <w:p w14:paraId="582C908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18.1</w:t>
            </w:r>
          </w:p>
        </w:tc>
        <w:tc>
          <w:tcPr>
            <w:tcW w:w="490" w:type="dxa"/>
            <w:tcBorders>
              <w:top w:val="nil"/>
              <w:left w:val="nil"/>
              <w:bottom w:val="single" w:sz="8" w:space="0" w:color="auto"/>
              <w:right w:val="single" w:sz="8" w:space="0" w:color="auto"/>
            </w:tcBorders>
            <w:shd w:val="clear" w:color="000000" w:fill="FF0000"/>
            <w:vAlign w:val="center"/>
          </w:tcPr>
          <w:p w14:paraId="40B1467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27.3</w:t>
            </w:r>
          </w:p>
        </w:tc>
        <w:tc>
          <w:tcPr>
            <w:tcW w:w="490" w:type="dxa"/>
            <w:tcBorders>
              <w:top w:val="nil"/>
              <w:left w:val="nil"/>
              <w:bottom w:val="single" w:sz="8" w:space="0" w:color="auto"/>
              <w:right w:val="single" w:sz="8" w:space="0" w:color="auto"/>
            </w:tcBorders>
            <w:shd w:val="clear" w:color="auto" w:fill="00FF00"/>
            <w:vAlign w:val="center"/>
          </w:tcPr>
          <w:p w14:paraId="6BE8F847"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19.2</w:t>
            </w:r>
          </w:p>
        </w:tc>
        <w:tc>
          <w:tcPr>
            <w:tcW w:w="490" w:type="dxa"/>
            <w:tcBorders>
              <w:top w:val="nil"/>
              <w:left w:val="nil"/>
              <w:bottom w:val="single" w:sz="8" w:space="0" w:color="auto"/>
              <w:right w:val="single" w:sz="8" w:space="0" w:color="auto"/>
            </w:tcBorders>
            <w:shd w:val="clear" w:color="auto" w:fill="00FF00"/>
            <w:vAlign w:val="center"/>
          </w:tcPr>
          <w:p w14:paraId="6389ACB5"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9.7</w:t>
            </w:r>
          </w:p>
        </w:tc>
        <w:tc>
          <w:tcPr>
            <w:tcW w:w="660" w:type="dxa"/>
            <w:tcBorders>
              <w:top w:val="nil"/>
              <w:left w:val="nil"/>
              <w:bottom w:val="single" w:sz="8" w:space="0" w:color="auto"/>
              <w:right w:val="single" w:sz="4" w:space="0" w:color="auto"/>
            </w:tcBorders>
            <w:shd w:val="clear" w:color="000000" w:fill="FF0000"/>
            <w:vAlign w:val="center"/>
          </w:tcPr>
          <w:p w14:paraId="33B391C4"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101.0</w:t>
            </w:r>
          </w:p>
        </w:tc>
        <w:tc>
          <w:tcPr>
            <w:tcW w:w="571" w:type="dxa"/>
            <w:tcBorders>
              <w:top w:val="single" w:sz="4" w:space="0" w:color="auto"/>
              <w:left w:val="single" w:sz="4" w:space="0" w:color="auto"/>
              <w:bottom w:val="single" w:sz="4" w:space="0" w:color="auto"/>
              <w:right w:val="single" w:sz="4" w:space="0" w:color="auto"/>
            </w:tcBorders>
            <w:shd w:val="clear" w:color="auto" w:fill="00B0F0"/>
            <w:vAlign w:val="center"/>
          </w:tcPr>
          <w:p w14:paraId="0AEBE945"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483" w:type="dxa"/>
            <w:tcBorders>
              <w:top w:val="single" w:sz="4" w:space="0" w:color="auto"/>
              <w:left w:val="single" w:sz="4" w:space="0" w:color="auto"/>
              <w:bottom w:val="single" w:sz="4" w:space="0" w:color="auto"/>
              <w:right w:val="single" w:sz="4" w:space="0" w:color="auto"/>
            </w:tcBorders>
            <w:shd w:val="clear" w:color="auto" w:fill="00B0F0"/>
            <w:vAlign w:val="center"/>
          </w:tcPr>
          <w:p w14:paraId="1760A01C"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04" w:type="dxa"/>
            <w:tcBorders>
              <w:top w:val="single" w:sz="4" w:space="0" w:color="auto"/>
              <w:left w:val="single" w:sz="4" w:space="0" w:color="auto"/>
              <w:bottom w:val="single" w:sz="4" w:space="0" w:color="auto"/>
              <w:right w:val="single" w:sz="4" w:space="0" w:color="auto"/>
            </w:tcBorders>
            <w:shd w:val="clear" w:color="auto" w:fill="FF0000"/>
            <w:vAlign w:val="center"/>
          </w:tcPr>
          <w:p w14:paraId="70EB13C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8.30</w:t>
            </w:r>
          </w:p>
        </w:tc>
        <w:tc>
          <w:tcPr>
            <w:tcW w:w="669" w:type="dxa"/>
            <w:tcBorders>
              <w:top w:val="single" w:sz="4" w:space="0" w:color="auto"/>
              <w:left w:val="single" w:sz="4" w:space="0" w:color="auto"/>
              <w:bottom w:val="single" w:sz="4" w:space="0" w:color="auto"/>
              <w:right w:val="single" w:sz="4" w:space="0" w:color="auto"/>
            </w:tcBorders>
            <w:shd w:val="clear" w:color="auto" w:fill="00B0F0"/>
            <w:vAlign w:val="center"/>
          </w:tcPr>
          <w:p w14:paraId="0563CA8A"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511" w:type="dxa"/>
            <w:tcBorders>
              <w:top w:val="nil"/>
              <w:left w:val="single" w:sz="4" w:space="0" w:color="auto"/>
              <w:bottom w:val="single" w:sz="8" w:space="0" w:color="auto"/>
              <w:right w:val="single" w:sz="4" w:space="0" w:color="auto"/>
            </w:tcBorders>
            <w:shd w:val="clear" w:color="auto" w:fill="auto"/>
            <w:vAlign w:val="center"/>
          </w:tcPr>
          <w:p w14:paraId="605DB79E"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5C6B392E" w14:textId="77777777" w:rsidTr="00D06AC0">
        <w:trPr>
          <w:cantSplit/>
          <w:trHeight w:val="227"/>
          <w:jc w:val="center"/>
        </w:trPr>
        <w:tc>
          <w:tcPr>
            <w:tcW w:w="1179" w:type="dxa"/>
            <w:vMerge/>
            <w:vAlign w:val="center"/>
          </w:tcPr>
          <w:p w14:paraId="4A3F1FDA"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356" w:type="dxa"/>
            <w:shd w:val="clear" w:color="auto" w:fill="auto"/>
            <w:vAlign w:val="center"/>
          </w:tcPr>
          <w:p w14:paraId="72B5CD34"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Port Milena</w:t>
            </w:r>
          </w:p>
        </w:tc>
        <w:tc>
          <w:tcPr>
            <w:tcW w:w="482" w:type="dxa"/>
            <w:tcBorders>
              <w:top w:val="single" w:sz="8" w:space="0" w:color="auto"/>
              <w:left w:val="single" w:sz="8" w:space="0" w:color="auto"/>
              <w:bottom w:val="single" w:sz="8" w:space="0" w:color="auto"/>
              <w:right w:val="single" w:sz="8" w:space="0" w:color="auto"/>
            </w:tcBorders>
            <w:shd w:val="clear" w:color="auto" w:fill="00FF00"/>
            <w:vAlign w:val="center"/>
          </w:tcPr>
          <w:p w14:paraId="438E2A05"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0.7</w:t>
            </w:r>
          </w:p>
        </w:tc>
        <w:tc>
          <w:tcPr>
            <w:tcW w:w="489" w:type="dxa"/>
            <w:tcBorders>
              <w:top w:val="single" w:sz="8" w:space="0" w:color="auto"/>
              <w:left w:val="nil"/>
              <w:bottom w:val="single" w:sz="8" w:space="0" w:color="auto"/>
              <w:right w:val="single" w:sz="8" w:space="0" w:color="auto"/>
            </w:tcBorders>
            <w:shd w:val="clear" w:color="auto" w:fill="00FF00"/>
            <w:vAlign w:val="center"/>
          </w:tcPr>
          <w:p w14:paraId="3FEECB79"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0.6</w:t>
            </w:r>
          </w:p>
        </w:tc>
        <w:tc>
          <w:tcPr>
            <w:tcW w:w="490" w:type="dxa"/>
            <w:tcBorders>
              <w:top w:val="single" w:sz="8" w:space="0" w:color="auto"/>
              <w:left w:val="nil"/>
              <w:bottom w:val="single" w:sz="8" w:space="0" w:color="auto"/>
              <w:right w:val="single" w:sz="8" w:space="0" w:color="auto"/>
            </w:tcBorders>
            <w:shd w:val="clear" w:color="auto" w:fill="00FF00"/>
            <w:vAlign w:val="center"/>
          </w:tcPr>
          <w:p w14:paraId="4700A9A3"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0.5</w:t>
            </w:r>
          </w:p>
        </w:tc>
        <w:tc>
          <w:tcPr>
            <w:tcW w:w="470" w:type="dxa"/>
            <w:tcBorders>
              <w:top w:val="single" w:sz="8" w:space="0" w:color="auto"/>
              <w:left w:val="nil"/>
              <w:bottom w:val="single" w:sz="8" w:space="0" w:color="auto"/>
              <w:right w:val="single" w:sz="8" w:space="0" w:color="auto"/>
            </w:tcBorders>
            <w:shd w:val="clear" w:color="auto" w:fill="00FF00"/>
            <w:vAlign w:val="center"/>
          </w:tcPr>
          <w:p w14:paraId="7F78B365"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0.6</w:t>
            </w:r>
          </w:p>
        </w:tc>
        <w:tc>
          <w:tcPr>
            <w:tcW w:w="490" w:type="dxa"/>
            <w:tcBorders>
              <w:top w:val="single" w:sz="8" w:space="0" w:color="auto"/>
              <w:left w:val="nil"/>
              <w:bottom w:val="single" w:sz="8" w:space="0" w:color="auto"/>
              <w:right w:val="single" w:sz="8" w:space="0" w:color="auto"/>
            </w:tcBorders>
            <w:shd w:val="clear" w:color="auto" w:fill="00FF00"/>
            <w:vAlign w:val="center"/>
          </w:tcPr>
          <w:p w14:paraId="54871A15"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0.4</w:t>
            </w:r>
          </w:p>
        </w:tc>
        <w:tc>
          <w:tcPr>
            <w:tcW w:w="490" w:type="dxa"/>
            <w:tcBorders>
              <w:top w:val="single" w:sz="8" w:space="0" w:color="auto"/>
              <w:left w:val="nil"/>
              <w:bottom w:val="single" w:sz="8" w:space="0" w:color="auto"/>
              <w:right w:val="single" w:sz="8" w:space="0" w:color="auto"/>
            </w:tcBorders>
            <w:shd w:val="clear" w:color="auto" w:fill="00FF00"/>
            <w:vAlign w:val="center"/>
          </w:tcPr>
          <w:p w14:paraId="5E00832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0.6</w:t>
            </w:r>
          </w:p>
        </w:tc>
        <w:tc>
          <w:tcPr>
            <w:tcW w:w="490" w:type="dxa"/>
            <w:tcBorders>
              <w:top w:val="single" w:sz="8" w:space="0" w:color="auto"/>
              <w:left w:val="nil"/>
              <w:bottom w:val="single" w:sz="8" w:space="0" w:color="auto"/>
              <w:right w:val="single" w:sz="8" w:space="0" w:color="auto"/>
            </w:tcBorders>
            <w:shd w:val="clear" w:color="auto" w:fill="00FF00"/>
            <w:vAlign w:val="center"/>
          </w:tcPr>
          <w:p w14:paraId="54B43BBE"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0.4</w:t>
            </w:r>
          </w:p>
        </w:tc>
        <w:tc>
          <w:tcPr>
            <w:tcW w:w="660" w:type="dxa"/>
            <w:tcBorders>
              <w:top w:val="single" w:sz="8" w:space="0" w:color="auto"/>
              <w:left w:val="nil"/>
              <w:bottom w:val="single" w:sz="8" w:space="0" w:color="auto"/>
              <w:right w:val="single" w:sz="4" w:space="0" w:color="auto"/>
            </w:tcBorders>
            <w:shd w:val="clear" w:color="auto" w:fill="00FF00"/>
            <w:vAlign w:val="center"/>
          </w:tcPr>
          <w:p w14:paraId="2164DA4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1.9</w:t>
            </w:r>
          </w:p>
        </w:tc>
        <w:tc>
          <w:tcPr>
            <w:tcW w:w="571" w:type="dxa"/>
            <w:tcBorders>
              <w:top w:val="single" w:sz="4" w:space="0" w:color="auto"/>
              <w:left w:val="single" w:sz="4" w:space="0" w:color="auto"/>
              <w:bottom w:val="single" w:sz="4" w:space="0" w:color="auto"/>
              <w:right w:val="single" w:sz="4" w:space="0" w:color="auto"/>
            </w:tcBorders>
            <w:shd w:val="clear" w:color="auto" w:fill="00B0F0"/>
            <w:vAlign w:val="center"/>
          </w:tcPr>
          <w:p w14:paraId="351722CC"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483" w:type="dxa"/>
            <w:tcBorders>
              <w:top w:val="single" w:sz="4" w:space="0" w:color="auto"/>
              <w:left w:val="single" w:sz="4" w:space="0" w:color="auto"/>
              <w:bottom w:val="single" w:sz="4" w:space="0" w:color="auto"/>
              <w:right w:val="single" w:sz="4" w:space="0" w:color="auto"/>
            </w:tcBorders>
            <w:shd w:val="clear" w:color="auto" w:fill="00B0F0"/>
            <w:vAlign w:val="center"/>
          </w:tcPr>
          <w:p w14:paraId="539EC4C0"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04" w:type="dxa"/>
            <w:tcBorders>
              <w:top w:val="single" w:sz="4" w:space="0" w:color="auto"/>
              <w:left w:val="single" w:sz="4" w:space="0" w:color="auto"/>
              <w:bottom w:val="single" w:sz="4" w:space="0" w:color="auto"/>
              <w:right w:val="single" w:sz="4" w:space="0" w:color="auto"/>
            </w:tcBorders>
            <w:shd w:val="clear" w:color="auto" w:fill="00B0F0"/>
            <w:vAlign w:val="center"/>
          </w:tcPr>
          <w:p w14:paraId="0CEECF06"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69" w:type="dxa"/>
            <w:tcBorders>
              <w:top w:val="single" w:sz="4" w:space="0" w:color="auto"/>
              <w:left w:val="single" w:sz="4" w:space="0" w:color="auto"/>
              <w:bottom w:val="single" w:sz="4" w:space="0" w:color="auto"/>
              <w:right w:val="single" w:sz="4" w:space="0" w:color="auto"/>
            </w:tcBorders>
            <w:shd w:val="clear" w:color="auto" w:fill="00B0F0"/>
            <w:vAlign w:val="center"/>
          </w:tcPr>
          <w:p w14:paraId="4088C16B"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511" w:type="dxa"/>
            <w:tcBorders>
              <w:top w:val="single" w:sz="8" w:space="0" w:color="auto"/>
              <w:left w:val="single" w:sz="4" w:space="0" w:color="auto"/>
              <w:bottom w:val="single" w:sz="8" w:space="0" w:color="auto"/>
              <w:right w:val="single" w:sz="8" w:space="0" w:color="auto"/>
            </w:tcBorders>
            <w:shd w:val="clear" w:color="auto" w:fill="auto"/>
            <w:vAlign w:val="center"/>
          </w:tcPr>
          <w:p w14:paraId="5970EE1A"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7ACB8BE2" w14:textId="77777777" w:rsidTr="00D06AC0">
        <w:trPr>
          <w:cantSplit/>
          <w:trHeight w:val="227"/>
          <w:jc w:val="center"/>
        </w:trPr>
        <w:tc>
          <w:tcPr>
            <w:tcW w:w="1179" w:type="dxa"/>
            <w:vMerge/>
            <w:vAlign w:val="center"/>
          </w:tcPr>
          <w:p w14:paraId="187D7C78" w14:textId="77777777" w:rsidR="00085672" w:rsidRPr="005A1C76" w:rsidRDefault="00085672" w:rsidP="00085672">
            <w:pPr>
              <w:spacing w:after="0" w:line="240" w:lineRule="auto"/>
              <w:jc w:val="center"/>
              <w:rPr>
                <w:rFonts w:eastAsia="Calibri" w:cs="Calibri"/>
                <w:sz w:val="20"/>
                <w:szCs w:val="20"/>
                <w:lang w:val="en-GB"/>
              </w:rPr>
            </w:pPr>
          </w:p>
        </w:tc>
        <w:tc>
          <w:tcPr>
            <w:tcW w:w="1356" w:type="dxa"/>
            <w:shd w:val="clear" w:color="auto" w:fill="auto"/>
            <w:vAlign w:val="center"/>
          </w:tcPr>
          <w:p w14:paraId="211CCA82"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 xml:space="preserve">Ada Bojana </w:t>
            </w:r>
          </w:p>
        </w:tc>
        <w:tc>
          <w:tcPr>
            <w:tcW w:w="482" w:type="dxa"/>
            <w:tcBorders>
              <w:top w:val="nil"/>
              <w:left w:val="single" w:sz="8" w:space="0" w:color="auto"/>
              <w:bottom w:val="single" w:sz="8" w:space="0" w:color="auto"/>
              <w:right w:val="single" w:sz="8" w:space="0" w:color="auto"/>
            </w:tcBorders>
            <w:shd w:val="clear" w:color="auto" w:fill="00FF00"/>
            <w:vAlign w:val="center"/>
          </w:tcPr>
          <w:p w14:paraId="68919891"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1.4</w:t>
            </w:r>
          </w:p>
        </w:tc>
        <w:tc>
          <w:tcPr>
            <w:tcW w:w="489" w:type="dxa"/>
            <w:tcBorders>
              <w:top w:val="nil"/>
              <w:left w:val="nil"/>
              <w:bottom w:val="single" w:sz="8" w:space="0" w:color="auto"/>
              <w:right w:val="single" w:sz="8" w:space="0" w:color="auto"/>
            </w:tcBorders>
            <w:shd w:val="clear" w:color="auto" w:fill="00FF00"/>
            <w:vAlign w:val="center"/>
          </w:tcPr>
          <w:p w14:paraId="3496ED7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0.6</w:t>
            </w:r>
          </w:p>
        </w:tc>
        <w:tc>
          <w:tcPr>
            <w:tcW w:w="490" w:type="dxa"/>
            <w:tcBorders>
              <w:top w:val="nil"/>
              <w:left w:val="nil"/>
              <w:bottom w:val="single" w:sz="8" w:space="0" w:color="auto"/>
              <w:right w:val="single" w:sz="8" w:space="0" w:color="auto"/>
            </w:tcBorders>
            <w:shd w:val="clear" w:color="auto" w:fill="00FF00"/>
            <w:vAlign w:val="center"/>
          </w:tcPr>
          <w:p w14:paraId="1D217CB9"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0.5</w:t>
            </w:r>
          </w:p>
        </w:tc>
        <w:tc>
          <w:tcPr>
            <w:tcW w:w="470" w:type="dxa"/>
            <w:tcBorders>
              <w:top w:val="nil"/>
              <w:left w:val="nil"/>
              <w:bottom w:val="single" w:sz="8" w:space="0" w:color="auto"/>
              <w:right w:val="single" w:sz="8" w:space="0" w:color="auto"/>
            </w:tcBorders>
            <w:shd w:val="clear" w:color="auto" w:fill="00FF00"/>
            <w:vAlign w:val="center"/>
          </w:tcPr>
          <w:p w14:paraId="28BA9468"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0.6</w:t>
            </w:r>
          </w:p>
        </w:tc>
        <w:tc>
          <w:tcPr>
            <w:tcW w:w="490" w:type="dxa"/>
            <w:tcBorders>
              <w:top w:val="nil"/>
              <w:left w:val="nil"/>
              <w:bottom w:val="single" w:sz="8" w:space="0" w:color="auto"/>
              <w:right w:val="single" w:sz="8" w:space="0" w:color="auto"/>
            </w:tcBorders>
            <w:shd w:val="clear" w:color="auto" w:fill="00FF00"/>
            <w:vAlign w:val="center"/>
          </w:tcPr>
          <w:p w14:paraId="18DC336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0.5</w:t>
            </w:r>
          </w:p>
        </w:tc>
        <w:tc>
          <w:tcPr>
            <w:tcW w:w="490" w:type="dxa"/>
            <w:tcBorders>
              <w:top w:val="nil"/>
              <w:left w:val="nil"/>
              <w:bottom w:val="single" w:sz="8" w:space="0" w:color="auto"/>
              <w:right w:val="single" w:sz="8" w:space="0" w:color="auto"/>
            </w:tcBorders>
            <w:shd w:val="clear" w:color="auto" w:fill="00FF00"/>
            <w:vAlign w:val="center"/>
          </w:tcPr>
          <w:p w14:paraId="52AC8CD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0.6</w:t>
            </w:r>
          </w:p>
        </w:tc>
        <w:tc>
          <w:tcPr>
            <w:tcW w:w="490" w:type="dxa"/>
            <w:tcBorders>
              <w:top w:val="nil"/>
              <w:left w:val="nil"/>
              <w:bottom w:val="single" w:sz="8" w:space="0" w:color="auto"/>
              <w:right w:val="single" w:sz="8" w:space="0" w:color="auto"/>
            </w:tcBorders>
            <w:shd w:val="clear" w:color="auto" w:fill="00FF00"/>
            <w:vAlign w:val="center"/>
          </w:tcPr>
          <w:p w14:paraId="40A33A0B"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0.5</w:t>
            </w:r>
          </w:p>
        </w:tc>
        <w:tc>
          <w:tcPr>
            <w:tcW w:w="660" w:type="dxa"/>
            <w:tcBorders>
              <w:top w:val="nil"/>
              <w:left w:val="nil"/>
              <w:bottom w:val="single" w:sz="8" w:space="0" w:color="auto"/>
              <w:right w:val="single" w:sz="4" w:space="0" w:color="auto"/>
            </w:tcBorders>
            <w:shd w:val="clear" w:color="auto" w:fill="00FF00"/>
            <w:vAlign w:val="center"/>
          </w:tcPr>
          <w:p w14:paraId="50F68519"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1.7</w:t>
            </w:r>
          </w:p>
        </w:tc>
        <w:tc>
          <w:tcPr>
            <w:tcW w:w="571" w:type="dxa"/>
            <w:tcBorders>
              <w:top w:val="single" w:sz="4" w:space="0" w:color="auto"/>
              <w:left w:val="single" w:sz="4" w:space="0" w:color="auto"/>
              <w:bottom w:val="single" w:sz="4" w:space="0" w:color="auto"/>
              <w:right w:val="single" w:sz="4" w:space="0" w:color="auto"/>
            </w:tcBorders>
            <w:shd w:val="clear" w:color="auto" w:fill="00B0F0"/>
            <w:vAlign w:val="center"/>
          </w:tcPr>
          <w:p w14:paraId="1C5CE667"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483" w:type="dxa"/>
            <w:tcBorders>
              <w:top w:val="single" w:sz="4" w:space="0" w:color="auto"/>
              <w:left w:val="single" w:sz="4" w:space="0" w:color="auto"/>
              <w:bottom w:val="single" w:sz="4" w:space="0" w:color="auto"/>
              <w:right w:val="single" w:sz="4" w:space="0" w:color="auto"/>
            </w:tcBorders>
            <w:shd w:val="clear" w:color="auto" w:fill="00B0F0"/>
            <w:vAlign w:val="center"/>
          </w:tcPr>
          <w:p w14:paraId="32FFBA7C"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04" w:type="dxa"/>
            <w:tcBorders>
              <w:top w:val="single" w:sz="4" w:space="0" w:color="auto"/>
              <w:left w:val="single" w:sz="4" w:space="0" w:color="auto"/>
              <w:bottom w:val="single" w:sz="4" w:space="0" w:color="auto"/>
              <w:right w:val="single" w:sz="4" w:space="0" w:color="auto"/>
            </w:tcBorders>
            <w:shd w:val="clear" w:color="auto" w:fill="00B0F0"/>
            <w:vAlign w:val="center"/>
          </w:tcPr>
          <w:p w14:paraId="17A20250"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669" w:type="dxa"/>
            <w:tcBorders>
              <w:top w:val="single" w:sz="4" w:space="0" w:color="auto"/>
              <w:left w:val="single" w:sz="4" w:space="0" w:color="auto"/>
              <w:bottom w:val="single" w:sz="4" w:space="0" w:color="auto"/>
              <w:right w:val="single" w:sz="4" w:space="0" w:color="auto"/>
            </w:tcBorders>
            <w:shd w:val="clear" w:color="auto" w:fill="00B0F0"/>
            <w:vAlign w:val="center"/>
          </w:tcPr>
          <w:p w14:paraId="3D3F73AE"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&lt;0.1</w:t>
            </w:r>
          </w:p>
        </w:tc>
        <w:tc>
          <w:tcPr>
            <w:tcW w:w="511" w:type="dxa"/>
            <w:tcBorders>
              <w:top w:val="nil"/>
              <w:left w:val="single" w:sz="4" w:space="0" w:color="auto"/>
              <w:bottom w:val="single" w:sz="8" w:space="0" w:color="auto"/>
              <w:right w:val="single" w:sz="4" w:space="0" w:color="auto"/>
            </w:tcBorders>
            <w:shd w:val="clear" w:color="auto" w:fill="auto"/>
            <w:vAlign w:val="center"/>
          </w:tcPr>
          <w:p w14:paraId="4645B207" w14:textId="77777777" w:rsidR="00085672" w:rsidRPr="005A1C76" w:rsidRDefault="00085672" w:rsidP="00085672">
            <w:pPr>
              <w:spacing w:after="0" w:line="240" w:lineRule="auto"/>
              <w:jc w:val="center"/>
              <w:rPr>
                <w:rFonts w:eastAsia="Calibri" w:cs="Calibri"/>
                <w:b/>
                <w:sz w:val="20"/>
                <w:szCs w:val="20"/>
                <w:lang w:val="en-GB"/>
              </w:rPr>
            </w:pPr>
            <w:r w:rsidRPr="005A1C76">
              <w:rPr>
                <w:rFonts w:eastAsia="Calibri" w:cs="Calibri"/>
                <w:b/>
                <w:sz w:val="20"/>
                <w:szCs w:val="20"/>
                <w:lang w:val="en-GB"/>
              </w:rPr>
              <w:t>CM</w:t>
            </w:r>
          </w:p>
        </w:tc>
      </w:tr>
    </w:tbl>
    <w:p w14:paraId="624A5B10" w14:textId="361E0DC0" w:rsidR="00FC0EC0" w:rsidRPr="001C6CCA" w:rsidRDefault="00FC0EC0" w:rsidP="008B6690">
      <w:pPr>
        <w:keepNext/>
        <w:spacing w:before="0" w:after="0" w:line="240" w:lineRule="auto"/>
        <w:jc w:val="left"/>
        <w:rPr>
          <w:rFonts w:eastAsia="Calibri" w:cs="Calibri"/>
          <w:b/>
          <w:iCs/>
          <w:szCs w:val="22"/>
          <w:lang w:val="en-GB" w:eastAsia="en-US"/>
        </w:rPr>
      </w:pPr>
    </w:p>
    <w:p w14:paraId="53DE7287" w14:textId="77777777" w:rsidR="00085672" w:rsidRPr="005A1C76" w:rsidRDefault="00085672" w:rsidP="00085672">
      <w:pPr>
        <w:spacing w:after="0" w:line="240" w:lineRule="auto"/>
        <w:rPr>
          <w:rFonts w:eastAsia="Calibri" w:cs="Calibri"/>
          <w:bCs/>
          <w:sz w:val="20"/>
          <w:szCs w:val="20"/>
          <w:lang w:val="en-GB"/>
        </w:rPr>
      </w:pPr>
      <w:r w:rsidRPr="005A1C76">
        <w:rPr>
          <w:rFonts w:eastAsia="Calibri" w:cs="Calibri"/>
          <w:b/>
          <w:bCs/>
          <w:sz w:val="20"/>
          <w:szCs w:val="20"/>
          <w:lang w:val="en-GB"/>
        </w:rPr>
        <w:t>* Tip:  CM – Obalna Master, CR – Obalna Referentna, CH – Obalna Hot Spot</w:t>
      </w:r>
    </w:p>
    <w:p w14:paraId="75AAE1FC" w14:textId="77777777" w:rsidR="007B2FCB" w:rsidRPr="001C6CCA" w:rsidRDefault="007B2FCB" w:rsidP="007B2FCB">
      <w:pPr>
        <w:spacing w:before="0" w:after="0" w:line="240" w:lineRule="auto"/>
        <w:jc w:val="left"/>
        <w:rPr>
          <w:rFonts w:eastAsia="Calibri" w:cs="Calibri"/>
          <w:b/>
          <w:iCs/>
          <w:szCs w:val="22"/>
          <w:lang w:val="en-GB" w:eastAsia="en-US"/>
        </w:rPr>
      </w:pPr>
    </w:p>
    <w:p w14:paraId="375AA982" w14:textId="77777777" w:rsidR="00155FBA" w:rsidRDefault="00155FBA" w:rsidP="007B2FCB">
      <w:pPr>
        <w:spacing w:before="0" w:after="0" w:line="240" w:lineRule="auto"/>
        <w:jc w:val="left"/>
        <w:rPr>
          <w:rFonts w:eastAsia="Calibri" w:cs="Calibri"/>
          <w:b/>
          <w:iCs/>
          <w:szCs w:val="22"/>
          <w:lang w:val="en-GB" w:eastAsia="en-US"/>
        </w:rPr>
      </w:pPr>
    </w:p>
    <w:p w14:paraId="57C5CF3A" w14:textId="77777777" w:rsidR="00085672" w:rsidRPr="005A1C76" w:rsidRDefault="00085672" w:rsidP="00085672">
      <w:pPr>
        <w:spacing w:after="0" w:line="240" w:lineRule="auto"/>
        <w:rPr>
          <w:rFonts w:eastAsia="Calibri" w:cs="Calibri"/>
          <w:b/>
          <w:iCs/>
          <w:lang w:val="en-GB"/>
        </w:rPr>
      </w:pPr>
      <w:r w:rsidRPr="005A1C76">
        <w:rPr>
          <w:rFonts w:eastAsia="Calibri" w:cs="Calibri"/>
          <w:b/>
          <w:iCs/>
          <w:lang w:val="en-GB"/>
        </w:rPr>
        <w:t>Procjena GES-a za kontaminante u bioti</w:t>
      </w:r>
    </w:p>
    <w:p w14:paraId="0A0600CB" w14:textId="4C7D684D" w:rsidR="00085672" w:rsidRPr="00D06AC0" w:rsidRDefault="00D06AC0" w:rsidP="00085672">
      <w:pPr>
        <w:keepNext/>
        <w:spacing w:after="0" w:line="240" w:lineRule="auto"/>
        <w:rPr>
          <w:rFonts w:eastAsia="Calibri" w:cs="Calibri"/>
          <w:b/>
          <w:iCs/>
          <w:lang w:val="en-GB"/>
        </w:rPr>
      </w:pPr>
      <w:r w:rsidRPr="00D06AC0">
        <w:rPr>
          <w:rFonts w:eastAsia="Calibri" w:cs="Calibri"/>
          <w:b/>
          <w:iCs/>
          <w:lang w:val="en-GB"/>
        </w:rPr>
        <w:t xml:space="preserve">Područje procjene: nacionalni nivo – crnogorski dio Jadrana </w:t>
      </w:r>
    </w:p>
    <w:p w14:paraId="4D74622F" w14:textId="77777777" w:rsidR="00D06AC0" w:rsidRDefault="00D06AC0" w:rsidP="00085672">
      <w:pPr>
        <w:keepNext/>
        <w:spacing w:after="0" w:line="240" w:lineRule="auto"/>
        <w:rPr>
          <w:rFonts w:eastAsia="Calibri" w:cs="Calibri"/>
          <w:iCs/>
          <w:lang w:val="en-GB"/>
        </w:rPr>
      </w:pPr>
    </w:p>
    <w:p w14:paraId="235927FE" w14:textId="0217285E" w:rsidR="00085672" w:rsidRPr="005A1C76" w:rsidRDefault="00085672" w:rsidP="00085672">
      <w:pPr>
        <w:keepNext/>
        <w:spacing w:after="0" w:line="240" w:lineRule="auto"/>
        <w:rPr>
          <w:rFonts w:eastAsia="Calibri" w:cs="Calibri"/>
          <w:iCs/>
          <w:lang w:val="en-GB"/>
        </w:rPr>
      </w:pPr>
      <w:r w:rsidRPr="005A1C76">
        <w:rPr>
          <w:rFonts w:eastAsia="Calibri" w:cs="Calibri"/>
          <w:iCs/>
          <w:lang w:val="en-GB"/>
        </w:rPr>
        <w:t xml:space="preserve">Procjena </w:t>
      </w:r>
      <w:r w:rsidRPr="005A1C76">
        <w:rPr>
          <w:rFonts w:eastAsia="Calibri" w:cs="Calibri"/>
          <w:b/>
          <w:iCs/>
          <w:lang w:val="en-GB"/>
        </w:rPr>
        <w:t>GES-a za teške metale u bioti</w:t>
      </w:r>
      <w:r w:rsidRPr="005A1C76">
        <w:rPr>
          <w:rFonts w:eastAsia="Calibri" w:cs="Calibri"/>
          <w:iCs/>
          <w:lang w:val="en-GB"/>
        </w:rPr>
        <w:t xml:space="preserve"> tokom perioda istraživanja na svakoj lokaciji crnogorskog primorja data je u tabeli 2.32.</w:t>
      </w:r>
    </w:p>
    <w:p w14:paraId="2E5FF040" w14:textId="77777777" w:rsidR="00085672" w:rsidRPr="005A1C76" w:rsidRDefault="00085672" w:rsidP="00085672">
      <w:pPr>
        <w:keepNext/>
        <w:spacing w:after="0" w:line="240" w:lineRule="auto"/>
        <w:rPr>
          <w:rFonts w:eastAsia="Calibri" w:cs="Calibri"/>
          <w:iCs/>
          <w:lang w:val="en-GB"/>
        </w:rPr>
      </w:pPr>
    </w:p>
    <w:p w14:paraId="31908AD6" w14:textId="77777777" w:rsidR="00085672" w:rsidRPr="005A1C76" w:rsidRDefault="00085672" w:rsidP="00085672">
      <w:pPr>
        <w:keepNext/>
        <w:spacing w:line="240" w:lineRule="auto"/>
        <w:rPr>
          <w:rFonts w:eastAsia="Calibri" w:cs="Calibri"/>
          <w:b/>
          <w:iCs/>
          <w:lang w:val="en-GB"/>
        </w:rPr>
      </w:pPr>
      <w:bookmarkStart w:id="202" w:name="_Toc83643178"/>
      <w:r w:rsidRPr="005A1C76">
        <w:rPr>
          <w:rFonts w:eastAsia="Calibri"/>
          <w:b/>
          <w:iCs/>
          <w:lang w:val="en-GB"/>
        </w:rPr>
        <w:t xml:space="preserve">Tabela </w:t>
      </w:r>
      <w:r w:rsidRPr="005A1C76">
        <w:rPr>
          <w:b/>
        </w:rPr>
        <w:fldChar w:fldCharType="begin"/>
      </w:r>
      <w:r w:rsidRPr="005A1C76">
        <w:rPr>
          <w:b/>
        </w:rPr>
        <w:instrText xml:space="preserve"> STYLEREF 1 \s </w:instrText>
      </w:r>
      <w:r w:rsidRPr="005A1C76">
        <w:rPr>
          <w:b/>
        </w:rPr>
        <w:fldChar w:fldCharType="separate"/>
      </w:r>
      <w:r w:rsidR="000D1E20">
        <w:rPr>
          <w:b/>
          <w:noProof/>
        </w:rPr>
        <w:t>2</w:t>
      </w:r>
      <w:r w:rsidRPr="005A1C76">
        <w:rPr>
          <w:b/>
        </w:rPr>
        <w:fldChar w:fldCharType="end"/>
      </w:r>
      <w:r w:rsidRPr="005A1C76">
        <w:rPr>
          <w:b/>
        </w:rPr>
        <w:t>.</w:t>
      </w:r>
      <w:r w:rsidRPr="005A1C76">
        <w:rPr>
          <w:b/>
        </w:rPr>
        <w:fldChar w:fldCharType="begin"/>
      </w:r>
      <w:r w:rsidRPr="005A1C76">
        <w:rPr>
          <w:b/>
        </w:rPr>
        <w:instrText xml:space="preserve"> SEQ Table \* ARABIC \s 1 </w:instrText>
      </w:r>
      <w:r w:rsidRPr="005A1C76">
        <w:rPr>
          <w:b/>
        </w:rPr>
        <w:fldChar w:fldCharType="separate"/>
      </w:r>
      <w:r w:rsidR="000D1E20">
        <w:rPr>
          <w:b/>
          <w:noProof/>
        </w:rPr>
        <w:t>20</w:t>
      </w:r>
      <w:r w:rsidRPr="005A1C76">
        <w:rPr>
          <w:b/>
        </w:rPr>
        <w:fldChar w:fldCharType="end"/>
      </w:r>
      <w:r w:rsidRPr="005A1C76">
        <w:rPr>
          <w:b/>
        </w:rPr>
        <w:t>.</w:t>
      </w:r>
      <w:r w:rsidRPr="005A1C76">
        <w:rPr>
          <w:rFonts w:eastAsia="Calibri" w:cs="Calibri"/>
          <w:b/>
          <w:lang w:val="en-GB"/>
        </w:rPr>
        <w:t xml:space="preserve"> P</w:t>
      </w:r>
      <w:r w:rsidRPr="005A1C76">
        <w:rPr>
          <w:rFonts w:eastAsia="Calibri" w:cs="Calibri"/>
          <w:b/>
          <w:iCs/>
          <w:lang w:val="en-GB"/>
        </w:rPr>
        <w:t>rikaz prosječnih vrijednosti metala u bioti tokom perioda istraživanja na lokacijama crnogorskog mora prema UNEP/MAP i OSPAR kriterijumima procjene</w:t>
      </w:r>
      <w:bookmarkEnd w:id="202"/>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CellMar>
          <w:left w:w="57" w:type="dxa"/>
          <w:right w:w="57" w:type="dxa"/>
        </w:tblCellMar>
        <w:tblLook w:val="04A0" w:firstRow="1" w:lastRow="0" w:firstColumn="1" w:lastColumn="0" w:noHBand="0" w:noVBand="1"/>
      </w:tblPr>
      <w:tblGrid>
        <w:gridCol w:w="1023"/>
        <w:gridCol w:w="1633"/>
        <w:gridCol w:w="986"/>
        <w:gridCol w:w="1207"/>
        <w:gridCol w:w="702"/>
        <w:gridCol w:w="702"/>
        <w:gridCol w:w="702"/>
        <w:gridCol w:w="702"/>
        <w:gridCol w:w="882"/>
        <w:gridCol w:w="812"/>
      </w:tblGrid>
      <w:tr w:rsidR="00085672" w:rsidRPr="005A1C76" w14:paraId="3FB585B1" w14:textId="77777777" w:rsidTr="00085672">
        <w:trPr>
          <w:cantSplit/>
          <w:trHeight w:val="240"/>
          <w:jc w:val="center"/>
        </w:trPr>
        <w:tc>
          <w:tcPr>
            <w:tcW w:w="1023" w:type="dxa"/>
            <w:vMerge w:val="restart"/>
            <w:shd w:val="clear" w:color="auto" w:fill="2F5496"/>
            <w:vAlign w:val="center"/>
          </w:tcPr>
          <w:p w14:paraId="112B0771" w14:textId="77777777" w:rsidR="00085672" w:rsidRPr="005A1C76" w:rsidRDefault="00085672" w:rsidP="00085672">
            <w:pPr>
              <w:spacing w:after="0" w:line="240" w:lineRule="auto"/>
              <w:rPr>
                <w:rFonts w:eastAsia="Calibri" w:cs="Calibri"/>
                <w:b/>
                <w:color w:val="FFFFFF"/>
                <w:sz w:val="20"/>
                <w:szCs w:val="20"/>
                <w:lang w:val="en-GB"/>
              </w:rPr>
            </w:pPr>
            <w:r w:rsidRPr="005A1C76">
              <w:rPr>
                <w:rFonts w:eastAsia="Calibri" w:cs="Calibri"/>
                <w:b/>
                <w:color w:val="FFFFFF"/>
                <w:sz w:val="20"/>
                <w:szCs w:val="20"/>
                <w:lang w:val="en-GB"/>
              </w:rPr>
              <w:t>Zona</w:t>
            </w:r>
          </w:p>
        </w:tc>
        <w:tc>
          <w:tcPr>
            <w:tcW w:w="1633" w:type="dxa"/>
            <w:vMerge w:val="restart"/>
            <w:shd w:val="clear" w:color="auto" w:fill="2F5496"/>
            <w:vAlign w:val="center"/>
          </w:tcPr>
          <w:p w14:paraId="3AC92968"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Naziv lokacije</w:t>
            </w:r>
          </w:p>
        </w:tc>
        <w:tc>
          <w:tcPr>
            <w:tcW w:w="2193" w:type="dxa"/>
            <w:gridSpan w:val="2"/>
            <w:shd w:val="clear" w:color="auto" w:fill="2F5496"/>
            <w:vAlign w:val="center"/>
          </w:tcPr>
          <w:p w14:paraId="52464CD4"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Koordinate</w:t>
            </w:r>
          </w:p>
        </w:tc>
        <w:tc>
          <w:tcPr>
            <w:tcW w:w="3690" w:type="dxa"/>
            <w:gridSpan w:val="5"/>
            <w:shd w:val="clear" w:color="auto" w:fill="2F5496"/>
            <w:vAlign w:val="center"/>
          </w:tcPr>
          <w:p w14:paraId="6DFE36E2"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Teški metali µg/kg s.m.</w:t>
            </w:r>
          </w:p>
        </w:tc>
        <w:tc>
          <w:tcPr>
            <w:tcW w:w="812" w:type="dxa"/>
            <w:shd w:val="clear" w:color="auto" w:fill="2F5496"/>
            <w:vAlign w:val="center"/>
          </w:tcPr>
          <w:p w14:paraId="4C8C5C16" w14:textId="77777777" w:rsidR="00085672" w:rsidRPr="005A1C76" w:rsidRDefault="00085672" w:rsidP="00085672">
            <w:pPr>
              <w:spacing w:after="0" w:line="240" w:lineRule="auto"/>
              <w:jc w:val="center"/>
              <w:rPr>
                <w:rFonts w:eastAsia="Calibri" w:cs="Calibri"/>
                <w:b/>
                <w:color w:val="FFFFFF"/>
                <w:sz w:val="20"/>
                <w:szCs w:val="20"/>
                <w:lang w:val="en-GB"/>
              </w:rPr>
            </w:pPr>
          </w:p>
        </w:tc>
      </w:tr>
      <w:tr w:rsidR="00085672" w:rsidRPr="005A1C76" w14:paraId="555270D0" w14:textId="77777777" w:rsidTr="00085672">
        <w:trPr>
          <w:cantSplit/>
          <w:trHeight w:hRule="exact" w:val="525"/>
          <w:jc w:val="center"/>
        </w:trPr>
        <w:tc>
          <w:tcPr>
            <w:tcW w:w="1023" w:type="dxa"/>
            <w:vMerge/>
            <w:shd w:val="clear" w:color="auto" w:fill="2F5496"/>
            <w:vAlign w:val="center"/>
          </w:tcPr>
          <w:p w14:paraId="31D6BF01" w14:textId="77777777" w:rsidR="00085672" w:rsidRPr="005A1C76" w:rsidRDefault="00085672" w:rsidP="00085672">
            <w:pPr>
              <w:spacing w:after="0" w:line="240" w:lineRule="auto"/>
              <w:rPr>
                <w:rFonts w:eastAsia="Calibri" w:cs="Calibri"/>
                <w:b/>
                <w:color w:val="FFFFFF"/>
                <w:sz w:val="20"/>
                <w:szCs w:val="20"/>
                <w:lang w:val="en-GB"/>
              </w:rPr>
            </w:pPr>
          </w:p>
        </w:tc>
        <w:tc>
          <w:tcPr>
            <w:tcW w:w="1633" w:type="dxa"/>
            <w:vMerge/>
            <w:shd w:val="clear" w:color="auto" w:fill="2F5496"/>
            <w:vAlign w:val="center"/>
          </w:tcPr>
          <w:p w14:paraId="166A4BD4" w14:textId="77777777" w:rsidR="00085672" w:rsidRPr="005A1C76" w:rsidRDefault="00085672" w:rsidP="00085672">
            <w:pPr>
              <w:spacing w:after="0" w:line="240" w:lineRule="auto"/>
              <w:rPr>
                <w:rFonts w:eastAsia="Calibri" w:cs="Calibri"/>
                <w:b/>
                <w:color w:val="FFFFFF"/>
                <w:sz w:val="20"/>
                <w:szCs w:val="20"/>
                <w:lang w:val="en-GB"/>
              </w:rPr>
            </w:pPr>
          </w:p>
        </w:tc>
        <w:tc>
          <w:tcPr>
            <w:tcW w:w="986" w:type="dxa"/>
            <w:shd w:val="clear" w:color="auto" w:fill="2F5496"/>
            <w:vAlign w:val="center"/>
          </w:tcPr>
          <w:p w14:paraId="06EBBBEA"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Latitude</w:t>
            </w:r>
          </w:p>
        </w:tc>
        <w:tc>
          <w:tcPr>
            <w:tcW w:w="1207" w:type="dxa"/>
            <w:shd w:val="clear" w:color="auto" w:fill="2F5496"/>
            <w:vAlign w:val="center"/>
          </w:tcPr>
          <w:p w14:paraId="1C94C6D1"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Longitude</w:t>
            </w:r>
          </w:p>
        </w:tc>
        <w:tc>
          <w:tcPr>
            <w:tcW w:w="702" w:type="dxa"/>
            <w:shd w:val="clear" w:color="auto" w:fill="2F5496"/>
            <w:vAlign w:val="center"/>
          </w:tcPr>
          <w:p w14:paraId="129C0C5B"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Cd</w:t>
            </w:r>
          </w:p>
        </w:tc>
        <w:tc>
          <w:tcPr>
            <w:tcW w:w="702" w:type="dxa"/>
            <w:shd w:val="clear" w:color="auto" w:fill="2F5496"/>
            <w:vAlign w:val="center"/>
          </w:tcPr>
          <w:p w14:paraId="0792BD07"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Hg</w:t>
            </w:r>
          </w:p>
        </w:tc>
        <w:tc>
          <w:tcPr>
            <w:tcW w:w="702" w:type="dxa"/>
            <w:shd w:val="clear" w:color="auto" w:fill="2F5496"/>
            <w:vAlign w:val="center"/>
          </w:tcPr>
          <w:p w14:paraId="236A7156"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Pb</w:t>
            </w:r>
          </w:p>
        </w:tc>
        <w:tc>
          <w:tcPr>
            <w:tcW w:w="702" w:type="dxa"/>
            <w:shd w:val="clear" w:color="auto" w:fill="2F5496"/>
            <w:vAlign w:val="center"/>
          </w:tcPr>
          <w:p w14:paraId="458AC822"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Cu</w:t>
            </w:r>
          </w:p>
        </w:tc>
        <w:tc>
          <w:tcPr>
            <w:tcW w:w="882" w:type="dxa"/>
            <w:shd w:val="clear" w:color="auto" w:fill="2F5496"/>
            <w:vAlign w:val="center"/>
          </w:tcPr>
          <w:p w14:paraId="782C9CA9" w14:textId="77777777" w:rsidR="00085672" w:rsidRPr="005A1C76" w:rsidRDefault="00085672" w:rsidP="00085672">
            <w:pPr>
              <w:spacing w:after="0"/>
              <w:jc w:val="center"/>
              <w:rPr>
                <w:rFonts w:eastAsia="Calibri" w:cs="Calibri"/>
                <w:b/>
                <w:color w:val="FFFFFF"/>
                <w:sz w:val="20"/>
                <w:szCs w:val="20"/>
                <w:lang w:val="en-GB"/>
              </w:rPr>
            </w:pPr>
            <w:r w:rsidRPr="005A1C76">
              <w:rPr>
                <w:rFonts w:eastAsia="Calibri" w:cs="Calibri"/>
                <w:b/>
                <w:color w:val="FFFFFF"/>
                <w:sz w:val="20"/>
                <w:szCs w:val="20"/>
                <w:lang w:val="en-GB"/>
              </w:rPr>
              <w:t>Zn</w:t>
            </w:r>
          </w:p>
        </w:tc>
        <w:tc>
          <w:tcPr>
            <w:tcW w:w="812" w:type="dxa"/>
            <w:shd w:val="clear" w:color="auto" w:fill="2F5496"/>
            <w:vAlign w:val="center"/>
          </w:tcPr>
          <w:p w14:paraId="6282F734"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Tip*</w:t>
            </w:r>
          </w:p>
        </w:tc>
      </w:tr>
      <w:tr w:rsidR="00085672" w:rsidRPr="005A1C76" w14:paraId="0DF206E0" w14:textId="77777777" w:rsidTr="00085672">
        <w:trPr>
          <w:cantSplit/>
          <w:trHeight w:val="277"/>
          <w:jc w:val="center"/>
        </w:trPr>
        <w:tc>
          <w:tcPr>
            <w:tcW w:w="1023" w:type="dxa"/>
            <w:vMerge w:val="restart"/>
            <w:vAlign w:val="center"/>
          </w:tcPr>
          <w:p w14:paraId="56BEBD1E"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r w:rsidRPr="005A1C76">
              <w:rPr>
                <w:rFonts w:eastAsia="Calibri" w:cs="Calibri"/>
                <w:sz w:val="20"/>
                <w:szCs w:val="20"/>
                <w:lang w:val="en-GB"/>
              </w:rPr>
              <w:t>Bokokotorski zaliv</w:t>
            </w:r>
          </w:p>
        </w:tc>
        <w:tc>
          <w:tcPr>
            <w:tcW w:w="1633" w:type="dxa"/>
            <w:shd w:val="clear" w:color="auto" w:fill="auto"/>
            <w:vAlign w:val="center"/>
          </w:tcPr>
          <w:p w14:paraId="6E6A14C4"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Herceg Novi</w:t>
            </w:r>
          </w:p>
        </w:tc>
        <w:tc>
          <w:tcPr>
            <w:tcW w:w="986" w:type="dxa"/>
            <w:shd w:val="clear" w:color="auto" w:fill="auto"/>
            <w:vAlign w:val="center"/>
          </w:tcPr>
          <w:p w14:paraId="76ABA07B" w14:textId="77777777" w:rsidR="00085672" w:rsidRPr="005A1C76" w:rsidRDefault="00085672" w:rsidP="00085672">
            <w:pPr>
              <w:spacing w:after="0" w:line="240" w:lineRule="auto"/>
              <w:jc w:val="center"/>
              <w:rPr>
                <w:rFonts w:eastAsia="Calibri" w:cs="Calibri"/>
                <w:sz w:val="20"/>
                <w:szCs w:val="20"/>
                <w:lang w:val="en-GB"/>
              </w:rPr>
            </w:pPr>
            <w:r w:rsidRPr="005A1C76">
              <w:rPr>
                <w:rFonts w:eastAsia="Calibri" w:cs="Calibri"/>
                <w:color w:val="000000"/>
                <w:sz w:val="20"/>
                <w:szCs w:val="20"/>
                <w:lang w:val="en-GB"/>
              </w:rPr>
              <w:t>42°</w:t>
            </w:r>
            <w:r w:rsidRPr="005A1C76">
              <w:rPr>
                <w:rFonts w:eastAsia="Calibri" w:cs="Calibri"/>
                <w:sz w:val="20"/>
                <w:szCs w:val="20"/>
                <w:lang w:val="en-GB"/>
              </w:rPr>
              <w:t>26.993</w:t>
            </w:r>
            <w:r w:rsidRPr="005A1C76">
              <w:rPr>
                <w:rFonts w:eastAsia="Calibri" w:cs="Calibri"/>
                <w:color w:val="000000"/>
                <w:sz w:val="20"/>
                <w:szCs w:val="20"/>
                <w:lang w:val="en-GB"/>
              </w:rPr>
              <w:t>'</w:t>
            </w:r>
          </w:p>
        </w:tc>
        <w:tc>
          <w:tcPr>
            <w:tcW w:w="1207" w:type="dxa"/>
            <w:shd w:val="clear" w:color="auto" w:fill="auto"/>
            <w:vAlign w:val="center"/>
          </w:tcPr>
          <w:p w14:paraId="3138837F" w14:textId="77777777" w:rsidR="00085672" w:rsidRPr="005A1C76" w:rsidRDefault="00085672" w:rsidP="00085672">
            <w:pPr>
              <w:spacing w:after="0" w:line="240" w:lineRule="auto"/>
              <w:jc w:val="center"/>
              <w:rPr>
                <w:rFonts w:eastAsia="Calibri" w:cs="Calibri"/>
                <w:sz w:val="20"/>
                <w:szCs w:val="20"/>
                <w:highlight w:val="yellow"/>
                <w:lang w:val="en-GB"/>
              </w:rPr>
            </w:pPr>
            <w:r w:rsidRPr="005A1C76">
              <w:rPr>
                <w:rFonts w:eastAsia="Calibri" w:cs="Calibri"/>
                <w:sz w:val="20"/>
                <w:szCs w:val="20"/>
                <w:lang w:val="en-GB"/>
              </w:rPr>
              <w:t>018</w:t>
            </w:r>
            <w:r w:rsidRPr="005A1C76">
              <w:rPr>
                <w:rFonts w:eastAsia="Calibri" w:cs="Calibri"/>
                <w:color w:val="000000"/>
                <w:sz w:val="20"/>
                <w:szCs w:val="20"/>
                <w:lang w:val="en-GB"/>
              </w:rPr>
              <w:t>°</w:t>
            </w:r>
            <w:r w:rsidRPr="005A1C76">
              <w:rPr>
                <w:rFonts w:eastAsia="Calibri" w:cs="Calibri"/>
                <w:sz w:val="20"/>
                <w:szCs w:val="20"/>
                <w:lang w:val="en-GB"/>
              </w:rPr>
              <w:t>31.959</w:t>
            </w:r>
            <w:r w:rsidRPr="005A1C76">
              <w:rPr>
                <w:rFonts w:eastAsia="Calibri" w:cs="Calibri"/>
                <w:color w:val="000000"/>
                <w:sz w:val="20"/>
                <w:szCs w:val="20"/>
                <w:lang w:val="en-GB"/>
              </w:rPr>
              <w:t>'</w:t>
            </w:r>
          </w:p>
        </w:tc>
        <w:tc>
          <w:tcPr>
            <w:tcW w:w="702" w:type="dxa"/>
            <w:tcBorders>
              <w:top w:val="single" w:sz="4" w:space="0" w:color="auto"/>
              <w:left w:val="single" w:sz="4" w:space="0" w:color="auto"/>
              <w:bottom w:val="single" w:sz="4" w:space="0" w:color="auto"/>
              <w:right w:val="single" w:sz="4" w:space="0" w:color="auto"/>
            </w:tcBorders>
            <w:shd w:val="clear" w:color="000000" w:fill="00B0F0"/>
            <w:vAlign w:val="center"/>
          </w:tcPr>
          <w:p w14:paraId="60197FDE"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1080</w:t>
            </w:r>
          </w:p>
        </w:tc>
        <w:tc>
          <w:tcPr>
            <w:tcW w:w="702" w:type="dxa"/>
            <w:tcBorders>
              <w:top w:val="single" w:sz="4" w:space="0" w:color="auto"/>
              <w:left w:val="nil"/>
              <w:bottom w:val="single" w:sz="4" w:space="0" w:color="auto"/>
              <w:right w:val="single" w:sz="4" w:space="0" w:color="auto"/>
            </w:tcBorders>
            <w:shd w:val="clear" w:color="000000" w:fill="FFC000"/>
            <w:vAlign w:val="center"/>
          </w:tcPr>
          <w:p w14:paraId="4D4B5498"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210</w:t>
            </w:r>
          </w:p>
        </w:tc>
        <w:tc>
          <w:tcPr>
            <w:tcW w:w="702" w:type="dxa"/>
            <w:tcBorders>
              <w:top w:val="single" w:sz="4" w:space="0" w:color="auto"/>
              <w:left w:val="nil"/>
              <w:bottom w:val="single" w:sz="4" w:space="0" w:color="auto"/>
              <w:right w:val="single" w:sz="4" w:space="0" w:color="auto"/>
            </w:tcBorders>
            <w:shd w:val="clear" w:color="000000" w:fill="FF0000"/>
            <w:vAlign w:val="center"/>
          </w:tcPr>
          <w:p w14:paraId="5DF9291A"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10533</w:t>
            </w:r>
          </w:p>
        </w:tc>
        <w:tc>
          <w:tcPr>
            <w:tcW w:w="702" w:type="dxa"/>
            <w:tcBorders>
              <w:top w:val="single" w:sz="4" w:space="0" w:color="auto"/>
              <w:left w:val="nil"/>
              <w:bottom w:val="single" w:sz="4" w:space="0" w:color="auto"/>
              <w:right w:val="single" w:sz="4" w:space="0" w:color="auto"/>
            </w:tcBorders>
            <w:shd w:val="clear" w:color="000000" w:fill="FFC000"/>
            <w:vAlign w:val="center"/>
          </w:tcPr>
          <w:p w14:paraId="3AAABB23"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42900</w:t>
            </w:r>
          </w:p>
        </w:tc>
        <w:tc>
          <w:tcPr>
            <w:tcW w:w="882" w:type="dxa"/>
            <w:tcBorders>
              <w:top w:val="single" w:sz="4" w:space="0" w:color="auto"/>
              <w:left w:val="nil"/>
              <w:bottom w:val="single" w:sz="4" w:space="0" w:color="auto"/>
              <w:right w:val="single" w:sz="4" w:space="0" w:color="auto"/>
            </w:tcBorders>
            <w:shd w:val="clear" w:color="000000" w:fill="FFC000"/>
            <w:vAlign w:val="center"/>
          </w:tcPr>
          <w:p w14:paraId="42DA0EBF"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146800</w:t>
            </w:r>
          </w:p>
        </w:tc>
        <w:tc>
          <w:tcPr>
            <w:tcW w:w="812" w:type="dxa"/>
            <w:tcBorders>
              <w:top w:val="single" w:sz="8" w:space="0" w:color="auto"/>
              <w:left w:val="nil"/>
              <w:bottom w:val="single" w:sz="8" w:space="0" w:color="auto"/>
              <w:right w:val="single" w:sz="4" w:space="0" w:color="auto"/>
            </w:tcBorders>
            <w:shd w:val="clear" w:color="auto" w:fill="auto"/>
            <w:vAlign w:val="center"/>
          </w:tcPr>
          <w:p w14:paraId="427497D8"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1F1869C4" w14:textId="77777777" w:rsidTr="00085672">
        <w:trPr>
          <w:cantSplit/>
          <w:trHeight w:val="227"/>
          <w:jc w:val="center"/>
        </w:trPr>
        <w:tc>
          <w:tcPr>
            <w:tcW w:w="1023" w:type="dxa"/>
            <w:vMerge/>
            <w:vAlign w:val="center"/>
          </w:tcPr>
          <w:p w14:paraId="18FE64D8" w14:textId="77777777" w:rsidR="00085672" w:rsidRPr="005A1C76" w:rsidRDefault="00085672" w:rsidP="00085672">
            <w:pPr>
              <w:spacing w:after="0" w:line="240" w:lineRule="auto"/>
              <w:rPr>
                <w:rFonts w:eastAsia="Calibri" w:cs="Calibri"/>
                <w:sz w:val="20"/>
                <w:szCs w:val="20"/>
                <w:lang w:val="en-GB"/>
              </w:rPr>
            </w:pPr>
          </w:p>
        </w:tc>
        <w:tc>
          <w:tcPr>
            <w:tcW w:w="1633" w:type="dxa"/>
            <w:shd w:val="clear" w:color="auto" w:fill="auto"/>
            <w:vAlign w:val="center"/>
          </w:tcPr>
          <w:p w14:paraId="726F5F0C"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Brodogradilište Bijela</w:t>
            </w:r>
          </w:p>
        </w:tc>
        <w:tc>
          <w:tcPr>
            <w:tcW w:w="986" w:type="dxa"/>
            <w:shd w:val="clear" w:color="auto" w:fill="auto"/>
            <w:vAlign w:val="center"/>
          </w:tcPr>
          <w:p w14:paraId="359E527C" w14:textId="77777777" w:rsidR="00085672" w:rsidRPr="005A1C76" w:rsidRDefault="00085672" w:rsidP="00085672">
            <w:pPr>
              <w:spacing w:after="0" w:line="240" w:lineRule="auto"/>
              <w:jc w:val="center"/>
              <w:rPr>
                <w:rFonts w:eastAsia="Calibri" w:cs="Calibri"/>
                <w:sz w:val="20"/>
                <w:szCs w:val="20"/>
                <w:highlight w:val="yellow"/>
                <w:lang w:val="en-GB"/>
              </w:rPr>
            </w:pPr>
            <w:r w:rsidRPr="005A1C76">
              <w:rPr>
                <w:rFonts w:eastAsia="Calibri" w:cs="Calibri"/>
                <w:sz w:val="20"/>
                <w:szCs w:val="20"/>
                <w:lang w:val="en-GB"/>
              </w:rPr>
              <w:t>42°26.844</w:t>
            </w:r>
            <w:r w:rsidRPr="005A1C76">
              <w:rPr>
                <w:rFonts w:eastAsia="Calibri" w:cs="Calibri"/>
                <w:color w:val="000000"/>
                <w:sz w:val="20"/>
                <w:szCs w:val="20"/>
                <w:lang w:val="en-GB"/>
              </w:rPr>
              <w:t>'</w:t>
            </w:r>
          </w:p>
        </w:tc>
        <w:tc>
          <w:tcPr>
            <w:tcW w:w="1207" w:type="dxa"/>
            <w:shd w:val="clear" w:color="auto" w:fill="auto"/>
            <w:vAlign w:val="center"/>
          </w:tcPr>
          <w:p w14:paraId="15CF3418" w14:textId="77777777" w:rsidR="00085672" w:rsidRPr="005A1C76" w:rsidRDefault="00085672" w:rsidP="00085672">
            <w:pPr>
              <w:spacing w:after="0" w:line="240" w:lineRule="auto"/>
              <w:jc w:val="center"/>
              <w:rPr>
                <w:rFonts w:eastAsia="Calibri" w:cs="Calibri"/>
                <w:sz w:val="20"/>
                <w:szCs w:val="20"/>
                <w:highlight w:val="yellow"/>
                <w:lang w:val="en-GB"/>
              </w:rPr>
            </w:pPr>
            <w:r w:rsidRPr="005A1C76">
              <w:rPr>
                <w:rFonts w:eastAsia="Calibri" w:cs="Calibri"/>
                <w:sz w:val="20"/>
                <w:szCs w:val="20"/>
                <w:lang w:val="en-GB"/>
              </w:rPr>
              <w:t>018°39.140</w:t>
            </w:r>
            <w:r w:rsidRPr="005A1C76">
              <w:rPr>
                <w:rFonts w:eastAsia="Calibri" w:cs="Calibri"/>
                <w:color w:val="000000"/>
                <w:sz w:val="20"/>
                <w:szCs w:val="20"/>
                <w:lang w:val="en-GB"/>
              </w:rPr>
              <w:t>'</w:t>
            </w:r>
          </w:p>
        </w:tc>
        <w:tc>
          <w:tcPr>
            <w:tcW w:w="702" w:type="dxa"/>
            <w:tcBorders>
              <w:top w:val="nil"/>
              <w:left w:val="single" w:sz="4" w:space="0" w:color="auto"/>
              <w:bottom w:val="single" w:sz="4" w:space="0" w:color="auto"/>
              <w:right w:val="single" w:sz="4" w:space="0" w:color="auto"/>
            </w:tcBorders>
            <w:shd w:val="clear" w:color="000000" w:fill="00B0F0"/>
            <w:vAlign w:val="center"/>
          </w:tcPr>
          <w:p w14:paraId="490E366A"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891</w:t>
            </w:r>
          </w:p>
        </w:tc>
        <w:tc>
          <w:tcPr>
            <w:tcW w:w="702" w:type="dxa"/>
            <w:tcBorders>
              <w:top w:val="nil"/>
              <w:left w:val="nil"/>
              <w:bottom w:val="single" w:sz="4" w:space="0" w:color="auto"/>
              <w:right w:val="single" w:sz="4" w:space="0" w:color="auto"/>
            </w:tcBorders>
            <w:shd w:val="clear" w:color="000000" w:fill="FFC000"/>
            <w:vAlign w:val="center"/>
          </w:tcPr>
          <w:p w14:paraId="414A551A"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228</w:t>
            </w:r>
          </w:p>
        </w:tc>
        <w:tc>
          <w:tcPr>
            <w:tcW w:w="702" w:type="dxa"/>
            <w:tcBorders>
              <w:top w:val="nil"/>
              <w:left w:val="nil"/>
              <w:bottom w:val="single" w:sz="4" w:space="0" w:color="auto"/>
              <w:right w:val="single" w:sz="4" w:space="0" w:color="auto"/>
            </w:tcBorders>
            <w:shd w:val="clear" w:color="000000" w:fill="FFC000"/>
            <w:vAlign w:val="center"/>
          </w:tcPr>
          <w:p w14:paraId="5BAFA30E"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3762</w:t>
            </w:r>
          </w:p>
        </w:tc>
        <w:tc>
          <w:tcPr>
            <w:tcW w:w="702" w:type="dxa"/>
            <w:tcBorders>
              <w:top w:val="nil"/>
              <w:left w:val="nil"/>
              <w:bottom w:val="single" w:sz="4" w:space="0" w:color="auto"/>
              <w:right w:val="single" w:sz="4" w:space="0" w:color="auto"/>
            </w:tcBorders>
            <w:shd w:val="clear" w:color="000000" w:fill="FFC000"/>
            <w:vAlign w:val="center"/>
          </w:tcPr>
          <w:p w14:paraId="7C0F3D67"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11692</w:t>
            </w:r>
          </w:p>
        </w:tc>
        <w:tc>
          <w:tcPr>
            <w:tcW w:w="882" w:type="dxa"/>
            <w:tcBorders>
              <w:top w:val="nil"/>
              <w:left w:val="nil"/>
              <w:bottom w:val="single" w:sz="4" w:space="0" w:color="auto"/>
              <w:right w:val="single" w:sz="4" w:space="0" w:color="auto"/>
            </w:tcBorders>
            <w:shd w:val="clear" w:color="000000" w:fill="FFC000"/>
            <w:vAlign w:val="center"/>
          </w:tcPr>
          <w:p w14:paraId="6FB39924"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104246</w:t>
            </w:r>
          </w:p>
        </w:tc>
        <w:tc>
          <w:tcPr>
            <w:tcW w:w="812" w:type="dxa"/>
            <w:tcBorders>
              <w:top w:val="nil"/>
              <w:left w:val="nil"/>
              <w:bottom w:val="single" w:sz="8" w:space="0" w:color="auto"/>
              <w:right w:val="single" w:sz="4" w:space="0" w:color="auto"/>
            </w:tcBorders>
            <w:shd w:val="clear" w:color="auto" w:fill="auto"/>
            <w:vAlign w:val="center"/>
          </w:tcPr>
          <w:p w14:paraId="5806FCAD"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534360DD" w14:textId="77777777" w:rsidTr="00085672">
        <w:trPr>
          <w:cantSplit/>
          <w:trHeight w:val="227"/>
          <w:jc w:val="center"/>
        </w:trPr>
        <w:tc>
          <w:tcPr>
            <w:tcW w:w="1023" w:type="dxa"/>
            <w:vMerge/>
            <w:vAlign w:val="center"/>
          </w:tcPr>
          <w:p w14:paraId="069E53C8" w14:textId="77777777" w:rsidR="00085672" w:rsidRPr="005A1C76" w:rsidRDefault="00085672" w:rsidP="00085672">
            <w:pPr>
              <w:spacing w:after="0" w:line="240" w:lineRule="auto"/>
              <w:rPr>
                <w:rFonts w:eastAsia="Calibri" w:cs="Calibri"/>
                <w:sz w:val="20"/>
                <w:szCs w:val="20"/>
                <w:lang w:val="en-GB"/>
              </w:rPr>
            </w:pPr>
          </w:p>
        </w:tc>
        <w:tc>
          <w:tcPr>
            <w:tcW w:w="1633" w:type="dxa"/>
            <w:shd w:val="clear" w:color="auto" w:fill="auto"/>
            <w:vAlign w:val="center"/>
          </w:tcPr>
          <w:p w14:paraId="0300CF64"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Porto Montenegro</w:t>
            </w:r>
          </w:p>
        </w:tc>
        <w:tc>
          <w:tcPr>
            <w:tcW w:w="986" w:type="dxa"/>
            <w:shd w:val="clear" w:color="auto" w:fill="auto"/>
            <w:vAlign w:val="center"/>
          </w:tcPr>
          <w:p w14:paraId="5120D77D" w14:textId="77777777" w:rsidR="00085672" w:rsidRPr="005A1C76" w:rsidRDefault="00085672" w:rsidP="00085672">
            <w:pPr>
              <w:spacing w:after="0" w:line="240" w:lineRule="auto"/>
              <w:jc w:val="center"/>
              <w:rPr>
                <w:rFonts w:eastAsia="Calibri" w:cs="Calibri"/>
                <w:sz w:val="20"/>
                <w:szCs w:val="20"/>
                <w:highlight w:val="yellow"/>
                <w:lang w:val="en-GB"/>
              </w:rPr>
            </w:pPr>
            <w:r w:rsidRPr="005A1C76">
              <w:rPr>
                <w:rFonts w:eastAsia="Calibri" w:cs="Calibri"/>
                <w:sz w:val="20"/>
                <w:szCs w:val="20"/>
                <w:lang w:val="en-GB"/>
              </w:rPr>
              <w:t>42°26.144</w:t>
            </w:r>
            <w:r w:rsidRPr="005A1C76">
              <w:rPr>
                <w:rFonts w:eastAsia="Calibri" w:cs="Calibri"/>
                <w:color w:val="000000"/>
                <w:sz w:val="20"/>
                <w:szCs w:val="20"/>
                <w:lang w:val="en-GB"/>
              </w:rPr>
              <w:t>'</w:t>
            </w:r>
          </w:p>
        </w:tc>
        <w:tc>
          <w:tcPr>
            <w:tcW w:w="1207" w:type="dxa"/>
            <w:shd w:val="clear" w:color="auto" w:fill="auto"/>
            <w:vAlign w:val="center"/>
          </w:tcPr>
          <w:p w14:paraId="73F7BE09" w14:textId="77777777" w:rsidR="00085672" w:rsidRPr="005A1C76" w:rsidRDefault="00085672" w:rsidP="00085672">
            <w:pPr>
              <w:spacing w:after="0" w:line="240" w:lineRule="auto"/>
              <w:jc w:val="center"/>
              <w:rPr>
                <w:rFonts w:eastAsia="Calibri" w:cs="Calibri"/>
                <w:sz w:val="20"/>
                <w:szCs w:val="20"/>
                <w:highlight w:val="yellow"/>
                <w:lang w:val="en-GB"/>
              </w:rPr>
            </w:pPr>
            <w:r w:rsidRPr="005A1C76">
              <w:rPr>
                <w:rFonts w:eastAsia="Calibri" w:cs="Calibri"/>
                <w:sz w:val="20"/>
                <w:szCs w:val="20"/>
                <w:lang w:val="en-GB"/>
              </w:rPr>
              <w:t>018°41.405</w:t>
            </w:r>
            <w:r w:rsidRPr="005A1C76">
              <w:rPr>
                <w:rFonts w:eastAsia="Calibri" w:cs="Calibri"/>
                <w:color w:val="000000"/>
                <w:sz w:val="20"/>
                <w:szCs w:val="20"/>
                <w:lang w:val="en-GB"/>
              </w:rPr>
              <w:t>'</w:t>
            </w:r>
          </w:p>
        </w:tc>
        <w:tc>
          <w:tcPr>
            <w:tcW w:w="702" w:type="dxa"/>
            <w:tcBorders>
              <w:top w:val="nil"/>
              <w:left w:val="single" w:sz="4" w:space="0" w:color="auto"/>
              <w:bottom w:val="single" w:sz="4" w:space="0" w:color="auto"/>
              <w:right w:val="single" w:sz="4" w:space="0" w:color="auto"/>
            </w:tcBorders>
            <w:shd w:val="clear" w:color="000000" w:fill="00B0F0"/>
            <w:vAlign w:val="center"/>
          </w:tcPr>
          <w:p w14:paraId="02425822"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671</w:t>
            </w:r>
          </w:p>
        </w:tc>
        <w:tc>
          <w:tcPr>
            <w:tcW w:w="702" w:type="dxa"/>
            <w:tcBorders>
              <w:top w:val="nil"/>
              <w:left w:val="nil"/>
              <w:bottom w:val="single" w:sz="4" w:space="0" w:color="auto"/>
              <w:right w:val="single" w:sz="4" w:space="0" w:color="auto"/>
            </w:tcBorders>
            <w:shd w:val="clear" w:color="000000" w:fill="FFC000"/>
            <w:vAlign w:val="center"/>
          </w:tcPr>
          <w:p w14:paraId="463BC361"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242</w:t>
            </w:r>
          </w:p>
        </w:tc>
        <w:tc>
          <w:tcPr>
            <w:tcW w:w="702" w:type="dxa"/>
            <w:tcBorders>
              <w:top w:val="nil"/>
              <w:left w:val="nil"/>
              <w:bottom w:val="single" w:sz="4" w:space="0" w:color="auto"/>
              <w:right w:val="single" w:sz="4" w:space="0" w:color="auto"/>
            </w:tcBorders>
            <w:shd w:val="clear" w:color="000000" w:fill="00B0F0"/>
            <w:vAlign w:val="center"/>
          </w:tcPr>
          <w:p w14:paraId="7DC32E76"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2105</w:t>
            </w:r>
          </w:p>
        </w:tc>
        <w:tc>
          <w:tcPr>
            <w:tcW w:w="702" w:type="dxa"/>
            <w:tcBorders>
              <w:top w:val="nil"/>
              <w:left w:val="nil"/>
              <w:bottom w:val="single" w:sz="4" w:space="0" w:color="auto"/>
              <w:right w:val="single" w:sz="4" w:space="0" w:color="auto"/>
            </w:tcBorders>
            <w:shd w:val="clear" w:color="000000" w:fill="FFC000"/>
            <w:vAlign w:val="center"/>
          </w:tcPr>
          <w:p w14:paraId="43DA6DFC"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7734</w:t>
            </w:r>
          </w:p>
        </w:tc>
        <w:tc>
          <w:tcPr>
            <w:tcW w:w="882" w:type="dxa"/>
            <w:tcBorders>
              <w:top w:val="nil"/>
              <w:left w:val="nil"/>
              <w:bottom w:val="single" w:sz="4" w:space="0" w:color="auto"/>
              <w:right w:val="single" w:sz="4" w:space="0" w:color="auto"/>
            </w:tcBorders>
            <w:shd w:val="clear" w:color="000000" w:fill="FFC000"/>
            <w:vAlign w:val="center"/>
          </w:tcPr>
          <w:p w14:paraId="2DBA45F9"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84725</w:t>
            </w:r>
          </w:p>
        </w:tc>
        <w:tc>
          <w:tcPr>
            <w:tcW w:w="812" w:type="dxa"/>
            <w:tcBorders>
              <w:top w:val="nil"/>
              <w:left w:val="nil"/>
              <w:bottom w:val="single" w:sz="8" w:space="0" w:color="auto"/>
              <w:right w:val="single" w:sz="4" w:space="0" w:color="auto"/>
            </w:tcBorders>
            <w:shd w:val="clear" w:color="auto" w:fill="auto"/>
            <w:vAlign w:val="center"/>
          </w:tcPr>
          <w:p w14:paraId="5E1B2ABC"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28989C84" w14:textId="77777777" w:rsidTr="00085672">
        <w:trPr>
          <w:cantSplit/>
          <w:trHeight w:val="227"/>
          <w:jc w:val="center"/>
        </w:trPr>
        <w:tc>
          <w:tcPr>
            <w:tcW w:w="1023" w:type="dxa"/>
            <w:vMerge/>
            <w:vAlign w:val="center"/>
          </w:tcPr>
          <w:p w14:paraId="5AE7CDB5" w14:textId="77777777" w:rsidR="00085672" w:rsidRPr="005A1C76" w:rsidRDefault="00085672" w:rsidP="00085672">
            <w:pPr>
              <w:spacing w:after="0" w:line="240" w:lineRule="auto"/>
              <w:rPr>
                <w:rFonts w:eastAsia="Calibri" w:cs="Calibri"/>
                <w:sz w:val="20"/>
                <w:szCs w:val="20"/>
                <w:lang w:val="en-GB"/>
              </w:rPr>
            </w:pPr>
          </w:p>
        </w:tc>
        <w:tc>
          <w:tcPr>
            <w:tcW w:w="1633" w:type="dxa"/>
            <w:shd w:val="clear" w:color="auto" w:fill="auto"/>
            <w:vAlign w:val="center"/>
          </w:tcPr>
          <w:p w14:paraId="09CB8747"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Tivat</w:t>
            </w:r>
          </w:p>
        </w:tc>
        <w:tc>
          <w:tcPr>
            <w:tcW w:w="986" w:type="dxa"/>
            <w:shd w:val="clear" w:color="auto" w:fill="auto"/>
            <w:vAlign w:val="center"/>
          </w:tcPr>
          <w:p w14:paraId="60115F32" w14:textId="77777777" w:rsidR="00085672" w:rsidRPr="005A1C76" w:rsidRDefault="00085672" w:rsidP="00085672">
            <w:pPr>
              <w:spacing w:after="0" w:line="240" w:lineRule="auto"/>
              <w:jc w:val="center"/>
              <w:rPr>
                <w:rFonts w:eastAsia="Calibri" w:cs="Calibri"/>
                <w:sz w:val="20"/>
                <w:szCs w:val="20"/>
                <w:highlight w:val="yellow"/>
                <w:lang w:val="en-GB"/>
              </w:rPr>
            </w:pPr>
            <w:r w:rsidRPr="005A1C76">
              <w:rPr>
                <w:rFonts w:eastAsia="Calibri" w:cs="Calibri"/>
                <w:sz w:val="20"/>
                <w:szCs w:val="20"/>
                <w:lang w:val="en-GB"/>
              </w:rPr>
              <w:t>42°25.626</w:t>
            </w:r>
            <w:r w:rsidRPr="005A1C76">
              <w:rPr>
                <w:rFonts w:eastAsia="Calibri" w:cs="Calibri"/>
                <w:color w:val="000000"/>
                <w:sz w:val="20"/>
                <w:szCs w:val="20"/>
                <w:lang w:val="en-GB"/>
              </w:rPr>
              <w:t>'</w:t>
            </w:r>
          </w:p>
        </w:tc>
        <w:tc>
          <w:tcPr>
            <w:tcW w:w="1207" w:type="dxa"/>
            <w:shd w:val="clear" w:color="auto" w:fill="auto"/>
            <w:vAlign w:val="center"/>
          </w:tcPr>
          <w:p w14:paraId="157DE80B" w14:textId="77777777" w:rsidR="00085672" w:rsidRPr="005A1C76" w:rsidRDefault="00085672" w:rsidP="00085672">
            <w:pPr>
              <w:spacing w:after="0" w:line="240" w:lineRule="auto"/>
              <w:jc w:val="center"/>
              <w:rPr>
                <w:rFonts w:eastAsia="Calibri" w:cs="Calibri"/>
                <w:sz w:val="20"/>
                <w:szCs w:val="20"/>
                <w:highlight w:val="yellow"/>
                <w:lang w:val="en-GB"/>
              </w:rPr>
            </w:pPr>
            <w:r w:rsidRPr="005A1C76">
              <w:rPr>
                <w:rFonts w:eastAsia="Calibri" w:cs="Calibri"/>
                <w:sz w:val="20"/>
                <w:szCs w:val="20"/>
                <w:lang w:val="en-GB"/>
              </w:rPr>
              <w:t>018°42.023</w:t>
            </w:r>
            <w:r w:rsidRPr="005A1C76">
              <w:rPr>
                <w:rFonts w:eastAsia="Calibri" w:cs="Calibri"/>
                <w:color w:val="000000"/>
                <w:sz w:val="20"/>
                <w:szCs w:val="20"/>
                <w:lang w:val="en-GB"/>
              </w:rPr>
              <w:t>'</w:t>
            </w:r>
          </w:p>
        </w:tc>
        <w:tc>
          <w:tcPr>
            <w:tcW w:w="702" w:type="dxa"/>
            <w:tcBorders>
              <w:top w:val="nil"/>
              <w:left w:val="single" w:sz="4" w:space="0" w:color="auto"/>
              <w:bottom w:val="single" w:sz="4" w:space="0" w:color="auto"/>
              <w:right w:val="single" w:sz="4" w:space="0" w:color="auto"/>
            </w:tcBorders>
            <w:shd w:val="clear" w:color="000000" w:fill="FFC000"/>
            <w:vAlign w:val="center"/>
          </w:tcPr>
          <w:p w14:paraId="1A3BB089"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2913</w:t>
            </w:r>
          </w:p>
        </w:tc>
        <w:tc>
          <w:tcPr>
            <w:tcW w:w="702" w:type="dxa"/>
            <w:tcBorders>
              <w:top w:val="nil"/>
              <w:left w:val="nil"/>
              <w:bottom w:val="single" w:sz="4" w:space="0" w:color="auto"/>
              <w:right w:val="single" w:sz="4" w:space="0" w:color="auto"/>
            </w:tcBorders>
            <w:shd w:val="clear" w:color="000000" w:fill="FFC000"/>
            <w:vAlign w:val="center"/>
          </w:tcPr>
          <w:p w14:paraId="7EF036A1"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819</w:t>
            </w:r>
          </w:p>
        </w:tc>
        <w:tc>
          <w:tcPr>
            <w:tcW w:w="702" w:type="dxa"/>
            <w:tcBorders>
              <w:top w:val="nil"/>
              <w:left w:val="nil"/>
              <w:bottom w:val="single" w:sz="4" w:space="0" w:color="auto"/>
              <w:right w:val="single" w:sz="4" w:space="0" w:color="auto"/>
            </w:tcBorders>
            <w:shd w:val="clear" w:color="000000" w:fill="FF0000"/>
            <w:vAlign w:val="center"/>
          </w:tcPr>
          <w:p w14:paraId="606CCDE6"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17935</w:t>
            </w:r>
          </w:p>
        </w:tc>
        <w:tc>
          <w:tcPr>
            <w:tcW w:w="702" w:type="dxa"/>
            <w:tcBorders>
              <w:top w:val="nil"/>
              <w:left w:val="nil"/>
              <w:bottom w:val="single" w:sz="4" w:space="0" w:color="auto"/>
              <w:right w:val="single" w:sz="4" w:space="0" w:color="auto"/>
            </w:tcBorders>
            <w:shd w:val="clear" w:color="000000" w:fill="FFC000"/>
            <w:vAlign w:val="center"/>
          </w:tcPr>
          <w:p w14:paraId="4923E3DE"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24275</w:t>
            </w:r>
          </w:p>
        </w:tc>
        <w:tc>
          <w:tcPr>
            <w:tcW w:w="882" w:type="dxa"/>
            <w:tcBorders>
              <w:top w:val="nil"/>
              <w:left w:val="nil"/>
              <w:bottom w:val="single" w:sz="4" w:space="0" w:color="auto"/>
              <w:right w:val="single" w:sz="4" w:space="0" w:color="auto"/>
            </w:tcBorders>
            <w:shd w:val="clear" w:color="000000" w:fill="FFC000"/>
            <w:vAlign w:val="center"/>
          </w:tcPr>
          <w:p w14:paraId="00E9AA66"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395966</w:t>
            </w:r>
          </w:p>
        </w:tc>
        <w:tc>
          <w:tcPr>
            <w:tcW w:w="812" w:type="dxa"/>
            <w:tcBorders>
              <w:top w:val="nil"/>
              <w:left w:val="nil"/>
              <w:bottom w:val="single" w:sz="8" w:space="0" w:color="auto"/>
              <w:right w:val="single" w:sz="4" w:space="0" w:color="auto"/>
            </w:tcBorders>
            <w:shd w:val="clear" w:color="auto" w:fill="auto"/>
            <w:vAlign w:val="center"/>
          </w:tcPr>
          <w:p w14:paraId="1F3AAA01"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10364187" w14:textId="77777777" w:rsidTr="00085672">
        <w:trPr>
          <w:cantSplit/>
          <w:trHeight w:val="260"/>
          <w:jc w:val="center"/>
        </w:trPr>
        <w:tc>
          <w:tcPr>
            <w:tcW w:w="1023" w:type="dxa"/>
            <w:vMerge/>
            <w:vAlign w:val="center"/>
          </w:tcPr>
          <w:p w14:paraId="01B9431E" w14:textId="77777777" w:rsidR="00085672" w:rsidRPr="005A1C76" w:rsidRDefault="00085672" w:rsidP="00085672">
            <w:pPr>
              <w:spacing w:after="0" w:line="240" w:lineRule="auto"/>
              <w:rPr>
                <w:rFonts w:eastAsia="Calibri" w:cs="Calibri"/>
                <w:sz w:val="20"/>
                <w:szCs w:val="20"/>
                <w:lang w:val="en-GB"/>
              </w:rPr>
            </w:pPr>
          </w:p>
        </w:tc>
        <w:tc>
          <w:tcPr>
            <w:tcW w:w="1633" w:type="dxa"/>
            <w:shd w:val="clear" w:color="auto" w:fill="auto"/>
            <w:vAlign w:val="center"/>
          </w:tcPr>
          <w:p w14:paraId="3B5098D9"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Risan</w:t>
            </w:r>
          </w:p>
        </w:tc>
        <w:tc>
          <w:tcPr>
            <w:tcW w:w="986" w:type="dxa"/>
            <w:shd w:val="clear" w:color="auto" w:fill="auto"/>
            <w:vAlign w:val="center"/>
          </w:tcPr>
          <w:p w14:paraId="1E048ED9" w14:textId="77777777" w:rsidR="00085672" w:rsidRPr="005A1C76" w:rsidRDefault="00085672" w:rsidP="00085672">
            <w:pPr>
              <w:spacing w:after="0" w:line="240" w:lineRule="auto"/>
              <w:jc w:val="center"/>
              <w:rPr>
                <w:rFonts w:eastAsia="Calibri" w:cs="Calibri"/>
                <w:sz w:val="20"/>
                <w:szCs w:val="20"/>
                <w:highlight w:val="yellow"/>
                <w:lang w:val="en-GB"/>
              </w:rPr>
            </w:pPr>
            <w:r w:rsidRPr="005A1C76">
              <w:rPr>
                <w:rFonts w:eastAsia="Calibri" w:cs="Calibri"/>
                <w:sz w:val="20"/>
                <w:szCs w:val="20"/>
                <w:lang w:val="en-GB"/>
              </w:rPr>
              <w:t>42°30.805</w:t>
            </w:r>
            <w:r w:rsidRPr="005A1C76">
              <w:rPr>
                <w:rFonts w:eastAsia="Calibri" w:cs="Calibri"/>
                <w:color w:val="000000"/>
                <w:sz w:val="20"/>
                <w:szCs w:val="20"/>
                <w:lang w:val="en-GB"/>
              </w:rPr>
              <w:t>'</w:t>
            </w:r>
          </w:p>
        </w:tc>
        <w:tc>
          <w:tcPr>
            <w:tcW w:w="1207" w:type="dxa"/>
            <w:shd w:val="clear" w:color="auto" w:fill="auto"/>
            <w:vAlign w:val="center"/>
          </w:tcPr>
          <w:p w14:paraId="2FE8CAA3" w14:textId="77777777" w:rsidR="00085672" w:rsidRPr="005A1C76" w:rsidRDefault="00085672" w:rsidP="00085672">
            <w:pPr>
              <w:spacing w:after="0" w:line="240" w:lineRule="auto"/>
              <w:jc w:val="center"/>
              <w:rPr>
                <w:rFonts w:eastAsia="Calibri" w:cs="Calibri"/>
                <w:sz w:val="20"/>
                <w:szCs w:val="20"/>
                <w:highlight w:val="yellow"/>
                <w:lang w:val="en-GB"/>
              </w:rPr>
            </w:pPr>
            <w:r w:rsidRPr="005A1C76">
              <w:rPr>
                <w:rFonts w:eastAsia="Calibri" w:cs="Calibri"/>
                <w:sz w:val="20"/>
                <w:szCs w:val="20"/>
                <w:lang w:val="en-GB"/>
              </w:rPr>
              <w:t>018°41.640</w:t>
            </w:r>
            <w:r w:rsidRPr="005A1C76">
              <w:rPr>
                <w:rFonts w:eastAsia="Calibri" w:cs="Calibri"/>
                <w:color w:val="000000"/>
                <w:sz w:val="20"/>
                <w:szCs w:val="20"/>
                <w:lang w:val="en-GB"/>
              </w:rPr>
              <w:t>'</w:t>
            </w:r>
          </w:p>
        </w:tc>
        <w:tc>
          <w:tcPr>
            <w:tcW w:w="702" w:type="dxa"/>
            <w:tcBorders>
              <w:top w:val="nil"/>
              <w:left w:val="single" w:sz="4" w:space="0" w:color="auto"/>
              <w:bottom w:val="single" w:sz="4" w:space="0" w:color="auto"/>
              <w:right w:val="single" w:sz="4" w:space="0" w:color="auto"/>
            </w:tcBorders>
            <w:shd w:val="clear" w:color="000000" w:fill="00B0F0"/>
            <w:vAlign w:val="center"/>
          </w:tcPr>
          <w:p w14:paraId="10B2A4B6"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1018</w:t>
            </w:r>
          </w:p>
        </w:tc>
        <w:tc>
          <w:tcPr>
            <w:tcW w:w="702" w:type="dxa"/>
            <w:tcBorders>
              <w:top w:val="nil"/>
              <w:left w:val="nil"/>
              <w:bottom w:val="single" w:sz="4" w:space="0" w:color="auto"/>
              <w:right w:val="single" w:sz="4" w:space="0" w:color="auto"/>
            </w:tcBorders>
            <w:shd w:val="clear" w:color="000000" w:fill="00B0F0"/>
            <w:vAlign w:val="center"/>
          </w:tcPr>
          <w:p w14:paraId="30659743"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154</w:t>
            </w:r>
          </w:p>
        </w:tc>
        <w:tc>
          <w:tcPr>
            <w:tcW w:w="702" w:type="dxa"/>
            <w:tcBorders>
              <w:top w:val="nil"/>
              <w:left w:val="nil"/>
              <w:bottom w:val="single" w:sz="4" w:space="0" w:color="auto"/>
              <w:right w:val="single" w:sz="4" w:space="0" w:color="auto"/>
            </w:tcBorders>
            <w:shd w:val="clear" w:color="000000" w:fill="00B0F0"/>
            <w:vAlign w:val="center"/>
          </w:tcPr>
          <w:p w14:paraId="4468A135"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776</w:t>
            </w:r>
          </w:p>
        </w:tc>
        <w:tc>
          <w:tcPr>
            <w:tcW w:w="702" w:type="dxa"/>
            <w:tcBorders>
              <w:top w:val="nil"/>
              <w:left w:val="nil"/>
              <w:bottom w:val="single" w:sz="4" w:space="0" w:color="auto"/>
              <w:right w:val="single" w:sz="4" w:space="0" w:color="auto"/>
            </w:tcBorders>
            <w:shd w:val="clear" w:color="000000" w:fill="FFC000"/>
            <w:vAlign w:val="center"/>
          </w:tcPr>
          <w:p w14:paraId="7CFD4D1C"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11039</w:t>
            </w:r>
          </w:p>
        </w:tc>
        <w:tc>
          <w:tcPr>
            <w:tcW w:w="882" w:type="dxa"/>
            <w:tcBorders>
              <w:top w:val="nil"/>
              <w:left w:val="nil"/>
              <w:bottom w:val="single" w:sz="4" w:space="0" w:color="auto"/>
              <w:right w:val="single" w:sz="4" w:space="0" w:color="auto"/>
            </w:tcBorders>
            <w:shd w:val="clear" w:color="000000" w:fill="FFC000"/>
            <w:vAlign w:val="center"/>
          </w:tcPr>
          <w:p w14:paraId="1C8429BA"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96080</w:t>
            </w:r>
          </w:p>
        </w:tc>
        <w:tc>
          <w:tcPr>
            <w:tcW w:w="812" w:type="dxa"/>
            <w:tcBorders>
              <w:top w:val="nil"/>
              <w:left w:val="nil"/>
              <w:bottom w:val="single" w:sz="8" w:space="0" w:color="auto"/>
              <w:right w:val="single" w:sz="4" w:space="0" w:color="auto"/>
            </w:tcBorders>
            <w:shd w:val="clear" w:color="auto" w:fill="auto"/>
            <w:vAlign w:val="center"/>
          </w:tcPr>
          <w:p w14:paraId="15419678"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04A28492" w14:textId="77777777" w:rsidTr="00085672">
        <w:trPr>
          <w:cantSplit/>
          <w:trHeight w:val="260"/>
          <w:jc w:val="center"/>
        </w:trPr>
        <w:tc>
          <w:tcPr>
            <w:tcW w:w="1023" w:type="dxa"/>
            <w:vMerge/>
            <w:vAlign w:val="center"/>
          </w:tcPr>
          <w:p w14:paraId="0C7C99E9" w14:textId="77777777" w:rsidR="00085672" w:rsidRPr="005A1C76" w:rsidRDefault="00085672" w:rsidP="00085672">
            <w:pPr>
              <w:spacing w:after="0" w:line="240" w:lineRule="auto"/>
              <w:rPr>
                <w:rFonts w:eastAsia="Calibri" w:cs="Calibri"/>
                <w:sz w:val="20"/>
                <w:szCs w:val="20"/>
                <w:lang w:val="en-GB"/>
              </w:rPr>
            </w:pPr>
          </w:p>
        </w:tc>
        <w:tc>
          <w:tcPr>
            <w:tcW w:w="1633" w:type="dxa"/>
            <w:shd w:val="clear" w:color="auto" w:fill="auto"/>
            <w:vAlign w:val="center"/>
          </w:tcPr>
          <w:p w14:paraId="23292629"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Orahovac</w:t>
            </w:r>
          </w:p>
        </w:tc>
        <w:tc>
          <w:tcPr>
            <w:tcW w:w="986" w:type="dxa"/>
            <w:shd w:val="clear" w:color="auto" w:fill="auto"/>
            <w:vAlign w:val="center"/>
          </w:tcPr>
          <w:p w14:paraId="7CA9B44E" w14:textId="77777777" w:rsidR="00085672" w:rsidRPr="005A1C76" w:rsidRDefault="00085672" w:rsidP="00085672">
            <w:pPr>
              <w:spacing w:after="0" w:line="240" w:lineRule="auto"/>
              <w:jc w:val="center"/>
              <w:rPr>
                <w:rFonts w:eastAsia="Calibri" w:cs="Calibri"/>
                <w:sz w:val="20"/>
                <w:szCs w:val="20"/>
                <w:highlight w:val="yellow"/>
                <w:lang w:val="en-GB"/>
              </w:rPr>
            </w:pPr>
            <w:r w:rsidRPr="005A1C76">
              <w:rPr>
                <w:rFonts w:eastAsia="Calibri" w:cs="Calibri"/>
                <w:sz w:val="20"/>
                <w:szCs w:val="20"/>
                <w:lang w:val="en-GB"/>
              </w:rPr>
              <w:t>42°29.094</w:t>
            </w:r>
            <w:r w:rsidRPr="005A1C76">
              <w:rPr>
                <w:rFonts w:eastAsia="Calibri" w:cs="Calibri"/>
                <w:color w:val="000000"/>
                <w:sz w:val="20"/>
                <w:szCs w:val="20"/>
                <w:lang w:val="en-GB"/>
              </w:rPr>
              <w:t>'</w:t>
            </w:r>
          </w:p>
        </w:tc>
        <w:tc>
          <w:tcPr>
            <w:tcW w:w="1207" w:type="dxa"/>
            <w:shd w:val="clear" w:color="auto" w:fill="auto"/>
            <w:vAlign w:val="center"/>
          </w:tcPr>
          <w:p w14:paraId="15770422" w14:textId="77777777" w:rsidR="00085672" w:rsidRPr="005A1C76" w:rsidRDefault="00085672" w:rsidP="00085672">
            <w:pPr>
              <w:spacing w:after="0" w:line="240" w:lineRule="auto"/>
              <w:jc w:val="center"/>
              <w:rPr>
                <w:rFonts w:eastAsia="Calibri" w:cs="Calibri"/>
                <w:sz w:val="20"/>
                <w:szCs w:val="20"/>
                <w:highlight w:val="yellow"/>
                <w:lang w:val="en-GB"/>
              </w:rPr>
            </w:pPr>
            <w:r w:rsidRPr="005A1C76">
              <w:rPr>
                <w:rFonts w:eastAsia="Calibri" w:cs="Calibri"/>
                <w:sz w:val="20"/>
                <w:szCs w:val="20"/>
                <w:lang w:val="en-GB"/>
              </w:rPr>
              <w:t>018°45.773</w:t>
            </w:r>
            <w:r w:rsidRPr="005A1C76">
              <w:rPr>
                <w:rFonts w:eastAsia="Calibri" w:cs="Calibri"/>
                <w:color w:val="000000"/>
                <w:sz w:val="20"/>
                <w:szCs w:val="20"/>
                <w:lang w:val="en-GB"/>
              </w:rPr>
              <w:t>'</w:t>
            </w:r>
          </w:p>
        </w:tc>
        <w:tc>
          <w:tcPr>
            <w:tcW w:w="702" w:type="dxa"/>
            <w:tcBorders>
              <w:top w:val="nil"/>
              <w:left w:val="single" w:sz="4" w:space="0" w:color="auto"/>
              <w:bottom w:val="single" w:sz="4" w:space="0" w:color="auto"/>
              <w:right w:val="single" w:sz="4" w:space="0" w:color="auto"/>
            </w:tcBorders>
            <w:shd w:val="clear" w:color="000000" w:fill="00B0F0"/>
            <w:vAlign w:val="center"/>
          </w:tcPr>
          <w:p w14:paraId="11E64021"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739</w:t>
            </w:r>
          </w:p>
        </w:tc>
        <w:tc>
          <w:tcPr>
            <w:tcW w:w="702" w:type="dxa"/>
            <w:tcBorders>
              <w:top w:val="nil"/>
              <w:left w:val="nil"/>
              <w:bottom w:val="single" w:sz="4" w:space="0" w:color="auto"/>
              <w:right w:val="single" w:sz="4" w:space="0" w:color="auto"/>
            </w:tcBorders>
            <w:shd w:val="clear" w:color="000000" w:fill="00B0F0"/>
            <w:vAlign w:val="center"/>
          </w:tcPr>
          <w:p w14:paraId="4936F92C"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120</w:t>
            </w:r>
          </w:p>
        </w:tc>
        <w:tc>
          <w:tcPr>
            <w:tcW w:w="702" w:type="dxa"/>
            <w:tcBorders>
              <w:top w:val="nil"/>
              <w:left w:val="nil"/>
              <w:bottom w:val="single" w:sz="4" w:space="0" w:color="auto"/>
              <w:right w:val="single" w:sz="4" w:space="0" w:color="auto"/>
            </w:tcBorders>
            <w:shd w:val="clear" w:color="000000" w:fill="00B0F0"/>
            <w:vAlign w:val="center"/>
          </w:tcPr>
          <w:p w14:paraId="5D01D5E3"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918</w:t>
            </w:r>
          </w:p>
        </w:tc>
        <w:tc>
          <w:tcPr>
            <w:tcW w:w="702" w:type="dxa"/>
            <w:tcBorders>
              <w:top w:val="nil"/>
              <w:left w:val="nil"/>
              <w:bottom w:val="single" w:sz="4" w:space="0" w:color="auto"/>
              <w:right w:val="single" w:sz="4" w:space="0" w:color="auto"/>
            </w:tcBorders>
            <w:shd w:val="clear" w:color="000000" w:fill="FFC000"/>
            <w:vAlign w:val="center"/>
          </w:tcPr>
          <w:p w14:paraId="2A775B8E"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6233</w:t>
            </w:r>
          </w:p>
        </w:tc>
        <w:tc>
          <w:tcPr>
            <w:tcW w:w="882" w:type="dxa"/>
            <w:tcBorders>
              <w:top w:val="nil"/>
              <w:left w:val="nil"/>
              <w:bottom w:val="single" w:sz="4" w:space="0" w:color="auto"/>
              <w:right w:val="single" w:sz="4" w:space="0" w:color="auto"/>
            </w:tcBorders>
            <w:shd w:val="clear" w:color="000000" w:fill="FFC000"/>
            <w:vAlign w:val="center"/>
          </w:tcPr>
          <w:p w14:paraId="40001441"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92485</w:t>
            </w:r>
          </w:p>
        </w:tc>
        <w:tc>
          <w:tcPr>
            <w:tcW w:w="812" w:type="dxa"/>
            <w:tcBorders>
              <w:top w:val="nil"/>
              <w:left w:val="nil"/>
              <w:bottom w:val="single" w:sz="8" w:space="0" w:color="auto"/>
              <w:right w:val="single" w:sz="4" w:space="0" w:color="auto"/>
            </w:tcBorders>
            <w:shd w:val="clear" w:color="auto" w:fill="auto"/>
            <w:vAlign w:val="center"/>
          </w:tcPr>
          <w:p w14:paraId="5E15C7E5"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CR</w:t>
            </w:r>
          </w:p>
        </w:tc>
      </w:tr>
      <w:tr w:rsidR="00085672" w:rsidRPr="005A1C76" w14:paraId="06725657" w14:textId="77777777" w:rsidTr="00085672">
        <w:trPr>
          <w:cantSplit/>
          <w:trHeight w:val="227"/>
          <w:jc w:val="center"/>
        </w:trPr>
        <w:tc>
          <w:tcPr>
            <w:tcW w:w="1023" w:type="dxa"/>
            <w:vMerge/>
            <w:vAlign w:val="center"/>
          </w:tcPr>
          <w:p w14:paraId="69C4897D" w14:textId="77777777" w:rsidR="00085672" w:rsidRPr="005A1C76" w:rsidRDefault="00085672" w:rsidP="00085672">
            <w:pPr>
              <w:spacing w:after="0" w:line="240" w:lineRule="auto"/>
              <w:rPr>
                <w:rFonts w:eastAsia="Calibri" w:cs="Calibri"/>
                <w:sz w:val="20"/>
                <w:szCs w:val="20"/>
                <w:lang w:val="en-GB"/>
              </w:rPr>
            </w:pPr>
          </w:p>
        </w:tc>
        <w:tc>
          <w:tcPr>
            <w:tcW w:w="1633" w:type="dxa"/>
            <w:shd w:val="clear" w:color="auto" w:fill="auto"/>
            <w:vAlign w:val="center"/>
          </w:tcPr>
          <w:p w14:paraId="33DB5FF2"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IBM-Dobrota</w:t>
            </w:r>
          </w:p>
        </w:tc>
        <w:tc>
          <w:tcPr>
            <w:tcW w:w="986" w:type="dxa"/>
            <w:shd w:val="clear" w:color="auto" w:fill="auto"/>
            <w:vAlign w:val="center"/>
          </w:tcPr>
          <w:p w14:paraId="01FC9119" w14:textId="77777777" w:rsidR="00085672" w:rsidRPr="005A1C76" w:rsidRDefault="00085672" w:rsidP="00085672">
            <w:pPr>
              <w:spacing w:after="0" w:line="240" w:lineRule="auto"/>
              <w:jc w:val="center"/>
              <w:rPr>
                <w:rFonts w:eastAsia="Calibri" w:cs="Calibri"/>
                <w:sz w:val="20"/>
                <w:szCs w:val="20"/>
                <w:highlight w:val="yellow"/>
                <w:lang w:val="en-GB"/>
              </w:rPr>
            </w:pPr>
            <w:r w:rsidRPr="005A1C76">
              <w:rPr>
                <w:rFonts w:eastAsia="Calibri" w:cs="Calibri"/>
                <w:sz w:val="20"/>
                <w:szCs w:val="20"/>
                <w:lang w:val="en-GB"/>
              </w:rPr>
              <w:t>42°26.178</w:t>
            </w:r>
            <w:r w:rsidRPr="005A1C76">
              <w:rPr>
                <w:rFonts w:eastAsia="Calibri" w:cs="Calibri"/>
                <w:color w:val="000000"/>
                <w:sz w:val="20"/>
                <w:szCs w:val="20"/>
                <w:lang w:val="en-GB"/>
              </w:rPr>
              <w:t>'</w:t>
            </w:r>
          </w:p>
        </w:tc>
        <w:tc>
          <w:tcPr>
            <w:tcW w:w="1207" w:type="dxa"/>
            <w:shd w:val="clear" w:color="auto" w:fill="auto"/>
            <w:vAlign w:val="center"/>
          </w:tcPr>
          <w:p w14:paraId="515718D0" w14:textId="77777777" w:rsidR="00085672" w:rsidRPr="005A1C76" w:rsidRDefault="00085672" w:rsidP="00085672">
            <w:pPr>
              <w:spacing w:after="0" w:line="240" w:lineRule="auto"/>
              <w:jc w:val="center"/>
              <w:rPr>
                <w:rFonts w:eastAsia="Calibri" w:cs="Calibri"/>
                <w:sz w:val="20"/>
                <w:szCs w:val="20"/>
                <w:highlight w:val="yellow"/>
                <w:lang w:val="en-GB"/>
              </w:rPr>
            </w:pPr>
            <w:r w:rsidRPr="005A1C76">
              <w:rPr>
                <w:rFonts w:eastAsia="Calibri" w:cs="Calibri"/>
                <w:sz w:val="20"/>
                <w:szCs w:val="20"/>
                <w:lang w:val="en-GB"/>
              </w:rPr>
              <w:t>018°45.650</w:t>
            </w:r>
            <w:r w:rsidRPr="005A1C76">
              <w:rPr>
                <w:rFonts w:eastAsia="Calibri" w:cs="Calibri"/>
                <w:color w:val="000000"/>
                <w:sz w:val="20"/>
                <w:szCs w:val="20"/>
                <w:lang w:val="en-GB"/>
              </w:rPr>
              <w:t>'</w:t>
            </w:r>
          </w:p>
        </w:tc>
        <w:tc>
          <w:tcPr>
            <w:tcW w:w="702" w:type="dxa"/>
            <w:tcBorders>
              <w:top w:val="nil"/>
              <w:left w:val="single" w:sz="4" w:space="0" w:color="auto"/>
              <w:bottom w:val="single" w:sz="4" w:space="0" w:color="auto"/>
              <w:right w:val="single" w:sz="4" w:space="0" w:color="auto"/>
            </w:tcBorders>
            <w:shd w:val="clear" w:color="000000" w:fill="00B0F0"/>
            <w:vAlign w:val="center"/>
          </w:tcPr>
          <w:p w14:paraId="155FCE44"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811</w:t>
            </w:r>
          </w:p>
        </w:tc>
        <w:tc>
          <w:tcPr>
            <w:tcW w:w="702" w:type="dxa"/>
            <w:tcBorders>
              <w:top w:val="nil"/>
              <w:left w:val="nil"/>
              <w:bottom w:val="single" w:sz="4" w:space="0" w:color="auto"/>
              <w:right w:val="single" w:sz="4" w:space="0" w:color="auto"/>
            </w:tcBorders>
            <w:shd w:val="clear" w:color="000000" w:fill="00B0F0"/>
            <w:vAlign w:val="center"/>
          </w:tcPr>
          <w:p w14:paraId="1778C3FF"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139</w:t>
            </w:r>
          </w:p>
        </w:tc>
        <w:tc>
          <w:tcPr>
            <w:tcW w:w="702" w:type="dxa"/>
            <w:tcBorders>
              <w:top w:val="nil"/>
              <w:left w:val="nil"/>
              <w:bottom w:val="single" w:sz="4" w:space="0" w:color="auto"/>
              <w:right w:val="single" w:sz="4" w:space="0" w:color="auto"/>
            </w:tcBorders>
            <w:shd w:val="clear" w:color="000000" w:fill="00B0F0"/>
            <w:vAlign w:val="center"/>
          </w:tcPr>
          <w:p w14:paraId="0F03D772"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1681</w:t>
            </w:r>
          </w:p>
        </w:tc>
        <w:tc>
          <w:tcPr>
            <w:tcW w:w="702" w:type="dxa"/>
            <w:tcBorders>
              <w:top w:val="nil"/>
              <w:left w:val="nil"/>
              <w:bottom w:val="single" w:sz="4" w:space="0" w:color="auto"/>
              <w:right w:val="single" w:sz="4" w:space="0" w:color="auto"/>
            </w:tcBorders>
            <w:shd w:val="clear" w:color="000000" w:fill="FFC000"/>
            <w:vAlign w:val="center"/>
          </w:tcPr>
          <w:p w14:paraId="216CE0AC"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9579</w:t>
            </w:r>
          </w:p>
        </w:tc>
        <w:tc>
          <w:tcPr>
            <w:tcW w:w="882" w:type="dxa"/>
            <w:tcBorders>
              <w:top w:val="nil"/>
              <w:left w:val="nil"/>
              <w:bottom w:val="single" w:sz="4" w:space="0" w:color="auto"/>
              <w:right w:val="single" w:sz="4" w:space="0" w:color="auto"/>
            </w:tcBorders>
            <w:shd w:val="clear" w:color="000000" w:fill="FFC000"/>
            <w:vAlign w:val="center"/>
          </w:tcPr>
          <w:p w14:paraId="68F3D90F"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75420</w:t>
            </w:r>
          </w:p>
        </w:tc>
        <w:tc>
          <w:tcPr>
            <w:tcW w:w="812" w:type="dxa"/>
            <w:tcBorders>
              <w:top w:val="nil"/>
              <w:left w:val="nil"/>
              <w:bottom w:val="single" w:sz="8" w:space="0" w:color="auto"/>
              <w:right w:val="single" w:sz="4" w:space="0" w:color="auto"/>
            </w:tcBorders>
            <w:shd w:val="clear" w:color="auto" w:fill="auto"/>
            <w:vAlign w:val="center"/>
          </w:tcPr>
          <w:p w14:paraId="6DDB0597"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7CC0CE22" w14:textId="77777777" w:rsidTr="00085672">
        <w:trPr>
          <w:cantSplit/>
          <w:trHeight w:val="241"/>
          <w:jc w:val="center"/>
        </w:trPr>
        <w:tc>
          <w:tcPr>
            <w:tcW w:w="1023" w:type="dxa"/>
            <w:vMerge/>
            <w:vAlign w:val="center"/>
          </w:tcPr>
          <w:p w14:paraId="6B66EB0B" w14:textId="77777777" w:rsidR="00085672" w:rsidRPr="005A1C76" w:rsidRDefault="00085672" w:rsidP="00085672">
            <w:pPr>
              <w:spacing w:after="0" w:line="240" w:lineRule="auto"/>
              <w:rPr>
                <w:rFonts w:eastAsia="Calibri" w:cs="Calibri"/>
                <w:sz w:val="20"/>
                <w:szCs w:val="20"/>
                <w:lang w:val="en-GB"/>
              </w:rPr>
            </w:pPr>
          </w:p>
        </w:tc>
        <w:tc>
          <w:tcPr>
            <w:tcW w:w="1633" w:type="dxa"/>
            <w:shd w:val="clear" w:color="auto" w:fill="auto"/>
            <w:vAlign w:val="center"/>
          </w:tcPr>
          <w:p w14:paraId="665401F9"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Kotor</w:t>
            </w:r>
          </w:p>
        </w:tc>
        <w:tc>
          <w:tcPr>
            <w:tcW w:w="986" w:type="dxa"/>
            <w:shd w:val="clear" w:color="auto" w:fill="auto"/>
            <w:vAlign w:val="center"/>
          </w:tcPr>
          <w:p w14:paraId="3FDCACC3" w14:textId="77777777" w:rsidR="00085672" w:rsidRPr="005A1C76" w:rsidRDefault="00085672" w:rsidP="00085672">
            <w:pPr>
              <w:spacing w:after="0"/>
              <w:jc w:val="center"/>
              <w:rPr>
                <w:rFonts w:eastAsia="Calibri"/>
                <w:sz w:val="20"/>
                <w:szCs w:val="20"/>
                <w:lang w:val="en-GB"/>
              </w:rPr>
            </w:pPr>
            <w:r w:rsidRPr="005A1C76">
              <w:rPr>
                <w:rFonts w:eastAsia="Calibri"/>
                <w:sz w:val="20"/>
                <w:szCs w:val="20"/>
                <w:lang w:val="en-GB"/>
              </w:rPr>
              <w:t>42°25.507</w:t>
            </w:r>
            <w:r w:rsidRPr="005A1C76">
              <w:rPr>
                <w:rFonts w:eastAsia="Calibri" w:cs="Calibri"/>
                <w:color w:val="000000"/>
                <w:sz w:val="20"/>
                <w:szCs w:val="20"/>
                <w:lang w:val="en-GB"/>
              </w:rPr>
              <w:t>'</w:t>
            </w:r>
          </w:p>
        </w:tc>
        <w:tc>
          <w:tcPr>
            <w:tcW w:w="1207" w:type="dxa"/>
            <w:shd w:val="clear" w:color="auto" w:fill="auto"/>
            <w:vAlign w:val="center"/>
          </w:tcPr>
          <w:p w14:paraId="0FDC7F9F" w14:textId="77777777" w:rsidR="00085672" w:rsidRPr="005A1C76" w:rsidRDefault="00085672" w:rsidP="00085672">
            <w:pPr>
              <w:spacing w:after="0"/>
              <w:jc w:val="center"/>
              <w:rPr>
                <w:rFonts w:eastAsia="Calibri"/>
                <w:sz w:val="20"/>
                <w:szCs w:val="20"/>
                <w:lang w:val="en-GB"/>
              </w:rPr>
            </w:pPr>
            <w:r w:rsidRPr="005A1C76">
              <w:rPr>
                <w:rFonts w:eastAsia="Calibri"/>
                <w:sz w:val="20"/>
                <w:szCs w:val="20"/>
                <w:lang w:val="en-GB"/>
              </w:rPr>
              <w:t>018°45.934</w:t>
            </w:r>
            <w:r w:rsidRPr="005A1C76">
              <w:rPr>
                <w:rFonts w:eastAsia="Calibri" w:cs="Calibri"/>
                <w:color w:val="000000"/>
                <w:sz w:val="20"/>
                <w:szCs w:val="20"/>
                <w:lang w:val="en-GB"/>
              </w:rPr>
              <w:t>'</w:t>
            </w:r>
          </w:p>
        </w:tc>
        <w:tc>
          <w:tcPr>
            <w:tcW w:w="702" w:type="dxa"/>
            <w:tcBorders>
              <w:top w:val="nil"/>
              <w:left w:val="single" w:sz="4" w:space="0" w:color="auto"/>
              <w:bottom w:val="single" w:sz="4" w:space="0" w:color="auto"/>
              <w:right w:val="single" w:sz="4" w:space="0" w:color="auto"/>
            </w:tcBorders>
            <w:shd w:val="clear" w:color="000000" w:fill="FFC000"/>
            <w:vAlign w:val="center"/>
          </w:tcPr>
          <w:p w14:paraId="1918B4E1"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1137</w:t>
            </w:r>
          </w:p>
        </w:tc>
        <w:tc>
          <w:tcPr>
            <w:tcW w:w="702" w:type="dxa"/>
            <w:tcBorders>
              <w:top w:val="nil"/>
              <w:left w:val="nil"/>
              <w:bottom w:val="single" w:sz="4" w:space="0" w:color="auto"/>
              <w:right w:val="single" w:sz="4" w:space="0" w:color="auto"/>
            </w:tcBorders>
            <w:shd w:val="clear" w:color="000000" w:fill="FFC000"/>
            <w:vAlign w:val="center"/>
          </w:tcPr>
          <w:p w14:paraId="63DFE577"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250</w:t>
            </w:r>
          </w:p>
        </w:tc>
        <w:tc>
          <w:tcPr>
            <w:tcW w:w="702" w:type="dxa"/>
            <w:tcBorders>
              <w:top w:val="nil"/>
              <w:left w:val="nil"/>
              <w:bottom w:val="single" w:sz="4" w:space="0" w:color="auto"/>
              <w:right w:val="single" w:sz="4" w:space="0" w:color="auto"/>
            </w:tcBorders>
            <w:shd w:val="clear" w:color="000000" w:fill="FF0000"/>
            <w:vAlign w:val="center"/>
          </w:tcPr>
          <w:p w14:paraId="1F72FC3F"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7644</w:t>
            </w:r>
          </w:p>
        </w:tc>
        <w:tc>
          <w:tcPr>
            <w:tcW w:w="702" w:type="dxa"/>
            <w:tcBorders>
              <w:top w:val="nil"/>
              <w:left w:val="nil"/>
              <w:bottom w:val="single" w:sz="4" w:space="0" w:color="auto"/>
              <w:right w:val="single" w:sz="4" w:space="0" w:color="auto"/>
            </w:tcBorders>
            <w:shd w:val="clear" w:color="000000" w:fill="FFC000"/>
            <w:vAlign w:val="center"/>
          </w:tcPr>
          <w:p w14:paraId="1943B396"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10256</w:t>
            </w:r>
          </w:p>
        </w:tc>
        <w:tc>
          <w:tcPr>
            <w:tcW w:w="882" w:type="dxa"/>
            <w:tcBorders>
              <w:top w:val="nil"/>
              <w:left w:val="nil"/>
              <w:bottom w:val="single" w:sz="4" w:space="0" w:color="auto"/>
              <w:right w:val="single" w:sz="4" w:space="0" w:color="auto"/>
            </w:tcBorders>
            <w:shd w:val="clear" w:color="000000" w:fill="FFC000"/>
            <w:vAlign w:val="center"/>
          </w:tcPr>
          <w:p w14:paraId="554D4BE5"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93133</w:t>
            </w:r>
          </w:p>
        </w:tc>
        <w:tc>
          <w:tcPr>
            <w:tcW w:w="812" w:type="dxa"/>
            <w:tcBorders>
              <w:top w:val="nil"/>
              <w:left w:val="nil"/>
              <w:bottom w:val="single" w:sz="8" w:space="0" w:color="auto"/>
              <w:right w:val="single" w:sz="4" w:space="0" w:color="auto"/>
            </w:tcBorders>
            <w:shd w:val="clear" w:color="auto" w:fill="auto"/>
            <w:vAlign w:val="center"/>
          </w:tcPr>
          <w:p w14:paraId="11657832"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1CA625AE" w14:textId="77777777" w:rsidTr="00085672">
        <w:trPr>
          <w:cantSplit/>
          <w:trHeight w:val="241"/>
          <w:jc w:val="center"/>
        </w:trPr>
        <w:tc>
          <w:tcPr>
            <w:tcW w:w="1023" w:type="dxa"/>
            <w:vMerge w:val="restart"/>
            <w:vAlign w:val="center"/>
          </w:tcPr>
          <w:p w14:paraId="0BB0E27E"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r w:rsidRPr="005A1C76">
              <w:rPr>
                <w:rFonts w:eastAsia="Calibri" w:cs="Calibri"/>
                <w:sz w:val="20"/>
                <w:szCs w:val="20"/>
                <w:lang w:val="en-GB"/>
              </w:rPr>
              <w:t xml:space="preserve">Priobalno –Otvoreno more </w:t>
            </w:r>
          </w:p>
          <w:p w14:paraId="1BEDC43B"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633" w:type="dxa"/>
            <w:shd w:val="clear" w:color="auto" w:fill="auto"/>
            <w:vAlign w:val="center"/>
          </w:tcPr>
          <w:p w14:paraId="0B8DD7B7"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Budva</w:t>
            </w:r>
          </w:p>
        </w:tc>
        <w:tc>
          <w:tcPr>
            <w:tcW w:w="986" w:type="dxa"/>
            <w:shd w:val="clear" w:color="auto" w:fill="auto"/>
            <w:vAlign w:val="center"/>
          </w:tcPr>
          <w:p w14:paraId="5B993782" w14:textId="77777777" w:rsidR="00085672" w:rsidRPr="005A1C76" w:rsidRDefault="00085672" w:rsidP="00085672">
            <w:pPr>
              <w:spacing w:after="0"/>
              <w:jc w:val="center"/>
              <w:rPr>
                <w:rFonts w:eastAsia="Calibri"/>
                <w:sz w:val="20"/>
                <w:szCs w:val="20"/>
                <w:lang w:val="en-GB"/>
              </w:rPr>
            </w:pPr>
            <w:r w:rsidRPr="005A1C76">
              <w:rPr>
                <w:rFonts w:eastAsia="Calibri"/>
                <w:sz w:val="20"/>
                <w:szCs w:val="20"/>
                <w:lang w:val="en-GB"/>
              </w:rPr>
              <w:t>42°16.764</w:t>
            </w:r>
            <w:r w:rsidRPr="005A1C76">
              <w:rPr>
                <w:rFonts w:eastAsia="Calibri" w:cs="Calibri"/>
                <w:color w:val="000000"/>
                <w:sz w:val="20"/>
                <w:szCs w:val="20"/>
                <w:lang w:val="en-GB"/>
              </w:rPr>
              <w:t>'</w:t>
            </w:r>
          </w:p>
        </w:tc>
        <w:tc>
          <w:tcPr>
            <w:tcW w:w="1207" w:type="dxa"/>
            <w:shd w:val="clear" w:color="auto" w:fill="auto"/>
            <w:vAlign w:val="center"/>
          </w:tcPr>
          <w:p w14:paraId="1FF360A1" w14:textId="77777777" w:rsidR="00085672" w:rsidRPr="005A1C76" w:rsidRDefault="00085672" w:rsidP="00085672">
            <w:pPr>
              <w:spacing w:after="0"/>
              <w:jc w:val="center"/>
              <w:rPr>
                <w:rFonts w:eastAsia="Calibri"/>
                <w:sz w:val="20"/>
                <w:szCs w:val="20"/>
                <w:lang w:val="en-GB"/>
              </w:rPr>
            </w:pPr>
            <w:r w:rsidRPr="005A1C76">
              <w:rPr>
                <w:rFonts w:eastAsia="Calibri"/>
                <w:sz w:val="20"/>
                <w:szCs w:val="20"/>
                <w:lang w:val="en-GB"/>
              </w:rPr>
              <w:t>018°50.330</w:t>
            </w:r>
            <w:r w:rsidRPr="005A1C76">
              <w:rPr>
                <w:rFonts w:eastAsia="Calibri" w:cs="Calibri"/>
                <w:color w:val="000000"/>
                <w:sz w:val="20"/>
                <w:szCs w:val="20"/>
                <w:lang w:val="en-GB"/>
              </w:rPr>
              <w:t>'</w:t>
            </w:r>
          </w:p>
        </w:tc>
        <w:tc>
          <w:tcPr>
            <w:tcW w:w="702" w:type="dxa"/>
            <w:tcBorders>
              <w:top w:val="nil"/>
              <w:left w:val="single" w:sz="4" w:space="0" w:color="auto"/>
              <w:bottom w:val="single" w:sz="4" w:space="0" w:color="auto"/>
              <w:right w:val="single" w:sz="4" w:space="0" w:color="auto"/>
            </w:tcBorders>
            <w:shd w:val="clear" w:color="000000" w:fill="00B0F0"/>
            <w:vAlign w:val="center"/>
          </w:tcPr>
          <w:p w14:paraId="56CEB144"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825</w:t>
            </w:r>
          </w:p>
        </w:tc>
        <w:tc>
          <w:tcPr>
            <w:tcW w:w="702" w:type="dxa"/>
            <w:tcBorders>
              <w:top w:val="nil"/>
              <w:left w:val="nil"/>
              <w:bottom w:val="single" w:sz="4" w:space="0" w:color="auto"/>
              <w:right w:val="single" w:sz="4" w:space="0" w:color="auto"/>
            </w:tcBorders>
            <w:shd w:val="clear" w:color="000000" w:fill="00B0F0"/>
            <w:vAlign w:val="center"/>
          </w:tcPr>
          <w:p w14:paraId="5273610F"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105</w:t>
            </w:r>
          </w:p>
        </w:tc>
        <w:tc>
          <w:tcPr>
            <w:tcW w:w="702" w:type="dxa"/>
            <w:tcBorders>
              <w:top w:val="nil"/>
              <w:left w:val="nil"/>
              <w:bottom w:val="single" w:sz="4" w:space="0" w:color="auto"/>
              <w:right w:val="single" w:sz="4" w:space="0" w:color="auto"/>
            </w:tcBorders>
            <w:shd w:val="clear" w:color="000000" w:fill="00B0F0"/>
            <w:vAlign w:val="center"/>
          </w:tcPr>
          <w:p w14:paraId="2F5F50BF"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1680</w:t>
            </w:r>
          </w:p>
        </w:tc>
        <w:tc>
          <w:tcPr>
            <w:tcW w:w="702" w:type="dxa"/>
            <w:tcBorders>
              <w:top w:val="nil"/>
              <w:left w:val="nil"/>
              <w:bottom w:val="single" w:sz="4" w:space="0" w:color="auto"/>
              <w:right w:val="single" w:sz="4" w:space="0" w:color="auto"/>
            </w:tcBorders>
            <w:shd w:val="clear" w:color="000000" w:fill="FFC000"/>
            <w:vAlign w:val="center"/>
          </w:tcPr>
          <w:p w14:paraId="76A9701F"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28723</w:t>
            </w:r>
          </w:p>
        </w:tc>
        <w:tc>
          <w:tcPr>
            <w:tcW w:w="882" w:type="dxa"/>
            <w:tcBorders>
              <w:top w:val="nil"/>
              <w:left w:val="nil"/>
              <w:bottom w:val="single" w:sz="4" w:space="0" w:color="auto"/>
              <w:right w:val="single" w:sz="4" w:space="0" w:color="auto"/>
            </w:tcBorders>
            <w:shd w:val="clear" w:color="000000" w:fill="FFC000"/>
            <w:vAlign w:val="center"/>
          </w:tcPr>
          <w:p w14:paraId="5D3F5311"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172290</w:t>
            </w:r>
          </w:p>
        </w:tc>
        <w:tc>
          <w:tcPr>
            <w:tcW w:w="812" w:type="dxa"/>
            <w:tcBorders>
              <w:top w:val="nil"/>
              <w:left w:val="nil"/>
              <w:bottom w:val="single" w:sz="8" w:space="0" w:color="auto"/>
              <w:right w:val="single" w:sz="4" w:space="0" w:color="auto"/>
            </w:tcBorders>
            <w:shd w:val="clear" w:color="auto" w:fill="auto"/>
            <w:vAlign w:val="center"/>
          </w:tcPr>
          <w:p w14:paraId="61628C1D"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78F7ACB5" w14:textId="77777777" w:rsidTr="00085672">
        <w:trPr>
          <w:cantSplit/>
          <w:trHeight w:val="227"/>
          <w:jc w:val="center"/>
        </w:trPr>
        <w:tc>
          <w:tcPr>
            <w:tcW w:w="1023" w:type="dxa"/>
            <w:vMerge/>
            <w:vAlign w:val="center"/>
          </w:tcPr>
          <w:p w14:paraId="2D004254"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633" w:type="dxa"/>
            <w:shd w:val="clear" w:color="auto" w:fill="auto"/>
            <w:vAlign w:val="center"/>
          </w:tcPr>
          <w:p w14:paraId="7DFD5A3E"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Bar</w:t>
            </w:r>
          </w:p>
        </w:tc>
        <w:tc>
          <w:tcPr>
            <w:tcW w:w="986" w:type="dxa"/>
            <w:shd w:val="clear" w:color="auto" w:fill="auto"/>
            <w:vAlign w:val="center"/>
          </w:tcPr>
          <w:p w14:paraId="7B7BF288" w14:textId="77777777" w:rsidR="00085672" w:rsidRPr="005A1C76" w:rsidRDefault="00085672" w:rsidP="00085672">
            <w:pPr>
              <w:spacing w:after="0"/>
              <w:jc w:val="center"/>
              <w:rPr>
                <w:rFonts w:eastAsia="Calibri"/>
                <w:sz w:val="20"/>
                <w:szCs w:val="20"/>
                <w:lang w:val="en-GB"/>
              </w:rPr>
            </w:pPr>
            <w:r w:rsidRPr="005A1C76">
              <w:rPr>
                <w:rFonts w:eastAsia="Calibri"/>
                <w:sz w:val="20"/>
                <w:szCs w:val="20"/>
                <w:lang w:val="en-GB"/>
              </w:rPr>
              <w:t>42°05.444</w:t>
            </w:r>
            <w:r w:rsidRPr="005A1C76">
              <w:rPr>
                <w:rFonts w:eastAsia="Calibri" w:cs="Calibri"/>
                <w:color w:val="000000"/>
                <w:sz w:val="20"/>
                <w:szCs w:val="20"/>
                <w:lang w:val="en-GB"/>
              </w:rPr>
              <w:t>'</w:t>
            </w:r>
          </w:p>
        </w:tc>
        <w:tc>
          <w:tcPr>
            <w:tcW w:w="1207" w:type="dxa"/>
            <w:shd w:val="clear" w:color="auto" w:fill="auto"/>
            <w:vAlign w:val="center"/>
          </w:tcPr>
          <w:p w14:paraId="5D144EE7" w14:textId="77777777" w:rsidR="00085672" w:rsidRPr="005A1C76" w:rsidRDefault="00085672" w:rsidP="00085672">
            <w:pPr>
              <w:spacing w:after="0"/>
              <w:jc w:val="center"/>
              <w:rPr>
                <w:rFonts w:eastAsia="Calibri"/>
                <w:sz w:val="20"/>
                <w:szCs w:val="20"/>
                <w:lang w:val="en-GB"/>
              </w:rPr>
            </w:pPr>
            <w:r w:rsidRPr="005A1C76">
              <w:rPr>
                <w:rFonts w:eastAsia="Calibri"/>
                <w:sz w:val="20"/>
                <w:szCs w:val="20"/>
                <w:lang w:val="en-GB"/>
              </w:rPr>
              <w:t>019°05.142</w:t>
            </w:r>
            <w:r w:rsidRPr="005A1C76">
              <w:rPr>
                <w:rFonts w:eastAsia="Calibri" w:cs="Calibri"/>
                <w:color w:val="000000"/>
                <w:sz w:val="20"/>
                <w:szCs w:val="20"/>
                <w:lang w:val="en-GB"/>
              </w:rPr>
              <w:t>'</w:t>
            </w:r>
          </w:p>
        </w:tc>
        <w:tc>
          <w:tcPr>
            <w:tcW w:w="702" w:type="dxa"/>
            <w:tcBorders>
              <w:top w:val="nil"/>
              <w:left w:val="single" w:sz="4" w:space="0" w:color="auto"/>
              <w:bottom w:val="single" w:sz="4" w:space="0" w:color="auto"/>
              <w:right w:val="single" w:sz="4" w:space="0" w:color="auto"/>
            </w:tcBorders>
            <w:shd w:val="clear" w:color="000000" w:fill="FFC000"/>
            <w:vAlign w:val="center"/>
          </w:tcPr>
          <w:p w14:paraId="6F23EBBA"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2337</w:t>
            </w:r>
          </w:p>
        </w:tc>
        <w:tc>
          <w:tcPr>
            <w:tcW w:w="702" w:type="dxa"/>
            <w:tcBorders>
              <w:top w:val="nil"/>
              <w:left w:val="nil"/>
              <w:bottom w:val="single" w:sz="4" w:space="0" w:color="auto"/>
              <w:right w:val="single" w:sz="4" w:space="0" w:color="auto"/>
            </w:tcBorders>
            <w:shd w:val="clear" w:color="000000" w:fill="FFC000"/>
            <w:vAlign w:val="center"/>
          </w:tcPr>
          <w:p w14:paraId="5017296B"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432</w:t>
            </w:r>
          </w:p>
        </w:tc>
        <w:tc>
          <w:tcPr>
            <w:tcW w:w="702" w:type="dxa"/>
            <w:tcBorders>
              <w:top w:val="nil"/>
              <w:left w:val="nil"/>
              <w:bottom w:val="single" w:sz="4" w:space="0" w:color="auto"/>
              <w:right w:val="single" w:sz="4" w:space="0" w:color="auto"/>
            </w:tcBorders>
            <w:shd w:val="clear" w:color="000000" w:fill="FF0000"/>
            <w:vAlign w:val="center"/>
          </w:tcPr>
          <w:p w14:paraId="239CC89C"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46487</w:t>
            </w:r>
          </w:p>
        </w:tc>
        <w:tc>
          <w:tcPr>
            <w:tcW w:w="702" w:type="dxa"/>
            <w:tcBorders>
              <w:top w:val="nil"/>
              <w:left w:val="nil"/>
              <w:bottom w:val="single" w:sz="4" w:space="0" w:color="auto"/>
              <w:right w:val="single" w:sz="4" w:space="0" w:color="auto"/>
            </w:tcBorders>
            <w:shd w:val="clear" w:color="000000" w:fill="FFC000"/>
            <w:vAlign w:val="center"/>
          </w:tcPr>
          <w:p w14:paraId="50C8E13D"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13060</w:t>
            </w:r>
          </w:p>
        </w:tc>
        <w:tc>
          <w:tcPr>
            <w:tcW w:w="882" w:type="dxa"/>
            <w:tcBorders>
              <w:top w:val="nil"/>
              <w:left w:val="nil"/>
              <w:bottom w:val="single" w:sz="4" w:space="0" w:color="auto"/>
              <w:right w:val="single" w:sz="4" w:space="0" w:color="auto"/>
            </w:tcBorders>
            <w:shd w:val="clear" w:color="000000" w:fill="FFC000"/>
            <w:vAlign w:val="center"/>
          </w:tcPr>
          <w:p w14:paraId="4575AF76"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100699</w:t>
            </w:r>
          </w:p>
        </w:tc>
        <w:tc>
          <w:tcPr>
            <w:tcW w:w="812" w:type="dxa"/>
            <w:tcBorders>
              <w:top w:val="nil"/>
              <w:left w:val="nil"/>
              <w:bottom w:val="single" w:sz="8" w:space="0" w:color="auto"/>
              <w:right w:val="single" w:sz="4" w:space="0" w:color="auto"/>
            </w:tcBorders>
            <w:shd w:val="clear" w:color="auto" w:fill="auto"/>
            <w:vAlign w:val="center"/>
          </w:tcPr>
          <w:p w14:paraId="4ED91496"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1E48D5E3" w14:textId="77777777" w:rsidTr="00085672">
        <w:trPr>
          <w:cantSplit/>
          <w:trHeight w:val="227"/>
          <w:jc w:val="center"/>
        </w:trPr>
        <w:tc>
          <w:tcPr>
            <w:tcW w:w="1023" w:type="dxa"/>
            <w:vMerge/>
            <w:vAlign w:val="center"/>
          </w:tcPr>
          <w:p w14:paraId="50A9A360"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1633" w:type="dxa"/>
            <w:shd w:val="clear" w:color="auto" w:fill="auto"/>
            <w:vAlign w:val="center"/>
          </w:tcPr>
          <w:p w14:paraId="16ED6B06"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Port Milena</w:t>
            </w:r>
          </w:p>
        </w:tc>
        <w:tc>
          <w:tcPr>
            <w:tcW w:w="986" w:type="dxa"/>
            <w:shd w:val="clear" w:color="auto" w:fill="auto"/>
            <w:vAlign w:val="center"/>
          </w:tcPr>
          <w:p w14:paraId="2D2F9428" w14:textId="77777777" w:rsidR="00085672" w:rsidRPr="005A1C76" w:rsidRDefault="00085672" w:rsidP="00085672">
            <w:pPr>
              <w:spacing w:after="0"/>
              <w:jc w:val="center"/>
              <w:rPr>
                <w:rFonts w:eastAsia="Calibri"/>
                <w:sz w:val="20"/>
                <w:szCs w:val="20"/>
                <w:lang w:val="en-GB"/>
              </w:rPr>
            </w:pPr>
            <w:r w:rsidRPr="005A1C76">
              <w:rPr>
                <w:rFonts w:eastAsia="Calibri"/>
                <w:sz w:val="20"/>
                <w:szCs w:val="20"/>
                <w:lang w:val="en-GB"/>
              </w:rPr>
              <w:t>41°54.500</w:t>
            </w:r>
            <w:r w:rsidRPr="005A1C76">
              <w:rPr>
                <w:rFonts w:eastAsia="Calibri" w:cs="Calibri"/>
                <w:color w:val="000000"/>
                <w:sz w:val="20"/>
                <w:szCs w:val="20"/>
                <w:lang w:val="en-GB"/>
              </w:rPr>
              <w:t>'</w:t>
            </w:r>
          </w:p>
        </w:tc>
        <w:tc>
          <w:tcPr>
            <w:tcW w:w="1207" w:type="dxa"/>
            <w:shd w:val="clear" w:color="auto" w:fill="auto"/>
            <w:vAlign w:val="center"/>
          </w:tcPr>
          <w:p w14:paraId="1553873E" w14:textId="77777777" w:rsidR="00085672" w:rsidRPr="005A1C76" w:rsidRDefault="00085672" w:rsidP="00085672">
            <w:pPr>
              <w:spacing w:after="0"/>
              <w:jc w:val="center"/>
              <w:rPr>
                <w:rFonts w:eastAsia="Calibri"/>
                <w:sz w:val="20"/>
                <w:szCs w:val="20"/>
                <w:lang w:val="en-GB"/>
              </w:rPr>
            </w:pPr>
            <w:r w:rsidRPr="005A1C76">
              <w:rPr>
                <w:rFonts w:eastAsia="Calibri"/>
                <w:sz w:val="20"/>
                <w:szCs w:val="20"/>
                <w:lang w:val="en-GB"/>
              </w:rPr>
              <w:t>019°14.168</w:t>
            </w:r>
            <w:r w:rsidRPr="005A1C76">
              <w:rPr>
                <w:rFonts w:eastAsia="Calibri" w:cs="Calibri"/>
                <w:color w:val="000000"/>
                <w:sz w:val="20"/>
                <w:szCs w:val="20"/>
                <w:lang w:val="en-GB"/>
              </w:rPr>
              <w:t>'</w:t>
            </w:r>
          </w:p>
        </w:tc>
        <w:tc>
          <w:tcPr>
            <w:tcW w:w="702" w:type="dxa"/>
            <w:tcBorders>
              <w:top w:val="nil"/>
              <w:left w:val="single" w:sz="4" w:space="0" w:color="auto"/>
              <w:bottom w:val="single" w:sz="4" w:space="0" w:color="auto"/>
              <w:right w:val="single" w:sz="4" w:space="0" w:color="auto"/>
            </w:tcBorders>
            <w:shd w:val="clear" w:color="000000" w:fill="00B0F0"/>
            <w:vAlign w:val="center"/>
          </w:tcPr>
          <w:p w14:paraId="40781EA7"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65</w:t>
            </w:r>
          </w:p>
        </w:tc>
        <w:tc>
          <w:tcPr>
            <w:tcW w:w="702" w:type="dxa"/>
            <w:tcBorders>
              <w:top w:val="nil"/>
              <w:left w:val="nil"/>
              <w:bottom w:val="single" w:sz="4" w:space="0" w:color="auto"/>
              <w:right w:val="single" w:sz="4" w:space="0" w:color="auto"/>
            </w:tcBorders>
            <w:shd w:val="clear" w:color="000000" w:fill="00B0F0"/>
            <w:vAlign w:val="center"/>
          </w:tcPr>
          <w:p w14:paraId="5B3CD14C"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14</w:t>
            </w:r>
          </w:p>
        </w:tc>
        <w:tc>
          <w:tcPr>
            <w:tcW w:w="702" w:type="dxa"/>
            <w:tcBorders>
              <w:top w:val="nil"/>
              <w:left w:val="nil"/>
              <w:bottom w:val="single" w:sz="4" w:space="0" w:color="auto"/>
              <w:right w:val="single" w:sz="4" w:space="0" w:color="auto"/>
            </w:tcBorders>
            <w:shd w:val="clear" w:color="000000" w:fill="00B0F0"/>
            <w:vAlign w:val="center"/>
          </w:tcPr>
          <w:p w14:paraId="47362846"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196</w:t>
            </w:r>
          </w:p>
        </w:tc>
        <w:tc>
          <w:tcPr>
            <w:tcW w:w="702" w:type="dxa"/>
            <w:tcBorders>
              <w:top w:val="nil"/>
              <w:left w:val="nil"/>
              <w:bottom w:val="single" w:sz="4" w:space="0" w:color="auto"/>
              <w:right w:val="single" w:sz="4" w:space="0" w:color="auto"/>
            </w:tcBorders>
            <w:shd w:val="clear" w:color="000000" w:fill="00B0F0"/>
            <w:vAlign w:val="center"/>
          </w:tcPr>
          <w:p w14:paraId="03B3F334"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1235</w:t>
            </w:r>
          </w:p>
        </w:tc>
        <w:tc>
          <w:tcPr>
            <w:tcW w:w="882" w:type="dxa"/>
            <w:tcBorders>
              <w:top w:val="nil"/>
              <w:left w:val="nil"/>
              <w:bottom w:val="single" w:sz="4" w:space="0" w:color="auto"/>
              <w:right w:val="single" w:sz="4" w:space="0" w:color="auto"/>
            </w:tcBorders>
            <w:shd w:val="clear" w:color="000000" w:fill="00B0F0"/>
            <w:vAlign w:val="center"/>
          </w:tcPr>
          <w:p w14:paraId="2985C957"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9340</w:t>
            </w:r>
          </w:p>
        </w:tc>
        <w:tc>
          <w:tcPr>
            <w:tcW w:w="812" w:type="dxa"/>
            <w:tcBorders>
              <w:top w:val="nil"/>
              <w:left w:val="nil"/>
              <w:bottom w:val="single" w:sz="8" w:space="0" w:color="auto"/>
              <w:right w:val="single" w:sz="4" w:space="0" w:color="auto"/>
            </w:tcBorders>
            <w:shd w:val="clear" w:color="auto" w:fill="auto"/>
            <w:vAlign w:val="center"/>
          </w:tcPr>
          <w:p w14:paraId="0C89D1F8"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bl>
    <w:p w14:paraId="6B42212E" w14:textId="77777777" w:rsidR="00085672" w:rsidRPr="005A1C76" w:rsidRDefault="00085672" w:rsidP="00085672">
      <w:pPr>
        <w:tabs>
          <w:tab w:val="left" w:pos="1176"/>
        </w:tabs>
        <w:spacing w:after="0"/>
        <w:rPr>
          <w:rFonts w:eastAsia="Calibri" w:cs="Calibri"/>
          <w:b/>
          <w:sz w:val="20"/>
          <w:szCs w:val="20"/>
          <w:lang w:val="en-GB"/>
        </w:rPr>
      </w:pPr>
      <w:r w:rsidRPr="005A1C76">
        <w:rPr>
          <w:rFonts w:eastAsia="Calibri" w:cs="Calibri"/>
          <w:b/>
          <w:sz w:val="20"/>
          <w:szCs w:val="20"/>
          <w:lang w:val="en-GB"/>
        </w:rPr>
        <w:t>*Tip – CR: Obalna Referentna, CH: Obalna Hot Spot</w:t>
      </w:r>
    </w:p>
    <w:p w14:paraId="62FFD8FF" w14:textId="77777777" w:rsidR="00085672" w:rsidRPr="005A1C76" w:rsidRDefault="00085672" w:rsidP="00085672">
      <w:pPr>
        <w:tabs>
          <w:tab w:val="left" w:pos="1176"/>
        </w:tabs>
        <w:spacing w:after="0"/>
        <w:rPr>
          <w:rFonts w:eastAsia="Calibri" w:cs="Calibri"/>
          <w:color w:val="FF0000"/>
          <w:sz w:val="20"/>
          <w:szCs w:val="20"/>
          <w:lang w:val="en-GB"/>
        </w:rPr>
      </w:pPr>
    </w:p>
    <w:p w14:paraId="3DAAD8C5" w14:textId="77777777" w:rsidR="00085672" w:rsidRPr="005A1C76" w:rsidRDefault="00085672" w:rsidP="00085672">
      <w:pPr>
        <w:rPr>
          <w:rFonts w:eastAsia="Calibri" w:cs="Calibri"/>
          <w:lang w:val="en-GB"/>
        </w:rPr>
      </w:pPr>
      <w:r w:rsidRPr="005A1C76">
        <w:rPr>
          <w:rFonts w:eastAsia="Calibri" w:cs="Calibri"/>
          <w:lang w:val="en-GB"/>
        </w:rPr>
        <w:t>Na osnovu predstavljenih rezultata (tabela 2.31) može se zaključiti sledeće:</w:t>
      </w:r>
    </w:p>
    <w:p w14:paraId="5E4AE5CA" w14:textId="77777777" w:rsidR="00085672" w:rsidRPr="005A1C76" w:rsidRDefault="00085672" w:rsidP="00C52E6F">
      <w:pPr>
        <w:numPr>
          <w:ilvl w:val="0"/>
          <w:numId w:val="35"/>
        </w:numPr>
        <w:ind w:left="270"/>
        <w:rPr>
          <w:rFonts w:cs="Calibri"/>
          <w:lang w:val="en-GB"/>
        </w:rPr>
      </w:pPr>
      <w:r w:rsidRPr="005A1C76">
        <w:rPr>
          <w:rFonts w:cs="Calibri"/>
          <w:lang w:val="en-GB"/>
        </w:rPr>
        <w:t>Bokokotorski zaliv: prosječna koncentracija Cd u školjkama na većini ispitivanih lokacija uglavnom je niža od BAC vrijednosti, što ukazuje na malu kontaminaciju ovim metalom. Koncentracija Zn i Cu na svim istraživačkim lokacijama je iznad njihovih vrijednosti BAC, dok procjena u odnosu na vrijednost EC ne može biti data jer EC nije definisana za ove metale. Koncentracije Pb pokazuju velike varijacije, na polovini ispitivanih lokacija u Boki Kotorskoj koncentracije su blizu BAC vrijednosti, dok u lukama koncentracije Pb uglavnom premašuju EC vrijednost. Srednje koncentracije Hg bile su ispod BAC ili između vrijednosti BAC i EC.</w:t>
      </w:r>
    </w:p>
    <w:p w14:paraId="7A5E699F" w14:textId="77777777" w:rsidR="00085672" w:rsidRPr="005A1C76" w:rsidRDefault="00085672" w:rsidP="00C52E6F">
      <w:pPr>
        <w:numPr>
          <w:ilvl w:val="0"/>
          <w:numId w:val="35"/>
        </w:numPr>
        <w:ind w:left="270"/>
        <w:rPr>
          <w:rFonts w:cs="Calibri"/>
          <w:lang w:val="en-GB"/>
        </w:rPr>
      </w:pPr>
      <w:r w:rsidRPr="005A1C76">
        <w:rPr>
          <w:rFonts w:cs="Calibri"/>
          <w:lang w:val="en-GB"/>
        </w:rPr>
        <w:t>Priobalne lokacije – otvoreno more: rezultati analize teških metala pokazuju da je prosječna koncentracija Pb u luci Bar tokom ispitivanog perioda bila iznad EC vrijednosti, dok je koncentracija ostalih ispitanih metala bila iznad vrijednosti BAC. Prosječna koncentracija Cd, Pb i Hg u luci Budva je ispod vrijednosti BAC, dok je koncentracija Cu i Zn iznad vrijednosti BAC, što ukazuje na blagi antropogeni uticaj na ovoj lokaciji.</w:t>
      </w:r>
    </w:p>
    <w:p w14:paraId="1306E08A" w14:textId="77777777" w:rsidR="00085672" w:rsidRPr="005A1C76" w:rsidRDefault="00085672" w:rsidP="00C52E6F">
      <w:pPr>
        <w:numPr>
          <w:ilvl w:val="0"/>
          <w:numId w:val="35"/>
        </w:numPr>
        <w:ind w:left="270"/>
        <w:rPr>
          <w:rFonts w:eastAsia="Calibri" w:cs="Calibri"/>
          <w:lang w:val="en-GB"/>
        </w:rPr>
      </w:pPr>
      <w:r w:rsidRPr="005A1C76">
        <w:rPr>
          <w:rFonts w:eastAsia="Calibri" w:cs="Calibri"/>
          <w:lang w:val="en-GB"/>
        </w:rPr>
        <w:t>Kada se rezultati analize Cd, Pb i Hg uporede sa maksimalno dozvoljenim koncentracijama datim u Uredbi („Službeni list Crne Gore“, br. 48/16, 066/19), može se zaključiti da se školjke uzorkovane na lokacijama Luka Tivat i Luka Bar ne smatraju bezbijednim za konzumaciju jer je sadržaj Pb iznad dozvoljene koncentracije.</w:t>
      </w:r>
    </w:p>
    <w:p w14:paraId="172EC747" w14:textId="77777777" w:rsidR="00155FBA" w:rsidRDefault="00155FBA" w:rsidP="00F65CFF">
      <w:pPr>
        <w:keepNext/>
        <w:spacing w:before="0" w:after="0" w:line="240" w:lineRule="auto"/>
        <w:jc w:val="left"/>
        <w:rPr>
          <w:rFonts w:eastAsia="Calibri" w:cs="Calibri"/>
          <w:b/>
          <w:iCs/>
          <w:szCs w:val="22"/>
          <w:lang w:val="en-GB" w:eastAsia="en-US"/>
        </w:rPr>
      </w:pPr>
    </w:p>
    <w:p w14:paraId="7CC4DB0D" w14:textId="77777777" w:rsidR="00085672" w:rsidRPr="005A1C76" w:rsidRDefault="00085672" w:rsidP="00085672">
      <w:pPr>
        <w:keepNext/>
        <w:spacing w:after="0" w:line="240" w:lineRule="auto"/>
        <w:rPr>
          <w:rFonts w:eastAsia="Calibri" w:cs="Calibri"/>
          <w:iCs/>
          <w:lang w:val="en-GB"/>
        </w:rPr>
      </w:pPr>
      <w:r w:rsidRPr="005A1C76">
        <w:rPr>
          <w:rFonts w:eastAsia="Calibri" w:cs="Calibri"/>
          <w:b/>
          <w:iCs/>
          <w:lang w:val="en-GB"/>
        </w:rPr>
        <w:t>Procjena GES-a za PAH u bioti</w:t>
      </w:r>
      <w:r w:rsidRPr="005A1C76">
        <w:rPr>
          <w:rFonts w:eastAsia="Calibri" w:cs="Calibri"/>
          <w:iCs/>
          <w:lang w:val="en-GB"/>
        </w:rPr>
        <w:t xml:space="preserve"> na svim ispitanim lokacijama za dati perioda istraživanja prikazana je u tabeli 2.33.</w:t>
      </w:r>
    </w:p>
    <w:p w14:paraId="27148BF8" w14:textId="77777777" w:rsidR="00085672" w:rsidRPr="005A1C76" w:rsidRDefault="00085672" w:rsidP="00085672">
      <w:pPr>
        <w:keepNext/>
        <w:spacing w:line="240" w:lineRule="auto"/>
        <w:rPr>
          <w:rFonts w:eastAsia="Calibri"/>
          <w:b/>
          <w:iCs/>
          <w:color w:val="FF0000"/>
          <w:lang w:val="en-GB"/>
        </w:rPr>
      </w:pPr>
    </w:p>
    <w:p w14:paraId="5A4A6183" w14:textId="77777777" w:rsidR="00085672" w:rsidRPr="005A1C76" w:rsidRDefault="00085672" w:rsidP="00085672">
      <w:pPr>
        <w:keepNext/>
        <w:spacing w:line="240" w:lineRule="auto"/>
        <w:rPr>
          <w:rFonts w:eastAsia="Calibri"/>
          <w:b/>
          <w:iCs/>
          <w:lang w:val="en-GB"/>
        </w:rPr>
      </w:pPr>
      <w:bookmarkStart w:id="203" w:name="_Toc83643179"/>
      <w:r w:rsidRPr="005A1C76">
        <w:rPr>
          <w:rFonts w:eastAsia="Calibri"/>
          <w:b/>
          <w:iCs/>
          <w:lang w:val="en-GB"/>
        </w:rPr>
        <w:t xml:space="preserve">Tabela </w:t>
      </w:r>
      <w:r w:rsidRPr="005A1C76">
        <w:rPr>
          <w:b/>
        </w:rPr>
        <w:fldChar w:fldCharType="begin"/>
      </w:r>
      <w:r w:rsidRPr="005A1C76">
        <w:rPr>
          <w:b/>
        </w:rPr>
        <w:instrText xml:space="preserve"> STYLEREF 1 \s </w:instrText>
      </w:r>
      <w:r w:rsidRPr="005A1C76">
        <w:rPr>
          <w:b/>
        </w:rPr>
        <w:fldChar w:fldCharType="separate"/>
      </w:r>
      <w:r w:rsidR="000D1E20">
        <w:rPr>
          <w:b/>
          <w:noProof/>
        </w:rPr>
        <w:t>2</w:t>
      </w:r>
      <w:r w:rsidRPr="005A1C76">
        <w:rPr>
          <w:b/>
        </w:rPr>
        <w:fldChar w:fldCharType="end"/>
      </w:r>
      <w:r w:rsidRPr="005A1C76">
        <w:rPr>
          <w:b/>
        </w:rPr>
        <w:t>.</w:t>
      </w:r>
      <w:r w:rsidRPr="005A1C76">
        <w:rPr>
          <w:b/>
        </w:rPr>
        <w:fldChar w:fldCharType="begin"/>
      </w:r>
      <w:r w:rsidRPr="005A1C76">
        <w:rPr>
          <w:b/>
        </w:rPr>
        <w:instrText xml:space="preserve"> SEQ Table \* ARABIC \s 1 </w:instrText>
      </w:r>
      <w:r w:rsidRPr="005A1C76">
        <w:rPr>
          <w:b/>
        </w:rPr>
        <w:fldChar w:fldCharType="separate"/>
      </w:r>
      <w:r w:rsidR="000D1E20">
        <w:rPr>
          <w:b/>
          <w:noProof/>
        </w:rPr>
        <w:t>21</w:t>
      </w:r>
      <w:r w:rsidRPr="005A1C76">
        <w:rPr>
          <w:b/>
        </w:rPr>
        <w:fldChar w:fldCharType="end"/>
      </w:r>
      <w:r w:rsidRPr="005A1C76">
        <w:rPr>
          <w:b/>
        </w:rPr>
        <w:t>.</w:t>
      </w:r>
      <w:r w:rsidRPr="005A1C76">
        <w:rPr>
          <w:rFonts w:eastAsia="Calibri"/>
          <w:b/>
          <w:iCs/>
          <w:lang w:val="en-GB"/>
        </w:rPr>
        <w:t xml:space="preserve"> Prikaz prosječnih vrijednosti PAH-ova u bioti tokom perioda istraživanja na lokacijama crnogorskog mora prema UNEP/MAP i OSPAR kriterijumima procjene</w:t>
      </w:r>
      <w:bookmarkEnd w:id="203"/>
    </w:p>
    <w:tbl>
      <w:tblPr>
        <w:tblpPr w:leftFromText="180" w:rightFromText="180" w:vertAnchor="text" w:tblpXSpec="center"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CellMar>
          <w:left w:w="57" w:type="dxa"/>
          <w:right w:w="57" w:type="dxa"/>
        </w:tblCellMar>
        <w:tblLook w:val="04A0" w:firstRow="1" w:lastRow="0" w:firstColumn="1" w:lastColumn="0" w:noHBand="0" w:noVBand="1"/>
      </w:tblPr>
      <w:tblGrid>
        <w:gridCol w:w="567"/>
        <w:gridCol w:w="988"/>
        <w:gridCol w:w="593"/>
        <w:gridCol w:w="671"/>
        <w:gridCol w:w="578"/>
        <w:gridCol w:w="709"/>
        <w:gridCol w:w="567"/>
        <w:gridCol w:w="709"/>
        <w:gridCol w:w="567"/>
        <w:gridCol w:w="567"/>
        <w:gridCol w:w="709"/>
        <w:gridCol w:w="567"/>
        <w:gridCol w:w="567"/>
        <w:gridCol w:w="567"/>
        <w:gridCol w:w="567"/>
      </w:tblGrid>
      <w:tr w:rsidR="00085672" w:rsidRPr="005A1C76" w14:paraId="261169C2" w14:textId="77777777" w:rsidTr="00605469">
        <w:trPr>
          <w:cantSplit/>
          <w:trHeight w:val="240"/>
        </w:trPr>
        <w:tc>
          <w:tcPr>
            <w:tcW w:w="567" w:type="dxa"/>
            <w:vMerge w:val="restart"/>
            <w:shd w:val="clear" w:color="auto" w:fill="1F497D" w:themeFill="text2"/>
            <w:vAlign w:val="center"/>
          </w:tcPr>
          <w:p w14:paraId="728BD62C" w14:textId="77777777" w:rsidR="00085672" w:rsidRPr="005A1C76" w:rsidRDefault="00085672" w:rsidP="00085672">
            <w:pPr>
              <w:spacing w:after="0" w:line="240" w:lineRule="auto"/>
              <w:rPr>
                <w:rFonts w:eastAsia="Calibri" w:cs="Calibri"/>
                <w:b/>
                <w:color w:val="FFFFFF"/>
                <w:sz w:val="20"/>
                <w:szCs w:val="20"/>
                <w:lang w:val="en-GB"/>
              </w:rPr>
            </w:pPr>
            <w:r w:rsidRPr="005A1C76">
              <w:rPr>
                <w:rFonts w:eastAsia="Calibri" w:cs="Calibri"/>
                <w:b/>
                <w:color w:val="FFFFFF"/>
                <w:sz w:val="20"/>
                <w:szCs w:val="20"/>
                <w:lang w:val="en-GB"/>
              </w:rPr>
              <w:t>Zona</w:t>
            </w:r>
          </w:p>
        </w:tc>
        <w:tc>
          <w:tcPr>
            <w:tcW w:w="988" w:type="dxa"/>
            <w:vMerge w:val="restart"/>
            <w:shd w:val="clear" w:color="auto" w:fill="1F497D" w:themeFill="text2"/>
            <w:vAlign w:val="center"/>
          </w:tcPr>
          <w:p w14:paraId="79A4524A"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Naziv lokacije</w:t>
            </w:r>
          </w:p>
        </w:tc>
        <w:tc>
          <w:tcPr>
            <w:tcW w:w="7371" w:type="dxa"/>
            <w:gridSpan w:val="12"/>
            <w:shd w:val="clear" w:color="auto" w:fill="1F497D" w:themeFill="text2"/>
            <w:vAlign w:val="center"/>
          </w:tcPr>
          <w:p w14:paraId="2FF5C7E9"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Policiklični Aromatični Ugljovodonici µg/kg s.m.</w:t>
            </w:r>
          </w:p>
        </w:tc>
        <w:tc>
          <w:tcPr>
            <w:tcW w:w="567" w:type="dxa"/>
            <w:shd w:val="clear" w:color="auto" w:fill="1F497D" w:themeFill="text2"/>
            <w:vAlign w:val="center"/>
          </w:tcPr>
          <w:p w14:paraId="03030632" w14:textId="77777777" w:rsidR="00085672" w:rsidRPr="005A1C76" w:rsidRDefault="00085672" w:rsidP="00085672">
            <w:pPr>
              <w:spacing w:after="0" w:line="240" w:lineRule="auto"/>
              <w:jc w:val="center"/>
              <w:rPr>
                <w:rFonts w:eastAsia="Calibri" w:cs="Calibri"/>
                <w:b/>
                <w:color w:val="FFFFFF"/>
                <w:sz w:val="20"/>
                <w:szCs w:val="20"/>
                <w:lang w:val="en-GB"/>
              </w:rPr>
            </w:pPr>
          </w:p>
        </w:tc>
      </w:tr>
      <w:tr w:rsidR="00085672" w:rsidRPr="005A1C76" w14:paraId="7C72A214" w14:textId="77777777" w:rsidTr="00605469">
        <w:trPr>
          <w:cantSplit/>
          <w:trHeight w:hRule="exact" w:val="525"/>
        </w:trPr>
        <w:tc>
          <w:tcPr>
            <w:tcW w:w="567" w:type="dxa"/>
            <w:vMerge/>
            <w:shd w:val="clear" w:color="auto" w:fill="1F497D" w:themeFill="text2"/>
            <w:vAlign w:val="center"/>
          </w:tcPr>
          <w:p w14:paraId="0512F6CC" w14:textId="77777777" w:rsidR="00085672" w:rsidRPr="005A1C76" w:rsidRDefault="00085672" w:rsidP="00085672">
            <w:pPr>
              <w:spacing w:after="0" w:line="240" w:lineRule="auto"/>
              <w:rPr>
                <w:rFonts w:eastAsia="Calibri" w:cs="Calibri"/>
                <w:b/>
                <w:color w:val="FFFFFF"/>
                <w:sz w:val="20"/>
                <w:szCs w:val="20"/>
                <w:lang w:val="en-GB"/>
              </w:rPr>
            </w:pPr>
          </w:p>
        </w:tc>
        <w:tc>
          <w:tcPr>
            <w:tcW w:w="988" w:type="dxa"/>
            <w:vMerge/>
            <w:shd w:val="clear" w:color="auto" w:fill="1F497D" w:themeFill="text2"/>
            <w:vAlign w:val="center"/>
          </w:tcPr>
          <w:p w14:paraId="4392A6E2" w14:textId="77777777" w:rsidR="00085672" w:rsidRPr="005A1C76" w:rsidRDefault="00085672" w:rsidP="00085672">
            <w:pPr>
              <w:spacing w:after="0" w:line="240" w:lineRule="auto"/>
              <w:rPr>
                <w:rFonts w:eastAsia="Calibri" w:cs="Calibri"/>
                <w:b/>
                <w:color w:val="FFFFFF"/>
                <w:sz w:val="20"/>
                <w:szCs w:val="20"/>
                <w:lang w:val="en-GB"/>
              </w:rPr>
            </w:pPr>
          </w:p>
        </w:tc>
        <w:tc>
          <w:tcPr>
            <w:tcW w:w="593" w:type="dxa"/>
            <w:shd w:val="clear" w:color="auto" w:fill="1F497D" w:themeFill="text2"/>
            <w:vAlign w:val="center"/>
          </w:tcPr>
          <w:p w14:paraId="6C18FD79" w14:textId="77777777" w:rsidR="00085672" w:rsidRPr="005A1C76" w:rsidRDefault="00085672" w:rsidP="00085672">
            <w:pPr>
              <w:spacing w:after="0"/>
              <w:jc w:val="center"/>
              <w:rPr>
                <w:rFonts w:eastAsia="Calibri" w:cs="Calibri"/>
                <w:color w:val="FFFFFF"/>
                <w:sz w:val="20"/>
                <w:szCs w:val="20"/>
                <w:lang w:val="en-GB"/>
              </w:rPr>
            </w:pPr>
            <w:r w:rsidRPr="005A1C76">
              <w:rPr>
                <w:rFonts w:eastAsia="Calibri" w:cs="Calibri"/>
                <w:color w:val="FFFFFF"/>
                <w:sz w:val="20"/>
                <w:szCs w:val="20"/>
                <w:lang w:val="en-GB"/>
              </w:rPr>
              <w:t>Ant</w:t>
            </w:r>
          </w:p>
        </w:tc>
        <w:tc>
          <w:tcPr>
            <w:tcW w:w="671" w:type="dxa"/>
            <w:shd w:val="clear" w:color="auto" w:fill="1F497D" w:themeFill="text2"/>
            <w:vAlign w:val="center"/>
          </w:tcPr>
          <w:p w14:paraId="15C0EED7" w14:textId="77777777" w:rsidR="00085672" w:rsidRPr="005A1C76" w:rsidRDefault="00085672" w:rsidP="00085672">
            <w:pPr>
              <w:spacing w:after="0"/>
              <w:jc w:val="center"/>
              <w:rPr>
                <w:rFonts w:eastAsia="Calibri" w:cs="Calibri"/>
                <w:color w:val="FFFFFF"/>
                <w:sz w:val="20"/>
                <w:szCs w:val="20"/>
                <w:lang w:val="en-GB"/>
              </w:rPr>
            </w:pPr>
            <w:r w:rsidRPr="005A1C76">
              <w:rPr>
                <w:rFonts w:eastAsia="Calibri" w:cs="Calibri"/>
                <w:color w:val="FFFFFF"/>
                <w:sz w:val="20"/>
                <w:szCs w:val="20"/>
                <w:lang w:val="en-GB"/>
              </w:rPr>
              <w:t>B(a)A</w:t>
            </w:r>
          </w:p>
        </w:tc>
        <w:tc>
          <w:tcPr>
            <w:tcW w:w="578" w:type="dxa"/>
            <w:shd w:val="clear" w:color="auto" w:fill="1F497D" w:themeFill="text2"/>
            <w:vAlign w:val="center"/>
          </w:tcPr>
          <w:p w14:paraId="25976687" w14:textId="77777777" w:rsidR="00085672" w:rsidRPr="005A1C76" w:rsidRDefault="00085672" w:rsidP="00085672">
            <w:pPr>
              <w:spacing w:after="0"/>
              <w:jc w:val="center"/>
              <w:rPr>
                <w:rFonts w:eastAsia="Calibri" w:cs="Calibri"/>
                <w:color w:val="FFFFFF"/>
                <w:sz w:val="20"/>
                <w:szCs w:val="20"/>
                <w:lang w:val="en-GB"/>
              </w:rPr>
            </w:pPr>
            <w:r w:rsidRPr="005A1C76">
              <w:rPr>
                <w:rFonts w:eastAsia="Calibri" w:cs="Calibri"/>
                <w:color w:val="FFFFFF"/>
                <w:sz w:val="20"/>
                <w:szCs w:val="20"/>
                <w:lang w:val="en-GB"/>
              </w:rPr>
              <w:t>B(a)P</w:t>
            </w:r>
          </w:p>
        </w:tc>
        <w:tc>
          <w:tcPr>
            <w:tcW w:w="709" w:type="dxa"/>
            <w:shd w:val="clear" w:color="auto" w:fill="1F497D" w:themeFill="text2"/>
            <w:vAlign w:val="center"/>
          </w:tcPr>
          <w:p w14:paraId="3C451A44" w14:textId="77777777" w:rsidR="00085672" w:rsidRPr="005A1C76" w:rsidRDefault="00085672" w:rsidP="00085672">
            <w:pPr>
              <w:spacing w:after="0"/>
              <w:jc w:val="center"/>
              <w:rPr>
                <w:rFonts w:eastAsia="Calibri" w:cs="Calibri"/>
                <w:color w:val="FFFFFF"/>
                <w:sz w:val="20"/>
                <w:szCs w:val="20"/>
                <w:lang w:val="en-GB"/>
              </w:rPr>
            </w:pPr>
            <w:r w:rsidRPr="005A1C76">
              <w:rPr>
                <w:rFonts w:eastAsia="Calibri" w:cs="Calibri"/>
                <w:color w:val="FFFFFF"/>
                <w:sz w:val="20"/>
                <w:szCs w:val="20"/>
                <w:lang w:val="en-GB"/>
              </w:rPr>
              <w:t>B(ghi)P</w:t>
            </w:r>
          </w:p>
        </w:tc>
        <w:tc>
          <w:tcPr>
            <w:tcW w:w="567" w:type="dxa"/>
            <w:shd w:val="clear" w:color="auto" w:fill="1F497D" w:themeFill="text2"/>
            <w:vAlign w:val="center"/>
          </w:tcPr>
          <w:p w14:paraId="420D78A5" w14:textId="77777777" w:rsidR="00085672" w:rsidRPr="005A1C76" w:rsidRDefault="00085672" w:rsidP="00085672">
            <w:pPr>
              <w:spacing w:after="0"/>
              <w:jc w:val="center"/>
              <w:rPr>
                <w:rFonts w:eastAsia="Calibri" w:cs="Calibri"/>
                <w:color w:val="FFFFFF"/>
                <w:sz w:val="20"/>
                <w:szCs w:val="20"/>
                <w:lang w:val="en-GB"/>
              </w:rPr>
            </w:pPr>
            <w:r w:rsidRPr="005A1C76">
              <w:rPr>
                <w:rFonts w:eastAsia="Calibri" w:cs="Calibri"/>
                <w:color w:val="FFFFFF"/>
                <w:sz w:val="20"/>
                <w:szCs w:val="20"/>
                <w:lang w:val="en-GB"/>
              </w:rPr>
              <w:t>Chr</w:t>
            </w:r>
          </w:p>
        </w:tc>
        <w:tc>
          <w:tcPr>
            <w:tcW w:w="709" w:type="dxa"/>
            <w:shd w:val="clear" w:color="auto" w:fill="1F497D" w:themeFill="text2"/>
            <w:vAlign w:val="center"/>
          </w:tcPr>
          <w:p w14:paraId="19DA38E5" w14:textId="77777777" w:rsidR="00085672" w:rsidRPr="005A1C76" w:rsidRDefault="00085672" w:rsidP="00085672">
            <w:pPr>
              <w:spacing w:after="0"/>
              <w:jc w:val="center"/>
              <w:rPr>
                <w:rFonts w:eastAsia="Calibri" w:cs="Calibri"/>
                <w:color w:val="FFFFFF"/>
                <w:sz w:val="20"/>
                <w:szCs w:val="20"/>
                <w:lang w:val="en-GB"/>
              </w:rPr>
            </w:pPr>
            <w:r w:rsidRPr="005A1C76">
              <w:rPr>
                <w:rFonts w:eastAsia="Calibri" w:cs="Calibri"/>
                <w:color w:val="FFFFFF"/>
                <w:sz w:val="20"/>
                <w:szCs w:val="20"/>
                <w:lang w:val="en-GB"/>
              </w:rPr>
              <w:t>I(cd)P</w:t>
            </w:r>
          </w:p>
        </w:tc>
        <w:tc>
          <w:tcPr>
            <w:tcW w:w="567" w:type="dxa"/>
            <w:shd w:val="clear" w:color="auto" w:fill="1F497D" w:themeFill="text2"/>
            <w:vAlign w:val="center"/>
          </w:tcPr>
          <w:p w14:paraId="63C572B2" w14:textId="77777777" w:rsidR="00085672" w:rsidRPr="005A1C76" w:rsidRDefault="00085672" w:rsidP="00085672">
            <w:pPr>
              <w:spacing w:after="0"/>
              <w:jc w:val="center"/>
              <w:rPr>
                <w:rFonts w:eastAsia="Calibri" w:cs="Calibri"/>
                <w:color w:val="FFFFFF"/>
                <w:sz w:val="20"/>
                <w:szCs w:val="20"/>
                <w:lang w:val="en-GB"/>
              </w:rPr>
            </w:pPr>
            <w:r w:rsidRPr="005A1C76">
              <w:rPr>
                <w:rFonts w:eastAsia="Calibri" w:cs="Calibri"/>
                <w:color w:val="FFFFFF"/>
                <w:sz w:val="20"/>
                <w:szCs w:val="20"/>
                <w:lang w:val="en-GB"/>
              </w:rPr>
              <w:t>Nap</w:t>
            </w:r>
          </w:p>
        </w:tc>
        <w:tc>
          <w:tcPr>
            <w:tcW w:w="567" w:type="dxa"/>
            <w:shd w:val="clear" w:color="auto" w:fill="1F497D" w:themeFill="text2"/>
            <w:vAlign w:val="center"/>
          </w:tcPr>
          <w:p w14:paraId="28CDF7C6" w14:textId="77777777" w:rsidR="00085672" w:rsidRPr="005A1C76" w:rsidRDefault="00085672" w:rsidP="00085672">
            <w:pPr>
              <w:spacing w:after="0"/>
              <w:jc w:val="center"/>
              <w:rPr>
                <w:rFonts w:eastAsia="Calibri" w:cs="Calibri"/>
                <w:color w:val="FFFFFF"/>
                <w:sz w:val="20"/>
                <w:szCs w:val="20"/>
                <w:lang w:val="en-GB"/>
              </w:rPr>
            </w:pPr>
            <w:r w:rsidRPr="005A1C76">
              <w:rPr>
                <w:rFonts w:eastAsia="Calibri" w:cs="Calibri"/>
                <w:color w:val="FFFFFF"/>
                <w:sz w:val="20"/>
                <w:szCs w:val="20"/>
                <w:lang w:val="en-GB"/>
              </w:rPr>
              <w:t>Phe</w:t>
            </w:r>
          </w:p>
        </w:tc>
        <w:tc>
          <w:tcPr>
            <w:tcW w:w="709" w:type="dxa"/>
            <w:shd w:val="clear" w:color="auto" w:fill="1F497D" w:themeFill="text2"/>
            <w:vAlign w:val="center"/>
          </w:tcPr>
          <w:p w14:paraId="00A729FF" w14:textId="77777777" w:rsidR="00085672" w:rsidRPr="005A1C76" w:rsidRDefault="00085672" w:rsidP="00085672">
            <w:pPr>
              <w:spacing w:after="0"/>
              <w:jc w:val="center"/>
              <w:rPr>
                <w:rFonts w:eastAsia="Calibri" w:cs="Calibri"/>
                <w:color w:val="FFFFFF"/>
                <w:sz w:val="20"/>
                <w:szCs w:val="20"/>
                <w:lang w:val="en-GB"/>
              </w:rPr>
            </w:pPr>
            <w:r w:rsidRPr="005A1C76">
              <w:rPr>
                <w:rFonts w:eastAsia="Calibri" w:cs="Calibri"/>
                <w:color w:val="FFFFFF"/>
                <w:sz w:val="20"/>
                <w:szCs w:val="20"/>
                <w:lang w:val="en-GB"/>
              </w:rPr>
              <w:t>Pyr</w:t>
            </w:r>
          </w:p>
        </w:tc>
        <w:tc>
          <w:tcPr>
            <w:tcW w:w="567" w:type="dxa"/>
            <w:shd w:val="clear" w:color="auto" w:fill="1F497D" w:themeFill="text2"/>
            <w:vAlign w:val="center"/>
          </w:tcPr>
          <w:p w14:paraId="2802BE8E" w14:textId="77777777" w:rsidR="00085672" w:rsidRPr="005A1C76" w:rsidRDefault="00085672" w:rsidP="00085672">
            <w:pPr>
              <w:spacing w:after="0"/>
              <w:jc w:val="center"/>
              <w:rPr>
                <w:rFonts w:eastAsia="Calibri" w:cs="Calibri"/>
                <w:color w:val="FFFFFF"/>
                <w:sz w:val="20"/>
                <w:szCs w:val="20"/>
                <w:lang w:val="en-GB"/>
              </w:rPr>
            </w:pPr>
            <w:r w:rsidRPr="005A1C76">
              <w:rPr>
                <w:rFonts w:eastAsia="Calibri" w:cs="Calibri"/>
                <w:color w:val="FFFFFF"/>
                <w:sz w:val="20"/>
                <w:szCs w:val="20"/>
                <w:lang w:val="en-GB"/>
              </w:rPr>
              <w:t>Flr</w:t>
            </w:r>
          </w:p>
        </w:tc>
        <w:tc>
          <w:tcPr>
            <w:tcW w:w="567" w:type="dxa"/>
            <w:shd w:val="clear" w:color="auto" w:fill="1F497D" w:themeFill="text2"/>
            <w:vAlign w:val="center"/>
          </w:tcPr>
          <w:p w14:paraId="0C5519CB" w14:textId="77777777" w:rsidR="00085672" w:rsidRPr="005A1C76" w:rsidRDefault="00085672" w:rsidP="00085672">
            <w:pPr>
              <w:spacing w:after="0"/>
              <w:rPr>
                <w:rFonts w:eastAsia="Calibri" w:cs="Calibri"/>
                <w:bCs/>
                <w:color w:val="FFFFFF"/>
                <w:sz w:val="20"/>
                <w:szCs w:val="20"/>
                <w:lang w:val="en-GB"/>
              </w:rPr>
            </w:pPr>
            <w:r w:rsidRPr="005A1C76">
              <w:rPr>
                <w:rFonts w:eastAsia="Calibri" w:cs="Calibri"/>
                <w:bCs/>
                <w:color w:val="FFFFFF"/>
                <w:sz w:val="20"/>
                <w:szCs w:val="20"/>
                <w:lang w:val="en-GB"/>
              </w:rPr>
              <w:t>Flu</w:t>
            </w:r>
          </w:p>
        </w:tc>
        <w:tc>
          <w:tcPr>
            <w:tcW w:w="567" w:type="dxa"/>
            <w:shd w:val="clear" w:color="auto" w:fill="1F497D" w:themeFill="text2"/>
            <w:vAlign w:val="center"/>
          </w:tcPr>
          <w:p w14:paraId="37CB354F" w14:textId="77777777" w:rsidR="00085672" w:rsidRPr="005A1C76" w:rsidRDefault="00085672" w:rsidP="00085672">
            <w:pPr>
              <w:spacing w:after="0"/>
              <w:rPr>
                <w:rFonts w:eastAsia="Calibri" w:cs="Calibri"/>
                <w:bCs/>
                <w:color w:val="FFFFFF"/>
                <w:sz w:val="20"/>
                <w:szCs w:val="20"/>
                <w:lang w:val="en-GB"/>
              </w:rPr>
            </w:pPr>
            <w:r w:rsidRPr="005A1C76">
              <w:rPr>
                <w:rFonts w:eastAsia="Calibri" w:cs="Calibri"/>
                <w:bCs/>
                <w:color w:val="FFFFFF"/>
                <w:sz w:val="20"/>
                <w:szCs w:val="20"/>
                <w:lang w:val="en-GB"/>
              </w:rPr>
              <w:t>B(k)F</w:t>
            </w:r>
          </w:p>
        </w:tc>
        <w:tc>
          <w:tcPr>
            <w:tcW w:w="567" w:type="dxa"/>
            <w:shd w:val="clear" w:color="auto" w:fill="1F497D" w:themeFill="text2"/>
            <w:vAlign w:val="center"/>
          </w:tcPr>
          <w:p w14:paraId="09C8EE82" w14:textId="77777777" w:rsidR="00085672" w:rsidRPr="005A1C76" w:rsidRDefault="00085672" w:rsidP="00085672">
            <w:pPr>
              <w:spacing w:after="0" w:line="240" w:lineRule="auto"/>
              <w:jc w:val="center"/>
              <w:rPr>
                <w:rFonts w:eastAsia="Calibri" w:cs="Calibri"/>
                <w:color w:val="FFFFFF"/>
                <w:sz w:val="20"/>
                <w:szCs w:val="20"/>
                <w:lang w:val="en-GB"/>
              </w:rPr>
            </w:pPr>
            <w:r w:rsidRPr="005A1C76">
              <w:rPr>
                <w:rFonts w:eastAsia="Calibri" w:cs="Calibri"/>
                <w:color w:val="FFFFFF"/>
                <w:sz w:val="20"/>
                <w:szCs w:val="20"/>
                <w:lang w:val="en-GB"/>
              </w:rPr>
              <w:t>Tip*</w:t>
            </w:r>
          </w:p>
        </w:tc>
      </w:tr>
      <w:tr w:rsidR="00085672" w:rsidRPr="005A1C76" w14:paraId="744DB61A" w14:textId="77777777" w:rsidTr="00085672">
        <w:trPr>
          <w:cantSplit/>
          <w:trHeight w:val="227"/>
        </w:trPr>
        <w:tc>
          <w:tcPr>
            <w:tcW w:w="567" w:type="dxa"/>
            <w:vMerge w:val="restart"/>
            <w:textDirection w:val="btLr"/>
            <w:vAlign w:val="center"/>
          </w:tcPr>
          <w:p w14:paraId="54C0C397" w14:textId="77777777" w:rsidR="00085672" w:rsidRPr="005A1C76" w:rsidRDefault="00085672" w:rsidP="00085672">
            <w:pPr>
              <w:autoSpaceDE w:val="0"/>
              <w:autoSpaceDN w:val="0"/>
              <w:adjustRightInd w:val="0"/>
              <w:spacing w:after="0" w:line="240" w:lineRule="auto"/>
              <w:ind w:left="113" w:right="113"/>
              <w:jc w:val="center"/>
              <w:textAlignment w:val="center"/>
              <w:rPr>
                <w:rFonts w:eastAsia="Calibri" w:cs="Calibri"/>
                <w:sz w:val="20"/>
                <w:szCs w:val="20"/>
                <w:lang w:val="en-GB"/>
              </w:rPr>
            </w:pPr>
            <w:r w:rsidRPr="005A1C76">
              <w:rPr>
                <w:rFonts w:eastAsia="Calibri" w:cs="Calibri"/>
                <w:sz w:val="20"/>
                <w:szCs w:val="20"/>
                <w:lang w:val="en-GB"/>
              </w:rPr>
              <w:t>Bokokotorski zaliv</w:t>
            </w:r>
          </w:p>
        </w:tc>
        <w:tc>
          <w:tcPr>
            <w:tcW w:w="988" w:type="dxa"/>
            <w:shd w:val="clear" w:color="auto" w:fill="auto"/>
            <w:vAlign w:val="center"/>
          </w:tcPr>
          <w:p w14:paraId="021C481C"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Herceg Novi</w:t>
            </w:r>
          </w:p>
        </w:tc>
        <w:tc>
          <w:tcPr>
            <w:tcW w:w="593" w:type="dxa"/>
            <w:tcBorders>
              <w:top w:val="single" w:sz="4" w:space="0" w:color="auto"/>
              <w:left w:val="single" w:sz="4" w:space="0" w:color="auto"/>
              <w:bottom w:val="single" w:sz="4" w:space="0" w:color="auto"/>
              <w:right w:val="single" w:sz="4" w:space="0" w:color="auto"/>
            </w:tcBorders>
            <w:shd w:val="clear" w:color="000000" w:fill="00B0F0"/>
            <w:vAlign w:val="center"/>
          </w:tcPr>
          <w:p w14:paraId="1206FBE5"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0.75</w:t>
            </w:r>
          </w:p>
        </w:tc>
        <w:tc>
          <w:tcPr>
            <w:tcW w:w="671" w:type="dxa"/>
            <w:tcBorders>
              <w:top w:val="single" w:sz="4" w:space="0" w:color="auto"/>
              <w:left w:val="nil"/>
              <w:bottom w:val="single" w:sz="4" w:space="0" w:color="auto"/>
              <w:right w:val="single" w:sz="4" w:space="0" w:color="auto"/>
            </w:tcBorders>
            <w:shd w:val="clear" w:color="auto" w:fill="00FF00"/>
            <w:vAlign w:val="center"/>
          </w:tcPr>
          <w:p w14:paraId="30FA29A1"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2.73</w:t>
            </w:r>
          </w:p>
        </w:tc>
        <w:tc>
          <w:tcPr>
            <w:tcW w:w="578" w:type="dxa"/>
            <w:tcBorders>
              <w:top w:val="single" w:sz="4" w:space="0" w:color="auto"/>
              <w:left w:val="nil"/>
              <w:bottom w:val="single" w:sz="4" w:space="0" w:color="auto"/>
              <w:right w:val="single" w:sz="4" w:space="0" w:color="auto"/>
            </w:tcBorders>
            <w:shd w:val="clear" w:color="auto" w:fill="00FF00"/>
            <w:vAlign w:val="center"/>
          </w:tcPr>
          <w:p w14:paraId="081BE121"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2.30</w:t>
            </w:r>
          </w:p>
        </w:tc>
        <w:tc>
          <w:tcPr>
            <w:tcW w:w="709" w:type="dxa"/>
            <w:tcBorders>
              <w:top w:val="single" w:sz="4" w:space="0" w:color="auto"/>
              <w:left w:val="nil"/>
              <w:bottom w:val="single" w:sz="4" w:space="0" w:color="auto"/>
              <w:right w:val="single" w:sz="4" w:space="0" w:color="auto"/>
            </w:tcBorders>
            <w:shd w:val="clear" w:color="auto" w:fill="00FF00"/>
            <w:vAlign w:val="center"/>
          </w:tcPr>
          <w:p w14:paraId="30986816"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14.63</w:t>
            </w:r>
          </w:p>
        </w:tc>
        <w:tc>
          <w:tcPr>
            <w:tcW w:w="567" w:type="dxa"/>
            <w:tcBorders>
              <w:top w:val="single" w:sz="4" w:space="0" w:color="auto"/>
              <w:left w:val="nil"/>
              <w:bottom w:val="single" w:sz="4" w:space="0" w:color="auto"/>
              <w:right w:val="single" w:sz="4" w:space="0" w:color="auto"/>
            </w:tcBorders>
            <w:shd w:val="clear" w:color="auto" w:fill="00FF00"/>
            <w:vAlign w:val="center"/>
          </w:tcPr>
          <w:p w14:paraId="61DDD733"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12.10</w:t>
            </w:r>
          </w:p>
        </w:tc>
        <w:tc>
          <w:tcPr>
            <w:tcW w:w="709" w:type="dxa"/>
            <w:tcBorders>
              <w:top w:val="single" w:sz="4" w:space="0" w:color="auto"/>
              <w:left w:val="nil"/>
              <w:bottom w:val="single" w:sz="4" w:space="0" w:color="auto"/>
              <w:right w:val="single" w:sz="4" w:space="0" w:color="auto"/>
            </w:tcBorders>
            <w:shd w:val="clear" w:color="000000" w:fill="00B0F0"/>
            <w:vAlign w:val="center"/>
          </w:tcPr>
          <w:p w14:paraId="1695BD1C"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2.40</w:t>
            </w:r>
          </w:p>
        </w:tc>
        <w:tc>
          <w:tcPr>
            <w:tcW w:w="567" w:type="dxa"/>
            <w:tcBorders>
              <w:top w:val="single" w:sz="4" w:space="0" w:color="auto"/>
              <w:left w:val="nil"/>
              <w:bottom w:val="single" w:sz="4" w:space="0" w:color="auto"/>
              <w:right w:val="single" w:sz="4" w:space="0" w:color="auto"/>
            </w:tcBorders>
            <w:shd w:val="clear" w:color="auto" w:fill="00FF00"/>
            <w:vAlign w:val="center"/>
          </w:tcPr>
          <w:p w14:paraId="09849F23"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8.48</w:t>
            </w:r>
          </w:p>
        </w:tc>
        <w:tc>
          <w:tcPr>
            <w:tcW w:w="567" w:type="dxa"/>
            <w:tcBorders>
              <w:top w:val="single" w:sz="4" w:space="0" w:color="auto"/>
              <w:left w:val="nil"/>
              <w:bottom w:val="single" w:sz="4" w:space="0" w:color="auto"/>
              <w:right w:val="single" w:sz="4" w:space="0" w:color="auto"/>
            </w:tcBorders>
            <w:shd w:val="clear" w:color="000000" w:fill="00B0F0"/>
            <w:vAlign w:val="center"/>
          </w:tcPr>
          <w:p w14:paraId="3FD9AB86"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9.65</w:t>
            </w:r>
          </w:p>
        </w:tc>
        <w:tc>
          <w:tcPr>
            <w:tcW w:w="709" w:type="dxa"/>
            <w:tcBorders>
              <w:top w:val="single" w:sz="4" w:space="0" w:color="auto"/>
              <w:left w:val="nil"/>
              <w:bottom w:val="single" w:sz="4" w:space="0" w:color="auto"/>
              <w:right w:val="single" w:sz="4" w:space="0" w:color="auto"/>
            </w:tcBorders>
            <w:shd w:val="clear" w:color="auto" w:fill="00FF00"/>
            <w:vAlign w:val="center"/>
          </w:tcPr>
          <w:p w14:paraId="1C961B28" w14:textId="77777777" w:rsidR="00085672" w:rsidRPr="005A1C76" w:rsidRDefault="00085672" w:rsidP="00085672">
            <w:pPr>
              <w:spacing w:after="0"/>
              <w:rPr>
                <w:rFonts w:eastAsia="Calibri" w:cs="Calibri"/>
                <w:bCs/>
                <w:color w:val="000000"/>
                <w:sz w:val="20"/>
                <w:szCs w:val="20"/>
                <w:lang w:val="en-GB"/>
              </w:rPr>
            </w:pPr>
            <w:r w:rsidRPr="005A1C76">
              <w:rPr>
                <w:rFonts w:eastAsia="Calibri" w:cs="Calibri"/>
                <w:bCs/>
                <w:color w:val="000000"/>
                <w:sz w:val="20"/>
                <w:szCs w:val="20"/>
                <w:lang w:val="en-GB"/>
              </w:rPr>
              <w:t>13.43</w:t>
            </w:r>
          </w:p>
        </w:tc>
        <w:tc>
          <w:tcPr>
            <w:tcW w:w="567" w:type="dxa"/>
            <w:tcBorders>
              <w:top w:val="single" w:sz="4" w:space="0" w:color="auto"/>
              <w:left w:val="nil"/>
              <w:bottom w:val="single" w:sz="4" w:space="0" w:color="auto"/>
              <w:right w:val="single" w:sz="4" w:space="0" w:color="auto"/>
            </w:tcBorders>
            <w:shd w:val="clear" w:color="000000" w:fill="00B0F0"/>
            <w:vAlign w:val="center"/>
          </w:tcPr>
          <w:p w14:paraId="459CA173"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1.68</w:t>
            </w:r>
          </w:p>
        </w:tc>
        <w:tc>
          <w:tcPr>
            <w:tcW w:w="567" w:type="dxa"/>
            <w:tcBorders>
              <w:top w:val="single" w:sz="4" w:space="0" w:color="auto"/>
              <w:left w:val="nil"/>
              <w:bottom w:val="single" w:sz="4" w:space="0" w:color="auto"/>
              <w:right w:val="single" w:sz="4" w:space="0" w:color="auto"/>
            </w:tcBorders>
            <w:shd w:val="clear" w:color="000000" w:fill="00B0F0"/>
            <w:vAlign w:val="center"/>
          </w:tcPr>
          <w:p w14:paraId="24EAA367"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13.70</w:t>
            </w:r>
          </w:p>
        </w:tc>
        <w:tc>
          <w:tcPr>
            <w:tcW w:w="567" w:type="dxa"/>
            <w:tcBorders>
              <w:top w:val="single" w:sz="4" w:space="0" w:color="auto"/>
              <w:left w:val="nil"/>
              <w:bottom w:val="single" w:sz="4" w:space="0" w:color="auto"/>
              <w:right w:val="single" w:sz="4" w:space="0" w:color="auto"/>
            </w:tcBorders>
            <w:shd w:val="clear" w:color="auto" w:fill="00FF00"/>
            <w:vAlign w:val="center"/>
          </w:tcPr>
          <w:p w14:paraId="588B6C1A"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4.95</w:t>
            </w:r>
          </w:p>
        </w:tc>
        <w:tc>
          <w:tcPr>
            <w:tcW w:w="567" w:type="dxa"/>
            <w:tcBorders>
              <w:top w:val="single" w:sz="8" w:space="0" w:color="auto"/>
              <w:left w:val="single" w:sz="4" w:space="0" w:color="auto"/>
              <w:bottom w:val="single" w:sz="8" w:space="0" w:color="auto"/>
              <w:right w:val="single" w:sz="4" w:space="0" w:color="auto"/>
            </w:tcBorders>
            <w:shd w:val="clear" w:color="auto" w:fill="auto"/>
            <w:vAlign w:val="center"/>
          </w:tcPr>
          <w:p w14:paraId="77BEF86F"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77CC3EF0" w14:textId="77777777" w:rsidTr="00085672">
        <w:trPr>
          <w:cantSplit/>
          <w:trHeight w:val="227"/>
        </w:trPr>
        <w:tc>
          <w:tcPr>
            <w:tcW w:w="567" w:type="dxa"/>
            <w:vMerge/>
            <w:vAlign w:val="center"/>
          </w:tcPr>
          <w:p w14:paraId="64500658" w14:textId="77777777" w:rsidR="00085672" w:rsidRPr="005A1C76" w:rsidRDefault="00085672" w:rsidP="00085672">
            <w:pPr>
              <w:spacing w:after="0" w:line="240" w:lineRule="auto"/>
              <w:rPr>
                <w:rFonts w:eastAsia="Calibri" w:cs="Calibri"/>
                <w:sz w:val="20"/>
                <w:szCs w:val="20"/>
                <w:lang w:val="en-GB"/>
              </w:rPr>
            </w:pPr>
          </w:p>
        </w:tc>
        <w:tc>
          <w:tcPr>
            <w:tcW w:w="988" w:type="dxa"/>
            <w:shd w:val="clear" w:color="auto" w:fill="auto"/>
            <w:vAlign w:val="center"/>
          </w:tcPr>
          <w:p w14:paraId="6D104465"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Brodogradilište Bijela</w:t>
            </w:r>
          </w:p>
        </w:tc>
        <w:tc>
          <w:tcPr>
            <w:tcW w:w="593" w:type="dxa"/>
            <w:tcBorders>
              <w:top w:val="nil"/>
              <w:left w:val="single" w:sz="4" w:space="0" w:color="auto"/>
              <w:bottom w:val="single" w:sz="4" w:space="0" w:color="auto"/>
              <w:right w:val="single" w:sz="4" w:space="0" w:color="auto"/>
            </w:tcBorders>
            <w:shd w:val="clear" w:color="auto" w:fill="00FF00"/>
            <w:vAlign w:val="center"/>
          </w:tcPr>
          <w:p w14:paraId="241CBC25"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1.57</w:t>
            </w:r>
          </w:p>
        </w:tc>
        <w:tc>
          <w:tcPr>
            <w:tcW w:w="671" w:type="dxa"/>
            <w:tcBorders>
              <w:top w:val="nil"/>
              <w:left w:val="nil"/>
              <w:bottom w:val="single" w:sz="4" w:space="0" w:color="auto"/>
              <w:right w:val="single" w:sz="4" w:space="0" w:color="auto"/>
            </w:tcBorders>
            <w:shd w:val="clear" w:color="auto" w:fill="00FF00"/>
            <w:vAlign w:val="center"/>
          </w:tcPr>
          <w:p w14:paraId="7D6AAF2E"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3.82</w:t>
            </w:r>
          </w:p>
        </w:tc>
        <w:tc>
          <w:tcPr>
            <w:tcW w:w="578" w:type="dxa"/>
            <w:tcBorders>
              <w:top w:val="nil"/>
              <w:left w:val="nil"/>
              <w:bottom w:val="single" w:sz="4" w:space="0" w:color="auto"/>
              <w:right w:val="single" w:sz="4" w:space="0" w:color="auto"/>
            </w:tcBorders>
            <w:shd w:val="clear" w:color="auto" w:fill="00FF00"/>
            <w:vAlign w:val="center"/>
          </w:tcPr>
          <w:p w14:paraId="00CF6C74"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1.55</w:t>
            </w:r>
          </w:p>
        </w:tc>
        <w:tc>
          <w:tcPr>
            <w:tcW w:w="709" w:type="dxa"/>
            <w:tcBorders>
              <w:top w:val="nil"/>
              <w:left w:val="nil"/>
              <w:bottom w:val="single" w:sz="4" w:space="0" w:color="auto"/>
              <w:right w:val="single" w:sz="4" w:space="0" w:color="auto"/>
            </w:tcBorders>
            <w:shd w:val="clear" w:color="auto" w:fill="00FF00"/>
            <w:vAlign w:val="center"/>
          </w:tcPr>
          <w:p w14:paraId="3080519E"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5.10</w:t>
            </w:r>
          </w:p>
        </w:tc>
        <w:tc>
          <w:tcPr>
            <w:tcW w:w="567" w:type="dxa"/>
            <w:tcBorders>
              <w:top w:val="nil"/>
              <w:left w:val="nil"/>
              <w:bottom w:val="single" w:sz="4" w:space="0" w:color="auto"/>
              <w:right w:val="single" w:sz="4" w:space="0" w:color="auto"/>
            </w:tcBorders>
            <w:shd w:val="clear" w:color="auto" w:fill="00FF00"/>
            <w:vAlign w:val="center"/>
          </w:tcPr>
          <w:p w14:paraId="45C7EC12"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4.79</w:t>
            </w:r>
          </w:p>
        </w:tc>
        <w:tc>
          <w:tcPr>
            <w:tcW w:w="709" w:type="dxa"/>
            <w:tcBorders>
              <w:top w:val="nil"/>
              <w:left w:val="nil"/>
              <w:bottom w:val="single" w:sz="4" w:space="0" w:color="auto"/>
              <w:right w:val="single" w:sz="4" w:space="0" w:color="auto"/>
            </w:tcBorders>
            <w:shd w:val="clear" w:color="000000" w:fill="00B0F0"/>
            <w:vAlign w:val="center"/>
          </w:tcPr>
          <w:p w14:paraId="21B8536F"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2.43</w:t>
            </w:r>
          </w:p>
        </w:tc>
        <w:tc>
          <w:tcPr>
            <w:tcW w:w="567" w:type="dxa"/>
            <w:tcBorders>
              <w:top w:val="nil"/>
              <w:left w:val="nil"/>
              <w:bottom w:val="single" w:sz="4" w:space="0" w:color="auto"/>
              <w:right w:val="single" w:sz="4" w:space="0" w:color="auto"/>
            </w:tcBorders>
            <w:shd w:val="clear" w:color="000000" w:fill="00B0F0"/>
            <w:vAlign w:val="center"/>
          </w:tcPr>
          <w:p w14:paraId="37657FDF"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1.40</w:t>
            </w:r>
          </w:p>
        </w:tc>
        <w:tc>
          <w:tcPr>
            <w:tcW w:w="567" w:type="dxa"/>
            <w:tcBorders>
              <w:top w:val="nil"/>
              <w:left w:val="nil"/>
              <w:bottom w:val="single" w:sz="4" w:space="0" w:color="auto"/>
              <w:right w:val="single" w:sz="4" w:space="0" w:color="auto"/>
            </w:tcBorders>
            <w:shd w:val="clear" w:color="000000" w:fill="00B0F0"/>
            <w:vAlign w:val="center"/>
          </w:tcPr>
          <w:p w14:paraId="4BE770D7"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3.78</w:t>
            </w:r>
          </w:p>
        </w:tc>
        <w:tc>
          <w:tcPr>
            <w:tcW w:w="709" w:type="dxa"/>
            <w:tcBorders>
              <w:top w:val="nil"/>
              <w:left w:val="nil"/>
              <w:bottom w:val="single" w:sz="4" w:space="0" w:color="auto"/>
              <w:right w:val="single" w:sz="4" w:space="0" w:color="auto"/>
            </w:tcBorders>
            <w:shd w:val="clear" w:color="000000" w:fill="00B0F0"/>
            <w:vAlign w:val="center"/>
          </w:tcPr>
          <w:p w14:paraId="08E0D85A"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3.89</w:t>
            </w:r>
          </w:p>
        </w:tc>
        <w:tc>
          <w:tcPr>
            <w:tcW w:w="567" w:type="dxa"/>
            <w:tcBorders>
              <w:top w:val="nil"/>
              <w:left w:val="nil"/>
              <w:bottom w:val="single" w:sz="4" w:space="0" w:color="auto"/>
              <w:right w:val="single" w:sz="4" w:space="0" w:color="auto"/>
            </w:tcBorders>
            <w:shd w:val="clear" w:color="000000" w:fill="00B0F0"/>
            <w:vAlign w:val="center"/>
          </w:tcPr>
          <w:p w14:paraId="34D8ABEB"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1.63</w:t>
            </w:r>
          </w:p>
        </w:tc>
        <w:tc>
          <w:tcPr>
            <w:tcW w:w="567" w:type="dxa"/>
            <w:tcBorders>
              <w:top w:val="nil"/>
              <w:left w:val="nil"/>
              <w:bottom w:val="single" w:sz="4" w:space="0" w:color="auto"/>
              <w:right w:val="single" w:sz="4" w:space="0" w:color="auto"/>
            </w:tcBorders>
            <w:shd w:val="clear" w:color="000000" w:fill="00B0F0"/>
            <w:vAlign w:val="center"/>
          </w:tcPr>
          <w:p w14:paraId="77482B30"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5.07</w:t>
            </w:r>
          </w:p>
        </w:tc>
        <w:tc>
          <w:tcPr>
            <w:tcW w:w="567" w:type="dxa"/>
            <w:tcBorders>
              <w:top w:val="nil"/>
              <w:left w:val="nil"/>
              <w:bottom w:val="single" w:sz="4" w:space="0" w:color="auto"/>
              <w:right w:val="single" w:sz="4" w:space="0" w:color="auto"/>
            </w:tcBorders>
            <w:shd w:val="clear" w:color="auto" w:fill="00FF00"/>
            <w:vAlign w:val="center"/>
          </w:tcPr>
          <w:p w14:paraId="26ADC1F5"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1.98</w:t>
            </w:r>
          </w:p>
        </w:tc>
        <w:tc>
          <w:tcPr>
            <w:tcW w:w="567" w:type="dxa"/>
            <w:tcBorders>
              <w:top w:val="nil"/>
              <w:left w:val="single" w:sz="4" w:space="0" w:color="auto"/>
              <w:bottom w:val="single" w:sz="8" w:space="0" w:color="auto"/>
              <w:right w:val="single" w:sz="4" w:space="0" w:color="auto"/>
            </w:tcBorders>
            <w:shd w:val="clear" w:color="auto" w:fill="auto"/>
            <w:vAlign w:val="center"/>
          </w:tcPr>
          <w:p w14:paraId="72F68EAC"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14338DDD" w14:textId="77777777" w:rsidTr="00085672">
        <w:trPr>
          <w:cantSplit/>
          <w:trHeight w:val="227"/>
        </w:trPr>
        <w:tc>
          <w:tcPr>
            <w:tcW w:w="567" w:type="dxa"/>
            <w:vMerge/>
            <w:vAlign w:val="center"/>
          </w:tcPr>
          <w:p w14:paraId="71977119" w14:textId="77777777" w:rsidR="00085672" w:rsidRPr="005A1C76" w:rsidRDefault="00085672" w:rsidP="00085672">
            <w:pPr>
              <w:spacing w:after="0" w:line="240" w:lineRule="auto"/>
              <w:rPr>
                <w:rFonts w:eastAsia="Calibri" w:cs="Calibri"/>
                <w:sz w:val="20"/>
                <w:szCs w:val="20"/>
                <w:lang w:val="en-GB"/>
              </w:rPr>
            </w:pPr>
          </w:p>
        </w:tc>
        <w:tc>
          <w:tcPr>
            <w:tcW w:w="988" w:type="dxa"/>
            <w:shd w:val="clear" w:color="auto" w:fill="auto"/>
            <w:vAlign w:val="center"/>
          </w:tcPr>
          <w:p w14:paraId="59DACC48"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Porto Montenegro</w:t>
            </w:r>
          </w:p>
        </w:tc>
        <w:tc>
          <w:tcPr>
            <w:tcW w:w="593" w:type="dxa"/>
            <w:tcBorders>
              <w:top w:val="nil"/>
              <w:left w:val="single" w:sz="4" w:space="0" w:color="auto"/>
              <w:bottom w:val="single" w:sz="4" w:space="0" w:color="auto"/>
              <w:right w:val="single" w:sz="4" w:space="0" w:color="auto"/>
            </w:tcBorders>
            <w:shd w:val="clear" w:color="auto" w:fill="00FF00"/>
            <w:vAlign w:val="center"/>
          </w:tcPr>
          <w:p w14:paraId="39DBDE44"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1.60</w:t>
            </w:r>
          </w:p>
        </w:tc>
        <w:tc>
          <w:tcPr>
            <w:tcW w:w="671" w:type="dxa"/>
            <w:tcBorders>
              <w:top w:val="nil"/>
              <w:left w:val="nil"/>
              <w:bottom w:val="single" w:sz="4" w:space="0" w:color="auto"/>
              <w:right w:val="single" w:sz="4" w:space="0" w:color="auto"/>
            </w:tcBorders>
            <w:shd w:val="clear" w:color="000000" w:fill="00B0F0"/>
            <w:vAlign w:val="center"/>
          </w:tcPr>
          <w:p w14:paraId="42EAB710"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1.78</w:t>
            </w:r>
          </w:p>
        </w:tc>
        <w:tc>
          <w:tcPr>
            <w:tcW w:w="578" w:type="dxa"/>
            <w:tcBorders>
              <w:top w:val="nil"/>
              <w:left w:val="nil"/>
              <w:bottom w:val="single" w:sz="4" w:space="0" w:color="auto"/>
              <w:right w:val="single" w:sz="4" w:space="0" w:color="auto"/>
            </w:tcBorders>
            <w:shd w:val="clear" w:color="auto" w:fill="00FF00"/>
            <w:vAlign w:val="center"/>
          </w:tcPr>
          <w:p w14:paraId="417DAAEB"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1.69</w:t>
            </w:r>
          </w:p>
        </w:tc>
        <w:tc>
          <w:tcPr>
            <w:tcW w:w="709" w:type="dxa"/>
            <w:tcBorders>
              <w:top w:val="nil"/>
              <w:left w:val="nil"/>
              <w:bottom w:val="single" w:sz="4" w:space="0" w:color="auto"/>
              <w:right w:val="single" w:sz="4" w:space="0" w:color="auto"/>
            </w:tcBorders>
            <w:shd w:val="clear" w:color="auto" w:fill="00FF00"/>
            <w:vAlign w:val="center"/>
          </w:tcPr>
          <w:p w14:paraId="0D12C580"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5.11</w:t>
            </w:r>
          </w:p>
        </w:tc>
        <w:tc>
          <w:tcPr>
            <w:tcW w:w="567" w:type="dxa"/>
            <w:tcBorders>
              <w:top w:val="nil"/>
              <w:left w:val="nil"/>
              <w:bottom w:val="single" w:sz="4" w:space="0" w:color="auto"/>
              <w:right w:val="single" w:sz="4" w:space="0" w:color="auto"/>
            </w:tcBorders>
            <w:shd w:val="clear" w:color="auto" w:fill="00FF00"/>
            <w:vAlign w:val="center"/>
          </w:tcPr>
          <w:p w14:paraId="242F87F5"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3.18</w:t>
            </w:r>
          </w:p>
        </w:tc>
        <w:tc>
          <w:tcPr>
            <w:tcW w:w="709" w:type="dxa"/>
            <w:tcBorders>
              <w:top w:val="nil"/>
              <w:left w:val="nil"/>
              <w:bottom w:val="single" w:sz="4" w:space="0" w:color="auto"/>
              <w:right w:val="single" w:sz="4" w:space="0" w:color="auto"/>
            </w:tcBorders>
            <w:shd w:val="clear" w:color="000000" w:fill="00B0F0"/>
            <w:vAlign w:val="center"/>
          </w:tcPr>
          <w:p w14:paraId="4E7F8E48"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2.58</w:t>
            </w:r>
          </w:p>
        </w:tc>
        <w:tc>
          <w:tcPr>
            <w:tcW w:w="567" w:type="dxa"/>
            <w:tcBorders>
              <w:top w:val="nil"/>
              <w:left w:val="nil"/>
              <w:bottom w:val="single" w:sz="4" w:space="0" w:color="auto"/>
              <w:right w:val="single" w:sz="4" w:space="0" w:color="auto"/>
            </w:tcBorders>
            <w:shd w:val="clear" w:color="000000" w:fill="00B0F0"/>
            <w:vAlign w:val="center"/>
          </w:tcPr>
          <w:p w14:paraId="0E82368D"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1.75</w:t>
            </w:r>
          </w:p>
        </w:tc>
        <w:tc>
          <w:tcPr>
            <w:tcW w:w="567" w:type="dxa"/>
            <w:tcBorders>
              <w:top w:val="nil"/>
              <w:left w:val="nil"/>
              <w:bottom w:val="single" w:sz="4" w:space="0" w:color="auto"/>
              <w:right w:val="single" w:sz="4" w:space="0" w:color="auto"/>
            </w:tcBorders>
            <w:shd w:val="clear" w:color="000000" w:fill="00B0F0"/>
            <w:vAlign w:val="center"/>
          </w:tcPr>
          <w:p w14:paraId="34738342"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2.99</w:t>
            </w:r>
          </w:p>
        </w:tc>
        <w:tc>
          <w:tcPr>
            <w:tcW w:w="709" w:type="dxa"/>
            <w:tcBorders>
              <w:top w:val="nil"/>
              <w:left w:val="nil"/>
              <w:bottom w:val="single" w:sz="4" w:space="0" w:color="auto"/>
              <w:right w:val="single" w:sz="4" w:space="0" w:color="auto"/>
            </w:tcBorders>
            <w:shd w:val="clear" w:color="000000" w:fill="00B0F0"/>
            <w:vAlign w:val="center"/>
          </w:tcPr>
          <w:p w14:paraId="4E7F521E"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3.63</w:t>
            </w:r>
          </w:p>
        </w:tc>
        <w:tc>
          <w:tcPr>
            <w:tcW w:w="567" w:type="dxa"/>
            <w:tcBorders>
              <w:top w:val="nil"/>
              <w:left w:val="nil"/>
              <w:bottom w:val="single" w:sz="4" w:space="0" w:color="auto"/>
              <w:right w:val="single" w:sz="4" w:space="0" w:color="auto"/>
            </w:tcBorders>
            <w:shd w:val="clear" w:color="000000" w:fill="00B0F0"/>
            <w:vAlign w:val="center"/>
          </w:tcPr>
          <w:p w14:paraId="057E2C42"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1.85</w:t>
            </w:r>
          </w:p>
        </w:tc>
        <w:tc>
          <w:tcPr>
            <w:tcW w:w="567" w:type="dxa"/>
            <w:tcBorders>
              <w:top w:val="nil"/>
              <w:left w:val="nil"/>
              <w:bottom w:val="single" w:sz="4" w:space="0" w:color="auto"/>
              <w:right w:val="single" w:sz="4" w:space="0" w:color="auto"/>
            </w:tcBorders>
            <w:shd w:val="clear" w:color="000000" w:fill="00B0F0"/>
            <w:vAlign w:val="center"/>
          </w:tcPr>
          <w:p w14:paraId="54748DE8"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3.83</w:t>
            </w:r>
          </w:p>
        </w:tc>
        <w:tc>
          <w:tcPr>
            <w:tcW w:w="567" w:type="dxa"/>
            <w:tcBorders>
              <w:top w:val="nil"/>
              <w:left w:val="nil"/>
              <w:bottom w:val="single" w:sz="4" w:space="0" w:color="auto"/>
              <w:right w:val="single" w:sz="4" w:space="0" w:color="auto"/>
            </w:tcBorders>
            <w:shd w:val="clear" w:color="auto" w:fill="00FF00"/>
            <w:vAlign w:val="center"/>
          </w:tcPr>
          <w:p w14:paraId="1674E463"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1.87</w:t>
            </w:r>
          </w:p>
        </w:tc>
        <w:tc>
          <w:tcPr>
            <w:tcW w:w="567" w:type="dxa"/>
            <w:tcBorders>
              <w:top w:val="nil"/>
              <w:left w:val="single" w:sz="4" w:space="0" w:color="auto"/>
              <w:bottom w:val="single" w:sz="8" w:space="0" w:color="auto"/>
              <w:right w:val="single" w:sz="4" w:space="0" w:color="auto"/>
            </w:tcBorders>
            <w:shd w:val="clear" w:color="auto" w:fill="auto"/>
            <w:vAlign w:val="center"/>
          </w:tcPr>
          <w:p w14:paraId="1D6A5B0C"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4A885954" w14:textId="77777777" w:rsidTr="00085672">
        <w:trPr>
          <w:cantSplit/>
          <w:trHeight w:val="227"/>
        </w:trPr>
        <w:tc>
          <w:tcPr>
            <w:tcW w:w="567" w:type="dxa"/>
            <w:vMerge/>
            <w:vAlign w:val="center"/>
          </w:tcPr>
          <w:p w14:paraId="18D61B19" w14:textId="77777777" w:rsidR="00085672" w:rsidRPr="005A1C76" w:rsidRDefault="00085672" w:rsidP="00085672">
            <w:pPr>
              <w:spacing w:after="0" w:line="240" w:lineRule="auto"/>
              <w:rPr>
                <w:rFonts w:eastAsia="Calibri" w:cs="Calibri"/>
                <w:sz w:val="20"/>
                <w:szCs w:val="20"/>
                <w:lang w:val="en-GB"/>
              </w:rPr>
            </w:pPr>
          </w:p>
        </w:tc>
        <w:tc>
          <w:tcPr>
            <w:tcW w:w="988" w:type="dxa"/>
            <w:shd w:val="clear" w:color="auto" w:fill="auto"/>
            <w:vAlign w:val="center"/>
          </w:tcPr>
          <w:p w14:paraId="68DA5051"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Tivat</w:t>
            </w:r>
          </w:p>
        </w:tc>
        <w:tc>
          <w:tcPr>
            <w:tcW w:w="593" w:type="dxa"/>
            <w:tcBorders>
              <w:top w:val="nil"/>
              <w:left w:val="single" w:sz="4" w:space="0" w:color="auto"/>
              <w:bottom w:val="single" w:sz="4" w:space="0" w:color="auto"/>
              <w:right w:val="single" w:sz="4" w:space="0" w:color="auto"/>
            </w:tcBorders>
            <w:shd w:val="clear" w:color="000000" w:fill="00B0F0"/>
            <w:vAlign w:val="center"/>
          </w:tcPr>
          <w:p w14:paraId="1A482326"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1.18</w:t>
            </w:r>
          </w:p>
        </w:tc>
        <w:tc>
          <w:tcPr>
            <w:tcW w:w="671" w:type="dxa"/>
            <w:tcBorders>
              <w:top w:val="nil"/>
              <w:left w:val="nil"/>
              <w:bottom w:val="single" w:sz="4" w:space="0" w:color="auto"/>
              <w:right w:val="single" w:sz="4" w:space="0" w:color="auto"/>
            </w:tcBorders>
            <w:shd w:val="clear" w:color="000000" w:fill="00B0F0"/>
            <w:vAlign w:val="center"/>
          </w:tcPr>
          <w:p w14:paraId="5C79159C"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0.98</w:t>
            </w:r>
          </w:p>
        </w:tc>
        <w:tc>
          <w:tcPr>
            <w:tcW w:w="578" w:type="dxa"/>
            <w:tcBorders>
              <w:top w:val="nil"/>
              <w:left w:val="nil"/>
              <w:bottom w:val="single" w:sz="4" w:space="0" w:color="auto"/>
              <w:right w:val="single" w:sz="4" w:space="0" w:color="auto"/>
            </w:tcBorders>
            <w:shd w:val="clear" w:color="000000" w:fill="00B0F0"/>
            <w:vAlign w:val="center"/>
          </w:tcPr>
          <w:p w14:paraId="2C3EF357"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0.75</w:t>
            </w:r>
          </w:p>
        </w:tc>
        <w:tc>
          <w:tcPr>
            <w:tcW w:w="709" w:type="dxa"/>
            <w:tcBorders>
              <w:top w:val="nil"/>
              <w:left w:val="nil"/>
              <w:bottom w:val="single" w:sz="4" w:space="0" w:color="auto"/>
              <w:right w:val="single" w:sz="4" w:space="0" w:color="auto"/>
            </w:tcBorders>
            <w:shd w:val="clear" w:color="000000" w:fill="00B0F0"/>
            <w:vAlign w:val="center"/>
          </w:tcPr>
          <w:p w14:paraId="060A1924"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1.38</w:t>
            </w:r>
          </w:p>
        </w:tc>
        <w:tc>
          <w:tcPr>
            <w:tcW w:w="567" w:type="dxa"/>
            <w:tcBorders>
              <w:top w:val="nil"/>
              <w:left w:val="nil"/>
              <w:bottom w:val="single" w:sz="4" w:space="0" w:color="auto"/>
              <w:right w:val="single" w:sz="4" w:space="0" w:color="auto"/>
            </w:tcBorders>
            <w:shd w:val="clear" w:color="auto" w:fill="00FF00"/>
            <w:vAlign w:val="center"/>
          </w:tcPr>
          <w:p w14:paraId="4C7326F6"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2.63</w:t>
            </w:r>
          </w:p>
        </w:tc>
        <w:tc>
          <w:tcPr>
            <w:tcW w:w="709" w:type="dxa"/>
            <w:tcBorders>
              <w:top w:val="nil"/>
              <w:left w:val="nil"/>
              <w:bottom w:val="single" w:sz="4" w:space="0" w:color="auto"/>
              <w:right w:val="single" w:sz="4" w:space="0" w:color="auto"/>
            </w:tcBorders>
            <w:shd w:val="clear" w:color="000000" w:fill="00B0F0"/>
            <w:vAlign w:val="center"/>
          </w:tcPr>
          <w:p w14:paraId="78AA7DA3"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0.75</w:t>
            </w:r>
          </w:p>
        </w:tc>
        <w:tc>
          <w:tcPr>
            <w:tcW w:w="567" w:type="dxa"/>
            <w:tcBorders>
              <w:top w:val="nil"/>
              <w:left w:val="nil"/>
              <w:bottom w:val="single" w:sz="4" w:space="0" w:color="auto"/>
              <w:right w:val="single" w:sz="4" w:space="0" w:color="auto"/>
            </w:tcBorders>
            <w:shd w:val="clear" w:color="000000" w:fill="00B0F0"/>
            <w:vAlign w:val="center"/>
          </w:tcPr>
          <w:p w14:paraId="3FA2C0FD"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5.98</w:t>
            </w:r>
          </w:p>
        </w:tc>
        <w:tc>
          <w:tcPr>
            <w:tcW w:w="567" w:type="dxa"/>
            <w:tcBorders>
              <w:top w:val="nil"/>
              <w:left w:val="nil"/>
              <w:bottom w:val="single" w:sz="4" w:space="0" w:color="auto"/>
              <w:right w:val="single" w:sz="4" w:space="0" w:color="auto"/>
            </w:tcBorders>
            <w:shd w:val="clear" w:color="000000" w:fill="00B0F0"/>
            <w:vAlign w:val="center"/>
          </w:tcPr>
          <w:p w14:paraId="61D27D9A"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2.35</w:t>
            </w:r>
          </w:p>
        </w:tc>
        <w:tc>
          <w:tcPr>
            <w:tcW w:w="709" w:type="dxa"/>
            <w:tcBorders>
              <w:top w:val="nil"/>
              <w:left w:val="nil"/>
              <w:bottom w:val="single" w:sz="4" w:space="0" w:color="auto"/>
              <w:right w:val="single" w:sz="4" w:space="0" w:color="auto"/>
            </w:tcBorders>
            <w:shd w:val="clear" w:color="000000" w:fill="00B0F0"/>
            <w:vAlign w:val="center"/>
          </w:tcPr>
          <w:p w14:paraId="63297906"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0.75</w:t>
            </w:r>
          </w:p>
        </w:tc>
        <w:tc>
          <w:tcPr>
            <w:tcW w:w="567" w:type="dxa"/>
            <w:tcBorders>
              <w:top w:val="nil"/>
              <w:left w:val="nil"/>
              <w:bottom w:val="single" w:sz="4" w:space="0" w:color="auto"/>
              <w:right w:val="single" w:sz="4" w:space="0" w:color="auto"/>
            </w:tcBorders>
            <w:shd w:val="clear" w:color="000000" w:fill="00B0F0"/>
            <w:vAlign w:val="center"/>
          </w:tcPr>
          <w:p w14:paraId="4914D397"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0.75</w:t>
            </w:r>
          </w:p>
        </w:tc>
        <w:tc>
          <w:tcPr>
            <w:tcW w:w="567" w:type="dxa"/>
            <w:tcBorders>
              <w:top w:val="nil"/>
              <w:left w:val="nil"/>
              <w:bottom w:val="single" w:sz="4" w:space="0" w:color="auto"/>
              <w:right w:val="single" w:sz="4" w:space="0" w:color="auto"/>
            </w:tcBorders>
            <w:shd w:val="clear" w:color="000000" w:fill="00B0F0"/>
            <w:vAlign w:val="center"/>
          </w:tcPr>
          <w:p w14:paraId="3F061DB9"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2.13</w:t>
            </w:r>
          </w:p>
        </w:tc>
        <w:tc>
          <w:tcPr>
            <w:tcW w:w="567" w:type="dxa"/>
            <w:tcBorders>
              <w:top w:val="nil"/>
              <w:left w:val="nil"/>
              <w:bottom w:val="single" w:sz="4" w:space="0" w:color="auto"/>
              <w:right w:val="single" w:sz="4" w:space="0" w:color="auto"/>
            </w:tcBorders>
            <w:shd w:val="clear" w:color="auto" w:fill="00FF00"/>
            <w:vAlign w:val="center"/>
          </w:tcPr>
          <w:p w14:paraId="68AF2230"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1.63</w:t>
            </w:r>
          </w:p>
        </w:tc>
        <w:tc>
          <w:tcPr>
            <w:tcW w:w="567" w:type="dxa"/>
            <w:tcBorders>
              <w:top w:val="nil"/>
              <w:left w:val="single" w:sz="4" w:space="0" w:color="auto"/>
              <w:bottom w:val="single" w:sz="8" w:space="0" w:color="auto"/>
              <w:right w:val="single" w:sz="4" w:space="0" w:color="auto"/>
            </w:tcBorders>
            <w:shd w:val="clear" w:color="auto" w:fill="auto"/>
            <w:vAlign w:val="center"/>
          </w:tcPr>
          <w:p w14:paraId="21BF7F6E"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3E39182A" w14:textId="77777777" w:rsidTr="00085672">
        <w:trPr>
          <w:cantSplit/>
          <w:trHeight w:val="260"/>
        </w:trPr>
        <w:tc>
          <w:tcPr>
            <w:tcW w:w="567" w:type="dxa"/>
            <w:vMerge/>
            <w:vAlign w:val="center"/>
          </w:tcPr>
          <w:p w14:paraId="6BD7D876" w14:textId="77777777" w:rsidR="00085672" w:rsidRPr="005A1C76" w:rsidRDefault="00085672" w:rsidP="00085672">
            <w:pPr>
              <w:spacing w:after="0" w:line="240" w:lineRule="auto"/>
              <w:rPr>
                <w:rFonts w:eastAsia="Calibri" w:cs="Calibri"/>
                <w:sz w:val="20"/>
                <w:szCs w:val="20"/>
                <w:lang w:val="en-GB"/>
              </w:rPr>
            </w:pPr>
          </w:p>
        </w:tc>
        <w:tc>
          <w:tcPr>
            <w:tcW w:w="988" w:type="dxa"/>
            <w:shd w:val="clear" w:color="auto" w:fill="auto"/>
            <w:vAlign w:val="center"/>
          </w:tcPr>
          <w:p w14:paraId="529804C0"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Risan</w:t>
            </w:r>
          </w:p>
        </w:tc>
        <w:tc>
          <w:tcPr>
            <w:tcW w:w="593" w:type="dxa"/>
            <w:tcBorders>
              <w:top w:val="nil"/>
              <w:left w:val="single" w:sz="4" w:space="0" w:color="auto"/>
              <w:bottom w:val="single" w:sz="4" w:space="0" w:color="auto"/>
              <w:right w:val="single" w:sz="4" w:space="0" w:color="auto"/>
            </w:tcBorders>
            <w:shd w:val="clear" w:color="000000" w:fill="00B0F0"/>
            <w:vAlign w:val="center"/>
          </w:tcPr>
          <w:p w14:paraId="2CFB2A85"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0.83</w:t>
            </w:r>
          </w:p>
        </w:tc>
        <w:tc>
          <w:tcPr>
            <w:tcW w:w="671" w:type="dxa"/>
            <w:tcBorders>
              <w:top w:val="nil"/>
              <w:left w:val="nil"/>
              <w:bottom w:val="single" w:sz="4" w:space="0" w:color="auto"/>
              <w:right w:val="single" w:sz="4" w:space="0" w:color="auto"/>
            </w:tcBorders>
            <w:shd w:val="clear" w:color="000000" w:fill="00B0F0"/>
            <w:vAlign w:val="center"/>
          </w:tcPr>
          <w:p w14:paraId="3A9AF1F4"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1.55</w:t>
            </w:r>
          </w:p>
        </w:tc>
        <w:tc>
          <w:tcPr>
            <w:tcW w:w="578" w:type="dxa"/>
            <w:tcBorders>
              <w:top w:val="nil"/>
              <w:left w:val="nil"/>
              <w:bottom w:val="single" w:sz="4" w:space="0" w:color="auto"/>
              <w:right w:val="single" w:sz="4" w:space="0" w:color="auto"/>
            </w:tcBorders>
            <w:shd w:val="clear" w:color="auto" w:fill="00FF00"/>
            <w:vAlign w:val="center"/>
          </w:tcPr>
          <w:p w14:paraId="6540FBF9"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1.23</w:t>
            </w:r>
          </w:p>
        </w:tc>
        <w:tc>
          <w:tcPr>
            <w:tcW w:w="709" w:type="dxa"/>
            <w:tcBorders>
              <w:top w:val="nil"/>
              <w:left w:val="nil"/>
              <w:bottom w:val="single" w:sz="4" w:space="0" w:color="auto"/>
              <w:right w:val="single" w:sz="4" w:space="0" w:color="auto"/>
            </w:tcBorders>
            <w:shd w:val="clear" w:color="000000" w:fill="00B0F0"/>
            <w:vAlign w:val="center"/>
          </w:tcPr>
          <w:p w14:paraId="090F7399"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2.20</w:t>
            </w:r>
          </w:p>
        </w:tc>
        <w:tc>
          <w:tcPr>
            <w:tcW w:w="567" w:type="dxa"/>
            <w:tcBorders>
              <w:top w:val="nil"/>
              <w:left w:val="nil"/>
              <w:bottom w:val="single" w:sz="4" w:space="0" w:color="auto"/>
              <w:right w:val="single" w:sz="4" w:space="0" w:color="auto"/>
            </w:tcBorders>
            <w:shd w:val="clear" w:color="auto" w:fill="00FF00"/>
            <w:vAlign w:val="center"/>
          </w:tcPr>
          <w:p w14:paraId="30D27CE4"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2.87</w:t>
            </w:r>
          </w:p>
        </w:tc>
        <w:tc>
          <w:tcPr>
            <w:tcW w:w="709" w:type="dxa"/>
            <w:tcBorders>
              <w:top w:val="nil"/>
              <w:left w:val="nil"/>
              <w:bottom w:val="single" w:sz="4" w:space="0" w:color="auto"/>
              <w:right w:val="single" w:sz="4" w:space="0" w:color="auto"/>
            </w:tcBorders>
            <w:shd w:val="clear" w:color="000000" w:fill="00B0F0"/>
            <w:vAlign w:val="center"/>
          </w:tcPr>
          <w:p w14:paraId="160DF52C"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1.05</w:t>
            </w:r>
          </w:p>
        </w:tc>
        <w:tc>
          <w:tcPr>
            <w:tcW w:w="567" w:type="dxa"/>
            <w:tcBorders>
              <w:top w:val="nil"/>
              <w:left w:val="nil"/>
              <w:bottom w:val="single" w:sz="4" w:space="0" w:color="auto"/>
              <w:right w:val="single" w:sz="4" w:space="0" w:color="auto"/>
            </w:tcBorders>
            <w:shd w:val="clear" w:color="auto" w:fill="00FF00"/>
            <w:vAlign w:val="center"/>
          </w:tcPr>
          <w:p w14:paraId="30835142"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7.73</w:t>
            </w:r>
          </w:p>
        </w:tc>
        <w:tc>
          <w:tcPr>
            <w:tcW w:w="567" w:type="dxa"/>
            <w:tcBorders>
              <w:top w:val="nil"/>
              <w:left w:val="nil"/>
              <w:bottom w:val="single" w:sz="4" w:space="0" w:color="auto"/>
              <w:right w:val="single" w:sz="4" w:space="0" w:color="auto"/>
            </w:tcBorders>
            <w:shd w:val="clear" w:color="000000" w:fill="00B0F0"/>
            <w:vAlign w:val="center"/>
          </w:tcPr>
          <w:p w14:paraId="38D11443"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2.45</w:t>
            </w:r>
          </w:p>
        </w:tc>
        <w:tc>
          <w:tcPr>
            <w:tcW w:w="709" w:type="dxa"/>
            <w:tcBorders>
              <w:top w:val="nil"/>
              <w:left w:val="nil"/>
              <w:bottom w:val="single" w:sz="4" w:space="0" w:color="auto"/>
              <w:right w:val="single" w:sz="4" w:space="0" w:color="auto"/>
            </w:tcBorders>
            <w:shd w:val="clear" w:color="auto" w:fill="00FF00"/>
            <w:vAlign w:val="center"/>
          </w:tcPr>
          <w:p w14:paraId="48032C86"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6.33</w:t>
            </w:r>
          </w:p>
        </w:tc>
        <w:tc>
          <w:tcPr>
            <w:tcW w:w="567" w:type="dxa"/>
            <w:tcBorders>
              <w:top w:val="nil"/>
              <w:left w:val="nil"/>
              <w:bottom w:val="single" w:sz="4" w:space="0" w:color="auto"/>
              <w:right w:val="single" w:sz="4" w:space="0" w:color="auto"/>
            </w:tcBorders>
            <w:shd w:val="clear" w:color="000000" w:fill="00B0F0"/>
            <w:vAlign w:val="center"/>
          </w:tcPr>
          <w:p w14:paraId="3CCFF6E2"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0.73</w:t>
            </w:r>
          </w:p>
        </w:tc>
        <w:tc>
          <w:tcPr>
            <w:tcW w:w="567" w:type="dxa"/>
            <w:tcBorders>
              <w:top w:val="nil"/>
              <w:left w:val="nil"/>
              <w:bottom w:val="single" w:sz="4" w:space="0" w:color="auto"/>
              <w:right w:val="single" w:sz="4" w:space="0" w:color="auto"/>
            </w:tcBorders>
            <w:shd w:val="clear" w:color="000000" w:fill="00B0F0"/>
            <w:vAlign w:val="center"/>
          </w:tcPr>
          <w:p w14:paraId="113F0CA7"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4.33</w:t>
            </w:r>
          </w:p>
        </w:tc>
        <w:tc>
          <w:tcPr>
            <w:tcW w:w="567" w:type="dxa"/>
            <w:tcBorders>
              <w:top w:val="nil"/>
              <w:left w:val="nil"/>
              <w:bottom w:val="single" w:sz="4" w:space="0" w:color="auto"/>
              <w:right w:val="single" w:sz="4" w:space="0" w:color="auto"/>
            </w:tcBorders>
            <w:shd w:val="clear" w:color="auto" w:fill="00FF00"/>
            <w:vAlign w:val="center"/>
          </w:tcPr>
          <w:p w14:paraId="3AD52042"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1.65</w:t>
            </w:r>
          </w:p>
        </w:tc>
        <w:tc>
          <w:tcPr>
            <w:tcW w:w="567" w:type="dxa"/>
            <w:tcBorders>
              <w:top w:val="nil"/>
              <w:left w:val="single" w:sz="4" w:space="0" w:color="auto"/>
              <w:bottom w:val="single" w:sz="8" w:space="0" w:color="auto"/>
              <w:right w:val="single" w:sz="4" w:space="0" w:color="auto"/>
            </w:tcBorders>
            <w:shd w:val="clear" w:color="auto" w:fill="auto"/>
            <w:vAlign w:val="center"/>
          </w:tcPr>
          <w:p w14:paraId="1D4369A8"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5E8B5B45" w14:textId="77777777" w:rsidTr="00085672">
        <w:trPr>
          <w:cantSplit/>
          <w:trHeight w:val="260"/>
        </w:trPr>
        <w:tc>
          <w:tcPr>
            <w:tcW w:w="567" w:type="dxa"/>
            <w:vMerge/>
            <w:vAlign w:val="center"/>
          </w:tcPr>
          <w:p w14:paraId="2F60DDB3" w14:textId="77777777" w:rsidR="00085672" w:rsidRPr="005A1C76" w:rsidRDefault="00085672" w:rsidP="00085672">
            <w:pPr>
              <w:spacing w:after="0" w:line="240" w:lineRule="auto"/>
              <w:rPr>
                <w:rFonts w:eastAsia="Calibri" w:cs="Calibri"/>
                <w:sz w:val="20"/>
                <w:szCs w:val="20"/>
                <w:lang w:val="en-GB"/>
              </w:rPr>
            </w:pPr>
          </w:p>
        </w:tc>
        <w:tc>
          <w:tcPr>
            <w:tcW w:w="988" w:type="dxa"/>
            <w:shd w:val="clear" w:color="auto" w:fill="auto"/>
            <w:vAlign w:val="center"/>
          </w:tcPr>
          <w:p w14:paraId="3225D8B8"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Orahovac</w:t>
            </w:r>
          </w:p>
        </w:tc>
        <w:tc>
          <w:tcPr>
            <w:tcW w:w="593" w:type="dxa"/>
            <w:tcBorders>
              <w:top w:val="nil"/>
              <w:left w:val="single" w:sz="4" w:space="0" w:color="auto"/>
              <w:bottom w:val="single" w:sz="4" w:space="0" w:color="auto"/>
              <w:right w:val="single" w:sz="4" w:space="0" w:color="auto"/>
            </w:tcBorders>
            <w:shd w:val="clear" w:color="000000" w:fill="00B0F0"/>
            <w:vAlign w:val="center"/>
          </w:tcPr>
          <w:p w14:paraId="70F7E9A0"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1.00</w:t>
            </w:r>
          </w:p>
        </w:tc>
        <w:tc>
          <w:tcPr>
            <w:tcW w:w="671" w:type="dxa"/>
            <w:tcBorders>
              <w:top w:val="nil"/>
              <w:left w:val="nil"/>
              <w:bottom w:val="single" w:sz="4" w:space="0" w:color="auto"/>
              <w:right w:val="single" w:sz="4" w:space="0" w:color="auto"/>
            </w:tcBorders>
            <w:shd w:val="clear" w:color="000000" w:fill="00B0F0"/>
            <w:vAlign w:val="center"/>
          </w:tcPr>
          <w:p w14:paraId="71CA96B5"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1.00</w:t>
            </w:r>
          </w:p>
        </w:tc>
        <w:tc>
          <w:tcPr>
            <w:tcW w:w="578" w:type="dxa"/>
            <w:tcBorders>
              <w:top w:val="nil"/>
              <w:left w:val="nil"/>
              <w:bottom w:val="single" w:sz="4" w:space="0" w:color="auto"/>
              <w:right w:val="single" w:sz="4" w:space="0" w:color="auto"/>
            </w:tcBorders>
            <w:shd w:val="clear" w:color="000000" w:fill="00B0F0"/>
            <w:vAlign w:val="center"/>
          </w:tcPr>
          <w:p w14:paraId="04049A10"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1.00</w:t>
            </w:r>
          </w:p>
        </w:tc>
        <w:tc>
          <w:tcPr>
            <w:tcW w:w="709" w:type="dxa"/>
            <w:tcBorders>
              <w:top w:val="nil"/>
              <w:left w:val="nil"/>
              <w:bottom w:val="single" w:sz="4" w:space="0" w:color="auto"/>
              <w:right w:val="single" w:sz="4" w:space="0" w:color="auto"/>
            </w:tcBorders>
            <w:shd w:val="clear" w:color="000000" w:fill="00B0F0"/>
            <w:vAlign w:val="center"/>
          </w:tcPr>
          <w:p w14:paraId="3F97187A"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1.00</w:t>
            </w:r>
          </w:p>
        </w:tc>
        <w:tc>
          <w:tcPr>
            <w:tcW w:w="567" w:type="dxa"/>
            <w:tcBorders>
              <w:top w:val="nil"/>
              <w:left w:val="nil"/>
              <w:bottom w:val="single" w:sz="4" w:space="0" w:color="auto"/>
              <w:right w:val="single" w:sz="4" w:space="0" w:color="auto"/>
            </w:tcBorders>
            <w:shd w:val="clear" w:color="000000" w:fill="00B0F0"/>
            <w:vAlign w:val="center"/>
          </w:tcPr>
          <w:p w14:paraId="2292D0CC"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1.00</w:t>
            </w:r>
          </w:p>
        </w:tc>
        <w:tc>
          <w:tcPr>
            <w:tcW w:w="709" w:type="dxa"/>
            <w:tcBorders>
              <w:top w:val="nil"/>
              <w:left w:val="nil"/>
              <w:bottom w:val="single" w:sz="4" w:space="0" w:color="auto"/>
              <w:right w:val="single" w:sz="4" w:space="0" w:color="auto"/>
            </w:tcBorders>
            <w:shd w:val="clear" w:color="000000" w:fill="00B0F0"/>
            <w:vAlign w:val="center"/>
          </w:tcPr>
          <w:p w14:paraId="7560D8BB"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1.00</w:t>
            </w:r>
          </w:p>
        </w:tc>
        <w:tc>
          <w:tcPr>
            <w:tcW w:w="567" w:type="dxa"/>
            <w:tcBorders>
              <w:top w:val="nil"/>
              <w:left w:val="nil"/>
              <w:bottom w:val="single" w:sz="4" w:space="0" w:color="auto"/>
              <w:right w:val="single" w:sz="4" w:space="0" w:color="auto"/>
            </w:tcBorders>
            <w:shd w:val="clear" w:color="000000" w:fill="00B0F0"/>
            <w:vAlign w:val="center"/>
          </w:tcPr>
          <w:p w14:paraId="1F6767BC"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1.00</w:t>
            </w:r>
          </w:p>
        </w:tc>
        <w:tc>
          <w:tcPr>
            <w:tcW w:w="567" w:type="dxa"/>
            <w:tcBorders>
              <w:top w:val="nil"/>
              <w:left w:val="nil"/>
              <w:bottom w:val="single" w:sz="4" w:space="0" w:color="auto"/>
              <w:right w:val="single" w:sz="4" w:space="0" w:color="auto"/>
            </w:tcBorders>
            <w:shd w:val="clear" w:color="000000" w:fill="00B0F0"/>
            <w:vAlign w:val="center"/>
          </w:tcPr>
          <w:p w14:paraId="5D035D0E"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3.83</w:t>
            </w:r>
          </w:p>
        </w:tc>
        <w:tc>
          <w:tcPr>
            <w:tcW w:w="709" w:type="dxa"/>
            <w:tcBorders>
              <w:top w:val="nil"/>
              <w:left w:val="nil"/>
              <w:bottom w:val="single" w:sz="4" w:space="0" w:color="auto"/>
              <w:right w:val="single" w:sz="4" w:space="0" w:color="auto"/>
            </w:tcBorders>
            <w:shd w:val="clear" w:color="000000" w:fill="00B0F0"/>
            <w:vAlign w:val="center"/>
          </w:tcPr>
          <w:p w14:paraId="6515C00B"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1.00</w:t>
            </w:r>
          </w:p>
        </w:tc>
        <w:tc>
          <w:tcPr>
            <w:tcW w:w="567" w:type="dxa"/>
            <w:tcBorders>
              <w:top w:val="nil"/>
              <w:left w:val="nil"/>
              <w:bottom w:val="single" w:sz="4" w:space="0" w:color="auto"/>
              <w:right w:val="single" w:sz="4" w:space="0" w:color="auto"/>
            </w:tcBorders>
            <w:shd w:val="clear" w:color="000000" w:fill="00B0F0"/>
            <w:vAlign w:val="center"/>
          </w:tcPr>
          <w:p w14:paraId="0E755DA9"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1.33</w:t>
            </w:r>
          </w:p>
        </w:tc>
        <w:tc>
          <w:tcPr>
            <w:tcW w:w="567" w:type="dxa"/>
            <w:tcBorders>
              <w:top w:val="nil"/>
              <w:left w:val="nil"/>
              <w:bottom w:val="single" w:sz="4" w:space="0" w:color="auto"/>
              <w:right w:val="single" w:sz="4" w:space="0" w:color="auto"/>
            </w:tcBorders>
            <w:shd w:val="clear" w:color="000000" w:fill="00B0F0"/>
            <w:vAlign w:val="center"/>
          </w:tcPr>
          <w:p w14:paraId="4796D2F1"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1.00</w:t>
            </w:r>
          </w:p>
        </w:tc>
        <w:tc>
          <w:tcPr>
            <w:tcW w:w="567" w:type="dxa"/>
            <w:tcBorders>
              <w:top w:val="nil"/>
              <w:left w:val="nil"/>
              <w:bottom w:val="single" w:sz="4" w:space="0" w:color="auto"/>
              <w:right w:val="single" w:sz="4" w:space="0" w:color="auto"/>
            </w:tcBorders>
            <w:shd w:val="clear" w:color="000000" w:fill="00B0F0"/>
            <w:vAlign w:val="center"/>
          </w:tcPr>
          <w:p w14:paraId="00274A63"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1.00</w:t>
            </w:r>
          </w:p>
        </w:tc>
        <w:tc>
          <w:tcPr>
            <w:tcW w:w="567" w:type="dxa"/>
            <w:tcBorders>
              <w:top w:val="nil"/>
              <w:left w:val="single" w:sz="4" w:space="0" w:color="auto"/>
              <w:bottom w:val="single" w:sz="8" w:space="0" w:color="auto"/>
              <w:right w:val="single" w:sz="4" w:space="0" w:color="auto"/>
            </w:tcBorders>
            <w:shd w:val="clear" w:color="auto" w:fill="auto"/>
            <w:vAlign w:val="center"/>
          </w:tcPr>
          <w:p w14:paraId="7E5D5B7A"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CR</w:t>
            </w:r>
          </w:p>
        </w:tc>
      </w:tr>
      <w:tr w:rsidR="00085672" w:rsidRPr="005A1C76" w14:paraId="138EB6E6" w14:textId="77777777" w:rsidTr="00085672">
        <w:trPr>
          <w:cantSplit/>
          <w:trHeight w:val="227"/>
        </w:trPr>
        <w:tc>
          <w:tcPr>
            <w:tcW w:w="567" w:type="dxa"/>
            <w:vMerge/>
            <w:vAlign w:val="center"/>
          </w:tcPr>
          <w:p w14:paraId="23394959" w14:textId="77777777" w:rsidR="00085672" w:rsidRPr="005A1C76" w:rsidRDefault="00085672" w:rsidP="00085672">
            <w:pPr>
              <w:spacing w:after="0" w:line="240" w:lineRule="auto"/>
              <w:rPr>
                <w:rFonts w:eastAsia="Calibri" w:cs="Calibri"/>
                <w:sz w:val="20"/>
                <w:szCs w:val="20"/>
                <w:lang w:val="en-GB"/>
              </w:rPr>
            </w:pPr>
          </w:p>
        </w:tc>
        <w:tc>
          <w:tcPr>
            <w:tcW w:w="988" w:type="dxa"/>
            <w:shd w:val="clear" w:color="auto" w:fill="auto"/>
            <w:vAlign w:val="center"/>
          </w:tcPr>
          <w:p w14:paraId="67BFA8A8"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IBM-Dobrota</w:t>
            </w:r>
          </w:p>
        </w:tc>
        <w:tc>
          <w:tcPr>
            <w:tcW w:w="593" w:type="dxa"/>
            <w:tcBorders>
              <w:top w:val="nil"/>
              <w:left w:val="single" w:sz="4" w:space="0" w:color="auto"/>
              <w:bottom w:val="single" w:sz="4" w:space="0" w:color="auto"/>
              <w:right w:val="single" w:sz="4" w:space="0" w:color="auto"/>
            </w:tcBorders>
            <w:shd w:val="clear" w:color="auto" w:fill="00FF00"/>
            <w:vAlign w:val="center"/>
          </w:tcPr>
          <w:p w14:paraId="3EB62041"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1.55</w:t>
            </w:r>
          </w:p>
        </w:tc>
        <w:tc>
          <w:tcPr>
            <w:tcW w:w="671" w:type="dxa"/>
            <w:tcBorders>
              <w:top w:val="nil"/>
              <w:left w:val="nil"/>
              <w:bottom w:val="single" w:sz="4" w:space="0" w:color="auto"/>
              <w:right w:val="single" w:sz="4" w:space="0" w:color="auto"/>
            </w:tcBorders>
            <w:shd w:val="clear" w:color="000000" w:fill="00B0F0"/>
            <w:vAlign w:val="center"/>
          </w:tcPr>
          <w:p w14:paraId="6C0034AD"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1.43</w:t>
            </w:r>
          </w:p>
        </w:tc>
        <w:tc>
          <w:tcPr>
            <w:tcW w:w="578" w:type="dxa"/>
            <w:tcBorders>
              <w:top w:val="nil"/>
              <w:left w:val="nil"/>
              <w:bottom w:val="single" w:sz="4" w:space="0" w:color="auto"/>
              <w:right w:val="single" w:sz="4" w:space="0" w:color="auto"/>
            </w:tcBorders>
            <w:shd w:val="clear" w:color="auto" w:fill="00FF00"/>
            <w:vAlign w:val="center"/>
          </w:tcPr>
          <w:p w14:paraId="5EF1D399"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1.80</w:t>
            </w:r>
          </w:p>
        </w:tc>
        <w:tc>
          <w:tcPr>
            <w:tcW w:w="709" w:type="dxa"/>
            <w:tcBorders>
              <w:top w:val="nil"/>
              <w:left w:val="nil"/>
              <w:bottom w:val="single" w:sz="4" w:space="0" w:color="auto"/>
              <w:right w:val="single" w:sz="4" w:space="0" w:color="auto"/>
            </w:tcBorders>
            <w:shd w:val="clear" w:color="auto" w:fill="00FF00"/>
            <w:vAlign w:val="center"/>
          </w:tcPr>
          <w:p w14:paraId="7E4F6D12"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2.46</w:t>
            </w:r>
          </w:p>
        </w:tc>
        <w:tc>
          <w:tcPr>
            <w:tcW w:w="567" w:type="dxa"/>
            <w:tcBorders>
              <w:top w:val="nil"/>
              <w:left w:val="nil"/>
              <w:bottom w:val="single" w:sz="4" w:space="0" w:color="auto"/>
              <w:right w:val="single" w:sz="4" w:space="0" w:color="auto"/>
            </w:tcBorders>
            <w:shd w:val="clear" w:color="000000" w:fill="00B0F0"/>
            <w:vAlign w:val="center"/>
          </w:tcPr>
          <w:p w14:paraId="4818393C"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2.12</w:t>
            </w:r>
          </w:p>
        </w:tc>
        <w:tc>
          <w:tcPr>
            <w:tcW w:w="709" w:type="dxa"/>
            <w:tcBorders>
              <w:top w:val="nil"/>
              <w:left w:val="nil"/>
              <w:bottom w:val="single" w:sz="4" w:space="0" w:color="auto"/>
              <w:right w:val="single" w:sz="4" w:space="0" w:color="auto"/>
            </w:tcBorders>
            <w:shd w:val="clear" w:color="000000" w:fill="00B0F0"/>
            <w:vAlign w:val="center"/>
          </w:tcPr>
          <w:p w14:paraId="645889A3"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1.53</w:t>
            </w:r>
          </w:p>
        </w:tc>
        <w:tc>
          <w:tcPr>
            <w:tcW w:w="567" w:type="dxa"/>
            <w:tcBorders>
              <w:top w:val="nil"/>
              <w:left w:val="nil"/>
              <w:bottom w:val="single" w:sz="4" w:space="0" w:color="auto"/>
              <w:right w:val="single" w:sz="4" w:space="0" w:color="auto"/>
            </w:tcBorders>
            <w:shd w:val="clear" w:color="000000" w:fill="00B0F0"/>
            <w:vAlign w:val="center"/>
          </w:tcPr>
          <w:p w14:paraId="33A52010"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3.36</w:t>
            </w:r>
          </w:p>
        </w:tc>
        <w:tc>
          <w:tcPr>
            <w:tcW w:w="567" w:type="dxa"/>
            <w:tcBorders>
              <w:top w:val="nil"/>
              <w:left w:val="nil"/>
              <w:bottom w:val="single" w:sz="4" w:space="0" w:color="auto"/>
              <w:right w:val="single" w:sz="4" w:space="0" w:color="auto"/>
            </w:tcBorders>
            <w:shd w:val="clear" w:color="000000" w:fill="00B0F0"/>
            <w:vAlign w:val="center"/>
          </w:tcPr>
          <w:p w14:paraId="60CBC43A"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2.97</w:t>
            </w:r>
          </w:p>
        </w:tc>
        <w:tc>
          <w:tcPr>
            <w:tcW w:w="709" w:type="dxa"/>
            <w:tcBorders>
              <w:top w:val="nil"/>
              <w:left w:val="nil"/>
              <w:bottom w:val="single" w:sz="4" w:space="0" w:color="auto"/>
              <w:right w:val="single" w:sz="4" w:space="0" w:color="auto"/>
            </w:tcBorders>
            <w:shd w:val="clear" w:color="000000" w:fill="00B0F0"/>
            <w:vAlign w:val="center"/>
          </w:tcPr>
          <w:p w14:paraId="0433CAAD"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1.46</w:t>
            </w:r>
          </w:p>
        </w:tc>
        <w:tc>
          <w:tcPr>
            <w:tcW w:w="567" w:type="dxa"/>
            <w:tcBorders>
              <w:top w:val="nil"/>
              <w:left w:val="nil"/>
              <w:bottom w:val="single" w:sz="4" w:space="0" w:color="auto"/>
              <w:right w:val="single" w:sz="4" w:space="0" w:color="auto"/>
            </w:tcBorders>
            <w:shd w:val="clear" w:color="000000" w:fill="00B0F0"/>
            <w:vAlign w:val="center"/>
          </w:tcPr>
          <w:p w14:paraId="51F30E03"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1.61</w:t>
            </w:r>
          </w:p>
        </w:tc>
        <w:tc>
          <w:tcPr>
            <w:tcW w:w="567" w:type="dxa"/>
            <w:tcBorders>
              <w:top w:val="nil"/>
              <w:left w:val="nil"/>
              <w:bottom w:val="single" w:sz="4" w:space="0" w:color="auto"/>
              <w:right w:val="single" w:sz="4" w:space="0" w:color="auto"/>
            </w:tcBorders>
            <w:shd w:val="clear" w:color="000000" w:fill="00B0F0"/>
            <w:vAlign w:val="center"/>
          </w:tcPr>
          <w:p w14:paraId="746D67A5"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1.70</w:t>
            </w:r>
          </w:p>
        </w:tc>
        <w:tc>
          <w:tcPr>
            <w:tcW w:w="567" w:type="dxa"/>
            <w:tcBorders>
              <w:top w:val="nil"/>
              <w:left w:val="nil"/>
              <w:bottom w:val="single" w:sz="4" w:space="0" w:color="auto"/>
              <w:right w:val="single" w:sz="4" w:space="0" w:color="auto"/>
            </w:tcBorders>
            <w:shd w:val="clear" w:color="auto" w:fill="00FF00"/>
            <w:vAlign w:val="center"/>
          </w:tcPr>
          <w:p w14:paraId="242E2DFD"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2.18</w:t>
            </w:r>
          </w:p>
        </w:tc>
        <w:tc>
          <w:tcPr>
            <w:tcW w:w="567" w:type="dxa"/>
            <w:tcBorders>
              <w:top w:val="nil"/>
              <w:left w:val="single" w:sz="4" w:space="0" w:color="auto"/>
              <w:bottom w:val="single" w:sz="8" w:space="0" w:color="auto"/>
              <w:right w:val="single" w:sz="4" w:space="0" w:color="auto"/>
            </w:tcBorders>
            <w:shd w:val="clear" w:color="auto" w:fill="auto"/>
            <w:vAlign w:val="center"/>
          </w:tcPr>
          <w:p w14:paraId="1AA6FEEE"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3F570D34" w14:textId="77777777" w:rsidTr="00085672">
        <w:trPr>
          <w:cantSplit/>
          <w:trHeight w:val="227"/>
        </w:trPr>
        <w:tc>
          <w:tcPr>
            <w:tcW w:w="567" w:type="dxa"/>
            <w:vMerge/>
            <w:vAlign w:val="center"/>
          </w:tcPr>
          <w:p w14:paraId="650B3F23" w14:textId="77777777" w:rsidR="00085672" w:rsidRPr="005A1C76" w:rsidRDefault="00085672" w:rsidP="00085672">
            <w:pPr>
              <w:spacing w:after="0" w:line="240" w:lineRule="auto"/>
              <w:rPr>
                <w:rFonts w:eastAsia="Calibri" w:cs="Calibri"/>
                <w:sz w:val="20"/>
                <w:szCs w:val="20"/>
                <w:lang w:val="en-GB"/>
              </w:rPr>
            </w:pPr>
          </w:p>
        </w:tc>
        <w:tc>
          <w:tcPr>
            <w:tcW w:w="988" w:type="dxa"/>
            <w:shd w:val="clear" w:color="auto" w:fill="auto"/>
            <w:vAlign w:val="center"/>
          </w:tcPr>
          <w:p w14:paraId="7B821AA5"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Kotor</w:t>
            </w:r>
          </w:p>
        </w:tc>
        <w:tc>
          <w:tcPr>
            <w:tcW w:w="593" w:type="dxa"/>
            <w:tcBorders>
              <w:top w:val="nil"/>
              <w:left w:val="single" w:sz="4" w:space="0" w:color="auto"/>
              <w:bottom w:val="single" w:sz="4" w:space="0" w:color="auto"/>
              <w:right w:val="single" w:sz="4" w:space="0" w:color="auto"/>
            </w:tcBorders>
            <w:shd w:val="clear" w:color="auto" w:fill="00FF00"/>
            <w:vAlign w:val="center"/>
          </w:tcPr>
          <w:p w14:paraId="49453296"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2.03</w:t>
            </w:r>
          </w:p>
        </w:tc>
        <w:tc>
          <w:tcPr>
            <w:tcW w:w="671" w:type="dxa"/>
            <w:tcBorders>
              <w:top w:val="nil"/>
              <w:left w:val="nil"/>
              <w:bottom w:val="single" w:sz="4" w:space="0" w:color="auto"/>
              <w:right w:val="single" w:sz="4" w:space="0" w:color="auto"/>
            </w:tcBorders>
            <w:shd w:val="clear" w:color="000000" w:fill="00B0F0"/>
            <w:vAlign w:val="center"/>
          </w:tcPr>
          <w:p w14:paraId="7EB28E10"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1.13</w:t>
            </w:r>
          </w:p>
        </w:tc>
        <w:tc>
          <w:tcPr>
            <w:tcW w:w="578" w:type="dxa"/>
            <w:tcBorders>
              <w:top w:val="nil"/>
              <w:left w:val="nil"/>
              <w:bottom w:val="single" w:sz="4" w:space="0" w:color="auto"/>
              <w:right w:val="single" w:sz="4" w:space="0" w:color="auto"/>
            </w:tcBorders>
            <w:shd w:val="clear" w:color="000000" w:fill="00B0F0"/>
            <w:vAlign w:val="center"/>
          </w:tcPr>
          <w:p w14:paraId="2300F965"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0.75</w:t>
            </w:r>
          </w:p>
        </w:tc>
        <w:tc>
          <w:tcPr>
            <w:tcW w:w="709" w:type="dxa"/>
            <w:tcBorders>
              <w:top w:val="nil"/>
              <w:left w:val="nil"/>
              <w:bottom w:val="single" w:sz="4" w:space="0" w:color="auto"/>
              <w:right w:val="single" w:sz="4" w:space="0" w:color="auto"/>
            </w:tcBorders>
            <w:shd w:val="clear" w:color="000000" w:fill="00B0F0"/>
            <w:vAlign w:val="center"/>
          </w:tcPr>
          <w:p w14:paraId="776C5BA6"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0.75</w:t>
            </w:r>
          </w:p>
        </w:tc>
        <w:tc>
          <w:tcPr>
            <w:tcW w:w="567" w:type="dxa"/>
            <w:tcBorders>
              <w:top w:val="nil"/>
              <w:left w:val="nil"/>
              <w:bottom w:val="single" w:sz="4" w:space="0" w:color="auto"/>
              <w:right w:val="single" w:sz="4" w:space="0" w:color="auto"/>
            </w:tcBorders>
            <w:shd w:val="clear" w:color="000000" w:fill="00B0F0"/>
            <w:vAlign w:val="center"/>
          </w:tcPr>
          <w:p w14:paraId="1304E5D8"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1.03</w:t>
            </w:r>
          </w:p>
        </w:tc>
        <w:tc>
          <w:tcPr>
            <w:tcW w:w="709" w:type="dxa"/>
            <w:tcBorders>
              <w:top w:val="nil"/>
              <w:left w:val="nil"/>
              <w:bottom w:val="single" w:sz="4" w:space="0" w:color="auto"/>
              <w:right w:val="single" w:sz="4" w:space="0" w:color="auto"/>
            </w:tcBorders>
            <w:shd w:val="clear" w:color="000000" w:fill="00B0F0"/>
            <w:vAlign w:val="center"/>
          </w:tcPr>
          <w:p w14:paraId="3DF250BB"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0.75</w:t>
            </w:r>
          </w:p>
        </w:tc>
        <w:tc>
          <w:tcPr>
            <w:tcW w:w="567" w:type="dxa"/>
            <w:tcBorders>
              <w:top w:val="nil"/>
              <w:left w:val="nil"/>
              <w:bottom w:val="single" w:sz="4" w:space="0" w:color="auto"/>
              <w:right w:val="single" w:sz="4" w:space="0" w:color="auto"/>
            </w:tcBorders>
            <w:shd w:val="clear" w:color="000000" w:fill="00B0F0"/>
            <w:vAlign w:val="center"/>
          </w:tcPr>
          <w:p w14:paraId="140FF7CB"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0.75</w:t>
            </w:r>
          </w:p>
        </w:tc>
        <w:tc>
          <w:tcPr>
            <w:tcW w:w="567" w:type="dxa"/>
            <w:tcBorders>
              <w:top w:val="nil"/>
              <w:left w:val="nil"/>
              <w:bottom w:val="single" w:sz="4" w:space="0" w:color="auto"/>
              <w:right w:val="single" w:sz="4" w:space="0" w:color="auto"/>
            </w:tcBorders>
            <w:shd w:val="clear" w:color="000000" w:fill="00B0F0"/>
            <w:vAlign w:val="center"/>
          </w:tcPr>
          <w:p w14:paraId="43A1E2C4"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3.50</w:t>
            </w:r>
          </w:p>
        </w:tc>
        <w:tc>
          <w:tcPr>
            <w:tcW w:w="709" w:type="dxa"/>
            <w:tcBorders>
              <w:top w:val="nil"/>
              <w:left w:val="nil"/>
              <w:bottom w:val="single" w:sz="4" w:space="0" w:color="auto"/>
              <w:right w:val="single" w:sz="4" w:space="0" w:color="auto"/>
            </w:tcBorders>
            <w:shd w:val="clear" w:color="000000" w:fill="00B0F0"/>
            <w:vAlign w:val="center"/>
          </w:tcPr>
          <w:p w14:paraId="34853FA3"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1.70</w:t>
            </w:r>
          </w:p>
        </w:tc>
        <w:tc>
          <w:tcPr>
            <w:tcW w:w="567" w:type="dxa"/>
            <w:tcBorders>
              <w:top w:val="nil"/>
              <w:left w:val="nil"/>
              <w:bottom w:val="single" w:sz="4" w:space="0" w:color="auto"/>
              <w:right w:val="single" w:sz="4" w:space="0" w:color="auto"/>
            </w:tcBorders>
            <w:shd w:val="clear" w:color="000000" w:fill="00B0F0"/>
            <w:vAlign w:val="center"/>
          </w:tcPr>
          <w:p w14:paraId="76E72029"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0.75</w:t>
            </w:r>
          </w:p>
        </w:tc>
        <w:tc>
          <w:tcPr>
            <w:tcW w:w="567" w:type="dxa"/>
            <w:tcBorders>
              <w:top w:val="nil"/>
              <w:left w:val="nil"/>
              <w:bottom w:val="single" w:sz="4" w:space="0" w:color="auto"/>
              <w:right w:val="single" w:sz="4" w:space="0" w:color="auto"/>
            </w:tcBorders>
            <w:shd w:val="clear" w:color="000000" w:fill="00B0F0"/>
            <w:vAlign w:val="center"/>
          </w:tcPr>
          <w:p w14:paraId="1BC9BDD5"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2.00</w:t>
            </w:r>
          </w:p>
        </w:tc>
        <w:tc>
          <w:tcPr>
            <w:tcW w:w="567" w:type="dxa"/>
            <w:tcBorders>
              <w:top w:val="nil"/>
              <w:left w:val="nil"/>
              <w:bottom w:val="single" w:sz="4" w:space="0" w:color="auto"/>
              <w:right w:val="single" w:sz="4" w:space="0" w:color="auto"/>
            </w:tcBorders>
            <w:shd w:val="clear" w:color="000000" w:fill="00B0F0"/>
            <w:vAlign w:val="center"/>
          </w:tcPr>
          <w:p w14:paraId="25844E73"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0.75</w:t>
            </w:r>
          </w:p>
        </w:tc>
        <w:tc>
          <w:tcPr>
            <w:tcW w:w="567" w:type="dxa"/>
            <w:tcBorders>
              <w:top w:val="nil"/>
              <w:left w:val="single" w:sz="4" w:space="0" w:color="auto"/>
              <w:bottom w:val="single" w:sz="8" w:space="0" w:color="auto"/>
              <w:right w:val="single" w:sz="4" w:space="0" w:color="auto"/>
            </w:tcBorders>
            <w:shd w:val="clear" w:color="auto" w:fill="auto"/>
            <w:vAlign w:val="center"/>
          </w:tcPr>
          <w:p w14:paraId="5FC262D9"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470DF7A2" w14:textId="77777777" w:rsidTr="00085672">
        <w:trPr>
          <w:cantSplit/>
          <w:trHeight w:val="227"/>
        </w:trPr>
        <w:tc>
          <w:tcPr>
            <w:tcW w:w="567" w:type="dxa"/>
            <w:vMerge w:val="restart"/>
            <w:textDirection w:val="btLr"/>
            <w:vAlign w:val="center"/>
          </w:tcPr>
          <w:p w14:paraId="09A24CB9" w14:textId="77777777" w:rsidR="00085672" w:rsidRPr="005A1C76" w:rsidRDefault="00085672" w:rsidP="00085672">
            <w:pPr>
              <w:autoSpaceDE w:val="0"/>
              <w:autoSpaceDN w:val="0"/>
              <w:adjustRightInd w:val="0"/>
              <w:spacing w:after="0" w:line="240" w:lineRule="auto"/>
              <w:ind w:left="113" w:right="113"/>
              <w:jc w:val="center"/>
              <w:textAlignment w:val="center"/>
              <w:rPr>
                <w:rFonts w:eastAsia="Calibri" w:cs="Calibri"/>
                <w:sz w:val="20"/>
                <w:szCs w:val="20"/>
                <w:lang w:val="en-GB"/>
              </w:rPr>
            </w:pPr>
            <w:r w:rsidRPr="005A1C76">
              <w:rPr>
                <w:rFonts w:eastAsia="Calibri" w:cs="Calibri"/>
                <w:sz w:val="20"/>
                <w:szCs w:val="20"/>
                <w:lang w:val="en-GB"/>
              </w:rPr>
              <w:t>Priobalno –Otvoreno more</w:t>
            </w:r>
          </w:p>
        </w:tc>
        <w:tc>
          <w:tcPr>
            <w:tcW w:w="988" w:type="dxa"/>
            <w:shd w:val="clear" w:color="auto" w:fill="auto"/>
            <w:vAlign w:val="center"/>
          </w:tcPr>
          <w:p w14:paraId="32661DF7"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Budva</w:t>
            </w:r>
          </w:p>
        </w:tc>
        <w:tc>
          <w:tcPr>
            <w:tcW w:w="593" w:type="dxa"/>
            <w:tcBorders>
              <w:top w:val="nil"/>
              <w:left w:val="single" w:sz="4" w:space="0" w:color="auto"/>
              <w:bottom w:val="single" w:sz="4" w:space="0" w:color="auto"/>
              <w:right w:val="single" w:sz="4" w:space="0" w:color="auto"/>
            </w:tcBorders>
            <w:shd w:val="clear" w:color="000000" w:fill="00B0F0"/>
            <w:vAlign w:val="center"/>
          </w:tcPr>
          <w:p w14:paraId="12984E85"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1.03</w:t>
            </w:r>
          </w:p>
        </w:tc>
        <w:tc>
          <w:tcPr>
            <w:tcW w:w="671" w:type="dxa"/>
            <w:tcBorders>
              <w:top w:val="nil"/>
              <w:left w:val="nil"/>
              <w:bottom w:val="single" w:sz="4" w:space="0" w:color="auto"/>
              <w:right w:val="single" w:sz="4" w:space="0" w:color="auto"/>
            </w:tcBorders>
            <w:shd w:val="clear" w:color="000000" w:fill="00B0F0"/>
            <w:vAlign w:val="center"/>
          </w:tcPr>
          <w:p w14:paraId="78090A39"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1.48</w:t>
            </w:r>
          </w:p>
        </w:tc>
        <w:tc>
          <w:tcPr>
            <w:tcW w:w="578" w:type="dxa"/>
            <w:tcBorders>
              <w:top w:val="nil"/>
              <w:left w:val="nil"/>
              <w:bottom w:val="single" w:sz="4" w:space="0" w:color="auto"/>
              <w:right w:val="single" w:sz="4" w:space="0" w:color="auto"/>
            </w:tcBorders>
            <w:shd w:val="clear" w:color="000000" w:fill="00B0F0"/>
            <w:vAlign w:val="center"/>
          </w:tcPr>
          <w:p w14:paraId="0DDA189B"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1.00</w:t>
            </w:r>
          </w:p>
        </w:tc>
        <w:tc>
          <w:tcPr>
            <w:tcW w:w="709" w:type="dxa"/>
            <w:tcBorders>
              <w:top w:val="nil"/>
              <w:left w:val="nil"/>
              <w:bottom w:val="single" w:sz="4" w:space="0" w:color="auto"/>
              <w:right w:val="single" w:sz="4" w:space="0" w:color="auto"/>
            </w:tcBorders>
            <w:shd w:val="clear" w:color="auto" w:fill="00FF00"/>
            <w:vAlign w:val="center"/>
          </w:tcPr>
          <w:p w14:paraId="02EEBB5E"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4.75</w:t>
            </w:r>
          </w:p>
        </w:tc>
        <w:tc>
          <w:tcPr>
            <w:tcW w:w="567" w:type="dxa"/>
            <w:tcBorders>
              <w:top w:val="nil"/>
              <w:left w:val="nil"/>
              <w:bottom w:val="single" w:sz="4" w:space="0" w:color="auto"/>
              <w:right w:val="single" w:sz="4" w:space="0" w:color="auto"/>
            </w:tcBorders>
            <w:shd w:val="clear" w:color="auto" w:fill="00FF00"/>
            <w:vAlign w:val="center"/>
          </w:tcPr>
          <w:p w14:paraId="1B96BC73"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3.35</w:t>
            </w:r>
          </w:p>
        </w:tc>
        <w:tc>
          <w:tcPr>
            <w:tcW w:w="709" w:type="dxa"/>
            <w:tcBorders>
              <w:top w:val="nil"/>
              <w:left w:val="nil"/>
              <w:bottom w:val="single" w:sz="4" w:space="0" w:color="auto"/>
              <w:right w:val="single" w:sz="4" w:space="0" w:color="auto"/>
            </w:tcBorders>
            <w:shd w:val="clear" w:color="000000" w:fill="00B0F0"/>
            <w:vAlign w:val="center"/>
          </w:tcPr>
          <w:p w14:paraId="00C83D35"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1.23</w:t>
            </w:r>
          </w:p>
        </w:tc>
        <w:tc>
          <w:tcPr>
            <w:tcW w:w="567" w:type="dxa"/>
            <w:tcBorders>
              <w:top w:val="nil"/>
              <w:left w:val="nil"/>
              <w:bottom w:val="single" w:sz="4" w:space="0" w:color="auto"/>
              <w:right w:val="single" w:sz="4" w:space="0" w:color="auto"/>
            </w:tcBorders>
            <w:shd w:val="clear" w:color="000000" w:fill="00B0F0"/>
            <w:vAlign w:val="center"/>
          </w:tcPr>
          <w:p w14:paraId="1CE0D1EE"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1.50</w:t>
            </w:r>
          </w:p>
        </w:tc>
        <w:tc>
          <w:tcPr>
            <w:tcW w:w="567" w:type="dxa"/>
            <w:tcBorders>
              <w:top w:val="nil"/>
              <w:left w:val="nil"/>
              <w:bottom w:val="single" w:sz="4" w:space="0" w:color="auto"/>
              <w:right w:val="single" w:sz="4" w:space="0" w:color="auto"/>
            </w:tcBorders>
            <w:shd w:val="clear" w:color="000000" w:fill="00B0F0"/>
            <w:vAlign w:val="center"/>
          </w:tcPr>
          <w:p w14:paraId="77E2495C"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4.67</w:t>
            </w:r>
          </w:p>
        </w:tc>
        <w:tc>
          <w:tcPr>
            <w:tcW w:w="709" w:type="dxa"/>
            <w:tcBorders>
              <w:top w:val="nil"/>
              <w:left w:val="nil"/>
              <w:bottom w:val="single" w:sz="4" w:space="0" w:color="auto"/>
              <w:right w:val="single" w:sz="4" w:space="0" w:color="auto"/>
            </w:tcBorders>
            <w:shd w:val="clear" w:color="auto" w:fill="00FF00"/>
            <w:vAlign w:val="center"/>
          </w:tcPr>
          <w:p w14:paraId="3F255914"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5.88</w:t>
            </w:r>
          </w:p>
        </w:tc>
        <w:tc>
          <w:tcPr>
            <w:tcW w:w="567" w:type="dxa"/>
            <w:tcBorders>
              <w:top w:val="nil"/>
              <w:left w:val="nil"/>
              <w:bottom w:val="single" w:sz="4" w:space="0" w:color="auto"/>
              <w:right w:val="single" w:sz="4" w:space="0" w:color="auto"/>
            </w:tcBorders>
            <w:shd w:val="clear" w:color="000000" w:fill="00B0F0"/>
            <w:vAlign w:val="center"/>
          </w:tcPr>
          <w:p w14:paraId="16D71FDF"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1.22</w:t>
            </w:r>
          </w:p>
        </w:tc>
        <w:tc>
          <w:tcPr>
            <w:tcW w:w="567" w:type="dxa"/>
            <w:tcBorders>
              <w:top w:val="nil"/>
              <w:left w:val="nil"/>
              <w:bottom w:val="single" w:sz="4" w:space="0" w:color="auto"/>
              <w:right w:val="single" w:sz="4" w:space="0" w:color="auto"/>
            </w:tcBorders>
            <w:shd w:val="clear" w:color="000000" w:fill="00B0F0"/>
            <w:vAlign w:val="center"/>
          </w:tcPr>
          <w:p w14:paraId="55EE6C0D"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5.70</w:t>
            </w:r>
          </w:p>
        </w:tc>
        <w:tc>
          <w:tcPr>
            <w:tcW w:w="567" w:type="dxa"/>
            <w:tcBorders>
              <w:top w:val="nil"/>
              <w:left w:val="nil"/>
              <w:bottom w:val="single" w:sz="4" w:space="0" w:color="auto"/>
              <w:right w:val="single" w:sz="4" w:space="0" w:color="auto"/>
            </w:tcBorders>
            <w:shd w:val="clear" w:color="auto" w:fill="00FF00"/>
            <w:vAlign w:val="center"/>
          </w:tcPr>
          <w:p w14:paraId="36B417D9"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2.27</w:t>
            </w:r>
          </w:p>
        </w:tc>
        <w:tc>
          <w:tcPr>
            <w:tcW w:w="567" w:type="dxa"/>
            <w:tcBorders>
              <w:top w:val="nil"/>
              <w:left w:val="single" w:sz="4" w:space="0" w:color="auto"/>
              <w:bottom w:val="single" w:sz="8" w:space="0" w:color="auto"/>
              <w:right w:val="single" w:sz="4" w:space="0" w:color="auto"/>
            </w:tcBorders>
            <w:shd w:val="clear" w:color="auto" w:fill="auto"/>
            <w:vAlign w:val="center"/>
          </w:tcPr>
          <w:p w14:paraId="3603B39A"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7E4E40C8" w14:textId="77777777" w:rsidTr="00085672">
        <w:trPr>
          <w:cantSplit/>
          <w:trHeight w:val="227"/>
        </w:trPr>
        <w:tc>
          <w:tcPr>
            <w:tcW w:w="567" w:type="dxa"/>
            <w:vMerge/>
            <w:vAlign w:val="center"/>
          </w:tcPr>
          <w:p w14:paraId="7DE1CFC6" w14:textId="77777777" w:rsidR="00085672" w:rsidRPr="005A1C76" w:rsidRDefault="00085672" w:rsidP="00085672">
            <w:pPr>
              <w:spacing w:after="0" w:line="240" w:lineRule="auto"/>
              <w:rPr>
                <w:rFonts w:eastAsia="Calibri" w:cs="Calibri"/>
                <w:sz w:val="20"/>
                <w:szCs w:val="20"/>
                <w:lang w:val="en-GB"/>
              </w:rPr>
            </w:pPr>
          </w:p>
        </w:tc>
        <w:tc>
          <w:tcPr>
            <w:tcW w:w="988" w:type="dxa"/>
            <w:shd w:val="clear" w:color="auto" w:fill="auto"/>
            <w:vAlign w:val="center"/>
          </w:tcPr>
          <w:p w14:paraId="5AECDB89"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Bar</w:t>
            </w:r>
          </w:p>
        </w:tc>
        <w:tc>
          <w:tcPr>
            <w:tcW w:w="593" w:type="dxa"/>
            <w:tcBorders>
              <w:top w:val="nil"/>
              <w:left w:val="single" w:sz="4" w:space="0" w:color="auto"/>
              <w:bottom w:val="single" w:sz="4" w:space="0" w:color="auto"/>
              <w:right w:val="single" w:sz="4" w:space="0" w:color="auto"/>
            </w:tcBorders>
            <w:shd w:val="clear" w:color="auto" w:fill="00FF00"/>
            <w:vAlign w:val="center"/>
          </w:tcPr>
          <w:p w14:paraId="4BAEF34E"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1.35</w:t>
            </w:r>
          </w:p>
        </w:tc>
        <w:tc>
          <w:tcPr>
            <w:tcW w:w="671" w:type="dxa"/>
            <w:tcBorders>
              <w:top w:val="nil"/>
              <w:left w:val="nil"/>
              <w:bottom w:val="single" w:sz="4" w:space="0" w:color="auto"/>
              <w:right w:val="single" w:sz="4" w:space="0" w:color="auto"/>
            </w:tcBorders>
            <w:shd w:val="clear" w:color="000000" w:fill="00B0F0"/>
            <w:vAlign w:val="center"/>
          </w:tcPr>
          <w:p w14:paraId="11B8DDB1"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1.54</w:t>
            </w:r>
          </w:p>
        </w:tc>
        <w:tc>
          <w:tcPr>
            <w:tcW w:w="578" w:type="dxa"/>
            <w:tcBorders>
              <w:top w:val="nil"/>
              <w:left w:val="nil"/>
              <w:bottom w:val="single" w:sz="4" w:space="0" w:color="auto"/>
              <w:right w:val="single" w:sz="4" w:space="0" w:color="auto"/>
            </w:tcBorders>
            <w:shd w:val="clear" w:color="auto" w:fill="00FF00"/>
            <w:vAlign w:val="center"/>
          </w:tcPr>
          <w:p w14:paraId="7C1D876B"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1.66</w:t>
            </w:r>
          </w:p>
        </w:tc>
        <w:tc>
          <w:tcPr>
            <w:tcW w:w="709" w:type="dxa"/>
            <w:tcBorders>
              <w:top w:val="nil"/>
              <w:left w:val="nil"/>
              <w:bottom w:val="single" w:sz="4" w:space="0" w:color="auto"/>
              <w:right w:val="single" w:sz="4" w:space="0" w:color="auto"/>
            </w:tcBorders>
            <w:shd w:val="clear" w:color="auto" w:fill="00FF00"/>
            <w:vAlign w:val="center"/>
          </w:tcPr>
          <w:p w14:paraId="13E115F3"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3.98</w:t>
            </w:r>
          </w:p>
        </w:tc>
        <w:tc>
          <w:tcPr>
            <w:tcW w:w="567" w:type="dxa"/>
            <w:tcBorders>
              <w:top w:val="nil"/>
              <w:left w:val="nil"/>
              <w:bottom w:val="single" w:sz="4" w:space="0" w:color="auto"/>
              <w:right w:val="single" w:sz="4" w:space="0" w:color="auto"/>
            </w:tcBorders>
            <w:shd w:val="clear" w:color="auto" w:fill="00FF00"/>
            <w:vAlign w:val="center"/>
          </w:tcPr>
          <w:p w14:paraId="3D13CB57"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3.57</w:t>
            </w:r>
          </w:p>
        </w:tc>
        <w:tc>
          <w:tcPr>
            <w:tcW w:w="709" w:type="dxa"/>
            <w:tcBorders>
              <w:top w:val="nil"/>
              <w:left w:val="nil"/>
              <w:bottom w:val="single" w:sz="4" w:space="0" w:color="auto"/>
              <w:right w:val="single" w:sz="4" w:space="0" w:color="auto"/>
            </w:tcBorders>
            <w:shd w:val="clear" w:color="auto" w:fill="00FF00"/>
            <w:vAlign w:val="center"/>
          </w:tcPr>
          <w:p w14:paraId="3B6CAE0F"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3.44</w:t>
            </w:r>
          </w:p>
        </w:tc>
        <w:tc>
          <w:tcPr>
            <w:tcW w:w="567" w:type="dxa"/>
            <w:tcBorders>
              <w:top w:val="nil"/>
              <w:left w:val="nil"/>
              <w:bottom w:val="single" w:sz="4" w:space="0" w:color="auto"/>
              <w:right w:val="single" w:sz="4" w:space="0" w:color="auto"/>
            </w:tcBorders>
            <w:shd w:val="clear" w:color="000000" w:fill="00B0F0"/>
            <w:vAlign w:val="center"/>
          </w:tcPr>
          <w:p w14:paraId="535E4D0A"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1.93</w:t>
            </w:r>
          </w:p>
        </w:tc>
        <w:tc>
          <w:tcPr>
            <w:tcW w:w="567" w:type="dxa"/>
            <w:tcBorders>
              <w:top w:val="nil"/>
              <w:left w:val="nil"/>
              <w:bottom w:val="single" w:sz="4" w:space="0" w:color="auto"/>
              <w:right w:val="single" w:sz="4" w:space="0" w:color="auto"/>
            </w:tcBorders>
            <w:shd w:val="clear" w:color="000000" w:fill="00B0F0"/>
            <w:vAlign w:val="center"/>
          </w:tcPr>
          <w:p w14:paraId="63BE5F6F"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2.89</w:t>
            </w:r>
          </w:p>
        </w:tc>
        <w:tc>
          <w:tcPr>
            <w:tcW w:w="709" w:type="dxa"/>
            <w:tcBorders>
              <w:top w:val="nil"/>
              <w:left w:val="nil"/>
              <w:bottom w:val="single" w:sz="4" w:space="0" w:color="auto"/>
              <w:right w:val="single" w:sz="4" w:space="0" w:color="auto"/>
            </w:tcBorders>
            <w:shd w:val="clear" w:color="000000" w:fill="00B0F0"/>
            <w:vAlign w:val="center"/>
          </w:tcPr>
          <w:p w14:paraId="19600742"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2.34</w:t>
            </w:r>
          </w:p>
        </w:tc>
        <w:tc>
          <w:tcPr>
            <w:tcW w:w="567" w:type="dxa"/>
            <w:tcBorders>
              <w:top w:val="nil"/>
              <w:left w:val="nil"/>
              <w:bottom w:val="single" w:sz="4" w:space="0" w:color="auto"/>
              <w:right w:val="single" w:sz="4" w:space="0" w:color="auto"/>
            </w:tcBorders>
            <w:shd w:val="clear" w:color="000000" w:fill="00B0F0"/>
            <w:vAlign w:val="center"/>
          </w:tcPr>
          <w:p w14:paraId="140331F7"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1.58</w:t>
            </w:r>
          </w:p>
        </w:tc>
        <w:tc>
          <w:tcPr>
            <w:tcW w:w="567" w:type="dxa"/>
            <w:tcBorders>
              <w:top w:val="nil"/>
              <w:left w:val="nil"/>
              <w:bottom w:val="single" w:sz="4" w:space="0" w:color="auto"/>
              <w:right w:val="single" w:sz="4" w:space="0" w:color="auto"/>
            </w:tcBorders>
            <w:shd w:val="clear" w:color="000000" w:fill="00B0F0"/>
            <w:vAlign w:val="center"/>
          </w:tcPr>
          <w:p w14:paraId="59A0930A"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4.04</w:t>
            </w:r>
          </w:p>
        </w:tc>
        <w:tc>
          <w:tcPr>
            <w:tcW w:w="567" w:type="dxa"/>
            <w:tcBorders>
              <w:top w:val="nil"/>
              <w:left w:val="nil"/>
              <w:bottom w:val="single" w:sz="4" w:space="0" w:color="auto"/>
              <w:right w:val="single" w:sz="4" w:space="0" w:color="auto"/>
            </w:tcBorders>
            <w:shd w:val="clear" w:color="auto" w:fill="00FF00"/>
            <w:vAlign w:val="center"/>
          </w:tcPr>
          <w:p w14:paraId="0035DD53"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1.93</w:t>
            </w:r>
          </w:p>
        </w:tc>
        <w:tc>
          <w:tcPr>
            <w:tcW w:w="567" w:type="dxa"/>
            <w:tcBorders>
              <w:top w:val="nil"/>
              <w:left w:val="single" w:sz="4" w:space="0" w:color="auto"/>
              <w:bottom w:val="single" w:sz="8" w:space="0" w:color="auto"/>
              <w:right w:val="single" w:sz="4" w:space="0" w:color="auto"/>
            </w:tcBorders>
            <w:shd w:val="clear" w:color="auto" w:fill="auto"/>
            <w:vAlign w:val="center"/>
          </w:tcPr>
          <w:p w14:paraId="2D7861D7"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0C87486A" w14:textId="77777777" w:rsidTr="00085672">
        <w:trPr>
          <w:cantSplit/>
          <w:trHeight w:val="227"/>
        </w:trPr>
        <w:tc>
          <w:tcPr>
            <w:tcW w:w="567" w:type="dxa"/>
            <w:vMerge/>
            <w:vAlign w:val="center"/>
          </w:tcPr>
          <w:p w14:paraId="1B18326B" w14:textId="77777777" w:rsidR="00085672" w:rsidRPr="005A1C76" w:rsidRDefault="00085672" w:rsidP="00085672">
            <w:pPr>
              <w:spacing w:after="0" w:line="240" w:lineRule="auto"/>
              <w:rPr>
                <w:rFonts w:eastAsia="Calibri" w:cs="Calibri"/>
                <w:sz w:val="20"/>
                <w:szCs w:val="20"/>
                <w:lang w:val="en-GB"/>
              </w:rPr>
            </w:pPr>
          </w:p>
        </w:tc>
        <w:tc>
          <w:tcPr>
            <w:tcW w:w="988" w:type="dxa"/>
            <w:shd w:val="clear" w:color="auto" w:fill="auto"/>
            <w:vAlign w:val="center"/>
          </w:tcPr>
          <w:p w14:paraId="0A52ECCB"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Port Milena</w:t>
            </w:r>
          </w:p>
        </w:tc>
        <w:tc>
          <w:tcPr>
            <w:tcW w:w="593" w:type="dxa"/>
            <w:tcBorders>
              <w:top w:val="nil"/>
              <w:left w:val="single" w:sz="4" w:space="0" w:color="auto"/>
              <w:bottom w:val="single" w:sz="4" w:space="0" w:color="auto"/>
              <w:right w:val="single" w:sz="4" w:space="0" w:color="auto"/>
            </w:tcBorders>
            <w:shd w:val="clear" w:color="000000" w:fill="00B0F0"/>
            <w:vAlign w:val="center"/>
          </w:tcPr>
          <w:p w14:paraId="2A52EAE2"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1.10</w:t>
            </w:r>
          </w:p>
        </w:tc>
        <w:tc>
          <w:tcPr>
            <w:tcW w:w="671" w:type="dxa"/>
            <w:tcBorders>
              <w:top w:val="nil"/>
              <w:left w:val="nil"/>
              <w:bottom w:val="single" w:sz="4" w:space="0" w:color="auto"/>
              <w:right w:val="single" w:sz="4" w:space="0" w:color="auto"/>
            </w:tcBorders>
            <w:shd w:val="clear" w:color="000000" w:fill="00B0F0"/>
            <w:vAlign w:val="center"/>
          </w:tcPr>
          <w:p w14:paraId="4A09B059"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1.37</w:t>
            </w:r>
          </w:p>
        </w:tc>
        <w:tc>
          <w:tcPr>
            <w:tcW w:w="578" w:type="dxa"/>
            <w:tcBorders>
              <w:top w:val="nil"/>
              <w:left w:val="nil"/>
              <w:bottom w:val="single" w:sz="4" w:space="0" w:color="auto"/>
              <w:right w:val="single" w:sz="4" w:space="0" w:color="auto"/>
            </w:tcBorders>
            <w:shd w:val="clear" w:color="000000" w:fill="00B0F0"/>
            <w:vAlign w:val="center"/>
          </w:tcPr>
          <w:p w14:paraId="70BF34C6"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1.20</w:t>
            </w:r>
          </w:p>
        </w:tc>
        <w:tc>
          <w:tcPr>
            <w:tcW w:w="709" w:type="dxa"/>
            <w:tcBorders>
              <w:top w:val="nil"/>
              <w:left w:val="nil"/>
              <w:bottom w:val="single" w:sz="4" w:space="0" w:color="auto"/>
              <w:right w:val="single" w:sz="4" w:space="0" w:color="auto"/>
            </w:tcBorders>
            <w:shd w:val="clear" w:color="000000" w:fill="00B0F0"/>
            <w:vAlign w:val="center"/>
          </w:tcPr>
          <w:p w14:paraId="72588617"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1.93</w:t>
            </w:r>
          </w:p>
        </w:tc>
        <w:tc>
          <w:tcPr>
            <w:tcW w:w="567" w:type="dxa"/>
            <w:tcBorders>
              <w:top w:val="nil"/>
              <w:left w:val="nil"/>
              <w:bottom w:val="single" w:sz="4" w:space="0" w:color="auto"/>
              <w:right w:val="single" w:sz="4" w:space="0" w:color="auto"/>
            </w:tcBorders>
            <w:shd w:val="clear" w:color="auto" w:fill="00FF00"/>
            <w:vAlign w:val="center"/>
          </w:tcPr>
          <w:p w14:paraId="491D0B6E"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2.78</w:t>
            </w:r>
          </w:p>
        </w:tc>
        <w:tc>
          <w:tcPr>
            <w:tcW w:w="709" w:type="dxa"/>
            <w:tcBorders>
              <w:top w:val="nil"/>
              <w:left w:val="nil"/>
              <w:bottom w:val="single" w:sz="4" w:space="0" w:color="auto"/>
              <w:right w:val="single" w:sz="4" w:space="0" w:color="auto"/>
            </w:tcBorders>
            <w:shd w:val="clear" w:color="000000" w:fill="00B0F0"/>
            <w:vAlign w:val="center"/>
          </w:tcPr>
          <w:p w14:paraId="7A4C442A"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1.08</w:t>
            </w:r>
          </w:p>
        </w:tc>
        <w:tc>
          <w:tcPr>
            <w:tcW w:w="567" w:type="dxa"/>
            <w:tcBorders>
              <w:top w:val="nil"/>
              <w:left w:val="nil"/>
              <w:bottom w:val="single" w:sz="4" w:space="0" w:color="auto"/>
              <w:right w:val="single" w:sz="4" w:space="0" w:color="auto"/>
            </w:tcBorders>
            <w:shd w:val="clear" w:color="000000" w:fill="00B0F0"/>
            <w:vAlign w:val="center"/>
          </w:tcPr>
          <w:p w14:paraId="5ADFEADB"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1.03</w:t>
            </w:r>
          </w:p>
        </w:tc>
        <w:tc>
          <w:tcPr>
            <w:tcW w:w="567" w:type="dxa"/>
            <w:tcBorders>
              <w:top w:val="nil"/>
              <w:left w:val="nil"/>
              <w:bottom w:val="single" w:sz="4" w:space="0" w:color="auto"/>
              <w:right w:val="single" w:sz="4" w:space="0" w:color="auto"/>
            </w:tcBorders>
            <w:shd w:val="clear" w:color="000000" w:fill="00B0F0"/>
            <w:vAlign w:val="center"/>
          </w:tcPr>
          <w:p w14:paraId="5B41A71A"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3.07</w:t>
            </w:r>
          </w:p>
        </w:tc>
        <w:tc>
          <w:tcPr>
            <w:tcW w:w="709" w:type="dxa"/>
            <w:tcBorders>
              <w:top w:val="nil"/>
              <w:left w:val="nil"/>
              <w:bottom w:val="single" w:sz="4" w:space="0" w:color="auto"/>
              <w:right w:val="single" w:sz="4" w:space="0" w:color="auto"/>
            </w:tcBorders>
            <w:shd w:val="clear" w:color="000000" w:fill="00B0F0"/>
            <w:vAlign w:val="center"/>
          </w:tcPr>
          <w:p w14:paraId="00B47E98"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3.58</w:t>
            </w:r>
          </w:p>
        </w:tc>
        <w:tc>
          <w:tcPr>
            <w:tcW w:w="567" w:type="dxa"/>
            <w:tcBorders>
              <w:top w:val="nil"/>
              <w:left w:val="nil"/>
              <w:bottom w:val="single" w:sz="4" w:space="0" w:color="auto"/>
              <w:right w:val="single" w:sz="4" w:space="0" w:color="auto"/>
            </w:tcBorders>
            <w:shd w:val="clear" w:color="000000" w:fill="00B0F0"/>
            <w:vAlign w:val="center"/>
          </w:tcPr>
          <w:p w14:paraId="27694125"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1.02</w:t>
            </w:r>
          </w:p>
        </w:tc>
        <w:tc>
          <w:tcPr>
            <w:tcW w:w="567" w:type="dxa"/>
            <w:tcBorders>
              <w:top w:val="nil"/>
              <w:left w:val="nil"/>
              <w:bottom w:val="single" w:sz="4" w:space="0" w:color="auto"/>
              <w:right w:val="single" w:sz="4" w:space="0" w:color="auto"/>
            </w:tcBorders>
            <w:shd w:val="clear" w:color="000000" w:fill="00B0F0"/>
            <w:vAlign w:val="center"/>
          </w:tcPr>
          <w:p w14:paraId="0BF4FD91"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3.92</w:t>
            </w:r>
          </w:p>
        </w:tc>
        <w:tc>
          <w:tcPr>
            <w:tcW w:w="567" w:type="dxa"/>
            <w:tcBorders>
              <w:top w:val="nil"/>
              <w:left w:val="nil"/>
              <w:bottom w:val="single" w:sz="4" w:space="0" w:color="auto"/>
              <w:right w:val="single" w:sz="4" w:space="0" w:color="auto"/>
            </w:tcBorders>
            <w:shd w:val="clear" w:color="000000" w:fill="00B0F0"/>
            <w:vAlign w:val="center"/>
          </w:tcPr>
          <w:p w14:paraId="50B0497A" w14:textId="77777777" w:rsidR="00085672" w:rsidRPr="005A1C76" w:rsidRDefault="00085672" w:rsidP="00085672">
            <w:pPr>
              <w:spacing w:after="0"/>
              <w:jc w:val="right"/>
              <w:rPr>
                <w:rFonts w:eastAsia="Calibri" w:cs="Calibri"/>
                <w:bCs/>
                <w:color w:val="000000"/>
                <w:sz w:val="20"/>
                <w:szCs w:val="20"/>
                <w:lang w:val="en-GB"/>
              </w:rPr>
            </w:pPr>
            <w:r w:rsidRPr="005A1C76">
              <w:rPr>
                <w:rFonts w:eastAsia="Calibri" w:cs="Calibri"/>
                <w:bCs/>
                <w:color w:val="000000"/>
                <w:sz w:val="20"/>
                <w:szCs w:val="20"/>
                <w:lang w:val="en-GB"/>
              </w:rPr>
              <w:t>1.28</w:t>
            </w:r>
          </w:p>
        </w:tc>
        <w:tc>
          <w:tcPr>
            <w:tcW w:w="567" w:type="dxa"/>
            <w:tcBorders>
              <w:top w:val="nil"/>
              <w:left w:val="single" w:sz="4" w:space="0" w:color="auto"/>
              <w:bottom w:val="single" w:sz="8" w:space="0" w:color="auto"/>
              <w:right w:val="single" w:sz="4" w:space="0" w:color="auto"/>
            </w:tcBorders>
            <w:shd w:val="clear" w:color="auto" w:fill="auto"/>
            <w:vAlign w:val="center"/>
          </w:tcPr>
          <w:p w14:paraId="15FFAC72"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bl>
    <w:p w14:paraId="3CF1CA6C" w14:textId="77777777" w:rsidR="00085672" w:rsidRPr="005A1C76" w:rsidRDefault="00085672" w:rsidP="00085672">
      <w:pPr>
        <w:tabs>
          <w:tab w:val="left" w:pos="1176"/>
        </w:tabs>
        <w:spacing w:after="0"/>
        <w:rPr>
          <w:rFonts w:eastAsia="Calibri" w:cs="Calibri"/>
          <w:b/>
          <w:sz w:val="20"/>
          <w:szCs w:val="20"/>
          <w:lang w:val="en-GB"/>
        </w:rPr>
      </w:pPr>
      <w:r w:rsidRPr="005A1C76">
        <w:rPr>
          <w:rFonts w:eastAsia="Calibri" w:cs="Calibri"/>
          <w:b/>
          <w:sz w:val="20"/>
          <w:szCs w:val="20"/>
          <w:lang w:val="en-GB"/>
        </w:rPr>
        <w:t>*Tip – CR: Obalna Referentna, CH: Obalna Hot Spot</w:t>
      </w:r>
    </w:p>
    <w:p w14:paraId="22EF68C1" w14:textId="77777777" w:rsidR="00085672" w:rsidRPr="005A1C76" w:rsidRDefault="00085672" w:rsidP="00085672">
      <w:pPr>
        <w:spacing w:after="0" w:line="240" w:lineRule="auto"/>
        <w:rPr>
          <w:rFonts w:eastAsia="Calibri" w:cs="Calibri"/>
          <w:bCs/>
          <w:color w:val="FF0000"/>
          <w:sz w:val="20"/>
          <w:szCs w:val="20"/>
          <w:lang w:val="en-GB"/>
        </w:rPr>
      </w:pPr>
    </w:p>
    <w:p w14:paraId="51F5BA84" w14:textId="77777777" w:rsidR="00CF4B47" w:rsidRDefault="00CF4B47" w:rsidP="00085672">
      <w:pPr>
        <w:rPr>
          <w:rFonts w:eastAsia="Calibri" w:cs="Calibri"/>
          <w:lang w:val="en-GB"/>
        </w:rPr>
      </w:pPr>
    </w:p>
    <w:p w14:paraId="5B012ACD" w14:textId="77777777" w:rsidR="00CF4B47" w:rsidRDefault="00CF4B47" w:rsidP="00085672">
      <w:pPr>
        <w:rPr>
          <w:rFonts w:eastAsia="Calibri" w:cs="Calibri"/>
          <w:lang w:val="en-GB"/>
        </w:rPr>
      </w:pPr>
    </w:p>
    <w:p w14:paraId="56D3D3F0" w14:textId="77777777" w:rsidR="00CF4B47" w:rsidRDefault="00CF4B47" w:rsidP="00085672">
      <w:pPr>
        <w:rPr>
          <w:rFonts w:eastAsia="Calibri" w:cs="Calibri"/>
          <w:lang w:val="en-GB"/>
        </w:rPr>
      </w:pPr>
    </w:p>
    <w:p w14:paraId="55926D95" w14:textId="77777777" w:rsidR="00085672" w:rsidRPr="005A1C76" w:rsidRDefault="00085672" w:rsidP="00085672">
      <w:pPr>
        <w:rPr>
          <w:rFonts w:eastAsia="Calibri" w:cs="Calibri"/>
          <w:lang w:val="en-GB"/>
        </w:rPr>
      </w:pPr>
      <w:r w:rsidRPr="005A1C76">
        <w:rPr>
          <w:rFonts w:eastAsia="Calibri" w:cs="Calibri"/>
          <w:lang w:val="en-GB"/>
        </w:rPr>
        <w:t>Na osnovu rezultata predstavljenih u tabeli 2.32, može se zaključiti sledeće:</w:t>
      </w:r>
    </w:p>
    <w:p w14:paraId="6D82D32E" w14:textId="77777777" w:rsidR="00085672" w:rsidRPr="005A1C76" w:rsidRDefault="00085672" w:rsidP="00085672">
      <w:pPr>
        <w:numPr>
          <w:ilvl w:val="0"/>
          <w:numId w:val="31"/>
        </w:numPr>
        <w:rPr>
          <w:rFonts w:eastAsia="Calibri" w:cs="Calibri"/>
          <w:iCs/>
          <w:lang w:val="en-GB"/>
        </w:rPr>
      </w:pPr>
      <w:r w:rsidRPr="005A1C76">
        <w:rPr>
          <w:rFonts w:cs="Calibri"/>
          <w:lang w:val="en-GB"/>
        </w:rPr>
        <w:t>Bokokotorski zaliv i priobalno otvoreno more: rezultati analize PAH-ova pokazuju da je njihova prosječna koncentracija na ispitivanim lokacijama bila ispod BAC ili između BAC i EAC vrijednosti tokom čitavog perioda istraživanja.</w:t>
      </w:r>
    </w:p>
    <w:p w14:paraId="4EEC74AF" w14:textId="77777777" w:rsidR="00085672" w:rsidRPr="005A1C76" w:rsidRDefault="00085672" w:rsidP="00085672">
      <w:pPr>
        <w:numPr>
          <w:ilvl w:val="0"/>
          <w:numId w:val="31"/>
        </w:numPr>
        <w:rPr>
          <w:rFonts w:eastAsia="Calibri" w:cs="Calibri"/>
          <w:iCs/>
          <w:lang w:val="en-GB"/>
        </w:rPr>
      </w:pPr>
      <w:r w:rsidRPr="005A1C76">
        <w:rPr>
          <w:rFonts w:eastAsia="Calibri" w:cs="Calibri"/>
          <w:iCs/>
          <w:lang w:val="en-GB"/>
        </w:rPr>
        <w:t>Kada se posmatraju rezultati analize sume PAH-ova (benzo(a)pirena, benzo(a)antracena, hrizena i benzo(b)fluorantena) u odnosu na maksimalno dozvoljene koncentracije date Uredbom („Službeni list Crna Gora “, br. 48/16, 066/19), može se zaključiti da je prosječna koncentracija benzo(a)pirena i sume PAH-ova u školjkama sa ovog područja ispod propisanih graničnih vrijednosti.</w:t>
      </w:r>
    </w:p>
    <w:p w14:paraId="604549D8" w14:textId="77777777" w:rsidR="00085672" w:rsidRPr="005A1C76" w:rsidRDefault="00085672" w:rsidP="00085672">
      <w:pPr>
        <w:keepNext/>
        <w:rPr>
          <w:rFonts w:eastAsia="Calibri" w:cs="Calibri"/>
          <w:lang w:val="en-GB"/>
        </w:rPr>
      </w:pPr>
      <w:r w:rsidRPr="005A1C76">
        <w:rPr>
          <w:rFonts w:eastAsia="Calibri" w:cs="Calibri"/>
          <w:lang w:val="en-GB"/>
        </w:rPr>
        <w:t>Procjena GES-a za PCB i OCl u bioti tokom perioda istraživanja na svim lokaciji crnogorskog primorja data je u tabeli 2.34.</w:t>
      </w:r>
    </w:p>
    <w:p w14:paraId="5D2ECF5D" w14:textId="77777777" w:rsidR="00085672" w:rsidRPr="005A1C76" w:rsidRDefault="00085672" w:rsidP="00085672">
      <w:pPr>
        <w:rPr>
          <w:rFonts w:eastAsia="Calibri" w:cs="Calibri"/>
          <w:lang w:val="en-GB"/>
        </w:rPr>
      </w:pPr>
      <w:r w:rsidRPr="005A1C76">
        <w:rPr>
          <w:rFonts w:eastAsia="Calibri" w:cs="Calibri"/>
          <w:lang w:val="en-GB"/>
        </w:rPr>
        <w:t>Na osnovu rezultata predstavljenih u tabeli 2.34, može se zaključiti sledeće:</w:t>
      </w:r>
    </w:p>
    <w:p w14:paraId="67D61234" w14:textId="77777777" w:rsidR="00085672" w:rsidRPr="005A1C76" w:rsidRDefault="00085672" w:rsidP="00C52E6F">
      <w:pPr>
        <w:numPr>
          <w:ilvl w:val="0"/>
          <w:numId w:val="42"/>
        </w:numPr>
        <w:ind w:left="360"/>
        <w:contextualSpacing/>
        <w:rPr>
          <w:rFonts w:cs="Calibri"/>
          <w:lang w:val="en-GB"/>
        </w:rPr>
      </w:pPr>
      <w:r w:rsidRPr="005A1C76">
        <w:rPr>
          <w:rFonts w:cs="Calibri"/>
          <w:lang w:val="en-GB"/>
        </w:rPr>
        <w:t>Bokokotorski zaliv: rezultati analize koncentracije PCB kongenera tokom ispitivanog perioda pokazuju da je prosječna koncentracija PCB 118 na većini lokacija, osim u Luci Risan i Orahovcu, iznad vrijednosti EAC, dok je prosječni sadržaj PCB 101 samo na lokaciji Porto Montenegro iznad EAC vrijednosti. Na ostalim lokacijama istraživanja, prosječna koncentracija PCB 101 je između BAC i EAC vrijednosti. Koncentracija ostalih kongenera PCB ispitivanih tokom perioda istraživanja bila je ispod BAC ili između BAC i EAC vrijednosti. To ukazuje da postoji određeni antropogeni uticaj, bez rizika od negativnih efekata na živi svet.</w:t>
      </w:r>
    </w:p>
    <w:p w14:paraId="1A85328E" w14:textId="77777777" w:rsidR="00085672" w:rsidRPr="005A1C76" w:rsidRDefault="00085672" w:rsidP="00C52E6F">
      <w:pPr>
        <w:numPr>
          <w:ilvl w:val="0"/>
          <w:numId w:val="42"/>
        </w:numPr>
        <w:ind w:left="360"/>
        <w:contextualSpacing/>
        <w:rPr>
          <w:rFonts w:cs="Calibri"/>
          <w:lang w:val="en-GB"/>
        </w:rPr>
      </w:pPr>
      <w:r w:rsidRPr="005A1C76">
        <w:rPr>
          <w:rFonts w:cs="Calibri"/>
          <w:lang w:val="en-GB"/>
        </w:rPr>
        <w:t>Priobalne lokacije otvorenog mora: na osnovu rezultata analize može se zaključiti da su koncentracije PCB 101, PCB 118 i PCB 138 kongenera u luci Bar iznad vrijednosti EAC, što ukazuje na postojanje antropogenog uticaja na ovoj lokaciji. Koncentracija većine PCB kongenera u luci Budva je ispod vrijednosti BAC, osim PCB 153 koja je između vrijednosti BAC i EAC, pa se može zaključiti da ova lokacija nije pod antropogenim pritiskom.</w:t>
      </w:r>
    </w:p>
    <w:p w14:paraId="02F12704" w14:textId="77777777" w:rsidR="00085672" w:rsidRPr="005A1C76" w:rsidRDefault="00085672" w:rsidP="00C52E6F">
      <w:pPr>
        <w:numPr>
          <w:ilvl w:val="0"/>
          <w:numId w:val="42"/>
        </w:numPr>
        <w:ind w:left="360"/>
        <w:contextualSpacing/>
        <w:rPr>
          <w:lang w:val="en-GB"/>
        </w:rPr>
      </w:pPr>
      <w:r w:rsidRPr="005A1C76">
        <w:rPr>
          <w:lang w:val="en-GB"/>
        </w:rPr>
        <w:t>Organohlorni pesticidi: Rezultati analize organohlornih pesticide pokazuju da je njihova prosječna koncentracija tokom cijelog perioda ispitivanja bila ispod vrijednosti BAC, pa se može zaključiti da ovo područje nije pod antropogenim uticajem.</w:t>
      </w:r>
    </w:p>
    <w:p w14:paraId="7872651E" w14:textId="77777777" w:rsidR="00085672" w:rsidRPr="005A1C76" w:rsidRDefault="00085672" w:rsidP="00C52E6F">
      <w:pPr>
        <w:numPr>
          <w:ilvl w:val="0"/>
          <w:numId w:val="42"/>
        </w:numPr>
        <w:ind w:left="360"/>
        <w:contextualSpacing/>
        <w:rPr>
          <w:rFonts w:cs="Calibri"/>
          <w:lang w:val="en-GB"/>
        </w:rPr>
      </w:pPr>
      <w:r w:rsidRPr="005A1C76">
        <w:rPr>
          <w:rFonts w:cs="Calibri"/>
          <w:lang w:val="en-GB"/>
        </w:rPr>
        <w:t>Organokalajna jedinjenja: na osnovu dobijenih rezultata analize organokajalnih jedinjenja može se zaključiti da je prosječna koncentracija tributilkalaja na većini ispitivanih lokacija, izuzev lokacija Orahovac i Port Milena, bila iznad vrijednosti EAC, što ukazuje da je većina lokacija pod antropogenim pritiskom. Treba napomenuti da ove lokacije pripadaju „Hot Spot“ lokacijama (luke, marine i bivši zavodi za popravku brodova - Brodogradilište Bijela i Porto Montenegro), pa je prisustvo ovih komponenti očekivano.</w:t>
      </w:r>
    </w:p>
    <w:p w14:paraId="11DDB4BB" w14:textId="77777777" w:rsidR="00837141" w:rsidRPr="001C6CCA" w:rsidRDefault="00837141" w:rsidP="002E7BFE">
      <w:pPr>
        <w:spacing w:before="0" w:after="0"/>
        <w:jc w:val="left"/>
        <w:rPr>
          <w:rFonts w:eastAsia="Calibri" w:cs="Calibri"/>
          <w:bCs/>
          <w:sz w:val="20"/>
          <w:szCs w:val="20"/>
          <w:lang w:val="en-GB" w:eastAsia="en-US"/>
        </w:rPr>
      </w:pPr>
    </w:p>
    <w:p w14:paraId="434BF7EB" w14:textId="77777777" w:rsidR="00085672" w:rsidRPr="005A1C76" w:rsidRDefault="00085672" w:rsidP="00085672">
      <w:pPr>
        <w:keepNext/>
        <w:spacing w:after="0" w:line="240" w:lineRule="auto"/>
        <w:rPr>
          <w:rFonts w:eastAsia="Calibri"/>
          <w:b/>
          <w:iCs/>
          <w:lang w:val="en-GB"/>
        </w:rPr>
      </w:pPr>
      <w:bookmarkStart w:id="204" w:name="_Toc83643180"/>
      <w:r w:rsidRPr="005A1C76">
        <w:rPr>
          <w:rFonts w:eastAsia="Calibri"/>
          <w:b/>
          <w:iCs/>
          <w:lang w:val="en-GB"/>
        </w:rPr>
        <w:t xml:space="preserve">Tabela </w:t>
      </w:r>
      <w:r w:rsidRPr="005A1C76">
        <w:rPr>
          <w:b/>
        </w:rPr>
        <w:fldChar w:fldCharType="begin"/>
      </w:r>
      <w:r w:rsidRPr="005A1C76">
        <w:rPr>
          <w:b/>
        </w:rPr>
        <w:instrText xml:space="preserve"> STYLEREF 1 \s </w:instrText>
      </w:r>
      <w:r w:rsidRPr="005A1C76">
        <w:rPr>
          <w:b/>
        </w:rPr>
        <w:fldChar w:fldCharType="separate"/>
      </w:r>
      <w:r w:rsidR="000D1E20">
        <w:rPr>
          <w:b/>
          <w:noProof/>
        </w:rPr>
        <w:t>2</w:t>
      </w:r>
      <w:r w:rsidRPr="005A1C76">
        <w:rPr>
          <w:b/>
        </w:rPr>
        <w:fldChar w:fldCharType="end"/>
      </w:r>
      <w:r w:rsidRPr="005A1C76">
        <w:rPr>
          <w:b/>
        </w:rPr>
        <w:t>.</w:t>
      </w:r>
      <w:r w:rsidRPr="005A1C76">
        <w:rPr>
          <w:b/>
        </w:rPr>
        <w:fldChar w:fldCharType="begin"/>
      </w:r>
      <w:r w:rsidRPr="005A1C76">
        <w:rPr>
          <w:b/>
        </w:rPr>
        <w:instrText xml:space="preserve"> SEQ Table \* ARABIC \s 1 </w:instrText>
      </w:r>
      <w:r w:rsidRPr="005A1C76">
        <w:rPr>
          <w:b/>
        </w:rPr>
        <w:fldChar w:fldCharType="separate"/>
      </w:r>
      <w:r w:rsidR="000D1E20">
        <w:rPr>
          <w:b/>
          <w:noProof/>
        </w:rPr>
        <w:t>22</w:t>
      </w:r>
      <w:r w:rsidRPr="005A1C76">
        <w:rPr>
          <w:b/>
        </w:rPr>
        <w:fldChar w:fldCharType="end"/>
      </w:r>
      <w:r w:rsidRPr="005A1C76">
        <w:rPr>
          <w:b/>
        </w:rPr>
        <w:t>.</w:t>
      </w:r>
      <w:r w:rsidRPr="005A1C76">
        <w:rPr>
          <w:rFonts w:eastAsia="Calibri"/>
          <w:b/>
          <w:iCs/>
          <w:lang w:val="en-GB"/>
        </w:rPr>
        <w:t xml:space="preserve"> Prikaz prosječnih vrijednosti PCB i OCl u bioti tokom perioda istraživanja na lokacijama crnogorskog mora prema UNEP/MAP i OSPAR kriterijumima procjene</w:t>
      </w:r>
      <w:bookmarkEnd w:id="204"/>
    </w:p>
    <w:tbl>
      <w:tblPr>
        <w:tblW w:w="9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CellMar>
          <w:left w:w="57" w:type="dxa"/>
          <w:right w:w="57" w:type="dxa"/>
        </w:tblCellMar>
        <w:tblLook w:val="04A0" w:firstRow="1" w:lastRow="0" w:firstColumn="1" w:lastColumn="0" w:noHBand="0" w:noVBand="1"/>
      </w:tblPr>
      <w:tblGrid>
        <w:gridCol w:w="1179"/>
        <w:gridCol w:w="1356"/>
        <w:gridCol w:w="469"/>
        <w:gridCol w:w="469"/>
        <w:gridCol w:w="469"/>
        <w:gridCol w:w="570"/>
        <w:gridCol w:w="570"/>
        <w:gridCol w:w="570"/>
        <w:gridCol w:w="469"/>
        <w:gridCol w:w="425"/>
        <w:gridCol w:w="557"/>
        <w:gridCol w:w="467"/>
        <w:gridCol w:w="600"/>
        <w:gridCol w:w="669"/>
        <w:gridCol w:w="470"/>
      </w:tblGrid>
      <w:tr w:rsidR="00085672" w:rsidRPr="005A1C76" w14:paraId="0907B414" w14:textId="77777777" w:rsidTr="00605469">
        <w:trPr>
          <w:cantSplit/>
          <w:trHeight w:val="336"/>
          <w:tblHeader/>
          <w:jc w:val="center"/>
        </w:trPr>
        <w:tc>
          <w:tcPr>
            <w:tcW w:w="1179" w:type="dxa"/>
            <w:vMerge w:val="restart"/>
            <w:shd w:val="clear" w:color="auto" w:fill="1F497D" w:themeFill="text2"/>
            <w:vAlign w:val="center"/>
          </w:tcPr>
          <w:p w14:paraId="5472C252" w14:textId="77777777" w:rsidR="00085672" w:rsidRPr="005A1C76" w:rsidRDefault="00085672" w:rsidP="00085672">
            <w:pPr>
              <w:spacing w:after="0" w:line="240" w:lineRule="auto"/>
              <w:rPr>
                <w:rFonts w:eastAsia="Calibri" w:cs="Calibri"/>
                <w:b/>
                <w:color w:val="FFFFFF"/>
                <w:sz w:val="20"/>
                <w:szCs w:val="20"/>
                <w:lang w:val="en-GB"/>
              </w:rPr>
            </w:pPr>
            <w:r w:rsidRPr="005A1C76">
              <w:rPr>
                <w:rFonts w:eastAsia="Calibri" w:cs="Calibri"/>
                <w:b/>
                <w:color w:val="FFFFFF"/>
                <w:sz w:val="20"/>
                <w:szCs w:val="20"/>
                <w:lang w:val="en-GB"/>
              </w:rPr>
              <w:t>Zone</w:t>
            </w:r>
          </w:p>
        </w:tc>
        <w:tc>
          <w:tcPr>
            <w:tcW w:w="0" w:type="auto"/>
            <w:vMerge w:val="restart"/>
            <w:shd w:val="clear" w:color="auto" w:fill="1F497D" w:themeFill="text2"/>
            <w:vAlign w:val="center"/>
          </w:tcPr>
          <w:p w14:paraId="5195965C"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Naziv lokacije</w:t>
            </w:r>
          </w:p>
        </w:tc>
        <w:tc>
          <w:tcPr>
            <w:tcW w:w="0" w:type="auto"/>
            <w:gridSpan w:val="12"/>
            <w:shd w:val="clear" w:color="auto" w:fill="1F497D" w:themeFill="text2"/>
            <w:vAlign w:val="center"/>
          </w:tcPr>
          <w:p w14:paraId="72B627B4"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Polihlorovani bifenili, TBT i organohlorni pesticidi  µg/kg s.m.</w:t>
            </w:r>
          </w:p>
        </w:tc>
        <w:tc>
          <w:tcPr>
            <w:tcW w:w="0" w:type="auto"/>
            <w:shd w:val="clear" w:color="auto" w:fill="1F497D" w:themeFill="text2"/>
            <w:vAlign w:val="center"/>
          </w:tcPr>
          <w:p w14:paraId="511E0DE4" w14:textId="77777777" w:rsidR="00085672" w:rsidRPr="005A1C76" w:rsidRDefault="00085672" w:rsidP="00085672">
            <w:pPr>
              <w:spacing w:after="0" w:line="240" w:lineRule="auto"/>
              <w:jc w:val="center"/>
              <w:rPr>
                <w:rFonts w:eastAsia="Calibri" w:cs="Calibri"/>
                <w:b/>
                <w:color w:val="FFFFFF"/>
                <w:sz w:val="20"/>
                <w:szCs w:val="20"/>
                <w:lang w:val="en-GB"/>
              </w:rPr>
            </w:pPr>
          </w:p>
        </w:tc>
      </w:tr>
      <w:tr w:rsidR="00085672" w:rsidRPr="005A1C76" w14:paraId="13F1BB74" w14:textId="77777777" w:rsidTr="00605469">
        <w:trPr>
          <w:cantSplit/>
          <w:trHeight w:hRule="exact" w:val="820"/>
          <w:tblHeader/>
          <w:jc w:val="center"/>
        </w:trPr>
        <w:tc>
          <w:tcPr>
            <w:tcW w:w="1179" w:type="dxa"/>
            <w:vMerge/>
            <w:shd w:val="clear" w:color="auto" w:fill="1F497D" w:themeFill="text2"/>
            <w:vAlign w:val="center"/>
          </w:tcPr>
          <w:p w14:paraId="07942B5A" w14:textId="77777777" w:rsidR="00085672" w:rsidRPr="005A1C76" w:rsidRDefault="00085672" w:rsidP="00085672">
            <w:pPr>
              <w:spacing w:after="0" w:line="240" w:lineRule="auto"/>
              <w:rPr>
                <w:rFonts w:eastAsia="Calibri" w:cs="Calibri"/>
                <w:b/>
                <w:color w:val="FFFFFF"/>
                <w:sz w:val="20"/>
                <w:szCs w:val="20"/>
                <w:lang w:val="en-GB"/>
              </w:rPr>
            </w:pPr>
          </w:p>
        </w:tc>
        <w:tc>
          <w:tcPr>
            <w:tcW w:w="0" w:type="auto"/>
            <w:vMerge/>
            <w:shd w:val="clear" w:color="auto" w:fill="1F497D" w:themeFill="text2"/>
            <w:vAlign w:val="center"/>
          </w:tcPr>
          <w:p w14:paraId="5A4FC521" w14:textId="77777777" w:rsidR="00085672" w:rsidRPr="005A1C76" w:rsidRDefault="00085672" w:rsidP="00085672">
            <w:pPr>
              <w:spacing w:after="0" w:line="240" w:lineRule="auto"/>
              <w:rPr>
                <w:rFonts w:eastAsia="Calibri" w:cs="Calibri"/>
                <w:b/>
                <w:color w:val="FFFFFF"/>
                <w:sz w:val="20"/>
                <w:szCs w:val="20"/>
                <w:lang w:val="en-GB"/>
              </w:rPr>
            </w:pPr>
          </w:p>
        </w:tc>
        <w:tc>
          <w:tcPr>
            <w:tcW w:w="0" w:type="auto"/>
            <w:shd w:val="clear" w:color="auto" w:fill="1F497D" w:themeFill="text2"/>
            <w:vAlign w:val="center"/>
          </w:tcPr>
          <w:p w14:paraId="414A6DFC" w14:textId="77777777" w:rsidR="00085672" w:rsidRPr="005A1C76" w:rsidRDefault="00085672" w:rsidP="00085672">
            <w:pPr>
              <w:spacing w:after="0"/>
              <w:jc w:val="center"/>
              <w:rPr>
                <w:rFonts w:eastAsia="Calibri" w:cs="Calibri"/>
                <w:b/>
                <w:bCs/>
                <w:color w:val="FFFFFF"/>
                <w:sz w:val="20"/>
                <w:szCs w:val="20"/>
                <w:lang w:val="en-GB"/>
              </w:rPr>
            </w:pPr>
            <w:r w:rsidRPr="005A1C76">
              <w:rPr>
                <w:rFonts w:eastAsia="Calibri" w:cs="Calibri"/>
                <w:b/>
                <w:bCs/>
                <w:color w:val="FFFFFF"/>
                <w:sz w:val="20"/>
                <w:szCs w:val="20"/>
                <w:lang w:val="en-GB"/>
              </w:rPr>
              <w:t>PCB 28</w:t>
            </w:r>
          </w:p>
        </w:tc>
        <w:tc>
          <w:tcPr>
            <w:tcW w:w="0" w:type="auto"/>
            <w:shd w:val="clear" w:color="auto" w:fill="1F497D" w:themeFill="text2"/>
            <w:vAlign w:val="center"/>
          </w:tcPr>
          <w:p w14:paraId="5F6A4512" w14:textId="77777777" w:rsidR="00085672" w:rsidRPr="005A1C76" w:rsidRDefault="00085672" w:rsidP="00085672">
            <w:pPr>
              <w:spacing w:after="0"/>
              <w:jc w:val="center"/>
              <w:rPr>
                <w:rFonts w:eastAsia="Calibri" w:cs="Calibri"/>
                <w:b/>
                <w:bCs/>
                <w:color w:val="FFFFFF"/>
                <w:sz w:val="20"/>
                <w:szCs w:val="20"/>
                <w:lang w:val="en-GB"/>
              </w:rPr>
            </w:pPr>
            <w:r w:rsidRPr="005A1C76">
              <w:rPr>
                <w:rFonts w:eastAsia="Calibri" w:cs="Calibri"/>
                <w:b/>
                <w:bCs/>
                <w:color w:val="FFFFFF"/>
                <w:sz w:val="20"/>
                <w:szCs w:val="20"/>
                <w:lang w:val="en-GB"/>
              </w:rPr>
              <w:t>PCB 52</w:t>
            </w:r>
          </w:p>
        </w:tc>
        <w:tc>
          <w:tcPr>
            <w:tcW w:w="0" w:type="auto"/>
            <w:shd w:val="clear" w:color="auto" w:fill="1F497D" w:themeFill="text2"/>
            <w:vAlign w:val="center"/>
          </w:tcPr>
          <w:p w14:paraId="0AE8AC4B" w14:textId="77777777" w:rsidR="00085672" w:rsidRPr="005A1C76" w:rsidRDefault="00085672" w:rsidP="00085672">
            <w:pPr>
              <w:spacing w:after="0"/>
              <w:jc w:val="center"/>
              <w:rPr>
                <w:rFonts w:eastAsia="Calibri" w:cs="Calibri"/>
                <w:b/>
                <w:bCs/>
                <w:color w:val="FFFFFF"/>
                <w:sz w:val="20"/>
                <w:szCs w:val="20"/>
                <w:lang w:val="en-GB"/>
              </w:rPr>
            </w:pPr>
            <w:r w:rsidRPr="005A1C76">
              <w:rPr>
                <w:rFonts w:eastAsia="Calibri" w:cs="Calibri"/>
                <w:b/>
                <w:bCs/>
                <w:color w:val="FFFFFF"/>
                <w:sz w:val="20"/>
                <w:szCs w:val="20"/>
                <w:lang w:val="en-GB"/>
              </w:rPr>
              <w:t>PCB 101</w:t>
            </w:r>
          </w:p>
        </w:tc>
        <w:tc>
          <w:tcPr>
            <w:tcW w:w="0" w:type="auto"/>
            <w:shd w:val="clear" w:color="auto" w:fill="1F497D" w:themeFill="text2"/>
            <w:vAlign w:val="center"/>
          </w:tcPr>
          <w:p w14:paraId="1B266A2D" w14:textId="77777777" w:rsidR="00085672" w:rsidRPr="005A1C76" w:rsidRDefault="00085672" w:rsidP="00085672">
            <w:pPr>
              <w:spacing w:after="0"/>
              <w:jc w:val="center"/>
              <w:rPr>
                <w:rFonts w:eastAsia="Calibri" w:cs="Calibri"/>
                <w:b/>
                <w:bCs/>
                <w:color w:val="FFFFFF"/>
                <w:sz w:val="20"/>
                <w:szCs w:val="20"/>
                <w:lang w:val="en-GB"/>
              </w:rPr>
            </w:pPr>
            <w:r w:rsidRPr="005A1C76">
              <w:rPr>
                <w:rFonts w:eastAsia="Calibri" w:cs="Calibri"/>
                <w:b/>
                <w:bCs/>
                <w:color w:val="FFFFFF"/>
                <w:sz w:val="20"/>
                <w:szCs w:val="20"/>
                <w:lang w:val="en-GB"/>
              </w:rPr>
              <w:t>PCB 118</w:t>
            </w:r>
          </w:p>
        </w:tc>
        <w:tc>
          <w:tcPr>
            <w:tcW w:w="0" w:type="auto"/>
            <w:shd w:val="clear" w:color="auto" w:fill="1F497D" w:themeFill="text2"/>
            <w:vAlign w:val="center"/>
          </w:tcPr>
          <w:p w14:paraId="2BC40B47" w14:textId="77777777" w:rsidR="00085672" w:rsidRPr="005A1C76" w:rsidRDefault="00085672" w:rsidP="00085672">
            <w:pPr>
              <w:spacing w:after="0"/>
              <w:jc w:val="center"/>
              <w:rPr>
                <w:rFonts w:eastAsia="Calibri" w:cs="Calibri"/>
                <w:b/>
                <w:bCs/>
                <w:color w:val="FFFFFF"/>
                <w:sz w:val="20"/>
                <w:szCs w:val="20"/>
                <w:lang w:val="en-GB"/>
              </w:rPr>
            </w:pPr>
            <w:r w:rsidRPr="005A1C76">
              <w:rPr>
                <w:rFonts w:eastAsia="Calibri" w:cs="Calibri"/>
                <w:b/>
                <w:bCs/>
                <w:color w:val="FFFFFF"/>
                <w:sz w:val="20"/>
                <w:szCs w:val="20"/>
                <w:lang w:val="en-GB"/>
              </w:rPr>
              <w:t>PCB 138</w:t>
            </w:r>
          </w:p>
        </w:tc>
        <w:tc>
          <w:tcPr>
            <w:tcW w:w="0" w:type="auto"/>
            <w:shd w:val="clear" w:color="auto" w:fill="1F497D" w:themeFill="text2"/>
            <w:vAlign w:val="center"/>
          </w:tcPr>
          <w:p w14:paraId="1AF16ED9" w14:textId="77777777" w:rsidR="00085672" w:rsidRPr="005A1C76" w:rsidRDefault="00085672" w:rsidP="00085672">
            <w:pPr>
              <w:spacing w:after="0"/>
              <w:jc w:val="center"/>
              <w:rPr>
                <w:rFonts w:eastAsia="Calibri" w:cs="Calibri"/>
                <w:b/>
                <w:bCs/>
                <w:color w:val="FFFFFF"/>
                <w:sz w:val="20"/>
                <w:szCs w:val="20"/>
                <w:lang w:val="en-GB"/>
              </w:rPr>
            </w:pPr>
            <w:r w:rsidRPr="005A1C76">
              <w:rPr>
                <w:rFonts w:eastAsia="Calibri" w:cs="Calibri"/>
                <w:b/>
                <w:bCs/>
                <w:color w:val="FFFFFF"/>
                <w:sz w:val="20"/>
                <w:szCs w:val="20"/>
                <w:lang w:val="en-GB"/>
              </w:rPr>
              <w:t>PCB 153</w:t>
            </w:r>
          </w:p>
        </w:tc>
        <w:tc>
          <w:tcPr>
            <w:tcW w:w="0" w:type="auto"/>
            <w:shd w:val="clear" w:color="auto" w:fill="1F497D" w:themeFill="text2"/>
            <w:vAlign w:val="center"/>
          </w:tcPr>
          <w:p w14:paraId="3B363C52" w14:textId="77777777" w:rsidR="00085672" w:rsidRPr="005A1C76" w:rsidRDefault="00085672" w:rsidP="00085672">
            <w:pPr>
              <w:spacing w:after="0"/>
              <w:jc w:val="center"/>
              <w:rPr>
                <w:rFonts w:eastAsia="Calibri" w:cs="Calibri"/>
                <w:b/>
                <w:bCs/>
                <w:color w:val="FFFFFF"/>
                <w:sz w:val="20"/>
                <w:szCs w:val="20"/>
                <w:lang w:val="en-GB"/>
              </w:rPr>
            </w:pPr>
            <w:r w:rsidRPr="005A1C76">
              <w:rPr>
                <w:rFonts w:eastAsia="Calibri" w:cs="Calibri"/>
                <w:b/>
                <w:bCs/>
                <w:color w:val="FFFFFF"/>
                <w:sz w:val="20"/>
                <w:szCs w:val="20"/>
                <w:lang w:val="en-GB"/>
              </w:rPr>
              <w:t>PCB 180</w:t>
            </w:r>
          </w:p>
        </w:tc>
        <w:tc>
          <w:tcPr>
            <w:tcW w:w="425"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2AB4E630" w14:textId="77777777" w:rsidR="00085672" w:rsidRPr="005A1C76" w:rsidRDefault="00085672" w:rsidP="00085672">
            <w:pPr>
              <w:spacing w:after="0"/>
              <w:jc w:val="center"/>
              <w:rPr>
                <w:rFonts w:eastAsia="Calibri" w:cs="Calibri"/>
                <w:b/>
                <w:bCs/>
                <w:color w:val="000000"/>
                <w:sz w:val="20"/>
                <w:szCs w:val="20"/>
                <w:lang w:val="en-GB"/>
              </w:rPr>
            </w:pPr>
            <w:r w:rsidRPr="005A1C76">
              <w:rPr>
                <w:rFonts w:eastAsia="Calibri" w:cs="Calibri"/>
                <w:b/>
                <w:bCs/>
                <w:color w:val="FFFFFF"/>
                <w:sz w:val="20"/>
                <w:szCs w:val="20"/>
                <w:lang w:val="en-GB"/>
              </w:rPr>
              <w:t>TBT</w:t>
            </w:r>
          </w:p>
        </w:tc>
        <w:tc>
          <w:tcPr>
            <w:tcW w:w="557" w:type="dxa"/>
            <w:tcBorders>
              <w:bottom w:val="single" w:sz="4" w:space="0" w:color="auto"/>
            </w:tcBorders>
            <w:shd w:val="clear" w:color="auto" w:fill="1F497D" w:themeFill="text2"/>
            <w:vAlign w:val="center"/>
          </w:tcPr>
          <w:p w14:paraId="78EF9574" w14:textId="77777777" w:rsidR="00085672" w:rsidRPr="005A1C76" w:rsidRDefault="00085672" w:rsidP="00085672">
            <w:pPr>
              <w:spacing w:after="0"/>
              <w:jc w:val="center"/>
              <w:rPr>
                <w:rFonts w:eastAsia="Calibri" w:cs="Calibri"/>
                <w:b/>
                <w:bCs/>
                <w:color w:val="FFFFFF"/>
                <w:sz w:val="20"/>
                <w:szCs w:val="20"/>
                <w:lang w:val="en-GB"/>
              </w:rPr>
            </w:pPr>
            <w:r w:rsidRPr="005A1C76">
              <w:rPr>
                <w:rFonts w:eastAsia="Calibri" w:cs="Calibri"/>
                <w:b/>
                <w:bCs/>
                <w:color w:val="FFFFFF"/>
                <w:sz w:val="20"/>
                <w:szCs w:val="20"/>
                <w:lang w:val="en-GB"/>
              </w:rPr>
              <w:t>DDE (p,p’)</w:t>
            </w:r>
          </w:p>
        </w:tc>
        <w:tc>
          <w:tcPr>
            <w:tcW w:w="0" w:type="auto"/>
            <w:tcBorders>
              <w:bottom w:val="single" w:sz="4" w:space="0" w:color="auto"/>
            </w:tcBorders>
            <w:shd w:val="clear" w:color="auto" w:fill="1F497D" w:themeFill="text2"/>
            <w:vAlign w:val="center"/>
          </w:tcPr>
          <w:p w14:paraId="1A457110" w14:textId="77777777" w:rsidR="00085672" w:rsidRPr="005A1C76" w:rsidRDefault="00085672" w:rsidP="00085672">
            <w:pPr>
              <w:spacing w:after="0"/>
              <w:jc w:val="center"/>
              <w:rPr>
                <w:rFonts w:eastAsia="Calibri" w:cs="Calibri"/>
                <w:b/>
                <w:bCs/>
                <w:color w:val="FFFFFF"/>
                <w:sz w:val="20"/>
                <w:szCs w:val="20"/>
                <w:lang w:val="en-GB"/>
              </w:rPr>
            </w:pPr>
            <w:r w:rsidRPr="005A1C76">
              <w:rPr>
                <w:rFonts w:eastAsia="Calibri" w:cs="Calibri"/>
                <w:b/>
                <w:bCs/>
                <w:color w:val="FFFFFF"/>
                <w:sz w:val="20"/>
                <w:szCs w:val="20"/>
                <w:lang w:val="en-GB"/>
              </w:rPr>
              <w:t>HCB</w:t>
            </w:r>
          </w:p>
        </w:tc>
        <w:tc>
          <w:tcPr>
            <w:tcW w:w="0" w:type="auto"/>
            <w:tcBorders>
              <w:bottom w:val="single" w:sz="4" w:space="0" w:color="auto"/>
            </w:tcBorders>
            <w:shd w:val="clear" w:color="auto" w:fill="1F497D" w:themeFill="text2"/>
            <w:vAlign w:val="center"/>
          </w:tcPr>
          <w:p w14:paraId="750F3845" w14:textId="77777777" w:rsidR="00085672" w:rsidRPr="005A1C76" w:rsidRDefault="00085672" w:rsidP="00085672">
            <w:pPr>
              <w:spacing w:after="0"/>
              <w:jc w:val="center"/>
              <w:rPr>
                <w:rFonts w:eastAsia="Calibri" w:cs="Calibri"/>
                <w:b/>
                <w:bCs/>
                <w:color w:val="FFFFFF"/>
                <w:sz w:val="20"/>
                <w:szCs w:val="20"/>
                <w:lang w:val="en-GB"/>
              </w:rPr>
            </w:pPr>
            <w:r w:rsidRPr="005A1C76">
              <w:rPr>
                <w:rFonts w:eastAsia="Calibri" w:cs="Calibri"/>
                <w:b/>
                <w:bCs/>
                <w:color w:val="FFFFFF"/>
                <w:sz w:val="20"/>
                <w:szCs w:val="20"/>
                <w:lang w:val="en-GB"/>
              </w:rPr>
              <w:t>Dield.</w:t>
            </w:r>
          </w:p>
        </w:tc>
        <w:tc>
          <w:tcPr>
            <w:tcW w:w="0" w:type="auto"/>
            <w:tcBorders>
              <w:bottom w:val="single" w:sz="4" w:space="0" w:color="auto"/>
            </w:tcBorders>
            <w:shd w:val="clear" w:color="auto" w:fill="1F497D" w:themeFill="text2"/>
            <w:vAlign w:val="center"/>
          </w:tcPr>
          <w:p w14:paraId="63EE9784" w14:textId="77777777" w:rsidR="00085672" w:rsidRPr="005A1C76" w:rsidRDefault="00085672" w:rsidP="00085672">
            <w:pPr>
              <w:spacing w:after="0"/>
              <w:jc w:val="center"/>
              <w:rPr>
                <w:rFonts w:eastAsia="Calibri" w:cs="Calibri"/>
                <w:b/>
                <w:bCs/>
                <w:color w:val="FFFFFF"/>
                <w:sz w:val="20"/>
                <w:szCs w:val="20"/>
                <w:lang w:val="en-GB"/>
              </w:rPr>
            </w:pPr>
            <w:r w:rsidRPr="005A1C76">
              <w:rPr>
                <w:rFonts w:eastAsia="Calibri" w:cs="Calibri"/>
                <w:b/>
                <w:bCs/>
                <w:color w:val="FFFFFF"/>
                <w:sz w:val="20"/>
                <w:szCs w:val="20"/>
                <w:lang w:val="en-GB"/>
              </w:rPr>
              <w:t>Lindan</w:t>
            </w:r>
          </w:p>
        </w:tc>
        <w:tc>
          <w:tcPr>
            <w:tcW w:w="0" w:type="auto"/>
            <w:shd w:val="clear" w:color="auto" w:fill="1F497D" w:themeFill="text2"/>
            <w:vAlign w:val="center"/>
          </w:tcPr>
          <w:p w14:paraId="533784E2" w14:textId="77777777" w:rsidR="00085672" w:rsidRPr="005A1C76" w:rsidRDefault="00085672" w:rsidP="00085672">
            <w:pPr>
              <w:spacing w:after="0" w:line="240" w:lineRule="auto"/>
              <w:jc w:val="center"/>
              <w:rPr>
                <w:rFonts w:eastAsia="Calibri" w:cs="Calibri"/>
                <w:b/>
                <w:color w:val="FFFFFF"/>
                <w:sz w:val="20"/>
                <w:szCs w:val="20"/>
                <w:lang w:val="en-GB"/>
              </w:rPr>
            </w:pPr>
            <w:r w:rsidRPr="005A1C76">
              <w:rPr>
                <w:rFonts w:eastAsia="Calibri" w:cs="Calibri"/>
                <w:b/>
                <w:color w:val="FFFFFF"/>
                <w:sz w:val="20"/>
                <w:szCs w:val="20"/>
                <w:lang w:val="en-GB"/>
              </w:rPr>
              <w:t>Tip*</w:t>
            </w:r>
          </w:p>
        </w:tc>
      </w:tr>
      <w:tr w:rsidR="00085672" w:rsidRPr="005A1C76" w14:paraId="03AFE9B6" w14:textId="77777777" w:rsidTr="00085672">
        <w:trPr>
          <w:cantSplit/>
          <w:trHeight w:val="317"/>
          <w:jc w:val="center"/>
        </w:trPr>
        <w:tc>
          <w:tcPr>
            <w:tcW w:w="1179" w:type="dxa"/>
            <w:vMerge w:val="restart"/>
            <w:vAlign w:val="center"/>
          </w:tcPr>
          <w:p w14:paraId="3BB11374"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r w:rsidRPr="005A1C76">
              <w:rPr>
                <w:rFonts w:eastAsia="Calibri" w:cs="Calibri"/>
                <w:sz w:val="20"/>
                <w:szCs w:val="20"/>
                <w:lang w:val="en-GB"/>
              </w:rPr>
              <w:t>Bokokotorski zaliv</w:t>
            </w:r>
          </w:p>
        </w:tc>
        <w:tc>
          <w:tcPr>
            <w:tcW w:w="0" w:type="auto"/>
            <w:shd w:val="clear" w:color="auto" w:fill="auto"/>
            <w:vAlign w:val="center"/>
          </w:tcPr>
          <w:p w14:paraId="13441978"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Herceg Novi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691B948"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0F7DCAD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67DB38C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601D02C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53FF7A4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0B020F25"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690BB7C2"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sz w:val="20"/>
                <w:szCs w:val="20"/>
                <w:lang w:val="en-GB"/>
              </w:rPr>
              <w:t>-</w:t>
            </w:r>
          </w:p>
        </w:tc>
        <w:tc>
          <w:tcPr>
            <w:tcW w:w="425" w:type="dxa"/>
            <w:tcBorders>
              <w:top w:val="single" w:sz="4" w:space="0" w:color="auto"/>
              <w:left w:val="single" w:sz="4" w:space="0" w:color="auto"/>
              <w:bottom w:val="single" w:sz="4" w:space="0" w:color="auto"/>
              <w:right w:val="single" w:sz="4" w:space="0" w:color="auto"/>
            </w:tcBorders>
            <w:shd w:val="clear" w:color="000000" w:fill="FF0000"/>
            <w:vAlign w:val="center"/>
          </w:tcPr>
          <w:p w14:paraId="01958BF6"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105</w:t>
            </w:r>
          </w:p>
        </w:tc>
        <w:tc>
          <w:tcPr>
            <w:tcW w:w="557" w:type="dxa"/>
            <w:tcBorders>
              <w:top w:val="single" w:sz="4" w:space="0" w:color="auto"/>
              <w:left w:val="single" w:sz="4" w:space="0" w:color="auto"/>
              <w:bottom w:val="single" w:sz="4" w:space="0" w:color="auto"/>
              <w:right w:val="single" w:sz="4" w:space="0" w:color="auto"/>
            </w:tcBorders>
            <w:shd w:val="clear" w:color="auto" w:fill="00B0F0"/>
            <w:vAlign w:val="center"/>
          </w:tcPr>
          <w:p w14:paraId="612700DB"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3058BD02"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5757C6CC"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5D726E7A"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nil"/>
              <w:left w:val="single" w:sz="4" w:space="0" w:color="auto"/>
              <w:bottom w:val="single" w:sz="8" w:space="0" w:color="auto"/>
              <w:right w:val="single" w:sz="4" w:space="0" w:color="auto"/>
            </w:tcBorders>
            <w:shd w:val="clear" w:color="auto" w:fill="auto"/>
            <w:vAlign w:val="center"/>
          </w:tcPr>
          <w:p w14:paraId="0A052D84"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03859C07" w14:textId="77777777" w:rsidTr="00085672">
        <w:trPr>
          <w:cantSplit/>
          <w:trHeight w:val="317"/>
          <w:jc w:val="center"/>
        </w:trPr>
        <w:tc>
          <w:tcPr>
            <w:tcW w:w="1179" w:type="dxa"/>
            <w:vMerge/>
            <w:vAlign w:val="center"/>
          </w:tcPr>
          <w:p w14:paraId="0EA5ACE8"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p>
        </w:tc>
        <w:tc>
          <w:tcPr>
            <w:tcW w:w="0" w:type="auto"/>
            <w:shd w:val="clear" w:color="auto" w:fill="auto"/>
            <w:vAlign w:val="center"/>
          </w:tcPr>
          <w:p w14:paraId="04E70631"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Brodogradilište Bijela</w:t>
            </w:r>
          </w:p>
        </w:tc>
        <w:tc>
          <w:tcPr>
            <w:tcW w:w="0" w:type="auto"/>
            <w:tcBorders>
              <w:top w:val="single" w:sz="4" w:space="0" w:color="auto"/>
              <w:left w:val="single" w:sz="4" w:space="0" w:color="auto"/>
              <w:bottom w:val="single" w:sz="4" w:space="0" w:color="auto"/>
              <w:right w:val="single" w:sz="4" w:space="0" w:color="auto"/>
            </w:tcBorders>
            <w:shd w:val="clear" w:color="000000" w:fill="00B0F0"/>
            <w:vAlign w:val="center"/>
          </w:tcPr>
          <w:p w14:paraId="2DE54B5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color w:val="000000"/>
                <w:sz w:val="20"/>
                <w:szCs w:val="20"/>
                <w:lang w:val="en-GB"/>
              </w:rPr>
              <w:t>0.46</w:t>
            </w:r>
          </w:p>
        </w:tc>
        <w:tc>
          <w:tcPr>
            <w:tcW w:w="0" w:type="auto"/>
            <w:tcBorders>
              <w:top w:val="single" w:sz="4" w:space="0" w:color="auto"/>
              <w:left w:val="nil"/>
              <w:bottom w:val="single" w:sz="4" w:space="0" w:color="auto"/>
              <w:right w:val="single" w:sz="4" w:space="0" w:color="auto"/>
            </w:tcBorders>
            <w:shd w:val="clear" w:color="auto" w:fill="00FF00"/>
            <w:vAlign w:val="center"/>
          </w:tcPr>
          <w:p w14:paraId="5087EB4C"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color w:val="000000"/>
                <w:sz w:val="20"/>
                <w:szCs w:val="20"/>
                <w:lang w:val="en-GB"/>
              </w:rPr>
              <w:t>2.05</w:t>
            </w:r>
          </w:p>
        </w:tc>
        <w:tc>
          <w:tcPr>
            <w:tcW w:w="0" w:type="auto"/>
            <w:tcBorders>
              <w:top w:val="single" w:sz="4" w:space="0" w:color="auto"/>
              <w:left w:val="nil"/>
              <w:bottom w:val="single" w:sz="4" w:space="0" w:color="auto"/>
              <w:right w:val="single" w:sz="4" w:space="0" w:color="auto"/>
            </w:tcBorders>
            <w:shd w:val="clear" w:color="auto" w:fill="00FF00"/>
            <w:vAlign w:val="center"/>
          </w:tcPr>
          <w:p w14:paraId="095AA046"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color w:val="000000"/>
                <w:sz w:val="20"/>
                <w:szCs w:val="20"/>
                <w:lang w:val="en-GB"/>
              </w:rPr>
              <w:t>5.49</w:t>
            </w:r>
          </w:p>
        </w:tc>
        <w:tc>
          <w:tcPr>
            <w:tcW w:w="0" w:type="auto"/>
            <w:tcBorders>
              <w:top w:val="single" w:sz="4" w:space="0" w:color="auto"/>
              <w:left w:val="nil"/>
              <w:bottom w:val="single" w:sz="4" w:space="0" w:color="auto"/>
              <w:right w:val="single" w:sz="4" w:space="0" w:color="auto"/>
            </w:tcBorders>
            <w:shd w:val="clear" w:color="000000" w:fill="FF0000"/>
            <w:vAlign w:val="center"/>
          </w:tcPr>
          <w:p w14:paraId="74C352DA"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color w:val="000000"/>
                <w:sz w:val="20"/>
                <w:szCs w:val="20"/>
                <w:lang w:val="en-GB"/>
              </w:rPr>
              <w:t>4.72</w:t>
            </w:r>
          </w:p>
        </w:tc>
        <w:tc>
          <w:tcPr>
            <w:tcW w:w="0" w:type="auto"/>
            <w:tcBorders>
              <w:top w:val="single" w:sz="4" w:space="0" w:color="auto"/>
              <w:left w:val="nil"/>
              <w:bottom w:val="single" w:sz="4" w:space="0" w:color="auto"/>
              <w:right w:val="single" w:sz="4" w:space="0" w:color="auto"/>
            </w:tcBorders>
            <w:shd w:val="clear" w:color="auto" w:fill="00FF00"/>
            <w:vAlign w:val="center"/>
          </w:tcPr>
          <w:p w14:paraId="044E6298"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color w:val="000000"/>
                <w:sz w:val="20"/>
                <w:szCs w:val="20"/>
                <w:lang w:val="en-GB"/>
              </w:rPr>
              <w:t>12.37</w:t>
            </w:r>
          </w:p>
        </w:tc>
        <w:tc>
          <w:tcPr>
            <w:tcW w:w="0" w:type="auto"/>
            <w:tcBorders>
              <w:top w:val="single" w:sz="4" w:space="0" w:color="auto"/>
              <w:left w:val="nil"/>
              <w:bottom w:val="single" w:sz="4" w:space="0" w:color="auto"/>
              <w:right w:val="single" w:sz="4" w:space="0" w:color="auto"/>
            </w:tcBorders>
            <w:shd w:val="clear" w:color="auto" w:fill="00FF00"/>
            <w:vAlign w:val="center"/>
          </w:tcPr>
          <w:p w14:paraId="4E291C30"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color w:val="000000"/>
                <w:sz w:val="20"/>
                <w:szCs w:val="20"/>
                <w:lang w:val="en-GB"/>
              </w:rPr>
              <w:t>16.74</w:t>
            </w:r>
          </w:p>
        </w:tc>
        <w:tc>
          <w:tcPr>
            <w:tcW w:w="0" w:type="auto"/>
            <w:tcBorders>
              <w:top w:val="single" w:sz="4" w:space="0" w:color="auto"/>
              <w:left w:val="nil"/>
              <w:bottom w:val="single" w:sz="4" w:space="0" w:color="auto"/>
              <w:right w:val="single" w:sz="4" w:space="0" w:color="auto"/>
            </w:tcBorders>
            <w:shd w:val="clear" w:color="000000" w:fill="00B0F0"/>
            <w:vAlign w:val="center"/>
          </w:tcPr>
          <w:p w14:paraId="1A2B3568" w14:textId="77777777" w:rsidR="00085672" w:rsidRPr="005A1C76" w:rsidRDefault="00085672" w:rsidP="00085672">
            <w:pPr>
              <w:spacing w:after="0"/>
              <w:jc w:val="center"/>
              <w:rPr>
                <w:rFonts w:eastAsia="Calibri" w:cs="Calibri"/>
                <w:bCs/>
                <w:sz w:val="20"/>
                <w:szCs w:val="20"/>
                <w:lang w:val="en-GB"/>
              </w:rPr>
            </w:pPr>
            <w:r w:rsidRPr="005A1C76">
              <w:rPr>
                <w:rFonts w:eastAsia="Calibri" w:cs="Calibri"/>
                <w:bCs/>
                <w:color w:val="000000"/>
                <w:sz w:val="20"/>
                <w:szCs w:val="20"/>
                <w:lang w:val="en-GB"/>
              </w:rPr>
              <w:t>0.57</w:t>
            </w:r>
          </w:p>
        </w:tc>
        <w:tc>
          <w:tcPr>
            <w:tcW w:w="425" w:type="dxa"/>
            <w:tcBorders>
              <w:top w:val="nil"/>
              <w:left w:val="single" w:sz="4" w:space="0" w:color="auto"/>
              <w:bottom w:val="single" w:sz="4" w:space="0" w:color="auto"/>
              <w:right w:val="single" w:sz="4" w:space="0" w:color="auto"/>
            </w:tcBorders>
            <w:shd w:val="clear" w:color="000000" w:fill="FF0000"/>
            <w:vAlign w:val="center"/>
          </w:tcPr>
          <w:p w14:paraId="06AC93B4"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194</w:t>
            </w:r>
          </w:p>
        </w:tc>
        <w:tc>
          <w:tcPr>
            <w:tcW w:w="557" w:type="dxa"/>
            <w:tcBorders>
              <w:top w:val="single" w:sz="4" w:space="0" w:color="auto"/>
              <w:left w:val="single" w:sz="4" w:space="0" w:color="auto"/>
              <w:bottom w:val="single" w:sz="4" w:space="0" w:color="auto"/>
              <w:right w:val="single" w:sz="4" w:space="0" w:color="auto"/>
            </w:tcBorders>
            <w:shd w:val="clear" w:color="auto" w:fill="00B0F0"/>
            <w:vAlign w:val="center"/>
          </w:tcPr>
          <w:p w14:paraId="25AB075B" w14:textId="77777777" w:rsidR="00085672" w:rsidRPr="005A1C76" w:rsidRDefault="00085672" w:rsidP="00085672">
            <w:pPr>
              <w:spacing w:after="0"/>
              <w:jc w:val="center"/>
              <w:rPr>
                <w:rFonts w:eastAsia="Calibri" w:cs="Calibri"/>
                <w:color w:val="000000"/>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2D45F2EB"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6F84F86F"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5B3BBD13"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nil"/>
              <w:left w:val="single" w:sz="4" w:space="0" w:color="auto"/>
              <w:bottom w:val="single" w:sz="8" w:space="0" w:color="auto"/>
              <w:right w:val="single" w:sz="4" w:space="0" w:color="auto"/>
            </w:tcBorders>
            <w:shd w:val="clear" w:color="auto" w:fill="auto"/>
            <w:vAlign w:val="center"/>
          </w:tcPr>
          <w:p w14:paraId="1DD15A65"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29AD3D14" w14:textId="77777777" w:rsidTr="00085672">
        <w:trPr>
          <w:cantSplit/>
          <w:trHeight w:val="317"/>
          <w:jc w:val="center"/>
        </w:trPr>
        <w:tc>
          <w:tcPr>
            <w:tcW w:w="1179" w:type="dxa"/>
            <w:vMerge/>
            <w:vAlign w:val="center"/>
          </w:tcPr>
          <w:p w14:paraId="37BF6906" w14:textId="77777777" w:rsidR="00085672" w:rsidRPr="005A1C76" w:rsidRDefault="00085672" w:rsidP="00085672">
            <w:pPr>
              <w:spacing w:after="0" w:line="240" w:lineRule="auto"/>
              <w:rPr>
                <w:rFonts w:eastAsia="Calibri" w:cs="Calibri"/>
                <w:sz w:val="20"/>
                <w:szCs w:val="20"/>
                <w:lang w:val="en-GB"/>
              </w:rPr>
            </w:pPr>
          </w:p>
        </w:tc>
        <w:tc>
          <w:tcPr>
            <w:tcW w:w="0" w:type="auto"/>
            <w:shd w:val="clear" w:color="auto" w:fill="auto"/>
            <w:vAlign w:val="center"/>
          </w:tcPr>
          <w:p w14:paraId="452CD2A9"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Porto Montenegro</w:t>
            </w:r>
          </w:p>
        </w:tc>
        <w:tc>
          <w:tcPr>
            <w:tcW w:w="0" w:type="auto"/>
            <w:tcBorders>
              <w:top w:val="nil"/>
              <w:left w:val="single" w:sz="4" w:space="0" w:color="auto"/>
              <w:bottom w:val="single" w:sz="4" w:space="0" w:color="auto"/>
              <w:right w:val="single" w:sz="4" w:space="0" w:color="auto"/>
            </w:tcBorders>
            <w:shd w:val="clear" w:color="000000" w:fill="00B0F0"/>
            <w:vAlign w:val="center"/>
          </w:tcPr>
          <w:p w14:paraId="639A822C"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0.46</w:t>
            </w:r>
          </w:p>
        </w:tc>
        <w:tc>
          <w:tcPr>
            <w:tcW w:w="0" w:type="auto"/>
            <w:tcBorders>
              <w:top w:val="nil"/>
              <w:left w:val="nil"/>
              <w:bottom w:val="single" w:sz="4" w:space="0" w:color="auto"/>
              <w:right w:val="single" w:sz="4" w:space="0" w:color="auto"/>
            </w:tcBorders>
            <w:shd w:val="clear" w:color="auto" w:fill="00FF00"/>
            <w:vAlign w:val="center"/>
          </w:tcPr>
          <w:p w14:paraId="3980B796"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1.71</w:t>
            </w:r>
          </w:p>
        </w:tc>
        <w:tc>
          <w:tcPr>
            <w:tcW w:w="0" w:type="auto"/>
            <w:tcBorders>
              <w:top w:val="nil"/>
              <w:left w:val="nil"/>
              <w:bottom w:val="single" w:sz="4" w:space="0" w:color="auto"/>
              <w:right w:val="single" w:sz="4" w:space="0" w:color="auto"/>
            </w:tcBorders>
            <w:shd w:val="clear" w:color="000000" w:fill="FF0000"/>
            <w:vAlign w:val="center"/>
          </w:tcPr>
          <w:p w14:paraId="1A0FDB06"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6.52</w:t>
            </w:r>
          </w:p>
        </w:tc>
        <w:tc>
          <w:tcPr>
            <w:tcW w:w="0" w:type="auto"/>
            <w:tcBorders>
              <w:top w:val="nil"/>
              <w:left w:val="nil"/>
              <w:bottom w:val="single" w:sz="4" w:space="0" w:color="auto"/>
              <w:right w:val="single" w:sz="4" w:space="0" w:color="auto"/>
            </w:tcBorders>
            <w:shd w:val="clear" w:color="000000" w:fill="FF0000"/>
            <w:vAlign w:val="center"/>
          </w:tcPr>
          <w:p w14:paraId="6D522D60"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4.66</w:t>
            </w:r>
          </w:p>
        </w:tc>
        <w:tc>
          <w:tcPr>
            <w:tcW w:w="0" w:type="auto"/>
            <w:tcBorders>
              <w:top w:val="nil"/>
              <w:left w:val="nil"/>
              <w:bottom w:val="single" w:sz="4" w:space="0" w:color="auto"/>
              <w:right w:val="single" w:sz="4" w:space="0" w:color="auto"/>
            </w:tcBorders>
            <w:shd w:val="clear" w:color="auto" w:fill="00FF00"/>
            <w:vAlign w:val="center"/>
          </w:tcPr>
          <w:p w14:paraId="04A39E8F"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12.59</w:t>
            </w:r>
          </w:p>
        </w:tc>
        <w:tc>
          <w:tcPr>
            <w:tcW w:w="0" w:type="auto"/>
            <w:tcBorders>
              <w:top w:val="nil"/>
              <w:left w:val="nil"/>
              <w:bottom w:val="single" w:sz="4" w:space="0" w:color="auto"/>
              <w:right w:val="single" w:sz="4" w:space="0" w:color="auto"/>
            </w:tcBorders>
            <w:shd w:val="clear" w:color="auto" w:fill="00FF00"/>
            <w:vAlign w:val="center"/>
          </w:tcPr>
          <w:p w14:paraId="14068FF8"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19.71</w:t>
            </w:r>
          </w:p>
        </w:tc>
        <w:tc>
          <w:tcPr>
            <w:tcW w:w="0" w:type="auto"/>
            <w:tcBorders>
              <w:top w:val="nil"/>
              <w:left w:val="nil"/>
              <w:bottom w:val="single" w:sz="4" w:space="0" w:color="auto"/>
              <w:right w:val="single" w:sz="4" w:space="0" w:color="auto"/>
            </w:tcBorders>
            <w:shd w:val="clear" w:color="auto" w:fill="00FF00"/>
            <w:vAlign w:val="center"/>
          </w:tcPr>
          <w:p w14:paraId="5ACDE386"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1.84</w:t>
            </w:r>
          </w:p>
        </w:tc>
        <w:tc>
          <w:tcPr>
            <w:tcW w:w="425" w:type="dxa"/>
            <w:tcBorders>
              <w:top w:val="nil"/>
              <w:left w:val="single" w:sz="4" w:space="0" w:color="auto"/>
              <w:bottom w:val="single" w:sz="4" w:space="0" w:color="auto"/>
              <w:right w:val="single" w:sz="4" w:space="0" w:color="auto"/>
            </w:tcBorders>
            <w:shd w:val="clear" w:color="000000" w:fill="FF0000"/>
            <w:vAlign w:val="center"/>
          </w:tcPr>
          <w:p w14:paraId="279E81FE"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72</w:t>
            </w:r>
          </w:p>
        </w:tc>
        <w:tc>
          <w:tcPr>
            <w:tcW w:w="557" w:type="dxa"/>
            <w:tcBorders>
              <w:top w:val="single" w:sz="4" w:space="0" w:color="auto"/>
              <w:left w:val="single" w:sz="4" w:space="0" w:color="auto"/>
              <w:bottom w:val="single" w:sz="4" w:space="0" w:color="auto"/>
              <w:right w:val="single" w:sz="4" w:space="0" w:color="auto"/>
            </w:tcBorders>
            <w:shd w:val="clear" w:color="auto" w:fill="00B0F0"/>
            <w:vAlign w:val="center"/>
          </w:tcPr>
          <w:p w14:paraId="06EDBFD9"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69E5A1C0"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297B2C40"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755D637F"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nil"/>
              <w:left w:val="single" w:sz="4" w:space="0" w:color="auto"/>
              <w:bottom w:val="single" w:sz="8" w:space="0" w:color="auto"/>
              <w:right w:val="single" w:sz="4" w:space="0" w:color="auto"/>
            </w:tcBorders>
            <w:shd w:val="clear" w:color="auto" w:fill="auto"/>
            <w:vAlign w:val="center"/>
          </w:tcPr>
          <w:p w14:paraId="1ABEED95"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1484E88D" w14:textId="77777777" w:rsidTr="00085672">
        <w:trPr>
          <w:cantSplit/>
          <w:trHeight w:val="317"/>
          <w:jc w:val="center"/>
        </w:trPr>
        <w:tc>
          <w:tcPr>
            <w:tcW w:w="1179" w:type="dxa"/>
            <w:vMerge/>
            <w:vAlign w:val="center"/>
          </w:tcPr>
          <w:p w14:paraId="760CFAD5" w14:textId="77777777" w:rsidR="00085672" w:rsidRPr="005A1C76" w:rsidRDefault="00085672" w:rsidP="00085672">
            <w:pPr>
              <w:spacing w:after="0" w:line="240" w:lineRule="auto"/>
              <w:rPr>
                <w:rFonts w:eastAsia="Calibri" w:cs="Calibri"/>
                <w:sz w:val="20"/>
                <w:szCs w:val="20"/>
                <w:lang w:val="en-GB"/>
              </w:rPr>
            </w:pPr>
          </w:p>
        </w:tc>
        <w:tc>
          <w:tcPr>
            <w:tcW w:w="0" w:type="auto"/>
            <w:shd w:val="clear" w:color="auto" w:fill="auto"/>
            <w:vAlign w:val="center"/>
          </w:tcPr>
          <w:p w14:paraId="6AFFC406"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Tivat</w:t>
            </w:r>
          </w:p>
        </w:tc>
        <w:tc>
          <w:tcPr>
            <w:tcW w:w="0" w:type="auto"/>
            <w:tcBorders>
              <w:top w:val="nil"/>
              <w:left w:val="single" w:sz="4" w:space="0" w:color="auto"/>
              <w:bottom w:val="single" w:sz="4" w:space="0" w:color="auto"/>
              <w:right w:val="single" w:sz="4" w:space="0" w:color="auto"/>
            </w:tcBorders>
            <w:shd w:val="clear" w:color="000000" w:fill="00B0F0"/>
            <w:vAlign w:val="center"/>
          </w:tcPr>
          <w:p w14:paraId="711003C0"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bottom w:val="single" w:sz="4" w:space="0" w:color="auto"/>
              <w:right w:val="single" w:sz="4" w:space="0" w:color="auto"/>
            </w:tcBorders>
            <w:shd w:val="clear" w:color="000000" w:fill="00B0F0"/>
            <w:vAlign w:val="center"/>
          </w:tcPr>
          <w:p w14:paraId="0E6CDA68"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0.37</w:t>
            </w:r>
          </w:p>
        </w:tc>
        <w:tc>
          <w:tcPr>
            <w:tcW w:w="0" w:type="auto"/>
            <w:tcBorders>
              <w:top w:val="nil"/>
              <w:left w:val="nil"/>
              <w:bottom w:val="single" w:sz="4" w:space="0" w:color="auto"/>
              <w:right w:val="single" w:sz="4" w:space="0" w:color="auto"/>
            </w:tcBorders>
            <w:shd w:val="clear" w:color="auto" w:fill="00FF00"/>
            <w:vAlign w:val="center"/>
          </w:tcPr>
          <w:p w14:paraId="010392CA"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3.20</w:t>
            </w:r>
          </w:p>
        </w:tc>
        <w:tc>
          <w:tcPr>
            <w:tcW w:w="0" w:type="auto"/>
            <w:tcBorders>
              <w:top w:val="nil"/>
              <w:left w:val="nil"/>
              <w:bottom w:val="single" w:sz="4" w:space="0" w:color="auto"/>
              <w:right w:val="single" w:sz="4" w:space="0" w:color="auto"/>
            </w:tcBorders>
            <w:shd w:val="clear" w:color="000000" w:fill="FF0000"/>
            <w:vAlign w:val="center"/>
          </w:tcPr>
          <w:p w14:paraId="0122FC0B"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2.12</w:t>
            </w:r>
          </w:p>
        </w:tc>
        <w:tc>
          <w:tcPr>
            <w:tcW w:w="0" w:type="auto"/>
            <w:tcBorders>
              <w:top w:val="nil"/>
              <w:left w:val="nil"/>
              <w:bottom w:val="single" w:sz="4" w:space="0" w:color="auto"/>
              <w:right w:val="single" w:sz="4" w:space="0" w:color="auto"/>
            </w:tcBorders>
            <w:shd w:val="clear" w:color="auto" w:fill="00FF00"/>
            <w:vAlign w:val="center"/>
          </w:tcPr>
          <w:p w14:paraId="362BEF5D"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6.57</w:t>
            </w:r>
          </w:p>
        </w:tc>
        <w:tc>
          <w:tcPr>
            <w:tcW w:w="0" w:type="auto"/>
            <w:tcBorders>
              <w:top w:val="nil"/>
              <w:left w:val="nil"/>
              <w:bottom w:val="single" w:sz="4" w:space="0" w:color="auto"/>
              <w:right w:val="single" w:sz="4" w:space="0" w:color="auto"/>
            </w:tcBorders>
            <w:shd w:val="clear" w:color="auto" w:fill="00FF00"/>
            <w:vAlign w:val="center"/>
          </w:tcPr>
          <w:p w14:paraId="4E8A9F0E"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10.91</w:t>
            </w:r>
          </w:p>
        </w:tc>
        <w:tc>
          <w:tcPr>
            <w:tcW w:w="0" w:type="auto"/>
            <w:tcBorders>
              <w:top w:val="nil"/>
              <w:left w:val="nil"/>
              <w:bottom w:val="single" w:sz="4" w:space="0" w:color="auto"/>
              <w:right w:val="single" w:sz="4" w:space="0" w:color="auto"/>
            </w:tcBorders>
            <w:shd w:val="clear" w:color="000000" w:fill="00B0F0"/>
            <w:vAlign w:val="center"/>
          </w:tcPr>
          <w:p w14:paraId="3704CCA1"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425" w:type="dxa"/>
            <w:tcBorders>
              <w:top w:val="nil"/>
              <w:left w:val="single" w:sz="4" w:space="0" w:color="auto"/>
              <w:bottom w:val="single" w:sz="4" w:space="0" w:color="auto"/>
              <w:right w:val="single" w:sz="4" w:space="0" w:color="auto"/>
            </w:tcBorders>
            <w:shd w:val="clear" w:color="000000" w:fill="FF0000"/>
            <w:vAlign w:val="center"/>
          </w:tcPr>
          <w:p w14:paraId="4E2B0F95"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91</w:t>
            </w:r>
          </w:p>
        </w:tc>
        <w:tc>
          <w:tcPr>
            <w:tcW w:w="557" w:type="dxa"/>
            <w:tcBorders>
              <w:top w:val="single" w:sz="4" w:space="0" w:color="auto"/>
              <w:left w:val="single" w:sz="4" w:space="0" w:color="auto"/>
              <w:bottom w:val="single" w:sz="4" w:space="0" w:color="auto"/>
              <w:right w:val="single" w:sz="4" w:space="0" w:color="auto"/>
            </w:tcBorders>
            <w:shd w:val="clear" w:color="auto" w:fill="00B0F0"/>
            <w:vAlign w:val="center"/>
          </w:tcPr>
          <w:p w14:paraId="6501B1D3"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0D0FDEAC"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34DE18FE"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47719E11"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nil"/>
              <w:left w:val="single" w:sz="4" w:space="0" w:color="auto"/>
              <w:bottom w:val="single" w:sz="8" w:space="0" w:color="auto"/>
              <w:right w:val="single" w:sz="4" w:space="0" w:color="auto"/>
            </w:tcBorders>
            <w:shd w:val="clear" w:color="auto" w:fill="auto"/>
            <w:vAlign w:val="center"/>
          </w:tcPr>
          <w:p w14:paraId="6CC9CB30"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6059382B" w14:textId="77777777" w:rsidTr="00085672">
        <w:trPr>
          <w:cantSplit/>
          <w:trHeight w:val="317"/>
          <w:jc w:val="center"/>
        </w:trPr>
        <w:tc>
          <w:tcPr>
            <w:tcW w:w="1179" w:type="dxa"/>
            <w:vMerge/>
            <w:vAlign w:val="center"/>
          </w:tcPr>
          <w:p w14:paraId="49DA234B" w14:textId="77777777" w:rsidR="00085672" w:rsidRPr="005A1C76" w:rsidRDefault="00085672" w:rsidP="00085672">
            <w:pPr>
              <w:spacing w:after="0" w:line="240" w:lineRule="auto"/>
              <w:rPr>
                <w:rFonts w:eastAsia="Calibri" w:cs="Calibri"/>
                <w:sz w:val="20"/>
                <w:szCs w:val="20"/>
                <w:lang w:val="en-GB"/>
              </w:rPr>
            </w:pPr>
          </w:p>
        </w:tc>
        <w:tc>
          <w:tcPr>
            <w:tcW w:w="0" w:type="auto"/>
            <w:shd w:val="clear" w:color="auto" w:fill="auto"/>
            <w:vAlign w:val="center"/>
          </w:tcPr>
          <w:p w14:paraId="5088C551"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Risan</w:t>
            </w:r>
          </w:p>
        </w:tc>
        <w:tc>
          <w:tcPr>
            <w:tcW w:w="0" w:type="auto"/>
            <w:tcBorders>
              <w:top w:val="nil"/>
              <w:left w:val="single" w:sz="4" w:space="0" w:color="auto"/>
              <w:bottom w:val="single" w:sz="4" w:space="0" w:color="auto"/>
              <w:right w:val="single" w:sz="4" w:space="0" w:color="auto"/>
            </w:tcBorders>
            <w:shd w:val="clear" w:color="000000" w:fill="00B0F0"/>
            <w:vAlign w:val="center"/>
          </w:tcPr>
          <w:p w14:paraId="2A06A2CC"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bottom w:val="single" w:sz="4" w:space="0" w:color="auto"/>
              <w:right w:val="single" w:sz="4" w:space="0" w:color="auto"/>
            </w:tcBorders>
            <w:shd w:val="clear" w:color="000000" w:fill="00B0F0"/>
            <w:vAlign w:val="center"/>
          </w:tcPr>
          <w:p w14:paraId="5BA034F0"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bottom w:val="single" w:sz="4" w:space="0" w:color="auto"/>
              <w:right w:val="single" w:sz="4" w:space="0" w:color="auto"/>
            </w:tcBorders>
            <w:shd w:val="clear" w:color="auto" w:fill="00FF00"/>
            <w:vAlign w:val="center"/>
          </w:tcPr>
          <w:p w14:paraId="2C1BCA4F"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1.37</w:t>
            </w:r>
          </w:p>
        </w:tc>
        <w:tc>
          <w:tcPr>
            <w:tcW w:w="0" w:type="auto"/>
            <w:tcBorders>
              <w:top w:val="nil"/>
              <w:left w:val="nil"/>
              <w:bottom w:val="single" w:sz="4" w:space="0" w:color="auto"/>
              <w:right w:val="single" w:sz="4" w:space="0" w:color="auto"/>
            </w:tcBorders>
            <w:shd w:val="clear" w:color="auto" w:fill="00FF00"/>
            <w:vAlign w:val="center"/>
          </w:tcPr>
          <w:p w14:paraId="412CFA7D"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0.91</w:t>
            </w:r>
          </w:p>
        </w:tc>
        <w:tc>
          <w:tcPr>
            <w:tcW w:w="0" w:type="auto"/>
            <w:tcBorders>
              <w:top w:val="nil"/>
              <w:left w:val="nil"/>
              <w:bottom w:val="single" w:sz="4" w:space="0" w:color="auto"/>
              <w:right w:val="single" w:sz="4" w:space="0" w:color="auto"/>
            </w:tcBorders>
            <w:shd w:val="clear" w:color="auto" w:fill="00FF00"/>
            <w:vAlign w:val="center"/>
          </w:tcPr>
          <w:p w14:paraId="75925351"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3.56</w:t>
            </w:r>
          </w:p>
        </w:tc>
        <w:tc>
          <w:tcPr>
            <w:tcW w:w="0" w:type="auto"/>
            <w:tcBorders>
              <w:top w:val="nil"/>
              <w:left w:val="nil"/>
              <w:bottom w:val="single" w:sz="4" w:space="0" w:color="auto"/>
              <w:right w:val="single" w:sz="4" w:space="0" w:color="auto"/>
            </w:tcBorders>
            <w:shd w:val="clear" w:color="auto" w:fill="00FF00"/>
            <w:vAlign w:val="center"/>
          </w:tcPr>
          <w:p w14:paraId="09933653"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5.56</w:t>
            </w:r>
          </w:p>
        </w:tc>
        <w:tc>
          <w:tcPr>
            <w:tcW w:w="0" w:type="auto"/>
            <w:tcBorders>
              <w:top w:val="nil"/>
              <w:left w:val="nil"/>
              <w:bottom w:val="single" w:sz="4" w:space="0" w:color="auto"/>
              <w:right w:val="single" w:sz="4" w:space="0" w:color="auto"/>
            </w:tcBorders>
            <w:shd w:val="clear" w:color="000000" w:fill="00B0F0"/>
            <w:vAlign w:val="center"/>
          </w:tcPr>
          <w:p w14:paraId="6F97D734"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425" w:type="dxa"/>
            <w:tcBorders>
              <w:top w:val="nil"/>
              <w:left w:val="single" w:sz="4" w:space="0" w:color="auto"/>
              <w:bottom w:val="single" w:sz="4" w:space="0" w:color="auto"/>
              <w:right w:val="single" w:sz="4" w:space="0" w:color="auto"/>
            </w:tcBorders>
            <w:shd w:val="clear" w:color="000000" w:fill="FF0000"/>
            <w:vAlign w:val="center"/>
          </w:tcPr>
          <w:p w14:paraId="2F27E9EA"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29</w:t>
            </w:r>
          </w:p>
        </w:tc>
        <w:tc>
          <w:tcPr>
            <w:tcW w:w="557" w:type="dxa"/>
            <w:tcBorders>
              <w:top w:val="single" w:sz="4" w:space="0" w:color="auto"/>
              <w:left w:val="single" w:sz="4" w:space="0" w:color="auto"/>
              <w:bottom w:val="single" w:sz="4" w:space="0" w:color="auto"/>
              <w:right w:val="single" w:sz="4" w:space="0" w:color="auto"/>
            </w:tcBorders>
            <w:shd w:val="clear" w:color="auto" w:fill="00B0F0"/>
            <w:vAlign w:val="center"/>
          </w:tcPr>
          <w:p w14:paraId="294591F2"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6CFCC5E1"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38404831"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151E5898"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nil"/>
              <w:left w:val="single" w:sz="4" w:space="0" w:color="auto"/>
              <w:bottom w:val="single" w:sz="8" w:space="0" w:color="auto"/>
              <w:right w:val="single" w:sz="4" w:space="0" w:color="auto"/>
            </w:tcBorders>
            <w:shd w:val="clear" w:color="auto" w:fill="auto"/>
            <w:vAlign w:val="center"/>
          </w:tcPr>
          <w:p w14:paraId="48397C0F"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3F08D442" w14:textId="77777777" w:rsidTr="00085672">
        <w:trPr>
          <w:cantSplit/>
          <w:trHeight w:val="363"/>
          <w:jc w:val="center"/>
        </w:trPr>
        <w:tc>
          <w:tcPr>
            <w:tcW w:w="1179" w:type="dxa"/>
            <w:vMerge/>
            <w:vAlign w:val="center"/>
          </w:tcPr>
          <w:p w14:paraId="59CCB8F7" w14:textId="77777777" w:rsidR="00085672" w:rsidRPr="005A1C76" w:rsidRDefault="00085672" w:rsidP="00085672">
            <w:pPr>
              <w:spacing w:after="0" w:line="240" w:lineRule="auto"/>
              <w:rPr>
                <w:rFonts w:eastAsia="Calibri" w:cs="Calibri"/>
                <w:sz w:val="20"/>
                <w:szCs w:val="20"/>
                <w:lang w:val="en-GB"/>
              </w:rPr>
            </w:pPr>
          </w:p>
        </w:tc>
        <w:tc>
          <w:tcPr>
            <w:tcW w:w="0" w:type="auto"/>
            <w:shd w:val="clear" w:color="auto" w:fill="auto"/>
            <w:vAlign w:val="center"/>
          </w:tcPr>
          <w:p w14:paraId="1DE0B26D"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Orahovac</w:t>
            </w:r>
          </w:p>
        </w:tc>
        <w:tc>
          <w:tcPr>
            <w:tcW w:w="0" w:type="auto"/>
            <w:tcBorders>
              <w:top w:val="nil"/>
              <w:left w:val="single" w:sz="4" w:space="0" w:color="auto"/>
              <w:bottom w:val="single" w:sz="4" w:space="0" w:color="auto"/>
              <w:right w:val="single" w:sz="4" w:space="0" w:color="auto"/>
            </w:tcBorders>
            <w:shd w:val="clear" w:color="000000" w:fill="00B0F0"/>
            <w:vAlign w:val="center"/>
          </w:tcPr>
          <w:p w14:paraId="5029B924"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0.45</w:t>
            </w:r>
          </w:p>
        </w:tc>
        <w:tc>
          <w:tcPr>
            <w:tcW w:w="0" w:type="auto"/>
            <w:tcBorders>
              <w:top w:val="nil"/>
              <w:left w:val="nil"/>
              <w:bottom w:val="single" w:sz="4" w:space="0" w:color="auto"/>
              <w:right w:val="single" w:sz="4" w:space="0" w:color="auto"/>
            </w:tcBorders>
            <w:shd w:val="clear" w:color="auto" w:fill="00FF00"/>
            <w:vAlign w:val="center"/>
          </w:tcPr>
          <w:p w14:paraId="6BB08719"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1.09</w:t>
            </w:r>
          </w:p>
        </w:tc>
        <w:tc>
          <w:tcPr>
            <w:tcW w:w="0" w:type="auto"/>
            <w:tcBorders>
              <w:top w:val="nil"/>
              <w:left w:val="nil"/>
              <w:bottom w:val="single" w:sz="4" w:space="0" w:color="auto"/>
              <w:right w:val="single" w:sz="4" w:space="0" w:color="auto"/>
            </w:tcBorders>
            <w:shd w:val="clear" w:color="auto" w:fill="00FF00"/>
            <w:vAlign w:val="center"/>
          </w:tcPr>
          <w:p w14:paraId="6E3BAEEF"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0.80</w:t>
            </w:r>
          </w:p>
        </w:tc>
        <w:tc>
          <w:tcPr>
            <w:tcW w:w="0" w:type="auto"/>
            <w:tcBorders>
              <w:top w:val="nil"/>
              <w:left w:val="nil"/>
              <w:bottom w:val="single" w:sz="4" w:space="0" w:color="auto"/>
              <w:right w:val="single" w:sz="4" w:space="0" w:color="auto"/>
            </w:tcBorders>
            <w:shd w:val="clear" w:color="000000" w:fill="00B0F0"/>
            <w:vAlign w:val="center"/>
          </w:tcPr>
          <w:p w14:paraId="02B2F38D"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0.59</w:t>
            </w:r>
          </w:p>
        </w:tc>
        <w:tc>
          <w:tcPr>
            <w:tcW w:w="0" w:type="auto"/>
            <w:tcBorders>
              <w:top w:val="nil"/>
              <w:left w:val="nil"/>
              <w:bottom w:val="single" w:sz="4" w:space="0" w:color="auto"/>
              <w:right w:val="single" w:sz="4" w:space="0" w:color="auto"/>
            </w:tcBorders>
            <w:shd w:val="clear" w:color="auto" w:fill="00FF00"/>
            <w:vAlign w:val="center"/>
          </w:tcPr>
          <w:p w14:paraId="26360AEB"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2.03</w:t>
            </w:r>
          </w:p>
        </w:tc>
        <w:tc>
          <w:tcPr>
            <w:tcW w:w="0" w:type="auto"/>
            <w:tcBorders>
              <w:top w:val="nil"/>
              <w:left w:val="nil"/>
              <w:bottom w:val="single" w:sz="4" w:space="0" w:color="auto"/>
              <w:right w:val="single" w:sz="4" w:space="0" w:color="auto"/>
            </w:tcBorders>
            <w:shd w:val="clear" w:color="auto" w:fill="00FF00"/>
            <w:vAlign w:val="center"/>
          </w:tcPr>
          <w:p w14:paraId="024D90AD"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2.48</w:t>
            </w:r>
          </w:p>
        </w:tc>
        <w:tc>
          <w:tcPr>
            <w:tcW w:w="0" w:type="auto"/>
            <w:tcBorders>
              <w:top w:val="nil"/>
              <w:left w:val="nil"/>
              <w:bottom w:val="single" w:sz="4" w:space="0" w:color="auto"/>
              <w:right w:val="single" w:sz="4" w:space="0" w:color="auto"/>
            </w:tcBorders>
            <w:shd w:val="clear" w:color="000000" w:fill="00B0F0"/>
            <w:vAlign w:val="center"/>
          </w:tcPr>
          <w:p w14:paraId="74B3E2E9"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0.46</w:t>
            </w:r>
          </w:p>
        </w:tc>
        <w:tc>
          <w:tcPr>
            <w:tcW w:w="425" w:type="dxa"/>
            <w:tcBorders>
              <w:top w:val="nil"/>
              <w:left w:val="single" w:sz="4" w:space="0" w:color="auto"/>
              <w:bottom w:val="single" w:sz="4" w:space="0" w:color="auto"/>
              <w:right w:val="single" w:sz="4" w:space="0" w:color="auto"/>
            </w:tcBorders>
            <w:shd w:val="clear" w:color="auto" w:fill="00FF00"/>
            <w:vAlign w:val="center"/>
          </w:tcPr>
          <w:p w14:paraId="3414E8FA"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5.1</w:t>
            </w:r>
          </w:p>
        </w:tc>
        <w:tc>
          <w:tcPr>
            <w:tcW w:w="557" w:type="dxa"/>
            <w:tcBorders>
              <w:top w:val="single" w:sz="4" w:space="0" w:color="auto"/>
              <w:left w:val="single" w:sz="4" w:space="0" w:color="auto"/>
              <w:bottom w:val="single" w:sz="4" w:space="0" w:color="auto"/>
              <w:right w:val="single" w:sz="4" w:space="0" w:color="auto"/>
            </w:tcBorders>
            <w:shd w:val="clear" w:color="auto" w:fill="00B0F0"/>
            <w:vAlign w:val="center"/>
          </w:tcPr>
          <w:p w14:paraId="213A919E"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5EF12939"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64C74CD7"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4CDBCBD7"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nil"/>
              <w:left w:val="single" w:sz="4" w:space="0" w:color="auto"/>
              <w:bottom w:val="single" w:sz="8" w:space="0" w:color="auto"/>
              <w:right w:val="single" w:sz="4" w:space="0" w:color="auto"/>
            </w:tcBorders>
            <w:shd w:val="clear" w:color="auto" w:fill="auto"/>
            <w:vAlign w:val="center"/>
          </w:tcPr>
          <w:p w14:paraId="2727DAFD"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CR</w:t>
            </w:r>
          </w:p>
        </w:tc>
      </w:tr>
      <w:tr w:rsidR="00085672" w:rsidRPr="005A1C76" w14:paraId="520E6305" w14:textId="77777777" w:rsidTr="00085672">
        <w:trPr>
          <w:cantSplit/>
          <w:trHeight w:val="363"/>
          <w:jc w:val="center"/>
        </w:trPr>
        <w:tc>
          <w:tcPr>
            <w:tcW w:w="1179" w:type="dxa"/>
            <w:vMerge/>
            <w:vAlign w:val="center"/>
          </w:tcPr>
          <w:p w14:paraId="50C3B23B" w14:textId="77777777" w:rsidR="00085672" w:rsidRPr="005A1C76" w:rsidRDefault="00085672" w:rsidP="00085672">
            <w:pPr>
              <w:spacing w:after="0" w:line="240" w:lineRule="auto"/>
              <w:rPr>
                <w:rFonts w:eastAsia="Calibri" w:cs="Calibri"/>
                <w:sz w:val="20"/>
                <w:szCs w:val="20"/>
                <w:lang w:val="en-GB"/>
              </w:rPr>
            </w:pPr>
          </w:p>
        </w:tc>
        <w:tc>
          <w:tcPr>
            <w:tcW w:w="0" w:type="auto"/>
            <w:shd w:val="clear" w:color="auto" w:fill="auto"/>
            <w:vAlign w:val="center"/>
          </w:tcPr>
          <w:p w14:paraId="7E995B7E"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IBM-Dobrota</w:t>
            </w:r>
          </w:p>
        </w:tc>
        <w:tc>
          <w:tcPr>
            <w:tcW w:w="0" w:type="auto"/>
            <w:tcBorders>
              <w:top w:val="nil"/>
              <w:left w:val="single" w:sz="4" w:space="0" w:color="auto"/>
              <w:bottom w:val="single" w:sz="4" w:space="0" w:color="auto"/>
              <w:right w:val="single" w:sz="4" w:space="0" w:color="auto"/>
            </w:tcBorders>
            <w:shd w:val="clear" w:color="000000" w:fill="00B0F0"/>
            <w:vAlign w:val="center"/>
          </w:tcPr>
          <w:p w14:paraId="5C57FDB6"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0.70</w:t>
            </w:r>
          </w:p>
        </w:tc>
        <w:tc>
          <w:tcPr>
            <w:tcW w:w="0" w:type="auto"/>
            <w:tcBorders>
              <w:top w:val="nil"/>
              <w:left w:val="nil"/>
              <w:bottom w:val="single" w:sz="4" w:space="0" w:color="auto"/>
              <w:right w:val="single" w:sz="4" w:space="0" w:color="auto"/>
            </w:tcBorders>
            <w:shd w:val="clear" w:color="auto" w:fill="00FF00"/>
            <w:vAlign w:val="center"/>
          </w:tcPr>
          <w:p w14:paraId="36AD2295"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1.28</w:t>
            </w:r>
          </w:p>
        </w:tc>
        <w:tc>
          <w:tcPr>
            <w:tcW w:w="0" w:type="auto"/>
            <w:tcBorders>
              <w:top w:val="nil"/>
              <w:left w:val="nil"/>
              <w:bottom w:val="single" w:sz="4" w:space="0" w:color="auto"/>
              <w:right w:val="single" w:sz="4" w:space="0" w:color="auto"/>
            </w:tcBorders>
            <w:shd w:val="clear" w:color="auto" w:fill="00FF00"/>
            <w:vAlign w:val="center"/>
          </w:tcPr>
          <w:p w14:paraId="2B148473"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3.70</w:t>
            </w:r>
          </w:p>
        </w:tc>
        <w:tc>
          <w:tcPr>
            <w:tcW w:w="0" w:type="auto"/>
            <w:tcBorders>
              <w:top w:val="nil"/>
              <w:left w:val="nil"/>
              <w:bottom w:val="single" w:sz="4" w:space="0" w:color="auto"/>
              <w:right w:val="single" w:sz="4" w:space="0" w:color="auto"/>
            </w:tcBorders>
            <w:shd w:val="clear" w:color="000000" w:fill="FF0000"/>
            <w:vAlign w:val="center"/>
          </w:tcPr>
          <w:p w14:paraId="4D29ECD8"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3.34</w:t>
            </w:r>
          </w:p>
        </w:tc>
        <w:tc>
          <w:tcPr>
            <w:tcW w:w="0" w:type="auto"/>
            <w:tcBorders>
              <w:top w:val="nil"/>
              <w:left w:val="nil"/>
              <w:bottom w:val="single" w:sz="4" w:space="0" w:color="auto"/>
              <w:right w:val="single" w:sz="4" w:space="0" w:color="auto"/>
            </w:tcBorders>
            <w:shd w:val="clear" w:color="auto" w:fill="00FF00"/>
            <w:vAlign w:val="center"/>
          </w:tcPr>
          <w:p w14:paraId="5C6FF5BB"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6.10</w:t>
            </w:r>
          </w:p>
        </w:tc>
        <w:tc>
          <w:tcPr>
            <w:tcW w:w="0" w:type="auto"/>
            <w:tcBorders>
              <w:top w:val="nil"/>
              <w:left w:val="nil"/>
              <w:bottom w:val="single" w:sz="4" w:space="0" w:color="auto"/>
              <w:right w:val="single" w:sz="4" w:space="0" w:color="auto"/>
            </w:tcBorders>
            <w:shd w:val="clear" w:color="auto" w:fill="00FF00"/>
            <w:vAlign w:val="center"/>
          </w:tcPr>
          <w:p w14:paraId="4E32E9EA"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7.10</w:t>
            </w:r>
          </w:p>
        </w:tc>
        <w:tc>
          <w:tcPr>
            <w:tcW w:w="0" w:type="auto"/>
            <w:tcBorders>
              <w:top w:val="nil"/>
              <w:left w:val="nil"/>
              <w:bottom w:val="single" w:sz="4" w:space="0" w:color="auto"/>
              <w:right w:val="single" w:sz="4" w:space="0" w:color="auto"/>
            </w:tcBorders>
            <w:shd w:val="clear" w:color="000000" w:fill="00B0F0"/>
            <w:vAlign w:val="center"/>
          </w:tcPr>
          <w:p w14:paraId="12448DD4"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0.46</w:t>
            </w:r>
          </w:p>
        </w:tc>
        <w:tc>
          <w:tcPr>
            <w:tcW w:w="425" w:type="dxa"/>
            <w:tcBorders>
              <w:top w:val="nil"/>
              <w:left w:val="single" w:sz="4" w:space="0" w:color="auto"/>
              <w:bottom w:val="single" w:sz="4" w:space="0" w:color="auto"/>
              <w:right w:val="single" w:sz="4" w:space="0" w:color="auto"/>
            </w:tcBorders>
            <w:shd w:val="clear" w:color="000000" w:fill="FF0000"/>
            <w:vAlign w:val="center"/>
          </w:tcPr>
          <w:p w14:paraId="6B01ACFE"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53</w:t>
            </w:r>
          </w:p>
        </w:tc>
        <w:tc>
          <w:tcPr>
            <w:tcW w:w="557" w:type="dxa"/>
            <w:tcBorders>
              <w:top w:val="single" w:sz="4" w:space="0" w:color="auto"/>
              <w:left w:val="single" w:sz="4" w:space="0" w:color="auto"/>
              <w:bottom w:val="single" w:sz="4" w:space="0" w:color="auto"/>
              <w:right w:val="single" w:sz="4" w:space="0" w:color="auto"/>
            </w:tcBorders>
            <w:shd w:val="clear" w:color="auto" w:fill="00B0F0"/>
            <w:vAlign w:val="center"/>
          </w:tcPr>
          <w:p w14:paraId="3A568835"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24B41D84"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2CDD16A3"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38BA4235"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nil"/>
              <w:left w:val="single" w:sz="4" w:space="0" w:color="auto"/>
              <w:bottom w:val="single" w:sz="8" w:space="0" w:color="auto"/>
              <w:right w:val="single" w:sz="4" w:space="0" w:color="auto"/>
            </w:tcBorders>
            <w:shd w:val="clear" w:color="auto" w:fill="auto"/>
            <w:vAlign w:val="center"/>
          </w:tcPr>
          <w:p w14:paraId="5C8AC0AC"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5B926927" w14:textId="77777777" w:rsidTr="00085672">
        <w:trPr>
          <w:cantSplit/>
          <w:trHeight w:val="513"/>
          <w:jc w:val="center"/>
        </w:trPr>
        <w:tc>
          <w:tcPr>
            <w:tcW w:w="1179" w:type="dxa"/>
            <w:vMerge/>
            <w:vAlign w:val="center"/>
          </w:tcPr>
          <w:p w14:paraId="0CF99D2C" w14:textId="77777777" w:rsidR="00085672" w:rsidRPr="005A1C76" w:rsidRDefault="00085672" w:rsidP="00085672">
            <w:pPr>
              <w:spacing w:after="0" w:line="240" w:lineRule="auto"/>
              <w:rPr>
                <w:rFonts w:eastAsia="Calibri" w:cs="Calibri"/>
                <w:sz w:val="20"/>
                <w:szCs w:val="20"/>
                <w:lang w:val="en-GB"/>
              </w:rPr>
            </w:pPr>
          </w:p>
        </w:tc>
        <w:tc>
          <w:tcPr>
            <w:tcW w:w="0" w:type="auto"/>
            <w:shd w:val="clear" w:color="auto" w:fill="auto"/>
            <w:vAlign w:val="center"/>
          </w:tcPr>
          <w:p w14:paraId="5F0F591B"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Kotor</w:t>
            </w:r>
          </w:p>
        </w:tc>
        <w:tc>
          <w:tcPr>
            <w:tcW w:w="0" w:type="auto"/>
            <w:tcBorders>
              <w:top w:val="nil"/>
              <w:left w:val="single" w:sz="4" w:space="0" w:color="auto"/>
              <w:right w:val="single" w:sz="4" w:space="0" w:color="auto"/>
            </w:tcBorders>
            <w:shd w:val="clear" w:color="000000" w:fill="00B0F0"/>
            <w:vAlign w:val="center"/>
          </w:tcPr>
          <w:p w14:paraId="6ADA3C85"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right w:val="single" w:sz="4" w:space="0" w:color="auto"/>
            </w:tcBorders>
            <w:shd w:val="clear" w:color="000000" w:fill="00B0F0"/>
            <w:vAlign w:val="center"/>
          </w:tcPr>
          <w:p w14:paraId="5150A0BE"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right w:val="single" w:sz="4" w:space="0" w:color="auto"/>
            </w:tcBorders>
            <w:shd w:val="clear" w:color="auto" w:fill="00FF00"/>
            <w:vAlign w:val="center"/>
          </w:tcPr>
          <w:p w14:paraId="1D337E8E"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2.09</w:t>
            </w:r>
          </w:p>
        </w:tc>
        <w:tc>
          <w:tcPr>
            <w:tcW w:w="0" w:type="auto"/>
            <w:tcBorders>
              <w:top w:val="nil"/>
              <w:left w:val="nil"/>
              <w:right w:val="single" w:sz="4" w:space="0" w:color="auto"/>
            </w:tcBorders>
            <w:shd w:val="clear" w:color="000000" w:fill="FF0000"/>
            <w:vAlign w:val="center"/>
          </w:tcPr>
          <w:p w14:paraId="5B8AC5C8"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1.49</w:t>
            </w:r>
          </w:p>
        </w:tc>
        <w:tc>
          <w:tcPr>
            <w:tcW w:w="0" w:type="auto"/>
            <w:tcBorders>
              <w:top w:val="nil"/>
              <w:left w:val="nil"/>
              <w:right w:val="single" w:sz="4" w:space="0" w:color="auto"/>
            </w:tcBorders>
            <w:shd w:val="clear" w:color="auto" w:fill="00FF00"/>
            <w:vAlign w:val="center"/>
          </w:tcPr>
          <w:p w14:paraId="75D26C55"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2.31</w:t>
            </w:r>
          </w:p>
        </w:tc>
        <w:tc>
          <w:tcPr>
            <w:tcW w:w="0" w:type="auto"/>
            <w:tcBorders>
              <w:top w:val="nil"/>
              <w:left w:val="nil"/>
              <w:right w:val="single" w:sz="4" w:space="0" w:color="auto"/>
            </w:tcBorders>
            <w:shd w:val="clear" w:color="auto" w:fill="00FF00"/>
            <w:vAlign w:val="center"/>
          </w:tcPr>
          <w:p w14:paraId="2493018D"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4.00</w:t>
            </w:r>
          </w:p>
        </w:tc>
        <w:tc>
          <w:tcPr>
            <w:tcW w:w="0" w:type="auto"/>
            <w:tcBorders>
              <w:top w:val="nil"/>
              <w:left w:val="nil"/>
              <w:right w:val="single" w:sz="4" w:space="0" w:color="auto"/>
            </w:tcBorders>
            <w:shd w:val="clear" w:color="000000" w:fill="00B0F0"/>
            <w:vAlign w:val="center"/>
          </w:tcPr>
          <w:p w14:paraId="36AF3DB0"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425" w:type="dxa"/>
            <w:tcBorders>
              <w:top w:val="nil"/>
              <w:left w:val="single" w:sz="4" w:space="0" w:color="auto"/>
              <w:bottom w:val="single" w:sz="4" w:space="0" w:color="auto"/>
              <w:right w:val="single" w:sz="4" w:space="0" w:color="auto"/>
            </w:tcBorders>
            <w:shd w:val="clear" w:color="000000" w:fill="FF0000"/>
            <w:vAlign w:val="center"/>
          </w:tcPr>
          <w:p w14:paraId="7BDE5D01"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26</w:t>
            </w:r>
          </w:p>
        </w:tc>
        <w:tc>
          <w:tcPr>
            <w:tcW w:w="557" w:type="dxa"/>
            <w:tcBorders>
              <w:top w:val="single" w:sz="4" w:space="0" w:color="auto"/>
              <w:left w:val="single" w:sz="4" w:space="0" w:color="auto"/>
              <w:right w:val="single" w:sz="4" w:space="0" w:color="auto"/>
            </w:tcBorders>
            <w:shd w:val="clear" w:color="auto" w:fill="00B0F0"/>
            <w:vAlign w:val="center"/>
          </w:tcPr>
          <w:p w14:paraId="1CA2E7ED"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right w:val="single" w:sz="4" w:space="0" w:color="auto"/>
            </w:tcBorders>
            <w:shd w:val="clear" w:color="auto" w:fill="00B0F0"/>
            <w:vAlign w:val="center"/>
          </w:tcPr>
          <w:p w14:paraId="30A82C9D"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right w:val="single" w:sz="4" w:space="0" w:color="auto"/>
            </w:tcBorders>
            <w:shd w:val="clear" w:color="auto" w:fill="00B0F0"/>
            <w:vAlign w:val="center"/>
          </w:tcPr>
          <w:p w14:paraId="3EC461BF"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right w:val="single" w:sz="4" w:space="0" w:color="auto"/>
            </w:tcBorders>
            <w:shd w:val="clear" w:color="auto" w:fill="00B0F0"/>
            <w:vAlign w:val="center"/>
          </w:tcPr>
          <w:p w14:paraId="0EE6A6A5"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nil"/>
              <w:left w:val="single" w:sz="4" w:space="0" w:color="auto"/>
              <w:right w:val="single" w:sz="4" w:space="0" w:color="auto"/>
            </w:tcBorders>
            <w:shd w:val="clear" w:color="auto" w:fill="auto"/>
            <w:vAlign w:val="center"/>
          </w:tcPr>
          <w:p w14:paraId="4193BBA4"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76243041" w14:textId="77777777" w:rsidTr="00085672">
        <w:trPr>
          <w:cantSplit/>
          <w:trHeight w:val="317"/>
          <w:jc w:val="center"/>
        </w:trPr>
        <w:tc>
          <w:tcPr>
            <w:tcW w:w="1179" w:type="dxa"/>
            <w:vMerge w:val="restart"/>
            <w:vAlign w:val="center"/>
          </w:tcPr>
          <w:p w14:paraId="1AD8F08F"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rPr>
            </w:pPr>
            <w:r w:rsidRPr="005A1C76">
              <w:rPr>
                <w:rFonts w:eastAsia="Calibri" w:cs="Calibri"/>
                <w:sz w:val="20"/>
                <w:szCs w:val="20"/>
                <w:lang w:val="en-GB"/>
              </w:rPr>
              <w:t>Priobalno otvoreno more</w:t>
            </w:r>
          </w:p>
          <w:p w14:paraId="0F916D4D" w14:textId="77777777" w:rsidR="00085672" w:rsidRPr="005A1C76" w:rsidRDefault="00085672" w:rsidP="00085672">
            <w:pPr>
              <w:spacing w:after="0" w:line="240" w:lineRule="auto"/>
              <w:rPr>
                <w:rFonts w:eastAsia="Calibri" w:cs="Calibri"/>
                <w:sz w:val="20"/>
                <w:szCs w:val="20"/>
                <w:lang w:val="en-GB"/>
              </w:rPr>
            </w:pPr>
          </w:p>
        </w:tc>
        <w:tc>
          <w:tcPr>
            <w:tcW w:w="0" w:type="auto"/>
            <w:shd w:val="clear" w:color="auto" w:fill="auto"/>
            <w:vAlign w:val="center"/>
          </w:tcPr>
          <w:p w14:paraId="591AE429"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Budva</w:t>
            </w:r>
          </w:p>
        </w:tc>
        <w:tc>
          <w:tcPr>
            <w:tcW w:w="0" w:type="auto"/>
            <w:tcBorders>
              <w:top w:val="nil"/>
              <w:left w:val="single" w:sz="4" w:space="0" w:color="auto"/>
              <w:bottom w:val="single" w:sz="4" w:space="0" w:color="auto"/>
              <w:right w:val="single" w:sz="4" w:space="0" w:color="auto"/>
            </w:tcBorders>
            <w:shd w:val="clear" w:color="auto" w:fill="00B0F0"/>
            <w:vAlign w:val="center"/>
          </w:tcPr>
          <w:p w14:paraId="77AFD3C8"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0.65</w:t>
            </w:r>
          </w:p>
        </w:tc>
        <w:tc>
          <w:tcPr>
            <w:tcW w:w="0" w:type="auto"/>
            <w:tcBorders>
              <w:top w:val="nil"/>
              <w:left w:val="nil"/>
              <w:bottom w:val="single" w:sz="4" w:space="0" w:color="auto"/>
              <w:right w:val="single" w:sz="4" w:space="0" w:color="auto"/>
            </w:tcBorders>
            <w:shd w:val="clear" w:color="auto" w:fill="00B0F0"/>
            <w:vAlign w:val="center"/>
          </w:tcPr>
          <w:p w14:paraId="2F5C8629"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bottom w:val="single" w:sz="4" w:space="0" w:color="auto"/>
              <w:right w:val="single" w:sz="4" w:space="0" w:color="auto"/>
            </w:tcBorders>
            <w:shd w:val="clear" w:color="auto" w:fill="00B0F0"/>
            <w:vAlign w:val="center"/>
          </w:tcPr>
          <w:p w14:paraId="0B9398F5"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bottom w:val="single" w:sz="4" w:space="0" w:color="auto"/>
              <w:right w:val="single" w:sz="4" w:space="0" w:color="auto"/>
            </w:tcBorders>
            <w:shd w:val="clear" w:color="auto" w:fill="00B0F0"/>
            <w:vAlign w:val="center"/>
          </w:tcPr>
          <w:p w14:paraId="385F9C1D"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bottom w:val="single" w:sz="4" w:space="0" w:color="auto"/>
              <w:right w:val="single" w:sz="4" w:space="0" w:color="auto"/>
            </w:tcBorders>
            <w:shd w:val="clear" w:color="auto" w:fill="00B0F0"/>
            <w:vAlign w:val="center"/>
          </w:tcPr>
          <w:p w14:paraId="46F4C559"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bottom w:val="single" w:sz="4" w:space="0" w:color="auto"/>
              <w:right w:val="single" w:sz="4" w:space="0" w:color="auto"/>
            </w:tcBorders>
            <w:shd w:val="clear" w:color="auto" w:fill="00FF00"/>
            <w:vAlign w:val="center"/>
          </w:tcPr>
          <w:p w14:paraId="3743C5BE"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0.63</w:t>
            </w:r>
          </w:p>
        </w:tc>
        <w:tc>
          <w:tcPr>
            <w:tcW w:w="0" w:type="auto"/>
            <w:tcBorders>
              <w:top w:val="nil"/>
              <w:left w:val="nil"/>
              <w:bottom w:val="single" w:sz="4" w:space="0" w:color="auto"/>
              <w:right w:val="single" w:sz="4" w:space="0" w:color="auto"/>
            </w:tcBorders>
            <w:shd w:val="clear" w:color="000000" w:fill="00B0F0"/>
            <w:vAlign w:val="center"/>
          </w:tcPr>
          <w:p w14:paraId="3E05DEC5"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425" w:type="dxa"/>
            <w:tcBorders>
              <w:top w:val="nil"/>
              <w:left w:val="single" w:sz="4" w:space="0" w:color="auto"/>
              <w:bottom w:val="single" w:sz="4" w:space="0" w:color="auto"/>
              <w:right w:val="single" w:sz="4" w:space="0" w:color="auto"/>
            </w:tcBorders>
            <w:shd w:val="clear" w:color="000000" w:fill="FF0000"/>
            <w:vAlign w:val="center"/>
          </w:tcPr>
          <w:p w14:paraId="023FEFC1"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28</w:t>
            </w:r>
          </w:p>
        </w:tc>
        <w:tc>
          <w:tcPr>
            <w:tcW w:w="557" w:type="dxa"/>
            <w:tcBorders>
              <w:top w:val="single" w:sz="4" w:space="0" w:color="auto"/>
              <w:left w:val="single" w:sz="4" w:space="0" w:color="auto"/>
              <w:bottom w:val="single" w:sz="4" w:space="0" w:color="auto"/>
              <w:right w:val="single" w:sz="4" w:space="0" w:color="auto"/>
            </w:tcBorders>
            <w:shd w:val="clear" w:color="auto" w:fill="00B0F0"/>
            <w:vAlign w:val="center"/>
          </w:tcPr>
          <w:p w14:paraId="69DD7DD3"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71310921"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0138230A"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61A4E769"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nil"/>
              <w:left w:val="single" w:sz="4" w:space="0" w:color="auto"/>
              <w:bottom w:val="single" w:sz="8" w:space="0" w:color="auto"/>
              <w:right w:val="single" w:sz="4" w:space="0" w:color="auto"/>
            </w:tcBorders>
            <w:shd w:val="clear" w:color="auto" w:fill="auto"/>
            <w:vAlign w:val="center"/>
          </w:tcPr>
          <w:p w14:paraId="0E4E8A81"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3F627577" w14:textId="77777777" w:rsidTr="00085672">
        <w:trPr>
          <w:cantSplit/>
          <w:trHeight w:val="317"/>
          <w:jc w:val="center"/>
        </w:trPr>
        <w:tc>
          <w:tcPr>
            <w:tcW w:w="1179" w:type="dxa"/>
            <w:vMerge/>
            <w:vAlign w:val="center"/>
          </w:tcPr>
          <w:p w14:paraId="655C330F" w14:textId="77777777" w:rsidR="00085672" w:rsidRPr="005A1C76" w:rsidRDefault="00085672" w:rsidP="00085672">
            <w:pPr>
              <w:spacing w:after="0" w:line="240" w:lineRule="auto"/>
              <w:rPr>
                <w:rFonts w:eastAsia="Calibri" w:cs="Calibri"/>
                <w:sz w:val="20"/>
                <w:szCs w:val="20"/>
                <w:lang w:val="en-GB"/>
              </w:rPr>
            </w:pPr>
          </w:p>
        </w:tc>
        <w:tc>
          <w:tcPr>
            <w:tcW w:w="0" w:type="auto"/>
            <w:shd w:val="clear" w:color="auto" w:fill="auto"/>
            <w:vAlign w:val="center"/>
          </w:tcPr>
          <w:p w14:paraId="1D1FB39F"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Luka Bar</w:t>
            </w:r>
          </w:p>
        </w:tc>
        <w:tc>
          <w:tcPr>
            <w:tcW w:w="0" w:type="auto"/>
            <w:tcBorders>
              <w:top w:val="nil"/>
              <w:left w:val="single" w:sz="4" w:space="0" w:color="auto"/>
              <w:bottom w:val="single" w:sz="4" w:space="0" w:color="auto"/>
              <w:right w:val="single" w:sz="4" w:space="0" w:color="auto"/>
            </w:tcBorders>
            <w:shd w:val="clear" w:color="auto" w:fill="00FF00"/>
            <w:vAlign w:val="center"/>
          </w:tcPr>
          <w:p w14:paraId="643AA730"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0.77</w:t>
            </w:r>
          </w:p>
        </w:tc>
        <w:tc>
          <w:tcPr>
            <w:tcW w:w="0" w:type="auto"/>
            <w:tcBorders>
              <w:top w:val="nil"/>
              <w:left w:val="nil"/>
              <w:bottom w:val="single" w:sz="4" w:space="0" w:color="auto"/>
              <w:right w:val="single" w:sz="4" w:space="0" w:color="auto"/>
            </w:tcBorders>
            <w:shd w:val="clear" w:color="auto" w:fill="00FF00"/>
            <w:vAlign w:val="center"/>
          </w:tcPr>
          <w:p w14:paraId="392CC0C4"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1.79</w:t>
            </w:r>
          </w:p>
        </w:tc>
        <w:tc>
          <w:tcPr>
            <w:tcW w:w="0" w:type="auto"/>
            <w:tcBorders>
              <w:top w:val="nil"/>
              <w:left w:val="nil"/>
              <w:bottom w:val="single" w:sz="4" w:space="0" w:color="auto"/>
              <w:right w:val="single" w:sz="4" w:space="0" w:color="auto"/>
            </w:tcBorders>
            <w:shd w:val="clear" w:color="auto" w:fill="FF0000"/>
            <w:vAlign w:val="center"/>
          </w:tcPr>
          <w:p w14:paraId="04EC015D"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8.46</w:t>
            </w:r>
          </w:p>
        </w:tc>
        <w:tc>
          <w:tcPr>
            <w:tcW w:w="0" w:type="auto"/>
            <w:tcBorders>
              <w:top w:val="nil"/>
              <w:left w:val="nil"/>
              <w:bottom w:val="single" w:sz="4" w:space="0" w:color="auto"/>
              <w:right w:val="single" w:sz="4" w:space="0" w:color="auto"/>
            </w:tcBorders>
            <w:shd w:val="clear" w:color="auto" w:fill="FF0000"/>
            <w:vAlign w:val="center"/>
          </w:tcPr>
          <w:p w14:paraId="6CFCFE4F"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11.48</w:t>
            </w:r>
          </w:p>
        </w:tc>
        <w:tc>
          <w:tcPr>
            <w:tcW w:w="0" w:type="auto"/>
            <w:tcBorders>
              <w:top w:val="nil"/>
              <w:left w:val="nil"/>
              <w:bottom w:val="single" w:sz="4" w:space="0" w:color="auto"/>
              <w:right w:val="single" w:sz="4" w:space="0" w:color="auto"/>
            </w:tcBorders>
            <w:shd w:val="clear" w:color="auto" w:fill="FF0000"/>
            <w:vAlign w:val="center"/>
          </w:tcPr>
          <w:p w14:paraId="40B51F60"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22.45</w:t>
            </w:r>
          </w:p>
        </w:tc>
        <w:tc>
          <w:tcPr>
            <w:tcW w:w="0" w:type="auto"/>
            <w:tcBorders>
              <w:top w:val="nil"/>
              <w:left w:val="nil"/>
              <w:bottom w:val="single" w:sz="4" w:space="0" w:color="auto"/>
              <w:right w:val="single" w:sz="4" w:space="0" w:color="auto"/>
            </w:tcBorders>
            <w:shd w:val="clear" w:color="auto" w:fill="00FF00"/>
            <w:vAlign w:val="center"/>
          </w:tcPr>
          <w:p w14:paraId="7F817752"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20.04</w:t>
            </w:r>
          </w:p>
        </w:tc>
        <w:tc>
          <w:tcPr>
            <w:tcW w:w="0" w:type="auto"/>
            <w:tcBorders>
              <w:top w:val="nil"/>
              <w:left w:val="nil"/>
              <w:bottom w:val="single" w:sz="4" w:space="0" w:color="auto"/>
              <w:right w:val="single" w:sz="4" w:space="0" w:color="auto"/>
            </w:tcBorders>
            <w:shd w:val="clear" w:color="000000" w:fill="00B0F0"/>
            <w:vAlign w:val="center"/>
          </w:tcPr>
          <w:p w14:paraId="24CB6FA4"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0.58</w:t>
            </w:r>
          </w:p>
        </w:tc>
        <w:tc>
          <w:tcPr>
            <w:tcW w:w="425" w:type="dxa"/>
            <w:tcBorders>
              <w:top w:val="nil"/>
              <w:left w:val="single" w:sz="4" w:space="0" w:color="auto"/>
              <w:bottom w:val="single" w:sz="4" w:space="0" w:color="auto"/>
              <w:right w:val="single" w:sz="4" w:space="0" w:color="auto"/>
            </w:tcBorders>
            <w:shd w:val="clear" w:color="000000" w:fill="FF0000"/>
            <w:vAlign w:val="center"/>
          </w:tcPr>
          <w:p w14:paraId="2B869AF4"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36</w:t>
            </w:r>
          </w:p>
        </w:tc>
        <w:tc>
          <w:tcPr>
            <w:tcW w:w="557" w:type="dxa"/>
            <w:tcBorders>
              <w:top w:val="single" w:sz="4" w:space="0" w:color="auto"/>
              <w:left w:val="single" w:sz="4" w:space="0" w:color="auto"/>
              <w:bottom w:val="single" w:sz="4" w:space="0" w:color="auto"/>
              <w:right w:val="single" w:sz="4" w:space="0" w:color="auto"/>
            </w:tcBorders>
            <w:shd w:val="clear" w:color="auto" w:fill="00B0F0"/>
            <w:vAlign w:val="center"/>
          </w:tcPr>
          <w:p w14:paraId="65F35B34"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43FECE8E"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2146F04F"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397DCE8E"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nil"/>
              <w:left w:val="single" w:sz="4" w:space="0" w:color="auto"/>
              <w:bottom w:val="single" w:sz="8" w:space="0" w:color="auto"/>
              <w:right w:val="single" w:sz="4" w:space="0" w:color="auto"/>
            </w:tcBorders>
            <w:shd w:val="clear" w:color="auto" w:fill="auto"/>
            <w:vAlign w:val="center"/>
          </w:tcPr>
          <w:p w14:paraId="2A69FED8"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r w:rsidR="00085672" w:rsidRPr="005A1C76" w14:paraId="6AA8D7FE" w14:textId="77777777" w:rsidTr="00085672">
        <w:trPr>
          <w:cantSplit/>
          <w:trHeight w:val="245"/>
          <w:jc w:val="center"/>
        </w:trPr>
        <w:tc>
          <w:tcPr>
            <w:tcW w:w="1179" w:type="dxa"/>
            <w:vMerge/>
            <w:vAlign w:val="center"/>
          </w:tcPr>
          <w:p w14:paraId="3F413DA2" w14:textId="77777777" w:rsidR="00085672" w:rsidRPr="005A1C76" w:rsidRDefault="00085672" w:rsidP="00085672">
            <w:pPr>
              <w:spacing w:after="0" w:line="240" w:lineRule="auto"/>
              <w:rPr>
                <w:rFonts w:eastAsia="Calibri" w:cs="Calibri"/>
                <w:sz w:val="20"/>
                <w:szCs w:val="20"/>
                <w:lang w:val="en-GB"/>
              </w:rPr>
            </w:pPr>
          </w:p>
        </w:tc>
        <w:tc>
          <w:tcPr>
            <w:tcW w:w="0" w:type="auto"/>
            <w:shd w:val="clear" w:color="auto" w:fill="auto"/>
            <w:vAlign w:val="center"/>
          </w:tcPr>
          <w:p w14:paraId="44E63CCE" w14:textId="77777777" w:rsidR="00085672" w:rsidRPr="005A1C76" w:rsidRDefault="00085672" w:rsidP="00085672">
            <w:pPr>
              <w:spacing w:after="0" w:line="240" w:lineRule="auto"/>
              <w:rPr>
                <w:rFonts w:eastAsia="Calibri" w:cs="Calibri"/>
                <w:sz w:val="20"/>
                <w:szCs w:val="20"/>
                <w:lang w:val="en-GB"/>
              </w:rPr>
            </w:pPr>
            <w:r w:rsidRPr="005A1C76">
              <w:rPr>
                <w:rFonts w:eastAsia="Calibri" w:cs="Calibri"/>
                <w:sz w:val="20"/>
                <w:szCs w:val="20"/>
                <w:lang w:val="en-GB"/>
              </w:rPr>
              <w:t>Port Milena</w:t>
            </w:r>
          </w:p>
        </w:tc>
        <w:tc>
          <w:tcPr>
            <w:tcW w:w="0" w:type="auto"/>
            <w:tcBorders>
              <w:top w:val="nil"/>
              <w:left w:val="single" w:sz="4" w:space="0" w:color="auto"/>
              <w:bottom w:val="single" w:sz="4" w:space="0" w:color="auto"/>
              <w:right w:val="single" w:sz="4" w:space="0" w:color="auto"/>
            </w:tcBorders>
            <w:shd w:val="clear" w:color="000000" w:fill="00B0F0"/>
            <w:vAlign w:val="center"/>
          </w:tcPr>
          <w:p w14:paraId="4FB77337"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bottom w:val="single" w:sz="4" w:space="0" w:color="auto"/>
              <w:right w:val="single" w:sz="4" w:space="0" w:color="auto"/>
            </w:tcBorders>
            <w:shd w:val="clear" w:color="000000" w:fill="00B0F0"/>
            <w:vAlign w:val="center"/>
          </w:tcPr>
          <w:p w14:paraId="4BCBF0A7"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bottom w:val="single" w:sz="4" w:space="0" w:color="auto"/>
              <w:right w:val="single" w:sz="4" w:space="0" w:color="auto"/>
            </w:tcBorders>
            <w:shd w:val="clear" w:color="000000" w:fill="00B0F0"/>
            <w:vAlign w:val="center"/>
          </w:tcPr>
          <w:p w14:paraId="69DC112E"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bottom w:val="single" w:sz="4" w:space="0" w:color="auto"/>
              <w:right w:val="single" w:sz="4" w:space="0" w:color="auto"/>
            </w:tcBorders>
            <w:shd w:val="clear" w:color="000000" w:fill="00B0F0"/>
            <w:vAlign w:val="center"/>
          </w:tcPr>
          <w:p w14:paraId="3A8BFBBC"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bottom w:val="single" w:sz="4" w:space="0" w:color="auto"/>
              <w:right w:val="single" w:sz="4" w:space="0" w:color="auto"/>
            </w:tcBorders>
            <w:shd w:val="clear" w:color="000000" w:fill="00B0F0"/>
            <w:vAlign w:val="center"/>
          </w:tcPr>
          <w:p w14:paraId="274535F6"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bottom w:val="single" w:sz="4" w:space="0" w:color="auto"/>
              <w:right w:val="single" w:sz="4" w:space="0" w:color="auto"/>
            </w:tcBorders>
            <w:shd w:val="clear" w:color="000000" w:fill="00B0F0"/>
            <w:vAlign w:val="center"/>
          </w:tcPr>
          <w:p w14:paraId="2533EFF7"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0" w:type="auto"/>
            <w:tcBorders>
              <w:top w:val="nil"/>
              <w:left w:val="nil"/>
              <w:bottom w:val="single" w:sz="4" w:space="0" w:color="auto"/>
              <w:right w:val="single" w:sz="4" w:space="0" w:color="auto"/>
            </w:tcBorders>
            <w:shd w:val="clear" w:color="000000" w:fill="00B0F0"/>
            <w:vAlign w:val="center"/>
          </w:tcPr>
          <w:p w14:paraId="5489A927"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0.18</w:t>
            </w:r>
          </w:p>
        </w:tc>
        <w:tc>
          <w:tcPr>
            <w:tcW w:w="425" w:type="dxa"/>
            <w:tcBorders>
              <w:top w:val="nil"/>
              <w:left w:val="single" w:sz="4" w:space="0" w:color="auto"/>
              <w:bottom w:val="single" w:sz="4" w:space="0" w:color="auto"/>
              <w:right w:val="single" w:sz="4" w:space="0" w:color="auto"/>
            </w:tcBorders>
            <w:shd w:val="clear" w:color="000000" w:fill="00B0F0"/>
            <w:vAlign w:val="center"/>
          </w:tcPr>
          <w:p w14:paraId="402B0F84" w14:textId="77777777" w:rsidR="00085672" w:rsidRPr="005A1C76" w:rsidRDefault="00085672" w:rsidP="00085672">
            <w:pPr>
              <w:spacing w:after="0"/>
              <w:jc w:val="center"/>
              <w:rPr>
                <w:rFonts w:eastAsia="Calibri" w:cs="Calibri"/>
                <w:bCs/>
                <w:color w:val="000000"/>
                <w:sz w:val="20"/>
                <w:szCs w:val="20"/>
                <w:lang w:val="en-GB"/>
              </w:rPr>
            </w:pPr>
            <w:r w:rsidRPr="005A1C76">
              <w:rPr>
                <w:rFonts w:eastAsia="Calibri" w:cs="Calibri"/>
                <w:bCs/>
                <w:color w:val="000000"/>
                <w:sz w:val="20"/>
                <w:szCs w:val="20"/>
                <w:lang w:val="en-GB"/>
              </w:rPr>
              <w:t>0.5</w:t>
            </w:r>
          </w:p>
        </w:tc>
        <w:tc>
          <w:tcPr>
            <w:tcW w:w="557" w:type="dxa"/>
            <w:tcBorders>
              <w:top w:val="single" w:sz="4" w:space="0" w:color="auto"/>
              <w:left w:val="single" w:sz="4" w:space="0" w:color="auto"/>
              <w:bottom w:val="single" w:sz="4" w:space="0" w:color="auto"/>
              <w:right w:val="single" w:sz="4" w:space="0" w:color="auto"/>
            </w:tcBorders>
            <w:shd w:val="clear" w:color="auto" w:fill="00B0F0"/>
            <w:vAlign w:val="center"/>
          </w:tcPr>
          <w:p w14:paraId="4EFF0655"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28A2BA61"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05D4EA5E"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single" w:sz="4" w:space="0" w:color="auto"/>
              <w:left w:val="single" w:sz="4" w:space="0" w:color="auto"/>
              <w:bottom w:val="single" w:sz="4" w:space="0" w:color="auto"/>
              <w:right w:val="single" w:sz="4" w:space="0" w:color="auto"/>
            </w:tcBorders>
            <w:shd w:val="clear" w:color="auto" w:fill="00B0F0"/>
            <w:vAlign w:val="center"/>
          </w:tcPr>
          <w:p w14:paraId="542FC46E" w14:textId="77777777" w:rsidR="00085672" w:rsidRPr="005A1C76" w:rsidRDefault="00085672" w:rsidP="00085672">
            <w:pPr>
              <w:spacing w:after="0"/>
              <w:jc w:val="center"/>
              <w:rPr>
                <w:rFonts w:eastAsia="Calibri"/>
                <w:sz w:val="20"/>
                <w:szCs w:val="20"/>
                <w:lang w:val="en-GB"/>
              </w:rPr>
            </w:pPr>
            <w:r w:rsidRPr="005A1C76">
              <w:rPr>
                <w:rFonts w:eastAsia="Calibri" w:cs="Calibri"/>
                <w:color w:val="000000"/>
                <w:sz w:val="20"/>
                <w:szCs w:val="20"/>
                <w:lang w:val="en-GB"/>
              </w:rPr>
              <w:t>&lt;0.5</w:t>
            </w:r>
          </w:p>
        </w:tc>
        <w:tc>
          <w:tcPr>
            <w:tcW w:w="0" w:type="auto"/>
            <w:tcBorders>
              <w:top w:val="nil"/>
              <w:left w:val="single" w:sz="4" w:space="0" w:color="auto"/>
              <w:bottom w:val="single" w:sz="8" w:space="0" w:color="auto"/>
              <w:right w:val="single" w:sz="4" w:space="0" w:color="auto"/>
            </w:tcBorders>
            <w:shd w:val="clear" w:color="auto" w:fill="auto"/>
            <w:vAlign w:val="center"/>
          </w:tcPr>
          <w:p w14:paraId="478F9736" w14:textId="77777777" w:rsidR="00085672" w:rsidRPr="005A1C76" w:rsidRDefault="00085672" w:rsidP="00085672">
            <w:pPr>
              <w:spacing w:after="0"/>
              <w:jc w:val="center"/>
              <w:rPr>
                <w:rFonts w:eastAsia="Calibri" w:cs="Calibri"/>
                <w:b/>
                <w:bCs/>
                <w:sz w:val="20"/>
                <w:szCs w:val="20"/>
                <w:lang w:val="en-GB"/>
              </w:rPr>
            </w:pPr>
            <w:r w:rsidRPr="005A1C76">
              <w:rPr>
                <w:rFonts w:eastAsia="Calibri" w:cs="Calibri"/>
                <w:b/>
                <w:bCs/>
                <w:sz w:val="20"/>
                <w:szCs w:val="20"/>
                <w:lang w:val="en-GB"/>
              </w:rPr>
              <w:t>CH</w:t>
            </w:r>
          </w:p>
        </w:tc>
      </w:tr>
    </w:tbl>
    <w:p w14:paraId="6A732242" w14:textId="77777777" w:rsidR="00085672" w:rsidRPr="005A1C76" w:rsidRDefault="00085672" w:rsidP="00085672">
      <w:pPr>
        <w:tabs>
          <w:tab w:val="left" w:pos="1176"/>
        </w:tabs>
        <w:spacing w:after="0"/>
        <w:rPr>
          <w:rFonts w:eastAsia="Calibri" w:cs="Calibri"/>
          <w:b/>
          <w:sz w:val="20"/>
          <w:szCs w:val="20"/>
          <w:lang w:val="en-GB"/>
        </w:rPr>
      </w:pPr>
      <w:r w:rsidRPr="005A1C76">
        <w:rPr>
          <w:rFonts w:eastAsia="Calibri" w:cs="Calibri"/>
          <w:b/>
          <w:sz w:val="20"/>
          <w:szCs w:val="20"/>
          <w:lang w:val="en-GB"/>
        </w:rPr>
        <w:t>*Tip – CR: Obalna Referentna, CH: Obalna Hot Spot</w:t>
      </w:r>
    </w:p>
    <w:p w14:paraId="6F6A6BDF" w14:textId="77777777" w:rsidR="006075FE" w:rsidRDefault="006075FE" w:rsidP="00085672">
      <w:pPr>
        <w:spacing w:after="0"/>
        <w:rPr>
          <w:rFonts w:eastAsia="Calibri" w:cs="Calibri"/>
          <w:b/>
          <w:lang w:val="en-GB"/>
        </w:rPr>
      </w:pPr>
    </w:p>
    <w:p w14:paraId="478BE11C" w14:textId="77777777" w:rsidR="00085672" w:rsidRPr="005A1C76" w:rsidRDefault="00085672" w:rsidP="00085672">
      <w:pPr>
        <w:spacing w:after="0"/>
        <w:rPr>
          <w:rFonts w:eastAsia="Calibri"/>
          <w:b/>
          <w:iCs/>
          <w:lang w:val="en-GB"/>
        </w:rPr>
      </w:pPr>
      <w:r w:rsidRPr="005A1C76">
        <w:rPr>
          <w:rFonts w:eastAsia="Calibri" w:cs="Calibri"/>
          <w:b/>
          <w:lang w:val="en-GB"/>
        </w:rPr>
        <w:t xml:space="preserve">Pregled postignutog GES-a za sediment u </w:t>
      </w:r>
      <w:r w:rsidRPr="005A1C76">
        <w:rPr>
          <w:rFonts w:eastAsia="Calibri"/>
          <w:b/>
          <w:iCs/>
          <w:lang w:val="en-GB"/>
        </w:rPr>
        <w:t>istraživanom području morske sredine Crne Gore</w:t>
      </w:r>
    </w:p>
    <w:p w14:paraId="5C47DC0B" w14:textId="77777777" w:rsidR="00085672" w:rsidRPr="005A1C76" w:rsidRDefault="00085672" w:rsidP="00085672">
      <w:pPr>
        <w:rPr>
          <w:rFonts w:eastAsia="Calibri" w:cs="Calibri"/>
          <w:color w:val="FF0000"/>
          <w:lang w:val="en-GB"/>
        </w:rPr>
      </w:pPr>
    </w:p>
    <w:p w14:paraId="4BD168EA" w14:textId="24266D42" w:rsidR="00085672" w:rsidRPr="005A1C76" w:rsidRDefault="00085672" w:rsidP="00085672">
      <w:pPr>
        <w:rPr>
          <w:rFonts w:eastAsia="Calibri" w:cs="Calibri"/>
          <w:lang w:val="en-GB"/>
        </w:rPr>
      </w:pPr>
      <w:r w:rsidRPr="005A1C76">
        <w:rPr>
          <w:rFonts w:eastAsia="Calibri" w:cs="Calibri"/>
          <w:lang w:val="en-GB"/>
        </w:rPr>
        <w:t>Na slici 2.25 prikazani su procentualni nivo</w:t>
      </w:r>
      <w:r w:rsidR="00960C00">
        <w:rPr>
          <w:rFonts w:eastAsia="Calibri" w:cs="Calibri"/>
          <w:lang w:val="en-GB"/>
        </w:rPr>
        <w:t>i</w:t>
      </w:r>
      <w:r w:rsidRPr="005A1C76">
        <w:rPr>
          <w:rFonts w:eastAsia="Calibri" w:cs="Calibri"/>
          <w:lang w:val="en-GB"/>
        </w:rPr>
        <w:t xml:space="preserve"> statusa pojedinačnih i ukupnih metala, PAH-ova, PCB-a i organohlorinih pesticida u sedimentu tokom ispitivanog perioda.</w:t>
      </w:r>
    </w:p>
    <w:p w14:paraId="4FCF1429" w14:textId="1826C877" w:rsidR="00085672" w:rsidRPr="005A1C76" w:rsidRDefault="00085672" w:rsidP="00085672">
      <w:pPr>
        <w:spacing w:line="240" w:lineRule="auto"/>
        <w:rPr>
          <w:rFonts w:eastAsia="Calibri" w:cs="Calibri"/>
          <w:b/>
          <w:lang w:val="en-GB"/>
        </w:rPr>
      </w:pPr>
    </w:p>
    <w:tbl>
      <w:tblPr>
        <w:tblStyle w:val="GolderTable5"/>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5136"/>
      </w:tblGrid>
      <w:tr w:rsidR="00085672" w:rsidRPr="005A1C76" w14:paraId="734DC0C5" w14:textId="77777777" w:rsidTr="006A7CA8">
        <w:trPr>
          <w:trHeight w:val="2051"/>
          <w:jc w:val="center"/>
        </w:trPr>
        <w:tc>
          <w:tcPr>
            <w:tcW w:w="5046" w:type="dxa"/>
          </w:tcPr>
          <w:p w14:paraId="56454EDF" w14:textId="77777777" w:rsidR="00085672" w:rsidRPr="005A1C76" w:rsidRDefault="00085672" w:rsidP="00085672">
            <w:pPr>
              <w:jc w:val="center"/>
              <w:rPr>
                <w:sz w:val="20"/>
                <w:szCs w:val="20"/>
                <w:lang w:val="en-GB"/>
              </w:rPr>
            </w:pPr>
            <w:bookmarkStart w:id="205" w:name="_Hlk82805839"/>
            <w:r w:rsidRPr="005A1C76">
              <w:rPr>
                <w:noProof/>
                <w:lang w:eastAsia="en-US"/>
              </w:rPr>
              <w:drawing>
                <wp:inline distT="0" distB="0" distL="0" distR="0" wp14:anchorId="487A11F9" wp14:editId="0E104817">
                  <wp:extent cx="3063240" cy="1722120"/>
                  <wp:effectExtent l="0" t="0" r="3810" b="11430"/>
                  <wp:docPr id="121" name="Chart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tc>
        <w:tc>
          <w:tcPr>
            <w:tcW w:w="4593" w:type="dxa"/>
          </w:tcPr>
          <w:p w14:paraId="3BEFA305" w14:textId="77777777" w:rsidR="00085672" w:rsidRPr="005A1C76" w:rsidRDefault="00085672" w:rsidP="00085672">
            <w:pPr>
              <w:jc w:val="center"/>
              <w:rPr>
                <w:sz w:val="20"/>
                <w:szCs w:val="20"/>
                <w:lang w:val="en-GB"/>
              </w:rPr>
            </w:pPr>
            <w:r w:rsidRPr="005A1C76">
              <w:rPr>
                <w:noProof/>
                <w:lang w:eastAsia="en-US"/>
              </w:rPr>
              <w:drawing>
                <wp:inline distT="0" distB="0" distL="0" distR="0" wp14:anchorId="21AA4A89" wp14:editId="7005C848">
                  <wp:extent cx="3116580" cy="1684020"/>
                  <wp:effectExtent l="0" t="0" r="7620" b="1143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tc>
      </w:tr>
      <w:tr w:rsidR="00085672" w:rsidRPr="005A1C76" w14:paraId="0100E3A4" w14:textId="77777777" w:rsidTr="006A7CA8">
        <w:trPr>
          <w:trHeight w:val="1958"/>
          <w:jc w:val="center"/>
        </w:trPr>
        <w:tc>
          <w:tcPr>
            <w:tcW w:w="5046" w:type="dxa"/>
          </w:tcPr>
          <w:p w14:paraId="08E92A20" w14:textId="77777777" w:rsidR="00085672" w:rsidRPr="005A1C76" w:rsidRDefault="00085672" w:rsidP="00085672">
            <w:pPr>
              <w:keepNext/>
              <w:jc w:val="center"/>
              <w:rPr>
                <w:sz w:val="20"/>
                <w:szCs w:val="20"/>
                <w:lang w:val="en-GB"/>
              </w:rPr>
            </w:pPr>
            <w:r w:rsidRPr="005A1C76">
              <w:rPr>
                <w:noProof/>
                <w:lang w:eastAsia="en-US"/>
              </w:rPr>
              <w:drawing>
                <wp:inline distT="0" distB="0" distL="0" distR="0" wp14:anchorId="46D2B6EC" wp14:editId="1CC05FD7">
                  <wp:extent cx="3063240" cy="1714500"/>
                  <wp:effectExtent l="0" t="0" r="381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tc>
        <w:tc>
          <w:tcPr>
            <w:tcW w:w="4593" w:type="dxa"/>
          </w:tcPr>
          <w:p w14:paraId="7401B81B" w14:textId="77777777" w:rsidR="00085672" w:rsidRPr="005A1C76" w:rsidRDefault="00085672" w:rsidP="00085672">
            <w:pPr>
              <w:jc w:val="center"/>
              <w:rPr>
                <w:rFonts w:cs="Calibri"/>
                <w:sz w:val="20"/>
                <w:szCs w:val="20"/>
                <w:lang w:val="en-GB"/>
              </w:rPr>
            </w:pPr>
            <w:r w:rsidRPr="005A1C76">
              <w:rPr>
                <w:noProof/>
                <w:lang w:eastAsia="en-US"/>
              </w:rPr>
              <w:drawing>
                <wp:inline distT="0" distB="0" distL="0" distR="0" wp14:anchorId="1B29885C" wp14:editId="2360EF51">
                  <wp:extent cx="3108960" cy="1725930"/>
                  <wp:effectExtent l="0" t="0" r="15240" b="762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tc>
      </w:tr>
    </w:tbl>
    <w:p w14:paraId="1A29B990" w14:textId="22E52937" w:rsidR="00085672" w:rsidRPr="005A1C76" w:rsidRDefault="000413B6" w:rsidP="00085672">
      <w:pPr>
        <w:spacing w:after="0"/>
        <w:jc w:val="center"/>
        <w:rPr>
          <w:rFonts w:eastAsia="Calibri" w:cs="Calibri"/>
          <w:i/>
          <w:color w:val="FF0000"/>
          <w:lang w:val="en-GB"/>
        </w:rPr>
      </w:pPr>
      <w:bookmarkStart w:id="206" w:name="_Toc83636916"/>
      <w:bookmarkEnd w:id="205"/>
      <w:r w:rsidRPr="005A1C76">
        <w:rPr>
          <w:rFonts w:eastAsia="Calibri" w:cs="Calibri"/>
          <w:b/>
          <w:lang w:val="en-GB"/>
        </w:rPr>
        <w:t xml:space="preserve">Slika </w:t>
      </w:r>
      <w:r w:rsidRPr="005A1C76">
        <w:rPr>
          <w:rFonts w:eastAsia="Calibri" w:cs="Calibri"/>
          <w:b/>
          <w:iCs/>
          <w:lang w:val="en-GB"/>
        </w:rPr>
        <w:fldChar w:fldCharType="begin"/>
      </w:r>
      <w:r w:rsidRPr="005A1C76">
        <w:rPr>
          <w:rFonts w:eastAsia="Calibri" w:cs="Calibri"/>
          <w:b/>
          <w:iCs/>
          <w:lang w:val="en-GB"/>
        </w:rPr>
        <w:instrText xml:space="preserve"> STYLEREF 1 \s </w:instrText>
      </w:r>
      <w:r w:rsidRPr="005A1C76">
        <w:rPr>
          <w:rFonts w:eastAsia="Calibri" w:cs="Calibri"/>
          <w:b/>
          <w:iCs/>
          <w:lang w:val="en-GB"/>
        </w:rPr>
        <w:fldChar w:fldCharType="separate"/>
      </w:r>
      <w:r w:rsidR="000D1E20">
        <w:rPr>
          <w:rFonts w:eastAsia="Calibri" w:cs="Calibri"/>
          <w:b/>
          <w:iCs/>
          <w:noProof/>
          <w:lang w:val="en-GB"/>
        </w:rPr>
        <w:t>2</w:t>
      </w:r>
      <w:r w:rsidRPr="005A1C76">
        <w:rPr>
          <w:rFonts w:eastAsia="Calibri" w:cs="Calibri"/>
          <w:b/>
          <w:iCs/>
          <w:lang w:val="en-GB"/>
        </w:rPr>
        <w:fldChar w:fldCharType="end"/>
      </w:r>
      <w:r w:rsidRPr="005A1C76">
        <w:rPr>
          <w:rFonts w:eastAsia="Calibri" w:cs="Calibri"/>
          <w:b/>
          <w:iCs/>
          <w:lang w:val="en-GB"/>
        </w:rPr>
        <w:t>.</w:t>
      </w:r>
      <w:r w:rsidRPr="005A1C76">
        <w:rPr>
          <w:rFonts w:eastAsia="Calibri" w:cs="Calibri"/>
          <w:b/>
          <w:iCs/>
          <w:lang w:val="en-GB"/>
        </w:rPr>
        <w:fldChar w:fldCharType="begin"/>
      </w:r>
      <w:r w:rsidRPr="005A1C76">
        <w:rPr>
          <w:rFonts w:eastAsia="Calibri" w:cs="Calibri"/>
          <w:b/>
          <w:iCs/>
          <w:lang w:val="en-GB"/>
        </w:rPr>
        <w:instrText xml:space="preserve"> SEQ Figure \* ARABIC \s 1 </w:instrText>
      </w:r>
      <w:r w:rsidRPr="005A1C76">
        <w:rPr>
          <w:rFonts w:eastAsia="Calibri" w:cs="Calibri"/>
          <w:b/>
          <w:iCs/>
          <w:lang w:val="en-GB"/>
        </w:rPr>
        <w:fldChar w:fldCharType="separate"/>
      </w:r>
      <w:r w:rsidR="000D1E20">
        <w:rPr>
          <w:rFonts w:eastAsia="Calibri" w:cs="Calibri"/>
          <w:b/>
          <w:iCs/>
          <w:noProof/>
          <w:lang w:val="en-GB"/>
        </w:rPr>
        <w:t>21</w:t>
      </w:r>
      <w:r w:rsidRPr="005A1C76">
        <w:rPr>
          <w:rFonts w:eastAsia="Calibri" w:cs="Calibri"/>
          <w:b/>
          <w:iCs/>
          <w:lang w:val="en-GB"/>
        </w:rPr>
        <w:fldChar w:fldCharType="end"/>
      </w:r>
      <w:r w:rsidRPr="005A1C76">
        <w:t>.</w:t>
      </w:r>
      <w:r w:rsidRPr="005A1C76">
        <w:rPr>
          <w:rFonts w:eastAsia="Calibri" w:cs="Calibri"/>
          <w:lang w:val="en-GB"/>
        </w:rPr>
        <w:t xml:space="preserve"> </w:t>
      </w:r>
      <w:r w:rsidRPr="005A1C76">
        <w:rPr>
          <w:rFonts w:eastAsia="Calibri" w:cs="Calibri"/>
          <w:b/>
          <w:lang w:val="en-GB"/>
        </w:rPr>
        <w:t>Procenat nivoa pojedinačnih i ukupnih metala i PAH u sedimentu tokom perioda ispitivanja</w:t>
      </w:r>
      <w:bookmarkEnd w:id="206"/>
    </w:p>
    <w:p w14:paraId="4DC07885" w14:textId="77777777" w:rsidR="00085672" w:rsidRPr="005A1C76" w:rsidRDefault="00085672" w:rsidP="00085672">
      <w:pPr>
        <w:rPr>
          <w:rFonts w:eastAsia="Calibri" w:cs="Calibri"/>
          <w:lang w:val="en-GB"/>
        </w:rPr>
      </w:pPr>
      <w:r w:rsidRPr="005A1C76">
        <w:rPr>
          <w:rFonts w:eastAsia="Calibri" w:cs="Calibri"/>
          <w:lang w:val="en-GB"/>
        </w:rPr>
        <w:t xml:space="preserve">Analiza </w:t>
      </w:r>
      <w:r w:rsidRPr="005A1C76">
        <w:rPr>
          <w:rFonts w:eastAsia="Calibri" w:cs="Calibri"/>
          <w:lang w:val="sr-Latn-ME"/>
        </w:rPr>
        <w:t>svih rezultata</w:t>
      </w:r>
      <w:r w:rsidRPr="005A1C76">
        <w:rPr>
          <w:rFonts w:eastAsia="Calibri" w:cs="Calibri"/>
          <w:lang w:val="en-GB"/>
        </w:rPr>
        <w:t xml:space="preserve"> teških metala koji su ovde predstavljeni pokazuju da je 43% izmerenih vrijednosti niže od vrijednosti BAC, 22% je u intervalu između BAC i ERL vrijednosti, a 35% premašuje njihov odgovarajući ERL. Iako se trend koncentracije bakra u ispitivanom periodu smanjuje, u većini mjerenja utvrđene vrijednosti bakra u sedimentu su iznad vrijednosti ERL. Arsen i kadmijum su tokom većine ispitivanog perioda bili na nivoima blizu BAC, dok je značajan broj mjerenja hroma, žive, cinka i olova premašio vrijednosti ERL. Posmatrajući trendove metala u istraživanom periodu, može se zaključiti da se koncentracije arsena, kadmijuma i hroma neznatno smanjuju, dok koncentracije olova, nikla i cinka pokazuju značajan pad tokom perioda istraživanja. Masne koncentracije žive ukazuju na blagi porast tokom perioda istraživanja.</w:t>
      </w:r>
    </w:p>
    <w:p w14:paraId="6BDC55ED" w14:textId="77777777" w:rsidR="00085672" w:rsidRPr="005A1C76" w:rsidRDefault="00085672" w:rsidP="00085672">
      <w:pPr>
        <w:rPr>
          <w:rFonts w:eastAsia="Calibri"/>
          <w:lang w:val="en-GB"/>
        </w:rPr>
      </w:pPr>
      <w:r w:rsidRPr="005A1C76">
        <w:rPr>
          <w:rFonts w:eastAsia="Calibri"/>
          <w:lang w:val="en-GB"/>
        </w:rPr>
        <w:t>Pregled rezultata analize PAH-ova pokazuje da je 9% od izmerenih vrijednosti bilo niže od vrijednosti BAC, 52% između vrijednosti BAC i ERL i 39% premašuje odgovarajuće ERL vrijednosti. Samo su koncentracije benzo(g,h,i)pirena premašile vrijednost ERL u 70% mjerenja, dok su ostali izmjereni PAH-ovi premašili vrijednosti svog ERL u manje od 40% merenja. Trend prosječne koncentracije svih analiziranih PAH-ova u sedimentu tokom perioda istraživanja je opadajući.</w:t>
      </w:r>
    </w:p>
    <w:p w14:paraId="694162D3" w14:textId="6A1442DB" w:rsidR="00085672" w:rsidRPr="005A1C76" w:rsidRDefault="00085672" w:rsidP="00085672">
      <w:pPr>
        <w:spacing w:after="0"/>
        <w:rPr>
          <w:rFonts w:eastAsia="Calibri" w:cs="Calibri"/>
          <w:b/>
          <w:lang w:val="en-GB"/>
        </w:rPr>
      </w:pPr>
    </w:p>
    <w:tbl>
      <w:tblPr>
        <w:tblStyle w:val="GolderTable5"/>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9"/>
        <w:gridCol w:w="4412"/>
      </w:tblGrid>
      <w:tr w:rsidR="00085672" w:rsidRPr="005A1C76" w14:paraId="23462102" w14:textId="77777777" w:rsidTr="000413B6">
        <w:trPr>
          <w:jc w:val="center"/>
        </w:trPr>
        <w:tc>
          <w:tcPr>
            <w:tcW w:w="4619" w:type="dxa"/>
            <w:vAlign w:val="center"/>
          </w:tcPr>
          <w:p w14:paraId="0C793290" w14:textId="77777777" w:rsidR="00085672" w:rsidRPr="005A1C76" w:rsidRDefault="00085672" w:rsidP="00085672">
            <w:pPr>
              <w:jc w:val="center"/>
              <w:rPr>
                <w:sz w:val="20"/>
                <w:szCs w:val="20"/>
                <w:lang w:val="en-GB"/>
              </w:rPr>
            </w:pPr>
            <w:bookmarkStart w:id="207" w:name="_Hlk82805943"/>
            <w:r w:rsidRPr="005A1C76">
              <w:rPr>
                <w:sz w:val="20"/>
                <w:szCs w:val="20"/>
                <w:lang w:val="en-GB"/>
              </w:rPr>
              <w:br w:type="page"/>
            </w:r>
            <w:r w:rsidRPr="005A1C76">
              <w:rPr>
                <w:noProof/>
                <w:lang w:eastAsia="en-US"/>
              </w:rPr>
              <w:drawing>
                <wp:inline distT="0" distB="0" distL="0" distR="0" wp14:anchorId="58C9AB40" wp14:editId="4BBB9243">
                  <wp:extent cx="2834640" cy="1645920"/>
                  <wp:effectExtent l="0" t="0" r="3810" b="1143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tc>
        <w:tc>
          <w:tcPr>
            <w:tcW w:w="4412" w:type="dxa"/>
            <w:vAlign w:val="center"/>
          </w:tcPr>
          <w:p w14:paraId="20958619" w14:textId="77777777" w:rsidR="00085672" w:rsidRPr="005A1C76" w:rsidRDefault="00085672" w:rsidP="00085672">
            <w:pPr>
              <w:rPr>
                <w:sz w:val="20"/>
                <w:szCs w:val="20"/>
                <w:lang w:val="en-GB"/>
              </w:rPr>
            </w:pPr>
            <w:r w:rsidRPr="005A1C76">
              <w:rPr>
                <w:noProof/>
                <w:lang w:eastAsia="en-US"/>
              </w:rPr>
              <w:drawing>
                <wp:inline distT="0" distB="0" distL="0" distR="0" wp14:anchorId="75E6F046" wp14:editId="379CA8C3">
                  <wp:extent cx="2689860" cy="1607820"/>
                  <wp:effectExtent l="0" t="0" r="15240" b="1143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tc>
      </w:tr>
      <w:tr w:rsidR="00085672" w:rsidRPr="005A1C76" w14:paraId="6DA2779B" w14:textId="77777777" w:rsidTr="000413B6">
        <w:trPr>
          <w:trHeight w:val="2393"/>
          <w:jc w:val="center"/>
        </w:trPr>
        <w:tc>
          <w:tcPr>
            <w:tcW w:w="4619" w:type="dxa"/>
            <w:vAlign w:val="center"/>
          </w:tcPr>
          <w:p w14:paraId="546D1ED8" w14:textId="77777777" w:rsidR="00085672" w:rsidRPr="005A1C76" w:rsidRDefault="00085672" w:rsidP="00085672">
            <w:pPr>
              <w:keepNext/>
              <w:jc w:val="center"/>
              <w:rPr>
                <w:sz w:val="20"/>
                <w:szCs w:val="20"/>
                <w:lang w:val="en-GB"/>
              </w:rPr>
            </w:pPr>
            <w:r w:rsidRPr="005A1C76">
              <w:rPr>
                <w:noProof/>
                <w:lang w:eastAsia="en-US"/>
              </w:rPr>
              <w:drawing>
                <wp:inline distT="0" distB="0" distL="0" distR="0" wp14:anchorId="10031A15" wp14:editId="620C57EA">
                  <wp:extent cx="2834640" cy="1531620"/>
                  <wp:effectExtent l="0" t="0" r="3810" b="1143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tc>
        <w:tc>
          <w:tcPr>
            <w:tcW w:w="4412" w:type="dxa"/>
            <w:vAlign w:val="center"/>
          </w:tcPr>
          <w:p w14:paraId="79452B7E" w14:textId="77777777" w:rsidR="00085672" w:rsidRPr="005A1C76" w:rsidRDefault="00085672" w:rsidP="00085672">
            <w:pPr>
              <w:rPr>
                <w:rFonts w:cs="Calibri"/>
                <w:sz w:val="20"/>
                <w:szCs w:val="20"/>
                <w:lang w:val="en-GB"/>
              </w:rPr>
            </w:pPr>
            <w:r w:rsidRPr="005A1C76">
              <w:rPr>
                <w:noProof/>
                <w:lang w:eastAsia="en-US"/>
              </w:rPr>
              <w:drawing>
                <wp:inline distT="0" distB="0" distL="0" distR="0" wp14:anchorId="0E95A65E" wp14:editId="1E1C2F61">
                  <wp:extent cx="2689860" cy="1516380"/>
                  <wp:effectExtent l="0" t="0" r="15240" b="762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tc>
      </w:tr>
    </w:tbl>
    <w:p w14:paraId="0CD378D0" w14:textId="2655C492" w:rsidR="00085672" w:rsidRPr="005A1C76" w:rsidRDefault="000413B6" w:rsidP="00CF4B47">
      <w:pPr>
        <w:rPr>
          <w:rFonts w:eastAsia="Calibri"/>
          <w:lang w:val="en-GB"/>
        </w:rPr>
      </w:pPr>
      <w:bookmarkStart w:id="208" w:name="_Toc83636917"/>
      <w:bookmarkEnd w:id="207"/>
      <w:r w:rsidRPr="005A1C76">
        <w:rPr>
          <w:rFonts w:eastAsia="Calibri" w:cs="Calibri"/>
          <w:b/>
          <w:lang w:val="en-GB"/>
        </w:rPr>
        <w:t xml:space="preserve">Slika </w:t>
      </w:r>
      <w:r w:rsidRPr="005A1C76">
        <w:rPr>
          <w:rFonts w:eastAsia="Calibri" w:cs="Calibri"/>
          <w:b/>
          <w:iCs/>
          <w:lang w:val="en-GB"/>
        </w:rPr>
        <w:fldChar w:fldCharType="begin"/>
      </w:r>
      <w:r w:rsidRPr="005A1C76">
        <w:rPr>
          <w:rFonts w:eastAsia="Calibri" w:cs="Calibri"/>
          <w:b/>
          <w:iCs/>
          <w:lang w:val="en-GB"/>
        </w:rPr>
        <w:instrText xml:space="preserve"> STYLEREF 1 \s </w:instrText>
      </w:r>
      <w:r w:rsidRPr="005A1C76">
        <w:rPr>
          <w:rFonts w:eastAsia="Calibri" w:cs="Calibri"/>
          <w:b/>
          <w:iCs/>
          <w:lang w:val="en-GB"/>
        </w:rPr>
        <w:fldChar w:fldCharType="separate"/>
      </w:r>
      <w:r w:rsidR="000D1E20">
        <w:rPr>
          <w:rFonts w:eastAsia="Calibri" w:cs="Calibri"/>
          <w:b/>
          <w:iCs/>
          <w:noProof/>
          <w:lang w:val="en-GB"/>
        </w:rPr>
        <w:t>2</w:t>
      </w:r>
      <w:r w:rsidRPr="005A1C76">
        <w:rPr>
          <w:rFonts w:eastAsia="Calibri" w:cs="Calibri"/>
          <w:b/>
          <w:iCs/>
          <w:lang w:val="en-GB"/>
        </w:rPr>
        <w:fldChar w:fldCharType="end"/>
      </w:r>
      <w:r w:rsidRPr="005A1C76">
        <w:rPr>
          <w:rFonts w:eastAsia="Calibri" w:cs="Calibri"/>
          <w:b/>
          <w:iCs/>
          <w:lang w:val="en-GB"/>
        </w:rPr>
        <w:t>.</w:t>
      </w:r>
      <w:r w:rsidRPr="005A1C76">
        <w:rPr>
          <w:rFonts w:eastAsia="Calibri" w:cs="Calibri"/>
          <w:b/>
          <w:iCs/>
          <w:lang w:val="en-GB"/>
        </w:rPr>
        <w:fldChar w:fldCharType="begin"/>
      </w:r>
      <w:r w:rsidRPr="005A1C76">
        <w:rPr>
          <w:rFonts w:eastAsia="Calibri" w:cs="Calibri"/>
          <w:b/>
          <w:iCs/>
          <w:lang w:val="en-GB"/>
        </w:rPr>
        <w:instrText xml:space="preserve"> SEQ Figure \* ARABIC \s 1 </w:instrText>
      </w:r>
      <w:r w:rsidRPr="005A1C76">
        <w:rPr>
          <w:rFonts w:eastAsia="Calibri" w:cs="Calibri"/>
          <w:b/>
          <w:iCs/>
          <w:lang w:val="en-GB"/>
        </w:rPr>
        <w:fldChar w:fldCharType="separate"/>
      </w:r>
      <w:r w:rsidR="000D1E20">
        <w:rPr>
          <w:rFonts w:eastAsia="Calibri" w:cs="Calibri"/>
          <w:b/>
          <w:iCs/>
          <w:noProof/>
          <w:lang w:val="en-GB"/>
        </w:rPr>
        <w:t>22</w:t>
      </w:r>
      <w:r w:rsidRPr="005A1C76">
        <w:rPr>
          <w:rFonts w:eastAsia="Calibri" w:cs="Calibri"/>
          <w:b/>
          <w:iCs/>
          <w:lang w:val="en-GB"/>
        </w:rPr>
        <w:fldChar w:fldCharType="end"/>
      </w:r>
      <w:r w:rsidRPr="005A1C76">
        <w:t>.</w:t>
      </w:r>
      <w:r w:rsidRPr="005A1C76">
        <w:rPr>
          <w:rFonts w:eastAsia="Calibri" w:cs="Calibri"/>
          <w:lang w:val="en-GB"/>
        </w:rPr>
        <w:t xml:space="preserve"> </w:t>
      </w:r>
      <w:r w:rsidRPr="005A1C76">
        <w:rPr>
          <w:rFonts w:eastAsia="Calibri" w:cs="Calibri"/>
          <w:b/>
          <w:lang w:val="en-GB"/>
        </w:rPr>
        <w:t>Procentni nivoi pojedinačnih i ukupnih PCB i OCl u sedimentu tokom perioda ispitivanja</w:t>
      </w:r>
      <w:bookmarkEnd w:id="208"/>
    </w:p>
    <w:p w14:paraId="41B5CA7A" w14:textId="77777777" w:rsidR="000413B6" w:rsidRDefault="000413B6" w:rsidP="00085672">
      <w:pPr>
        <w:rPr>
          <w:rFonts w:eastAsia="Calibri"/>
          <w:lang w:val="en-GB"/>
        </w:rPr>
      </w:pPr>
    </w:p>
    <w:p w14:paraId="27CE6EA6" w14:textId="4362D5ED" w:rsidR="00085672" w:rsidRPr="005A1C76" w:rsidRDefault="00085672" w:rsidP="00085672">
      <w:pPr>
        <w:rPr>
          <w:rFonts w:eastAsia="Calibri"/>
          <w:color w:val="FF0000"/>
          <w:lang w:val="en-GB"/>
        </w:rPr>
      </w:pPr>
      <w:r w:rsidRPr="005A1C76">
        <w:rPr>
          <w:rFonts w:eastAsia="Calibri"/>
          <w:lang w:val="en-GB"/>
        </w:rPr>
        <w:t>Pregled rezultata analize PCB-a pokazuje da su sve izmjerene vrijednosti iznad vrijednosti, od toga je 57% u intervalu između BAC i ERL vrijednosti dok 43% izmjerenih vrijednosti sadržaja PCB-a u sedimentu premašuju ERL vrijednosti. Trend prosječne koncentracije svih analiziranih PBC kongenera u sedimentu tokom perioda istraživanja je opadajući.</w:t>
      </w:r>
    </w:p>
    <w:p w14:paraId="35779ACA" w14:textId="77777777" w:rsidR="00085672" w:rsidRPr="005A1C76" w:rsidRDefault="00085672" w:rsidP="00085672">
      <w:pPr>
        <w:rPr>
          <w:rFonts w:eastAsia="Calibri"/>
          <w:lang w:val="en-GB"/>
        </w:rPr>
      </w:pPr>
      <w:r w:rsidRPr="005A1C76">
        <w:rPr>
          <w:rFonts w:eastAsia="Calibri"/>
          <w:lang w:val="en-GB"/>
        </w:rPr>
        <w:t>Analizom predstavljenih rezultata organohlornih pesticida može se zaključiti da se 87% od izmerenih vrijednosti nalazi ispod BAC dok 13% premašuje njihov odgovarajući ERL vrijednosti. Sve izmjerene koncentracije HCB-a i Lindana bile su na nivou BAC vrijednosti, dok su određena merenja Dieldrina i DDE(p,p’) dala vrijednosti koje su premašile EAC. Trend prosječnog sadržaja analiziranih OCls je opadajući tokom perioda istraživanja.</w:t>
      </w:r>
    </w:p>
    <w:p w14:paraId="43EEBE05" w14:textId="7579FCD6" w:rsidR="00085672" w:rsidRPr="005A1C76" w:rsidRDefault="001C2E7E" w:rsidP="00895AA8">
      <w:pPr>
        <w:widowControl w:val="0"/>
        <w:tabs>
          <w:tab w:val="left" w:pos="449"/>
        </w:tabs>
        <w:autoSpaceDE w:val="0"/>
        <w:autoSpaceDN w:val="0"/>
        <w:spacing w:before="0" w:after="0" w:line="259" w:lineRule="auto"/>
        <w:jc w:val="left"/>
        <w:rPr>
          <w:rFonts w:eastAsia="Calibri"/>
          <w:b/>
          <w:iCs/>
          <w:lang w:val="en-GB"/>
        </w:rPr>
      </w:pPr>
      <w:r w:rsidRPr="001C6CCA">
        <w:rPr>
          <w:rFonts w:eastAsia="Calibri" w:cs="Calibri"/>
          <w:b/>
          <w:i/>
          <w:w w:val="115"/>
          <w:sz w:val="20"/>
          <w:szCs w:val="20"/>
          <w:lang w:val="en-GB" w:eastAsia="en-US"/>
        </w:rPr>
        <w:br w:type="page"/>
      </w:r>
      <w:r w:rsidR="00085672" w:rsidRPr="005A1C76">
        <w:rPr>
          <w:rFonts w:eastAsia="Calibri"/>
          <w:b/>
          <w:iCs/>
          <w:lang w:val="en-GB"/>
        </w:rPr>
        <w:t>Pregled postignutog GES-a u bioti u istraživanom području morske sredine Crne Gore</w:t>
      </w:r>
    </w:p>
    <w:p w14:paraId="38FC8F79" w14:textId="77777777" w:rsidR="00085672" w:rsidRPr="005A1C76" w:rsidRDefault="00085672" w:rsidP="00085672">
      <w:pPr>
        <w:spacing w:after="0"/>
        <w:jc w:val="center"/>
        <w:rPr>
          <w:rFonts w:eastAsia="Calibri" w:cs="Calibri"/>
          <w:b/>
          <w:lang w:val="en-GB"/>
        </w:rPr>
      </w:pPr>
    </w:p>
    <w:p w14:paraId="4C18DDA3" w14:textId="77777777" w:rsidR="00085672" w:rsidRPr="005A1C76" w:rsidRDefault="00085672" w:rsidP="00085672">
      <w:pPr>
        <w:spacing w:after="0"/>
        <w:rPr>
          <w:rFonts w:eastAsia="Calibri"/>
          <w:lang w:val="en-GB"/>
        </w:rPr>
      </w:pPr>
      <w:r w:rsidRPr="005A1C76">
        <w:rPr>
          <w:rFonts w:eastAsia="Calibri"/>
          <w:lang w:val="en-GB"/>
        </w:rPr>
        <w:t>Na slikama 2.27 i 2.28 prikazani su procentualni nivoi statusa pojedinačnih i ukupnih metala, PAH-ova, PCB-a i organohlornih pesticida u bioti tokom perioda monitoringa na svim ispitivanim lokacijama morske sredine Crne Gore.</w:t>
      </w:r>
    </w:p>
    <w:p w14:paraId="3C198727" w14:textId="77777777" w:rsidR="00085672" w:rsidRPr="005A1C76" w:rsidRDefault="00085672" w:rsidP="00085672">
      <w:pPr>
        <w:spacing w:after="0"/>
        <w:rPr>
          <w:rFonts w:eastAsia="Calibri"/>
          <w:sz w:val="20"/>
          <w:szCs w:val="20"/>
          <w:lang w:val="en-GB"/>
        </w:rPr>
      </w:pPr>
    </w:p>
    <w:tbl>
      <w:tblPr>
        <w:tblStyle w:val="GolderTable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2"/>
        <w:gridCol w:w="4629"/>
      </w:tblGrid>
      <w:tr w:rsidR="00085672" w:rsidRPr="005A1C76" w14:paraId="50FAA0B0" w14:textId="77777777" w:rsidTr="00085672">
        <w:trPr>
          <w:trHeight w:val="2564"/>
        </w:trPr>
        <w:tc>
          <w:tcPr>
            <w:tcW w:w="2437" w:type="pct"/>
          </w:tcPr>
          <w:p w14:paraId="3A62AFD2" w14:textId="77777777" w:rsidR="00085672" w:rsidRPr="005A1C76" w:rsidRDefault="00085672" w:rsidP="00085672">
            <w:pPr>
              <w:rPr>
                <w:sz w:val="20"/>
                <w:szCs w:val="20"/>
                <w:lang w:val="en-GB"/>
              </w:rPr>
            </w:pPr>
            <w:r w:rsidRPr="005A1C76">
              <w:rPr>
                <w:noProof/>
                <w:sz w:val="20"/>
                <w:szCs w:val="20"/>
                <w:lang w:eastAsia="en-US"/>
              </w:rPr>
              <w:drawing>
                <wp:inline distT="0" distB="0" distL="0" distR="0" wp14:anchorId="15ABD5E1" wp14:editId="7C38D61A">
                  <wp:extent cx="2788920" cy="1619250"/>
                  <wp:effectExtent l="0" t="0" r="11430" b="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tc>
        <w:tc>
          <w:tcPr>
            <w:tcW w:w="2563" w:type="pct"/>
          </w:tcPr>
          <w:p w14:paraId="76FFDE28" w14:textId="77777777" w:rsidR="00085672" w:rsidRPr="005A1C76" w:rsidRDefault="00085672" w:rsidP="00085672">
            <w:pPr>
              <w:rPr>
                <w:sz w:val="20"/>
                <w:szCs w:val="20"/>
                <w:lang w:val="en-GB"/>
              </w:rPr>
            </w:pPr>
            <w:r w:rsidRPr="005A1C76">
              <w:rPr>
                <w:noProof/>
                <w:sz w:val="20"/>
                <w:szCs w:val="20"/>
                <w:lang w:eastAsia="en-US"/>
              </w:rPr>
              <w:drawing>
                <wp:inline distT="0" distB="0" distL="0" distR="0" wp14:anchorId="2B7A9A95" wp14:editId="198918C7">
                  <wp:extent cx="2938054" cy="1619250"/>
                  <wp:effectExtent l="0" t="0" r="15240" b="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tc>
      </w:tr>
      <w:tr w:rsidR="00085672" w:rsidRPr="005A1C76" w14:paraId="0EE6D237" w14:textId="77777777" w:rsidTr="00085672">
        <w:trPr>
          <w:trHeight w:val="2690"/>
        </w:trPr>
        <w:tc>
          <w:tcPr>
            <w:tcW w:w="2437" w:type="pct"/>
          </w:tcPr>
          <w:p w14:paraId="39F35907" w14:textId="77777777" w:rsidR="00085672" w:rsidRPr="005A1C76" w:rsidRDefault="00085672" w:rsidP="00085672">
            <w:pPr>
              <w:rPr>
                <w:sz w:val="20"/>
                <w:szCs w:val="20"/>
                <w:lang w:val="en-GB"/>
              </w:rPr>
            </w:pPr>
            <w:r w:rsidRPr="005A1C76">
              <w:rPr>
                <w:noProof/>
                <w:sz w:val="20"/>
                <w:szCs w:val="20"/>
                <w:lang w:eastAsia="en-US"/>
              </w:rPr>
              <w:drawing>
                <wp:inline distT="0" distB="0" distL="0" distR="0" wp14:anchorId="3B884B2E" wp14:editId="76B90916">
                  <wp:extent cx="2788920" cy="1658620"/>
                  <wp:effectExtent l="0" t="0" r="11430" b="1778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tc>
        <w:tc>
          <w:tcPr>
            <w:tcW w:w="2563" w:type="pct"/>
          </w:tcPr>
          <w:p w14:paraId="47AB3A42" w14:textId="77777777" w:rsidR="00085672" w:rsidRPr="005A1C76" w:rsidRDefault="00085672" w:rsidP="00085672">
            <w:pPr>
              <w:keepNext/>
              <w:rPr>
                <w:sz w:val="20"/>
                <w:szCs w:val="20"/>
                <w:lang w:val="en-GB"/>
              </w:rPr>
            </w:pPr>
            <w:r w:rsidRPr="005A1C76">
              <w:rPr>
                <w:noProof/>
                <w:sz w:val="20"/>
                <w:szCs w:val="20"/>
                <w:lang w:eastAsia="en-US"/>
              </w:rPr>
              <w:drawing>
                <wp:inline distT="0" distB="0" distL="0" distR="0" wp14:anchorId="339E87FB" wp14:editId="63D36CBE">
                  <wp:extent cx="2937510" cy="1658620"/>
                  <wp:effectExtent l="0" t="0" r="15240" b="1778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tc>
      </w:tr>
    </w:tbl>
    <w:p w14:paraId="379DB597" w14:textId="77777777" w:rsidR="000413B6" w:rsidRPr="005A1C76" w:rsidRDefault="000413B6" w:rsidP="000413B6">
      <w:pPr>
        <w:spacing w:after="0" w:line="240" w:lineRule="auto"/>
        <w:rPr>
          <w:rFonts w:eastAsia="Calibri"/>
          <w:b/>
          <w:iCs/>
          <w:lang w:val="en-GB"/>
        </w:rPr>
      </w:pPr>
      <w:bookmarkStart w:id="209" w:name="_Toc83636918"/>
      <w:r w:rsidRPr="005A1C76">
        <w:rPr>
          <w:rFonts w:eastAsia="Calibri"/>
          <w:b/>
          <w:iCs/>
          <w:lang w:val="en-GB"/>
        </w:rPr>
        <w:t xml:space="preserve">Slika </w:t>
      </w:r>
      <w:r w:rsidRPr="005A1C76">
        <w:rPr>
          <w:rFonts w:eastAsia="Calibri" w:cs="Calibri"/>
          <w:b/>
          <w:iCs/>
          <w:lang w:val="en-GB"/>
        </w:rPr>
        <w:fldChar w:fldCharType="begin"/>
      </w:r>
      <w:r w:rsidRPr="005A1C76">
        <w:rPr>
          <w:rFonts w:eastAsia="Calibri" w:cs="Calibri"/>
          <w:b/>
          <w:iCs/>
          <w:lang w:val="en-GB"/>
        </w:rPr>
        <w:instrText xml:space="preserve"> STYLEREF 1 \s </w:instrText>
      </w:r>
      <w:r w:rsidRPr="005A1C76">
        <w:rPr>
          <w:rFonts w:eastAsia="Calibri" w:cs="Calibri"/>
          <w:b/>
          <w:iCs/>
          <w:lang w:val="en-GB"/>
        </w:rPr>
        <w:fldChar w:fldCharType="separate"/>
      </w:r>
      <w:r w:rsidR="000D1E20">
        <w:rPr>
          <w:rFonts w:eastAsia="Calibri" w:cs="Calibri"/>
          <w:b/>
          <w:iCs/>
          <w:noProof/>
          <w:lang w:val="en-GB"/>
        </w:rPr>
        <w:t>2</w:t>
      </w:r>
      <w:r w:rsidRPr="005A1C76">
        <w:rPr>
          <w:rFonts w:eastAsia="Calibri" w:cs="Calibri"/>
          <w:b/>
          <w:iCs/>
          <w:lang w:val="en-GB"/>
        </w:rPr>
        <w:fldChar w:fldCharType="end"/>
      </w:r>
      <w:r w:rsidRPr="005A1C76">
        <w:rPr>
          <w:rFonts w:eastAsia="Calibri" w:cs="Calibri"/>
          <w:b/>
          <w:iCs/>
          <w:lang w:val="en-GB"/>
        </w:rPr>
        <w:t>.</w:t>
      </w:r>
      <w:r w:rsidRPr="005A1C76">
        <w:rPr>
          <w:rFonts w:eastAsia="Calibri" w:cs="Calibri"/>
          <w:b/>
          <w:iCs/>
          <w:lang w:val="en-GB"/>
        </w:rPr>
        <w:fldChar w:fldCharType="begin"/>
      </w:r>
      <w:r w:rsidRPr="005A1C76">
        <w:rPr>
          <w:rFonts w:eastAsia="Calibri" w:cs="Calibri"/>
          <w:b/>
          <w:iCs/>
          <w:lang w:val="en-GB"/>
        </w:rPr>
        <w:instrText xml:space="preserve"> SEQ Figure \* ARABIC \s 1 </w:instrText>
      </w:r>
      <w:r w:rsidRPr="005A1C76">
        <w:rPr>
          <w:rFonts w:eastAsia="Calibri" w:cs="Calibri"/>
          <w:b/>
          <w:iCs/>
          <w:lang w:val="en-GB"/>
        </w:rPr>
        <w:fldChar w:fldCharType="separate"/>
      </w:r>
      <w:r w:rsidR="000D1E20">
        <w:rPr>
          <w:rFonts w:eastAsia="Calibri" w:cs="Calibri"/>
          <w:b/>
          <w:iCs/>
          <w:noProof/>
          <w:lang w:val="en-GB"/>
        </w:rPr>
        <w:t>23</w:t>
      </w:r>
      <w:r w:rsidRPr="005A1C76">
        <w:rPr>
          <w:rFonts w:eastAsia="Calibri" w:cs="Calibri"/>
          <w:b/>
          <w:iCs/>
          <w:lang w:val="en-GB"/>
        </w:rPr>
        <w:fldChar w:fldCharType="end"/>
      </w:r>
      <w:r w:rsidRPr="005A1C76">
        <w:t>.</w:t>
      </w:r>
      <w:r w:rsidRPr="005A1C76">
        <w:rPr>
          <w:rFonts w:eastAsia="Calibri" w:cs="Calibri"/>
          <w:lang w:val="en-GB"/>
        </w:rPr>
        <w:t xml:space="preserve">  </w:t>
      </w:r>
      <w:r w:rsidRPr="005A1C76">
        <w:rPr>
          <w:rFonts w:eastAsia="Calibri"/>
          <w:b/>
          <w:iCs/>
          <w:lang w:val="en-GB"/>
        </w:rPr>
        <w:t>Procentni nivoi pojedinačnih i ukupnih metala i PAH-ova u bioti tokom cijelog perioda istraživanja morske sredine Crne Gore</w:t>
      </w:r>
      <w:bookmarkEnd w:id="209"/>
    </w:p>
    <w:p w14:paraId="481B5276" w14:textId="77777777" w:rsidR="00085672" w:rsidRPr="005A1C76" w:rsidRDefault="00085672" w:rsidP="00085672">
      <w:pPr>
        <w:spacing w:after="0"/>
        <w:rPr>
          <w:rFonts w:eastAsia="Calibri"/>
          <w:lang w:val="en-GB"/>
        </w:rPr>
      </w:pPr>
    </w:p>
    <w:p w14:paraId="5B374179" w14:textId="77777777" w:rsidR="00085672" w:rsidRPr="005A1C76" w:rsidRDefault="00085672" w:rsidP="00085672">
      <w:pPr>
        <w:rPr>
          <w:rFonts w:eastAsia="Calibri" w:cs="Calibri"/>
          <w:lang w:val="en-GB"/>
        </w:rPr>
      </w:pPr>
      <w:r w:rsidRPr="005A1C76">
        <w:rPr>
          <w:rFonts w:eastAsia="Calibri" w:cs="Calibri"/>
          <w:lang w:val="en-GB"/>
        </w:rPr>
        <w:t>Pregled svih rezultata analize teških metala u bioti, koji su ovde predstavljeni, pokazuje da je 38% izmjerenih vrijednosti ispod nivoa BAC dok se 55% izmjerenih vrijednosti mjerenja nalzi se između BAC i EC vrijednosti. Olovo je jedini metal čija vrijednost prelazi granicu EC i to čini 7% od ukupno izmjerenih vrijednosti. Trend koncentracija Cd, Hg, Cu i Zn u ispitivanom periodu je opadajući, dok izmereni sadržaj Pb u bioti ima trend rasta u ovom vremenskom periodu.</w:t>
      </w:r>
    </w:p>
    <w:p w14:paraId="71D7992B" w14:textId="77777777" w:rsidR="00085672" w:rsidRPr="005A1C76" w:rsidRDefault="00085672" w:rsidP="00085672">
      <w:pPr>
        <w:rPr>
          <w:rFonts w:eastAsia="Calibri" w:cs="Calibri"/>
          <w:lang w:val="en-GB"/>
        </w:rPr>
      </w:pPr>
      <w:r w:rsidRPr="005A1C76">
        <w:rPr>
          <w:rFonts w:eastAsia="Calibri" w:cs="Calibri"/>
          <w:lang w:val="en-GB"/>
        </w:rPr>
        <w:t>Pregled rezultata analize PAH-ova u bioti pokazuje da nijedan od prosječnih izmerenih sadržaja nije premašio definisane vrijednosti za EAC, 69% izmjerenih vrijednosti bilo je ispod BAC vrijednosti a 23% između vrijednosti BAC i EAC. Sa izuzetkom naftalena, sadržaj svih analiziranih PAH se smanjio tokom perioda istraživanja.</w:t>
      </w:r>
    </w:p>
    <w:p w14:paraId="771BFB22" w14:textId="77777777" w:rsidR="00085672" w:rsidRPr="005A1C76" w:rsidRDefault="00085672" w:rsidP="00085672">
      <w:pPr>
        <w:spacing w:after="0"/>
        <w:rPr>
          <w:rFonts w:eastAsia="Calibri"/>
          <w:lang w:val="en-GB"/>
        </w:rPr>
      </w:pPr>
    </w:p>
    <w:p w14:paraId="077E3294" w14:textId="77777777" w:rsidR="00085672" w:rsidRPr="005A1C76" w:rsidRDefault="00085672" w:rsidP="00085672">
      <w:pPr>
        <w:spacing w:after="0"/>
        <w:rPr>
          <w:rFonts w:eastAsia="Calibri"/>
          <w:lang w:val="en-GB"/>
        </w:rPr>
      </w:pPr>
    </w:p>
    <w:p w14:paraId="0F67088C" w14:textId="77777777" w:rsidR="00085672" w:rsidRPr="005A1C76" w:rsidRDefault="00085672" w:rsidP="00085672">
      <w:pPr>
        <w:spacing w:after="0"/>
        <w:rPr>
          <w:rFonts w:eastAsia="Calibri"/>
          <w:sz w:val="20"/>
          <w:szCs w:val="20"/>
          <w:lang w:val="en-GB"/>
        </w:rPr>
      </w:pPr>
    </w:p>
    <w:p w14:paraId="7EBF9FD9" w14:textId="77777777" w:rsidR="00085672" w:rsidRPr="005A1C76" w:rsidRDefault="00085672" w:rsidP="00085672">
      <w:pPr>
        <w:spacing w:after="0"/>
        <w:rPr>
          <w:rFonts w:eastAsia="Calibri"/>
          <w:sz w:val="20"/>
          <w:szCs w:val="20"/>
          <w:lang w:val="en-GB"/>
        </w:rPr>
      </w:pPr>
    </w:p>
    <w:p w14:paraId="1864427E" w14:textId="77777777" w:rsidR="00085672" w:rsidRPr="005A1C76" w:rsidRDefault="00085672" w:rsidP="00085672">
      <w:pPr>
        <w:spacing w:after="0"/>
        <w:rPr>
          <w:rFonts w:eastAsia="Calibri"/>
          <w:sz w:val="20"/>
          <w:szCs w:val="20"/>
          <w:lang w:val="en-GB"/>
        </w:rPr>
      </w:pPr>
    </w:p>
    <w:p w14:paraId="6F48C1C7" w14:textId="5DC0A2AC" w:rsidR="00085672" w:rsidRPr="005A1C76" w:rsidRDefault="00085672" w:rsidP="00085672">
      <w:pPr>
        <w:spacing w:after="0"/>
        <w:rPr>
          <w:rFonts w:eastAsia="Calibri"/>
          <w:sz w:val="20"/>
          <w:szCs w:val="20"/>
          <w:lang w:val="en-GB"/>
        </w:rPr>
      </w:pPr>
    </w:p>
    <w:tbl>
      <w:tblPr>
        <w:tblStyle w:val="GolderTable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7"/>
        <w:gridCol w:w="4674"/>
      </w:tblGrid>
      <w:tr w:rsidR="00085672" w:rsidRPr="005A1C76" w14:paraId="4AD84A1D" w14:textId="77777777" w:rsidTr="000413B6">
        <w:tc>
          <w:tcPr>
            <w:tcW w:w="2412" w:type="pct"/>
          </w:tcPr>
          <w:p w14:paraId="553ED857" w14:textId="77777777" w:rsidR="00085672" w:rsidRPr="005A1C76" w:rsidRDefault="00085672" w:rsidP="00085672">
            <w:pPr>
              <w:jc w:val="center"/>
              <w:rPr>
                <w:sz w:val="20"/>
                <w:szCs w:val="20"/>
                <w:lang w:val="en-GB"/>
              </w:rPr>
            </w:pPr>
            <w:r w:rsidRPr="005A1C76">
              <w:rPr>
                <w:noProof/>
                <w:sz w:val="20"/>
                <w:szCs w:val="20"/>
                <w:lang w:eastAsia="en-US"/>
              </w:rPr>
              <w:drawing>
                <wp:inline distT="0" distB="0" distL="0" distR="0" wp14:anchorId="40FF9695" wp14:editId="284098A3">
                  <wp:extent cx="2743200" cy="1612900"/>
                  <wp:effectExtent l="0" t="0" r="0" b="635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tc>
        <w:tc>
          <w:tcPr>
            <w:tcW w:w="2588" w:type="pct"/>
          </w:tcPr>
          <w:p w14:paraId="66FE74EB" w14:textId="77777777" w:rsidR="00085672" w:rsidRPr="005A1C76" w:rsidRDefault="00085672" w:rsidP="00085672">
            <w:pPr>
              <w:jc w:val="center"/>
              <w:rPr>
                <w:sz w:val="20"/>
                <w:szCs w:val="20"/>
                <w:lang w:val="en-GB"/>
              </w:rPr>
            </w:pPr>
            <w:r w:rsidRPr="005A1C76">
              <w:rPr>
                <w:noProof/>
                <w:sz w:val="20"/>
                <w:szCs w:val="20"/>
                <w:lang w:eastAsia="en-US"/>
              </w:rPr>
              <w:drawing>
                <wp:inline distT="0" distB="0" distL="0" distR="0" wp14:anchorId="512C7C22" wp14:editId="32A2F2CD">
                  <wp:extent cx="2924175" cy="1612900"/>
                  <wp:effectExtent l="0" t="0" r="9525" b="635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tc>
      </w:tr>
      <w:tr w:rsidR="00085672" w:rsidRPr="005A1C76" w14:paraId="31A5DE3A" w14:textId="77777777" w:rsidTr="000413B6">
        <w:tc>
          <w:tcPr>
            <w:tcW w:w="2412" w:type="pct"/>
          </w:tcPr>
          <w:p w14:paraId="66A02634" w14:textId="77777777" w:rsidR="00085672" w:rsidRPr="005A1C76" w:rsidRDefault="00085672" w:rsidP="00085672">
            <w:pPr>
              <w:jc w:val="center"/>
              <w:rPr>
                <w:sz w:val="20"/>
                <w:szCs w:val="20"/>
                <w:lang w:val="en-GB"/>
              </w:rPr>
            </w:pPr>
            <w:r w:rsidRPr="005A1C76">
              <w:rPr>
                <w:noProof/>
                <w:sz w:val="20"/>
                <w:szCs w:val="20"/>
                <w:lang w:eastAsia="en-US"/>
              </w:rPr>
              <w:drawing>
                <wp:inline distT="0" distB="0" distL="0" distR="0" wp14:anchorId="30498322" wp14:editId="0F386EF8">
                  <wp:extent cx="2743200" cy="1515291"/>
                  <wp:effectExtent l="0" t="0" r="0" b="889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tc>
        <w:tc>
          <w:tcPr>
            <w:tcW w:w="2588" w:type="pct"/>
          </w:tcPr>
          <w:p w14:paraId="28E699C5" w14:textId="77777777" w:rsidR="00085672" w:rsidRPr="005A1C76" w:rsidRDefault="00085672" w:rsidP="00085672">
            <w:pPr>
              <w:keepNext/>
              <w:jc w:val="center"/>
              <w:rPr>
                <w:sz w:val="20"/>
                <w:szCs w:val="20"/>
                <w:lang w:val="en-GB"/>
              </w:rPr>
            </w:pPr>
            <w:r w:rsidRPr="005A1C76">
              <w:rPr>
                <w:noProof/>
                <w:sz w:val="20"/>
                <w:szCs w:val="20"/>
                <w:lang w:eastAsia="en-US"/>
              </w:rPr>
              <w:drawing>
                <wp:inline distT="0" distB="0" distL="0" distR="0" wp14:anchorId="0305DBBE" wp14:editId="12CBAB9E">
                  <wp:extent cx="2945130" cy="1515110"/>
                  <wp:effectExtent l="0" t="0" r="7620" b="889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tc>
      </w:tr>
    </w:tbl>
    <w:p w14:paraId="434B31BC" w14:textId="12D8D13C" w:rsidR="00085672" w:rsidRPr="005A1C76" w:rsidRDefault="000413B6" w:rsidP="00085672">
      <w:pPr>
        <w:rPr>
          <w:rFonts w:eastAsia="Calibri"/>
          <w:iCs/>
          <w:color w:val="44546A"/>
          <w:lang w:val="en-GB"/>
        </w:rPr>
      </w:pPr>
      <w:bookmarkStart w:id="210" w:name="_Toc83636919"/>
      <w:r w:rsidRPr="005A1C76">
        <w:rPr>
          <w:rFonts w:eastAsia="Calibri"/>
          <w:b/>
          <w:iCs/>
          <w:lang w:val="en-GB"/>
        </w:rPr>
        <w:t xml:space="preserve">Slika </w:t>
      </w:r>
      <w:r w:rsidRPr="005A1C76">
        <w:rPr>
          <w:rFonts w:eastAsia="Calibri" w:cs="Calibri"/>
          <w:b/>
          <w:iCs/>
          <w:lang w:val="en-GB"/>
        </w:rPr>
        <w:fldChar w:fldCharType="begin"/>
      </w:r>
      <w:r w:rsidRPr="005A1C76">
        <w:rPr>
          <w:rFonts w:eastAsia="Calibri" w:cs="Calibri"/>
          <w:b/>
          <w:iCs/>
          <w:lang w:val="en-GB"/>
        </w:rPr>
        <w:instrText xml:space="preserve"> STYLEREF 1 \s </w:instrText>
      </w:r>
      <w:r w:rsidRPr="005A1C76">
        <w:rPr>
          <w:rFonts w:eastAsia="Calibri" w:cs="Calibri"/>
          <w:b/>
          <w:iCs/>
          <w:lang w:val="en-GB"/>
        </w:rPr>
        <w:fldChar w:fldCharType="separate"/>
      </w:r>
      <w:r w:rsidR="000D1E20">
        <w:rPr>
          <w:rFonts w:eastAsia="Calibri" w:cs="Calibri"/>
          <w:b/>
          <w:iCs/>
          <w:noProof/>
          <w:lang w:val="en-GB"/>
        </w:rPr>
        <w:t>2</w:t>
      </w:r>
      <w:r w:rsidRPr="005A1C76">
        <w:rPr>
          <w:rFonts w:eastAsia="Calibri" w:cs="Calibri"/>
          <w:b/>
          <w:iCs/>
          <w:lang w:val="en-GB"/>
        </w:rPr>
        <w:fldChar w:fldCharType="end"/>
      </w:r>
      <w:r w:rsidRPr="005A1C76">
        <w:rPr>
          <w:rFonts w:eastAsia="Calibri" w:cs="Calibri"/>
          <w:b/>
          <w:iCs/>
          <w:lang w:val="en-GB"/>
        </w:rPr>
        <w:t>.</w:t>
      </w:r>
      <w:r w:rsidRPr="005A1C76">
        <w:rPr>
          <w:rFonts w:eastAsia="Calibri" w:cs="Calibri"/>
          <w:b/>
          <w:iCs/>
          <w:lang w:val="en-GB"/>
        </w:rPr>
        <w:fldChar w:fldCharType="begin"/>
      </w:r>
      <w:r w:rsidRPr="005A1C76">
        <w:rPr>
          <w:rFonts w:eastAsia="Calibri" w:cs="Calibri"/>
          <w:b/>
          <w:iCs/>
          <w:lang w:val="en-GB"/>
        </w:rPr>
        <w:instrText xml:space="preserve"> SEQ Figure \* ARABIC \s 1 </w:instrText>
      </w:r>
      <w:r w:rsidRPr="005A1C76">
        <w:rPr>
          <w:rFonts w:eastAsia="Calibri" w:cs="Calibri"/>
          <w:b/>
          <w:iCs/>
          <w:lang w:val="en-GB"/>
        </w:rPr>
        <w:fldChar w:fldCharType="separate"/>
      </w:r>
      <w:r w:rsidR="000D1E20">
        <w:rPr>
          <w:rFonts w:eastAsia="Calibri" w:cs="Calibri"/>
          <w:b/>
          <w:iCs/>
          <w:noProof/>
          <w:lang w:val="en-GB"/>
        </w:rPr>
        <w:t>24</w:t>
      </w:r>
      <w:r w:rsidRPr="005A1C76">
        <w:rPr>
          <w:rFonts w:eastAsia="Calibri" w:cs="Calibri"/>
          <w:b/>
          <w:iCs/>
          <w:lang w:val="en-GB"/>
        </w:rPr>
        <w:fldChar w:fldCharType="end"/>
      </w:r>
      <w:r w:rsidRPr="005A1C76">
        <w:t>.</w:t>
      </w:r>
      <w:r w:rsidRPr="005A1C76">
        <w:rPr>
          <w:rFonts w:eastAsia="Calibri" w:cs="Calibri"/>
          <w:lang w:val="en-GB"/>
        </w:rPr>
        <w:t xml:space="preserve">  </w:t>
      </w:r>
      <w:r w:rsidRPr="005A1C76">
        <w:rPr>
          <w:rFonts w:eastAsia="Calibri"/>
          <w:b/>
          <w:iCs/>
          <w:lang w:val="en-GB"/>
        </w:rPr>
        <w:t>Procentni nivoi sadržaja pojedinačnih i ukupnih PCB-a, TBT i OCL u bioti tokom perioda istraživanja morske sredine Crne Gore</w:t>
      </w:r>
      <w:bookmarkEnd w:id="210"/>
    </w:p>
    <w:p w14:paraId="36BFCAE5" w14:textId="77777777" w:rsidR="00085672" w:rsidRPr="005A1C76" w:rsidRDefault="00085672" w:rsidP="00085672">
      <w:pPr>
        <w:rPr>
          <w:rFonts w:eastAsia="Calibri"/>
          <w:lang w:val="en-GB"/>
        </w:rPr>
      </w:pPr>
      <w:r w:rsidRPr="005A1C76">
        <w:rPr>
          <w:rFonts w:eastAsia="Calibri"/>
          <w:lang w:val="en-GB"/>
        </w:rPr>
        <w:t>Analiza rezultata PCB-a pokazuje da su vrijednosti PCB 101, PCB118 i PCB 138 premašile EAC i da to čini 14% izmjerenih vrijednosti. Od svih mjerenja sadržaja PCB-a u bioti, 38% je dalo vrijednosti ispod BAC, a 48% je bilo u interval između BAC i EAC. Trend prosječnih koncentracija svih analiziranih PCB kongenera u bioti tokom perioda istraživanja opada.</w:t>
      </w:r>
    </w:p>
    <w:p w14:paraId="76D7859C" w14:textId="77777777" w:rsidR="00085672" w:rsidRPr="005A1C76" w:rsidRDefault="00085672" w:rsidP="00085672">
      <w:pPr>
        <w:rPr>
          <w:rFonts w:eastAsia="Calibri"/>
          <w:lang w:val="en-GB"/>
        </w:rPr>
      </w:pPr>
      <w:r w:rsidRPr="005A1C76">
        <w:rPr>
          <w:rFonts w:eastAsia="Calibri"/>
          <w:lang w:val="en-GB"/>
        </w:rPr>
        <w:t>Analiza rezultata sadržaja TBT u bioti pokazuje da čak 82% izmerenih vrijednosti značajno premašuje EAC vrijednost. Između BAC i EAC vrijednosti nalazi se 9% merenja, a isti procenat je bio ispod nivoa BAC. Karakteristično je da praćenje trenda sadržaja TBT na ovim lokacijama pokazuje samo blagi pad tokom monitoringa.</w:t>
      </w:r>
    </w:p>
    <w:p w14:paraId="452DAA62" w14:textId="77777777" w:rsidR="00085672" w:rsidRPr="005A1C76" w:rsidRDefault="00085672" w:rsidP="00085672">
      <w:pPr>
        <w:rPr>
          <w:rFonts w:eastAsia="Calibri"/>
          <w:lang w:val="en-GB"/>
        </w:rPr>
      </w:pPr>
      <w:r w:rsidRPr="005A1C76">
        <w:rPr>
          <w:rFonts w:eastAsia="Calibri"/>
          <w:lang w:val="en-GB"/>
        </w:rPr>
        <w:t>Pregled ovdje predstavljenih rezultata analize organohlornih pesticida pokazuju da su svi izmereni sadržaji bili na nivou BAC vrijednosti.</w:t>
      </w:r>
    </w:p>
    <w:p w14:paraId="03EE3D0F" w14:textId="77777777" w:rsidR="00085672" w:rsidRPr="005A1C76" w:rsidRDefault="00085672" w:rsidP="00085672">
      <w:pPr>
        <w:rPr>
          <w:rFonts w:eastAsia="Calibri" w:cs="Calibri"/>
          <w:b/>
          <w:i/>
          <w:color w:val="FF0000"/>
          <w:w w:val="115"/>
          <w:lang w:val="en-GB"/>
        </w:rPr>
      </w:pPr>
    </w:p>
    <w:p w14:paraId="65A9188D" w14:textId="77777777" w:rsidR="00085672" w:rsidRPr="005A1C76" w:rsidRDefault="00085672" w:rsidP="00085672">
      <w:pPr>
        <w:rPr>
          <w:rFonts w:eastAsia="Calibri"/>
          <w:b/>
          <w:iCs/>
          <w:lang w:val="en-GB"/>
        </w:rPr>
      </w:pPr>
      <w:r w:rsidRPr="005A1C76">
        <w:rPr>
          <w:rFonts w:eastAsia="Calibri"/>
          <w:b/>
          <w:iCs/>
          <w:lang w:val="en-GB"/>
        </w:rPr>
        <w:t>Procjena GES-a za teške metale i organske kontaminante u morskoj vodi</w:t>
      </w:r>
    </w:p>
    <w:p w14:paraId="231FCA97" w14:textId="77777777" w:rsidR="00085672" w:rsidRPr="005A1C76" w:rsidRDefault="00085672" w:rsidP="00085672">
      <w:pPr>
        <w:rPr>
          <w:rFonts w:eastAsia="Calibri" w:cs="Calibri"/>
          <w:lang w:val="en-GB"/>
        </w:rPr>
      </w:pPr>
      <w:r w:rsidRPr="005A1C76">
        <w:rPr>
          <w:rFonts w:eastAsia="Calibri" w:cs="Calibri"/>
          <w:lang w:val="en-GB"/>
        </w:rPr>
        <w:t>Teški metali, PAH-ovi i organohlorni pesticidi u morskoj vodi analizirani su u periodu 2009-2011 i 2016-2019. Rezultati analize metala (olovo, kadmijum, nikl i živa), PAH-ova (naftalen, antracen, fluoranten, benzo(b)fluoranten, benzo(k)fluoranten, benzo(a)piren i benzo(ghi)perilen) i organohlornih pesticida (HCB, a-BHC, b-BHC, d-BHC, a-Endosulfan, b-Endosulfan, Heptachlor i Heptachlor epoksid) u morskoj vodi poređeni su sa maksimalno dozvoljenom koncentracijom određenom standardom kvaliteta životne sredine utvrđenim u Dijelu A Aneksa II Direktive 2013/39/EU (o izmenama Direktive 2000/60/EC i 2008/105/EC u pogledu prioritetnih supstanci u oblasti vodene politike). Svi rezultati dobijeni tokom perioda praćenja su ispod maksimalno dozvoljenih vrijednosti.</w:t>
      </w:r>
    </w:p>
    <w:p w14:paraId="0FA1A862" w14:textId="77777777" w:rsidR="00AE2F6D" w:rsidRPr="001C6CCA" w:rsidRDefault="00AE2F6D" w:rsidP="00E21C0E">
      <w:pPr>
        <w:spacing w:before="0" w:after="160"/>
        <w:rPr>
          <w:rFonts w:eastAsia="Calibri"/>
          <w:szCs w:val="22"/>
          <w:lang w:val="en-GB" w:eastAsia="en-US"/>
        </w:rPr>
      </w:pPr>
    </w:p>
    <w:p w14:paraId="4BB7D5AE" w14:textId="5ABF47D9" w:rsidR="00085672" w:rsidRPr="00085672" w:rsidRDefault="00085672" w:rsidP="00085672">
      <w:pPr>
        <w:pStyle w:val="Heading3"/>
        <w:rPr>
          <w:rFonts w:eastAsia="Calibri"/>
          <w:lang w:val="en-GB" w:eastAsia="en-US"/>
        </w:rPr>
      </w:pPr>
      <w:bookmarkStart w:id="211" w:name="_Toc83630938"/>
      <w:r w:rsidRPr="00085672">
        <w:rPr>
          <w:rFonts w:eastAsia="Calibri"/>
          <w:color w:val="365F91"/>
          <w:lang w:val="en-GB"/>
        </w:rPr>
        <w:t>Procjena GES-a za Deskriptor 8</w:t>
      </w:r>
      <w:bookmarkEnd w:id="211"/>
    </w:p>
    <w:p w14:paraId="7FBDFA20" w14:textId="77777777" w:rsidR="00085672" w:rsidRPr="005A1C76" w:rsidRDefault="00085672" w:rsidP="00085672">
      <w:pPr>
        <w:rPr>
          <w:rFonts w:eastAsia="Calibri" w:cs="Calibri"/>
          <w:lang w:val="en-GB"/>
        </w:rPr>
      </w:pPr>
      <w:bookmarkStart w:id="212" w:name="_Toc68078519"/>
      <w:bookmarkStart w:id="213" w:name="_Toc68180784"/>
      <w:r w:rsidRPr="005A1C76">
        <w:rPr>
          <w:rFonts w:eastAsia="Calibri" w:cs="Calibri"/>
          <w:lang w:val="en-GB"/>
        </w:rPr>
        <w:t>Procjena GES-a za analizirane organske i neorganske kontaminante u sedimentu i bioti (</w:t>
      </w:r>
      <w:r w:rsidRPr="00960C00">
        <w:rPr>
          <w:rFonts w:eastAsia="Calibri" w:cs="Calibri"/>
          <w:i/>
          <w:lang w:val="en-GB"/>
        </w:rPr>
        <w:t>Mitilus galloprovincialis</w:t>
      </w:r>
      <w:r w:rsidRPr="005A1C76">
        <w:rPr>
          <w:rFonts w:eastAsia="Calibri" w:cs="Calibri"/>
          <w:lang w:val="en-GB"/>
        </w:rPr>
        <w:t>) izvršena je upoređivanjem prosječnih vrijednosti koncentracija kontaminanata tokom perioda istraživanja sa kriterijumima propisanim od strane UNEP/MAP i OSPAR. Poređenje je izvršeno kako bi se utvrdilo da li su izmjerene koncentracije zagađivača dostigle definisane granične vrijednosti koje su bliske prirodnim koncentracijama (BAC) ili granične vrijednosti kod kojih se mogu očekivati neželjeni efekti (ERL ili EAC), kao i da bi se utvrdila razmjera izmjerenih zagađivača za koje su dostignute ove granične vrijednosti.</w:t>
      </w:r>
    </w:p>
    <w:p w14:paraId="36318FE4" w14:textId="77777777" w:rsidR="00085672" w:rsidRPr="005A1C76" w:rsidRDefault="00085672" w:rsidP="00085672">
      <w:pPr>
        <w:tabs>
          <w:tab w:val="left" w:pos="7328"/>
        </w:tabs>
        <w:rPr>
          <w:rFonts w:eastAsia="Calibri" w:cs="Calibri"/>
          <w:lang w:val="en-GB"/>
        </w:rPr>
      </w:pPr>
      <w:r w:rsidRPr="005A1C76">
        <w:rPr>
          <w:rFonts w:eastAsia="Calibri" w:cs="Calibri"/>
          <w:lang w:val="en-GB"/>
        </w:rPr>
        <w:t>Rezultati analiziranih kontaminanata u sedimentu i bioti pokazuju da:</w:t>
      </w:r>
    </w:p>
    <w:p w14:paraId="2669F7D2" w14:textId="77777777" w:rsidR="00085672" w:rsidRPr="005A1C76" w:rsidRDefault="00085672" w:rsidP="00C52E6F">
      <w:pPr>
        <w:numPr>
          <w:ilvl w:val="0"/>
          <w:numId w:val="70"/>
        </w:numPr>
        <w:tabs>
          <w:tab w:val="left" w:pos="7328"/>
        </w:tabs>
        <w:contextualSpacing/>
        <w:rPr>
          <w:rFonts w:eastAsia="Calibri" w:cs="Calibri"/>
          <w:lang w:val="en-GB"/>
        </w:rPr>
      </w:pPr>
      <w:r w:rsidRPr="005A1C76">
        <w:rPr>
          <w:rFonts w:eastAsia="Calibri" w:cs="Calibri"/>
          <w:lang w:val="en-GB"/>
        </w:rPr>
        <w:t>u sedimentu nije postignuto dobar hemijski status na 12 lokacija (tabela 2.35).</w:t>
      </w:r>
    </w:p>
    <w:p w14:paraId="4A54EC89" w14:textId="77777777" w:rsidR="00085672" w:rsidRPr="005A1C76" w:rsidRDefault="00085672" w:rsidP="00C52E6F">
      <w:pPr>
        <w:numPr>
          <w:ilvl w:val="0"/>
          <w:numId w:val="70"/>
        </w:numPr>
        <w:tabs>
          <w:tab w:val="left" w:pos="7328"/>
        </w:tabs>
        <w:contextualSpacing/>
        <w:rPr>
          <w:rFonts w:eastAsia="Calibri" w:cs="Calibri"/>
          <w:lang w:val="en-GB"/>
        </w:rPr>
      </w:pPr>
      <w:r w:rsidRPr="005A1C76">
        <w:rPr>
          <w:rFonts w:eastAsia="Calibri" w:cs="Calibri"/>
          <w:lang w:val="en-GB"/>
        </w:rPr>
        <w:t>u bioti, dobar hemijski status nije postignut na 10 lokacija (tabela 2.35).</w:t>
      </w:r>
    </w:p>
    <w:p w14:paraId="370314EB" w14:textId="77777777" w:rsidR="00085672" w:rsidRPr="005A1C76" w:rsidRDefault="00085672" w:rsidP="00085672">
      <w:pPr>
        <w:tabs>
          <w:tab w:val="left" w:pos="7328"/>
        </w:tabs>
        <w:spacing w:after="0"/>
        <w:rPr>
          <w:rFonts w:eastAsia="Calibri" w:cs="Calibri"/>
          <w:sz w:val="20"/>
          <w:szCs w:val="20"/>
          <w:lang w:val="en-GB"/>
        </w:rPr>
      </w:pPr>
    </w:p>
    <w:p w14:paraId="0C464A59" w14:textId="77777777" w:rsidR="00085672" w:rsidRPr="005A1C76" w:rsidRDefault="00085672" w:rsidP="00085672">
      <w:pPr>
        <w:keepNext/>
        <w:spacing w:line="240" w:lineRule="auto"/>
        <w:rPr>
          <w:rFonts w:eastAsia="Calibri"/>
          <w:b/>
          <w:iCs/>
          <w:lang w:val="en-GB"/>
        </w:rPr>
      </w:pPr>
      <w:bookmarkStart w:id="214" w:name="_Toc83643181"/>
      <w:r w:rsidRPr="005A1C76">
        <w:rPr>
          <w:rFonts w:eastAsia="Calibri"/>
          <w:b/>
          <w:iCs/>
          <w:lang w:val="en-GB"/>
        </w:rPr>
        <w:t xml:space="preserve">Tabela </w:t>
      </w:r>
      <w:r w:rsidRPr="005A1C76">
        <w:rPr>
          <w:b/>
        </w:rPr>
        <w:fldChar w:fldCharType="begin"/>
      </w:r>
      <w:r w:rsidRPr="005A1C76">
        <w:rPr>
          <w:b/>
        </w:rPr>
        <w:instrText xml:space="preserve"> STYLEREF 1 \s </w:instrText>
      </w:r>
      <w:r w:rsidRPr="005A1C76">
        <w:rPr>
          <w:b/>
        </w:rPr>
        <w:fldChar w:fldCharType="separate"/>
      </w:r>
      <w:r w:rsidR="000D1E20">
        <w:rPr>
          <w:b/>
          <w:noProof/>
        </w:rPr>
        <w:t>2</w:t>
      </w:r>
      <w:r w:rsidRPr="005A1C76">
        <w:rPr>
          <w:b/>
        </w:rPr>
        <w:fldChar w:fldCharType="end"/>
      </w:r>
      <w:r w:rsidRPr="005A1C76">
        <w:rPr>
          <w:b/>
        </w:rPr>
        <w:t>.</w:t>
      </w:r>
      <w:r w:rsidRPr="005A1C76">
        <w:rPr>
          <w:b/>
        </w:rPr>
        <w:fldChar w:fldCharType="begin"/>
      </w:r>
      <w:r w:rsidRPr="005A1C76">
        <w:rPr>
          <w:b/>
        </w:rPr>
        <w:instrText xml:space="preserve"> SEQ Table \* ARABIC \s 1 </w:instrText>
      </w:r>
      <w:r w:rsidRPr="005A1C76">
        <w:rPr>
          <w:b/>
        </w:rPr>
        <w:fldChar w:fldCharType="separate"/>
      </w:r>
      <w:r w:rsidR="000D1E20">
        <w:rPr>
          <w:b/>
          <w:noProof/>
        </w:rPr>
        <w:t>23</w:t>
      </w:r>
      <w:r w:rsidRPr="005A1C76">
        <w:rPr>
          <w:b/>
        </w:rPr>
        <w:fldChar w:fldCharType="end"/>
      </w:r>
      <w:r w:rsidRPr="005A1C76">
        <w:rPr>
          <w:b/>
        </w:rPr>
        <w:t>.</w:t>
      </w:r>
      <w:r w:rsidRPr="005A1C76">
        <w:rPr>
          <w:rFonts w:eastAsia="Calibri"/>
          <w:b/>
          <w:iCs/>
          <w:lang w:val="en-GB"/>
        </w:rPr>
        <w:t xml:space="preserve"> </w:t>
      </w:r>
      <w:r w:rsidRPr="005A1C76">
        <w:rPr>
          <w:rFonts w:eastAsia="Calibri"/>
          <w:b/>
          <w:iCs/>
          <w:lang w:val="en-GB" w:eastAsia="hr-HR"/>
        </w:rPr>
        <w:t>Procjena GES-a za sediment i biotu na pojedinačnim lokacijama</w:t>
      </w:r>
      <w:bookmarkEnd w:id="214"/>
      <w:r w:rsidRPr="005A1C76">
        <w:rPr>
          <w:rFonts w:eastAsia="Calibri"/>
          <w:b/>
          <w:iCs/>
          <w:lang w:val="en-GB" w:eastAsia="hr-HR"/>
        </w:rPr>
        <w:t xml:space="preserve"> </w:t>
      </w:r>
      <w:r w:rsidRPr="005A1C76">
        <w:rPr>
          <w:rFonts w:eastAsia="Calibri"/>
          <w:b/>
          <w:iCs/>
          <w:lang w:val="en-GB"/>
        </w:rPr>
        <w:t xml:space="preserve">   </w:t>
      </w:r>
    </w:p>
    <w:tbl>
      <w:tblPr>
        <w:tblpPr w:leftFromText="180" w:rightFromText="180" w:vertAnchor="text" w:tblpXSpec="center" w:tblpY="1"/>
        <w:tblOverlap w:val="neve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CellMar>
          <w:left w:w="57" w:type="dxa"/>
          <w:right w:w="57" w:type="dxa"/>
        </w:tblCellMar>
        <w:tblLook w:val="04A0" w:firstRow="1" w:lastRow="0" w:firstColumn="1" w:lastColumn="0" w:noHBand="0" w:noVBand="1"/>
      </w:tblPr>
      <w:tblGrid>
        <w:gridCol w:w="1180"/>
        <w:gridCol w:w="1568"/>
        <w:gridCol w:w="1080"/>
        <w:gridCol w:w="2144"/>
        <w:gridCol w:w="1165"/>
        <w:gridCol w:w="1788"/>
      </w:tblGrid>
      <w:tr w:rsidR="00085672" w:rsidRPr="005A1C76" w14:paraId="7FD49AB6" w14:textId="77777777" w:rsidTr="00C42B0B">
        <w:trPr>
          <w:cantSplit/>
          <w:trHeight w:val="240"/>
        </w:trPr>
        <w:tc>
          <w:tcPr>
            <w:tcW w:w="1180" w:type="dxa"/>
            <w:vMerge w:val="restart"/>
            <w:shd w:val="clear" w:color="auto" w:fill="1F497D" w:themeFill="text2"/>
            <w:vAlign w:val="center"/>
          </w:tcPr>
          <w:p w14:paraId="7F9EFD0A" w14:textId="77777777" w:rsidR="00085672" w:rsidRPr="005A1C76" w:rsidRDefault="00085672" w:rsidP="00085672">
            <w:pPr>
              <w:spacing w:after="0" w:line="240" w:lineRule="auto"/>
              <w:rPr>
                <w:rFonts w:eastAsia="Calibri" w:cs="Calibri"/>
                <w:b/>
                <w:color w:val="FFFFFF"/>
                <w:sz w:val="20"/>
                <w:szCs w:val="20"/>
                <w:lang w:val="en-GB" w:eastAsia="hr-HR"/>
              </w:rPr>
            </w:pPr>
            <w:r w:rsidRPr="005A1C76">
              <w:rPr>
                <w:rFonts w:eastAsia="Calibri" w:cs="Calibri"/>
                <w:b/>
                <w:color w:val="FFFFFF"/>
                <w:sz w:val="20"/>
                <w:szCs w:val="20"/>
                <w:lang w:val="en-GB" w:eastAsia="hr-HR"/>
              </w:rPr>
              <w:t>Zona</w:t>
            </w:r>
          </w:p>
        </w:tc>
        <w:tc>
          <w:tcPr>
            <w:tcW w:w="1568" w:type="dxa"/>
            <w:vMerge w:val="restart"/>
            <w:shd w:val="clear" w:color="auto" w:fill="1F497D" w:themeFill="text2"/>
            <w:vAlign w:val="center"/>
          </w:tcPr>
          <w:p w14:paraId="115E5821" w14:textId="77777777" w:rsidR="00085672" w:rsidRPr="005A1C76" w:rsidRDefault="00085672" w:rsidP="00085672">
            <w:pPr>
              <w:spacing w:after="0" w:line="240" w:lineRule="auto"/>
              <w:jc w:val="center"/>
              <w:rPr>
                <w:rFonts w:eastAsia="Calibri" w:cs="Calibri"/>
                <w:b/>
                <w:color w:val="FFFFFF"/>
                <w:sz w:val="20"/>
                <w:szCs w:val="20"/>
                <w:lang w:val="en-GB" w:eastAsia="hr-HR"/>
              </w:rPr>
            </w:pPr>
            <w:r w:rsidRPr="005A1C76">
              <w:rPr>
                <w:rFonts w:eastAsia="Calibri" w:cs="Calibri"/>
                <w:b/>
                <w:color w:val="FFFFFF"/>
                <w:sz w:val="20"/>
                <w:szCs w:val="20"/>
                <w:lang w:val="en-GB" w:eastAsia="hr-HR"/>
              </w:rPr>
              <w:t>Naziv lokacije</w:t>
            </w:r>
          </w:p>
        </w:tc>
        <w:tc>
          <w:tcPr>
            <w:tcW w:w="3224" w:type="dxa"/>
            <w:gridSpan w:val="2"/>
            <w:shd w:val="clear" w:color="auto" w:fill="1F497D" w:themeFill="text2"/>
          </w:tcPr>
          <w:p w14:paraId="6B67A840" w14:textId="77777777" w:rsidR="00085672" w:rsidRPr="005A1C76" w:rsidRDefault="00085672" w:rsidP="00085672">
            <w:pPr>
              <w:spacing w:after="0" w:line="240" w:lineRule="auto"/>
              <w:jc w:val="center"/>
              <w:rPr>
                <w:rFonts w:eastAsia="Calibri" w:cs="Calibri"/>
                <w:b/>
                <w:color w:val="FFFFFF"/>
                <w:sz w:val="20"/>
                <w:szCs w:val="20"/>
                <w:lang w:val="en-GB" w:eastAsia="hr-HR"/>
              </w:rPr>
            </w:pPr>
            <w:r w:rsidRPr="005A1C76">
              <w:rPr>
                <w:rFonts w:eastAsia="Calibri" w:cs="Calibri"/>
                <w:b/>
                <w:color w:val="FFFFFF"/>
                <w:sz w:val="20"/>
                <w:szCs w:val="20"/>
                <w:lang w:val="en-GB" w:eastAsia="hr-HR"/>
              </w:rPr>
              <w:t>Sediment</w:t>
            </w:r>
          </w:p>
        </w:tc>
        <w:tc>
          <w:tcPr>
            <w:tcW w:w="2953" w:type="dxa"/>
            <w:gridSpan w:val="2"/>
            <w:shd w:val="clear" w:color="auto" w:fill="1F497D" w:themeFill="text2"/>
          </w:tcPr>
          <w:p w14:paraId="02AE9D49" w14:textId="77777777" w:rsidR="00085672" w:rsidRPr="005A1C76" w:rsidRDefault="00085672" w:rsidP="00085672">
            <w:pPr>
              <w:spacing w:after="0" w:line="240" w:lineRule="auto"/>
              <w:jc w:val="center"/>
              <w:rPr>
                <w:rFonts w:eastAsia="Calibri" w:cs="Calibri"/>
                <w:b/>
                <w:color w:val="FFFFFF"/>
                <w:sz w:val="20"/>
                <w:szCs w:val="20"/>
                <w:lang w:val="en-GB" w:eastAsia="hr-HR"/>
              </w:rPr>
            </w:pPr>
            <w:r w:rsidRPr="005A1C76">
              <w:rPr>
                <w:rFonts w:eastAsia="Calibri" w:cs="Calibri"/>
                <w:b/>
                <w:color w:val="FFFFFF"/>
                <w:sz w:val="20"/>
                <w:szCs w:val="20"/>
                <w:lang w:val="en-GB" w:eastAsia="hr-HR"/>
              </w:rPr>
              <w:t>Biota (školjke)</w:t>
            </w:r>
          </w:p>
        </w:tc>
      </w:tr>
      <w:tr w:rsidR="00085672" w:rsidRPr="005A1C76" w14:paraId="5E627D03" w14:textId="77777777" w:rsidTr="00C42B0B">
        <w:trPr>
          <w:cantSplit/>
          <w:trHeight w:hRule="exact" w:val="525"/>
        </w:trPr>
        <w:tc>
          <w:tcPr>
            <w:tcW w:w="1180" w:type="dxa"/>
            <w:vMerge/>
            <w:shd w:val="clear" w:color="auto" w:fill="1F497D" w:themeFill="text2"/>
            <w:vAlign w:val="center"/>
          </w:tcPr>
          <w:p w14:paraId="1A4023DE" w14:textId="77777777" w:rsidR="00085672" w:rsidRPr="005A1C76" w:rsidRDefault="00085672" w:rsidP="00085672">
            <w:pPr>
              <w:spacing w:after="0" w:line="240" w:lineRule="auto"/>
              <w:rPr>
                <w:rFonts w:eastAsia="Calibri" w:cs="Calibri"/>
                <w:b/>
                <w:color w:val="FFFFFF"/>
                <w:sz w:val="20"/>
                <w:szCs w:val="20"/>
                <w:lang w:val="en-GB" w:eastAsia="hr-HR"/>
              </w:rPr>
            </w:pPr>
          </w:p>
        </w:tc>
        <w:tc>
          <w:tcPr>
            <w:tcW w:w="1568" w:type="dxa"/>
            <w:vMerge/>
            <w:shd w:val="clear" w:color="auto" w:fill="1F497D" w:themeFill="text2"/>
            <w:vAlign w:val="center"/>
          </w:tcPr>
          <w:p w14:paraId="29ACCDD9" w14:textId="77777777" w:rsidR="00085672" w:rsidRPr="005A1C76" w:rsidRDefault="00085672" w:rsidP="00085672">
            <w:pPr>
              <w:spacing w:after="0" w:line="240" w:lineRule="auto"/>
              <w:rPr>
                <w:rFonts w:eastAsia="Calibri" w:cs="Calibri"/>
                <w:b/>
                <w:color w:val="FFFFFF"/>
                <w:sz w:val="20"/>
                <w:szCs w:val="20"/>
                <w:lang w:val="en-GB" w:eastAsia="hr-HR"/>
              </w:rPr>
            </w:pPr>
          </w:p>
        </w:tc>
        <w:tc>
          <w:tcPr>
            <w:tcW w:w="1080" w:type="dxa"/>
            <w:shd w:val="clear" w:color="auto" w:fill="1F497D" w:themeFill="text2"/>
            <w:vAlign w:val="center"/>
          </w:tcPr>
          <w:p w14:paraId="6561BB45" w14:textId="77777777" w:rsidR="00085672" w:rsidRPr="005A1C76" w:rsidRDefault="00085672" w:rsidP="00085672">
            <w:pPr>
              <w:spacing w:after="0" w:line="240" w:lineRule="auto"/>
              <w:jc w:val="center"/>
              <w:rPr>
                <w:rFonts w:eastAsia="Calibri" w:cs="Calibri"/>
                <w:b/>
                <w:color w:val="FFFFFF"/>
                <w:sz w:val="20"/>
                <w:szCs w:val="20"/>
                <w:lang w:val="en-GB" w:eastAsia="hr-HR"/>
              </w:rPr>
            </w:pPr>
            <w:r w:rsidRPr="005A1C76">
              <w:rPr>
                <w:rFonts w:eastAsia="Calibri" w:cs="Calibri"/>
                <w:b/>
                <w:color w:val="FFFFFF"/>
                <w:sz w:val="20"/>
                <w:szCs w:val="20"/>
                <w:lang w:val="en-GB" w:eastAsia="hr-HR"/>
              </w:rPr>
              <w:t>Hemijski status</w:t>
            </w:r>
          </w:p>
        </w:tc>
        <w:tc>
          <w:tcPr>
            <w:tcW w:w="2144" w:type="dxa"/>
            <w:shd w:val="clear" w:color="auto" w:fill="1F497D" w:themeFill="text2"/>
            <w:vAlign w:val="center"/>
          </w:tcPr>
          <w:p w14:paraId="715A442B" w14:textId="77777777" w:rsidR="00085672" w:rsidRPr="005A1C76" w:rsidRDefault="00085672" w:rsidP="00085672">
            <w:pPr>
              <w:spacing w:after="0" w:line="240" w:lineRule="auto"/>
              <w:jc w:val="center"/>
              <w:rPr>
                <w:rFonts w:eastAsia="Calibri" w:cs="Calibri"/>
                <w:b/>
                <w:color w:val="FFFFFF"/>
                <w:sz w:val="20"/>
                <w:szCs w:val="20"/>
                <w:lang w:val="en-GB" w:eastAsia="hr-HR"/>
              </w:rPr>
            </w:pPr>
            <w:r w:rsidRPr="005A1C76">
              <w:rPr>
                <w:rFonts w:eastAsia="Calibri" w:cs="Calibri"/>
                <w:b/>
                <w:color w:val="FFFFFF"/>
                <w:sz w:val="20"/>
                <w:szCs w:val="20"/>
                <w:lang w:val="en-GB" w:eastAsia="hr-HR"/>
              </w:rPr>
              <w:t>Kritična komponenta*</w:t>
            </w:r>
          </w:p>
        </w:tc>
        <w:tc>
          <w:tcPr>
            <w:tcW w:w="1165" w:type="dxa"/>
            <w:shd w:val="clear" w:color="auto" w:fill="1F497D" w:themeFill="text2"/>
            <w:vAlign w:val="center"/>
          </w:tcPr>
          <w:p w14:paraId="2EF61A5C" w14:textId="77777777" w:rsidR="00085672" w:rsidRPr="005A1C76" w:rsidRDefault="00085672" w:rsidP="00085672">
            <w:pPr>
              <w:spacing w:after="0" w:line="240" w:lineRule="auto"/>
              <w:jc w:val="center"/>
              <w:rPr>
                <w:rFonts w:eastAsia="Calibri" w:cs="Calibri"/>
                <w:b/>
                <w:color w:val="FFFFFF"/>
                <w:sz w:val="20"/>
                <w:szCs w:val="20"/>
                <w:lang w:val="en-GB" w:eastAsia="hr-HR"/>
              </w:rPr>
            </w:pPr>
            <w:r w:rsidRPr="005A1C76">
              <w:rPr>
                <w:rFonts w:eastAsia="Calibri" w:cs="Calibri"/>
                <w:b/>
                <w:color w:val="FFFFFF"/>
                <w:sz w:val="20"/>
                <w:szCs w:val="20"/>
                <w:lang w:val="en-GB" w:eastAsia="hr-HR"/>
              </w:rPr>
              <w:t>Hemijski status</w:t>
            </w:r>
          </w:p>
        </w:tc>
        <w:tc>
          <w:tcPr>
            <w:tcW w:w="1788" w:type="dxa"/>
            <w:shd w:val="clear" w:color="auto" w:fill="1F497D" w:themeFill="text2"/>
            <w:vAlign w:val="center"/>
          </w:tcPr>
          <w:p w14:paraId="325E1543" w14:textId="77777777" w:rsidR="00085672" w:rsidRPr="005A1C76" w:rsidRDefault="00085672" w:rsidP="00085672">
            <w:pPr>
              <w:spacing w:after="0" w:line="240" w:lineRule="auto"/>
              <w:jc w:val="center"/>
              <w:rPr>
                <w:rFonts w:eastAsia="Calibri" w:cs="Calibri"/>
                <w:b/>
                <w:color w:val="FFFFFF"/>
                <w:sz w:val="20"/>
                <w:szCs w:val="20"/>
                <w:lang w:val="en-GB" w:eastAsia="hr-HR"/>
              </w:rPr>
            </w:pPr>
            <w:r w:rsidRPr="005A1C76">
              <w:rPr>
                <w:rFonts w:eastAsia="Calibri" w:cs="Calibri"/>
                <w:b/>
                <w:color w:val="FFFFFF"/>
                <w:sz w:val="20"/>
                <w:szCs w:val="20"/>
                <w:lang w:val="en-GB" w:eastAsia="hr-HR"/>
              </w:rPr>
              <w:t>Kritična komponenta*</w:t>
            </w:r>
          </w:p>
        </w:tc>
      </w:tr>
      <w:tr w:rsidR="00085672" w:rsidRPr="005A1C76" w14:paraId="01BDFBD8" w14:textId="77777777" w:rsidTr="00085672">
        <w:trPr>
          <w:cantSplit/>
          <w:trHeight w:val="227"/>
        </w:trPr>
        <w:tc>
          <w:tcPr>
            <w:tcW w:w="1180" w:type="dxa"/>
            <w:vMerge w:val="restart"/>
            <w:vAlign w:val="center"/>
          </w:tcPr>
          <w:p w14:paraId="0362B57C"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eastAsia="hr-HR"/>
              </w:rPr>
            </w:pPr>
            <w:r w:rsidRPr="005A1C76">
              <w:rPr>
                <w:rFonts w:eastAsia="Calibri" w:cs="Calibri"/>
                <w:sz w:val="20"/>
                <w:szCs w:val="20"/>
                <w:lang w:val="en-GB" w:eastAsia="hr-HR"/>
              </w:rPr>
              <w:t>Bokokotorski zaliv</w:t>
            </w:r>
          </w:p>
        </w:tc>
        <w:tc>
          <w:tcPr>
            <w:tcW w:w="1568" w:type="dxa"/>
            <w:shd w:val="clear" w:color="auto" w:fill="auto"/>
            <w:vAlign w:val="center"/>
          </w:tcPr>
          <w:p w14:paraId="7CD8FDE8" w14:textId="77777777" w:rsidR="00085672" w:rsidRPr="005A1C76" w:rsidRDefault="00085672" w:rsidP="00085672">
            <w:pPr>
              <w:spacing w:after="0" w:line="240" w:lineRule="auto"/>
              <w:rPr>
                <w:rFonts w:eastAsia="Calibri" w:cs="Calibri"/>
                <w:sz w:val="20"/>
                <w:szCs w:val="20"/>
                <w:lang w:val="en-GB" w:eastAsia="hr-HR"/>
              </w:rPr>
            </w:pPr>
            <w:r w:rsidRPr="005A1C76">
              <w:rPr>
                <w:rFonts w:eastAsia="Calibri" w:cs="Calibri"/>
                <w:sz w:val="20"/>
                <w:szCs w:val="20"/>
                <w:lang w:val="en-GB" w:eastAsia="hr-HR"/>
              </w:rPr>
              <w:t>Luka Herceg Novi</w:t>
            </w:r>
          </w:p>
        </w:tc>
        <w:tc>
          <w:tcPr>
            <w:tcW w:w="1080" w:type="dxa"/>
            <w:shd w:val="clear" w:color="auto" w:fill="FF0000"/>
            <w:vAlign w:val="center"/>
          </w:tcPr>
          <w:p w14:paraId="2B919F66"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2144" w:type="dxa"/>
            <w:shd w:val="clear" w:color="auto" w:fill="auto"/>
            <w:vAlign w:val="center"/>
          </w:tcPr>
          <w:p w14:paraId="0C9CD81C"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Metali,PAH, PCB</w:t>
            </w:r>
          </w:p>
        </w:tc>
        <w:tc>
          <w:tcPr>
            <w:tcW w:w="1165" w:type="dxa"/>
            <w:shd w:val="clear" w:color="auto" w:fill="FF0000"/>
            <w:vAlign w:val="center"/>
          </w:tcPr>
          <w:p w14:paraId="781B6BA8"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1788" w:type="dxa"/>
            <w:shd w:val="clear" w:color="auto" w:fill="auto"/>
            <w:vAlign w:val="center"/>
          </w:tcPr>
          <w:p w14:paraId="4EFE02CB"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 TBT</w:t>
            </w:r>
          </w:p>
        </w:tc>
      </w:tr>
      <w:tr w:rsidR="00085672" w:rsidRPr="005A1C76" w14:paraId="3B37EED6" w14:textId="77777777" w:rsidTr="00085672">
        <w:trPr>
          <w:cantSplit/>
          <w:trHeight w:val="227"/>
        </w:trPr>
        <w:tc>
          <w:tcPr>
            <w:tcW w:w="1180" w:type="dxa"/>
            <w:vMerge/>
            <w:vAlign w:val="center"/>
          </w:tcPr>
          <w:p w14:paraId="707335A1" w14:textId="77777777" w:rsidR="00085672" w:rsidRPr="005A1C76" w:rsidRDefault="00085672" w:rsidP="00085672">
            <w:pPr>
              <w:spacing w:after="0" w:line="240" w:lineRule="auto"/>
              <w:rPr>
                <w:rFonts w:eastAsia="Calibri" w:cs="Calibri"/>
                <w:sz w:val="20"/>
                <w:szCs w:val="20"/>
                <w:lang w:val="en-GB" w:eastAsia="hr-HR"/>
              </w:rPr>
            </w:pPr>
          </w:p>
        </w:tc>
        <w:tc>
          <w:tcPr>
            <w:tcW w:w="1568" w:type="dxa"/>
            <w:shd w:val="clear" w:color="auto" w:fill="auto"/>
            <w:vAlign w:val="center"/>
          </w:tcPr>
          <w:p w14:paraId="0EDD491F" w14:textId="77777777" w:rsidR="00085672" w:rsidRPr="005A1C76" w:rsidRDefault="00085672" w:rsidP="00085672">
            <w:pPr>
              <w:spacing w:after="0" w:line="240" w:lineRule="auto"/>
              <w:rPr>
                <w:rFonts w:eastAsia="Calibri" w:cs="Calibri"/>
                <w:sz w:val="20"/>
                <w:szCs w:val="20"/>
                <w:lang w:val="en-GB" w:eastAsia="hr-HR"/>
              </w:rPr>
            </w:pPr>
            <w:r w:rsidRPr="005A1C76">
              <w:rPr>
                <w:rFonts w:eastAsia="Calibri" w:cs="Calibri"/>
                <w:sz w:val="20"/>
                <w:szCs w:val="20"/>
                <w:lang w:val="en-GB" w:eastAsia="hr-HR"/>
              </w:rPr>
              <w:t>Brodograd. Bijela</w:t>
            </w:r>
          </w:p>
        </w:tc>
        <w:tc>
          <w:tcPr>
            <w:tcW w:w="1080" w:type="dxa"/>
            <w:shd w:val="clear" w:color="auto" w:fill="FF0000"/>
            <w:vAlign w:val="center"/>
          </w:tcPr>
          <w:p w14:paraId="5A4AD665"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2144" w:type="dxa"/>
            <w:shd w:val="clear" w:color="auto" w:fill="auto"/>
            <w:vAlign w:val="center"/>
          </w:tcPr>
          <w:p w14:paraId="040FBA03"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Metali,PAH, PCB, OCl</w:t>
            </w:r>
          </w:p>
        </w:tc>
        <w:tc>
          <w:tcPr>
            <w:tcW w:w="1165" w:type="dxa"/>
            <w:shd w:val="clear" w:color="auto" w:fill="FF0000"/>
            <w:vAlign w:val="center"/>
          </w:tcPr>
          <w:p w14:paraId="6A5FA5FB"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1788" w:type="dxa"/>
            <w:shd w:val="clear" w:color="auto" w:fill="auto"/>
            <w:vAlign w:val="center"/>
          </w:tcPr>
          <w:p w14:paraId="726F846B"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PCB, TBT</w:t>
            </w:r>
          </w:p>
        </w:tc>
      </w:tr>
      <w:tr w:rsidR="00085672" w:rsidRPr="005A1C76" w14:paraId="1504323E" w14:textId="77777777" w:rsidTr="00085672">
        <w:trPr>
          <w:cantSplit/>
          <w:trHeight w:val="227"/>
        </w:trPr>
        <w:tc>
          <w:tcPr>
            <w:tcW w:w="1180" w:type="dxa"/>
            <w:vMerge/>
            <w:vAlign w:val="center"/>
          </w:tcPr>
          <w:p w14:paraId="6BD26C38" w14:textId="77777777" w:rsidR="00085672" w:rsidRPr="005A1C76" w:rsidRDefault="00085672" w:rsidP="00085672">
            <w:pPr>
              <w:spacing w:after="0" w:line="240" w:lineRule="auto"/>
              <w:rPr>
                <w:rFonts w:eastAsia="Calibri" w:cs="Calibri"/>
                <w:sz w:val="20"/>
                <w:szCs w:val="20"/>
                <w:lang w:val="en-GB" w:eastAsia="hr-HR"/>
              </w:rPr>
            </w:pPr>
          </w:p>
        </w:tc>
        <w:tc>
          <w:tcPr>
            <w:tcW w:w="1568" w:type="dxa"/>
            <w:shd w:val="clear" w:color="auto" w:fill="auto"/>
            <w:vAlign w:val="center"/>
          </w:tcPr>
          <w:p w14:paraId="028E9071" w14:textId="77777777" w:rsidR="00085672" w:rsidRPr="005A1C76" w:rsidRDefault="00085672" w:rsidP="00085672">
            <w:pPr>
              <w:spacing w:after="0" w:line="240" w:lineRule="auto"/>
              <w:rPr>
                <w:rFonts w:eastAsia="Calibri" w:cs="Calibri"/>
                <w:sz w:val="20"/>
                <w:szCs w:val="20"/>
                <w:lang w:val="en-GB" w:eastAsia="hr-HR"/>
              </w:rPr>
            </w:pPr>
            <w:r w:rsidRPr="005A1C76">
              <w:rPr>
                <w:rFonts w:eastAsia="Calibri" w:cs="Calibri"/>
                <w:sz w:val="20"/>
                <w:szCs w:val="20"/>
                <w:lang w:val="en-GB" w:eastAsia="hr-HR"/>
              </w:rPr>
              <w:t>Porto Montenegro</w:t>
            </w:r>
          </w:p>
        </w:tc>
        <w:tc>
          <w:tcPr>
            <w:tcW w:w="1080" w:type="dxa"/>
            <w:shd w:val="clear" w:color="auto" w:fill="FF0000"/>
            <w:vAlign w:val="center"/>
          </w:tcPr>
          <w:p w14:paraId="3247E856"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2144" w:type="dxa"/>
            <w:shd w:val="clear" w:color="auto" w:fill="auto"/>
            <w:vAlign w:val="center"/>
          </w:tcPr>
          <w:p w14:paraId="0BA9084F"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Metali,PAH, PCB, OCl</w:t>
            </w:r>
          </w:p>
        </w:tc>
        <w:tc>
          <w:tcPr>
            <w:tcW w:w="1165" w:type="dxa"/>
            <w:shd w:val="clear" w:color="auto" w:fill="FF0000"/>
            <w:vAlign w:val="center"/>
          </w:tcPr>
          <w:p w14:paraId="6EB079BD"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1788" w:type="dxa"/>
            <w:shd w:val="clear" w:color="auto" w:fill="auto"/>
            <w:vAlign w:val="center"/>
          </w:tcPr>
          <w:p w14:paraId="033B4CF6" w14:textId="77777777" w:rsidR="00085672" w:rsidRPr="005A1C76" w:rsidRDefault="00085672" w:rsidP="00085672">
            <w:pPr>
              <w:spacing w:after="0" w:line="240" w:lineRule="auto"/>
              <w:jc w:val="center"/>
              <w:rPr>
                <w:rFonts w:eastAsia="Calibri" w:cs="Calibri"/>
                <w:b/>
                <w:bCs/>
                <w:sz w:val="20"/>
                <w:szCs w:val="20"/>
                <w:lang w:val="en-GB" w:eastAsia="hr-HR"/>
              </w:rPr>
            </w:pPr>
            <w:r w:rsidRPr="005A1C76">
              <w:rPr>
                <w:rFonts w:eastAsia="Calibri" w:cs="Calibri"/>
                <w:bCs/>
                <w:sz w:val="20"/>
                <w:szCs w:val="20"/>
                <w:lang w:val="en-GB" w:eastAsia="hr-HR"/>
              </w:rPr>
              <w:t>PCB, TBT</w:t>
            </w:r>
          </w:p>
        </w:tc>
      </w:tr>
      <w:tr w:rsidR="00085672" w:rsidRPr="005A1C76" w14:paraId="502961DD" w14:textId="77777777" w:rsidTr="00085672">
        <w:trPr>
          <w:cantSplit/>
          <w:trHeight w:val="227"/>
        </w:trPr>
        <w:tc>
          <w:tcPr>
            <w:tcW w:w="1180" w:type="dxa"/>
            <w:vMerge/>
            <w:vAlign w:val="center"/>
          </w:tcPr>
          <w:p w14:paraId="5D0822D4" w14:textId="77777777" w:rsidR="00085672" w:rsidRPr="005A1C76" w:rsidRDefault="00085672" w:rsidP="00085672">
            <w:pPr>
              <w:spacing w:after="0" w:line="240" w:lineRule="auto"/>
              <w:rPr>
                <w:rFonts w:eastAsia="Calibri" w:cs="Calibri"/>
                <w:sz w:val="20"/>
                <w:szCs w:val="20"/>
                <w:lang w:val="en-GB" w:eastAsia="hr-HR"/>
              </w:rPr>
            </w:pPr>
          </w:p>
        </w:tc>
        <w:tc>
          <w:tcPr>
            <w:tcW w:w="1568" w:type="dxa"/>
            <w:shd w:val="clear" w:color="auto" w:fill="auto"/>
            <w:vAlign w:val="center"/>
          </w:tcPr>
          <w:p w14:paraId="1C2D199A" w14:textId="77777777" w:rsidR="00085672" w:rsidRPr="005A1C76" w:rsidRDefault="00085672" w:rsidP="00085672">
            <w:pPr>
              <w:spacing w:after="0" w:line="240" w:lineRule="auto"/>
              <w:rPr>
                <w:rFonts w:eastAsia="Calibri" w:cs="Calibri"/>
                <w:sz w:val="20"/>
                <w:szCs w:val="20"/>
                <w:lang w:val="en-GB" w:eastAsia="hr-HR"/>
              </w:rPr>
            </w:pPr>
            <w:r w:rsidRPr="005A1C76">
              <w:rPr>
                <w:rFonts w:eastAsia="Calibri" w:cs="Calibri"/>
                <w:sz w:val="20"/>
                <w:szCs w:val="20"/>
                <w:lang w:val="en-GB" w:eastAsia="hr-HR"/>
              </w:rPr>
              <w:t>Luka Tivat</w:t>
            </w:r>
          </w:p>
        </w:tc>
        <w:tc>
          <w:tcPr>
            <w:tcW w:w="1080" w:type="dxa"/>
            <w:shd w:val="clear" w:color="auto" w:fill="FF0000"/>
            <w:vAlign w:val="center"/>
          </w:tcPr>
          <w:p w14:paraId="093BE2B8"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2144" w:type="dxa"/>
            <w:shd w:val="clear" w:color="auto" w:fill="auto"/>
            <w:vAlign w:val="center"/>
          </w:tcPr>
          <w:p w14:paraId="5975620B"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Metali,PAH, PCB, OCl</w:t>
            </w:r>
          </w:p>
        </w:tc>
        <w:tc>
          <w:tcPr>
            <w:tcW w:w="1165" w:type="dxa"/>
            <w:shd w:val="clear" w:color="auto" w:fill="FF0000"/>
            <w:vAlign w:val="center"/>
          </w:tcPr>
          <w:p w14:paraId="073F187D"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1788" w:type="dxa"/>
            <w:shd w:val="clear" w:color="auto" w:fill="auto"/>
            <w:vAlign w:val="center"/>
          </w:tcPr>
          <w:p w14:paraId="1A9B3ABF"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 PCB, TBT</w:t>
            </w:r>
          </w:p>
        </w:tc>
      </w:tr>
      <w:tr w:rsidR="00085672" w:rsidRPr="005A1C76" w14:paraId="4C88615A" w14:textId="77777777" w:rsidTr="00085672">
        <w:trPr>
          <w:cantSplit/>
          <w:trHeight w:val="260"/>
        </w:trPr>
        <w:tc>
          <w:tcPr>
            <w:tcW w:w="1180" w:type="dxa"/>
            <w:vMerge/>
            <w:vAlign w:val="center"/>
          </w:tcPr>
          <w:p w14:paraId="5E9C4921" w14:textId="77777777" w:rsidR="00085672" w:rsidRPr="005A1C76" w:rsidRDefault="00085672" w:rsidP="00085672">
            <w:pPr>
              <w:spacing w:after="0" w:line="240" w:lineRule="auto"/>
              <w:rPr>
                <w:rFonts w:eastAsia="Calibri" w:cs="Calibri"/>
                <w:sz w:val="20"/>
                <w:szCs w:val="20"/>
                <w:lang w:val="en-GB" w:eastAsia="hr-HR"/>
              </w:rPr>
            </w:pPr>
          </w:p>
        </w:tc>
        <w:tc>
          <w:tcPr>
            <w:tcW w:w="1568" w:type="dxa"/>
            <w:shd w:val="clear" w:color="auto" w:fill="auto"/>
            <w:vAlign w:val="center"/>
          </w:tcPr>
          <w:p w14:paraId="2CAE5BC5" w14:textId="77777777" w:rsidR="00085672" w:rsidRPr="005A1C76" w:rsidRDefault="00085672" w:rsidP="00085672">
            <w:pPr>
              <w:spacing w:after="0" w:line="240" w:lineRule="auto"/>
              <w:rPr>
                <w:rFonts w:eastAsia="Calibri" w:cs="Calibri"/>
                <w:sz w:val="20"/>
                <w:szCs w:val="20"/>
                <w:lang w:val="en-GB" w:eastAsia="hr-HR"/>
              </w:rPr>
            </w:pPr>
            <w:r w:rsidRPr="005A1C76">
              <w:rPr>
                <w:rFonts w:eastAsia="Calibri" w:cs="Calibri"/>
                <w:sz w:val="20"/>
                <w:szCs w:val="20"/>
                <w:lang w:val="en-GB" w:eastAsia="hr-HR"/>
              </w:rPr>
              <w:t>Luka Risan</w:t>
            </w:r>
          </w:p>
        </w:tc>
        <w:tc>
          <w:tcPr>
            <w:tcW w:w="1080" w:type="dxa"/>
            <w:shd w:val="clear" w:color="auto" w:fill="FF0000"/>
            <w:vAlign w:val="center"/>
          </w:tcPr>
          <w:p w14:paraId="380353CF"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2144" w:type="dxa"/>
            <w:shd w:val="clear" w:color="auto" w:fill="auto"/>
            <w:vAlign w:val="center"/>
          </w:tcPr>
          <w:p w14:paraId="72B2EB5C"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Metali,PAH, PCB</w:t>
            </w:r>
          </w:p>
        </w:tc>
        <w:tc>
          <w:tcPr>
            <w:tcW w:w="1165" w:type="dxa"/>
            <w:shd w:val="clear" w:color="auto" w:fill="FF0000"/>
            <w:vAlign w:val="center"/>
          </w:tcPr>
          <w:p w14:paraId="54FC2D58"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1788" w:type="dxa"/>
            <w:shd w:val="clear" w:color="auto" w:fill="auto"/>
            <w:vAlign w:val="center"/>
          </w:tcPr>
          <w:p w14:paraId="69646BCC" w14:textId="77777777" w:rsidR="00085672" w:rsidRPr="005A1C76" w:rsidRDefault="00085672" w:rsidP="00085672">
            <w:pPr>
              <w:spacing w:after="0" w:line="240" w:lineRule="auto"/>
              <w:jc w:val="center"/>
              <w:rPr>
                <w:rFonts w:eastAsia="Calibri" w:cs="Calibri"/>
                <w:b/>
                <w:bCs/>
                <w:sz w:val="20"/>
                <w:szCs w:val="20"/>
                <w:lang w:val="en-GB" w:eastAsia="hr-HR"/>
              </w:rPr>
            </w:pPr>
            <w:r w:rsidRPr="005A1C76">
              <w:rPr>
                <w:rFonts w:eastAsia="Calibri" w:cs="Calibri"/>
                <w:bCs/>
                <w:sz w:val="20"/>
                <w:szCs w:val="20"/>
                <w:lang w:val="en-GB" w:eastAsia="hr-HR"/>
              </w:rPr>
              <w:t>TBT</w:t>
            </w:r>
          </w:p>
        </w:tc>
      </w:tr>
      <w:tr w:rsidR="00085672" w:rsidRPr="005A1C76" w14:paraId="7E7F44C8" w14:textId="77777777" w:rsidTr="00085672">
        <w:trPr>
          <w:cantSplit/>
          <w:trHeight w:val="227"/>
        </w:trPr>
        <w:tc>
          <w:tcPr>
            <w:tcW w:w="1180" w:type="dxa"/>
            <w:vMerge/>
            <w:vAlign w:val="center"/>
          </w:tcPr>
          <w:p w14:paraId="270B9748" w14:textId="77777777" w:rsidR="00085672" w:rsidRPr="005A1C76" w:rsidRDefault="00085672" w:rsidP="00085672">
            <w:pPr>
              <w:spacing w:after="0" w:line="240" w:lineRule="auto"/>
              <w:rPr>
                <w:rFonts w:eastAsia="Calibri" w:cs="Calibri"/>
                <w:sz w:val="20"/>
                <w:szCs w:val="20"/>
                <w:lang w:val="en-GB" w:eastAsia="hr-HR"/>
              </w:rPr>
            </w:pPr>
          </w:p>
        </w:tc>
        <w:tc>
          <w:tcPr>
            <w:tcW w:w="1568" w:type="dxa"/>
            <w:shd w:val="clear" w:color="auto" w:fill="auto"/>
            <w:vAlign w:val="center"/>
          </w:tcPr>
          <w:p w14:paraId="02B779FB" w14:textId="77777777" w:rsidR="00085672" w:rsidRPr="005A1C76" w:rsidRDefault="00085672" w:rsidP="00085672">
            <w:pPr>
              <w:spacing w:after="0" w:line="240" w:lineRule="auto"/>
              <w:rPr>
                <w:rFonts w:eastAsia="Calibri" w:cs="Calibri"/>
                <w:sz w:val="20"/>
                <w:szCs w:val="20"/>
                <w:lang w:val="en-GB" w:eastAsia="hr-HR"/>
              </w:rPr>
            </w:pPr>
            <w:r w:rsidRPr="005A1C76">
              <w:rPr>
                <w:rFonts w:eastAsia="Calibri" w:cs="Calibri"/>
                <w:sz w:val="20"/>
                <w:szCs w:val="20"/>
                <w:lang w:val="en-GB" w:eastAsia="hr-HR"/>
              </w:rPr>
              <w:t>IBM-Dobrota</w:t>
            </w:r>
          </w:p>
        </w:tc>
        <w:tc>
          <w:tcPr>
            <w:tcW w:w="1080" w:type="dxa"/>
            <w:shd w:val="clear" w:color="auto" w:fill="FF0000"/>
            <w:vAlign w:val="center"/>
          </w:tcPr>
          <w:p w14:paraId="53CF36F9"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2144" w:type="dxa"/>
            <w:shd w:val="clear" w:color="auto" w:fill="auto"/>
            <w:vAlign w:val="center"/>
          </w:tcPr>
          <w:p w14:paraId="4F7CCF6A"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Metali,PAH, PCB, OCl</w:t>
            </w:r>
          </w:p>
        </w:tc>
        <w:tc>
          <w:tcPr>
            <w:tcW w:w="1165" w:type="dxa"/>
            <w:shd w:val="clear" w:color="auto" w:fill="FF0000"/>
            <w:vAlign w:val="center"/>
          </w:tcPr>
          <w:p w14:paraId="022E0801"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1788" w:type="dxa"/>
            <w:shd w:val="clear" w:color="auto" w:fill="auto"/>
            <w:vAlign w:val="center"/>
          </w:tcPr>
          <w:p w14:paraId="3AF5B075" w14:textId="77777777" w:rsidR="00085672" w:rsidRPr="005A1C76" w:rsidRDefault="00085672" w:rsidP="00085672">
            <w:pPr>
              <w:spacing w:after="0" w:line="240" w:lineRule="auto"/>
              <w:jc w:val="center"/>
              <w:rPr>
                <w:rFonts w:eastAsia="Calibri" w:cs="Calibri"/>
                <w:b/>
                <w:bCs/>
                <w:sz w:val="20"/>
                <w:szCs w:val="20"/>
                <w:lang w:val="en-GB" w:eastAsia="hr-HR"/>
              </w:rPr>
            </w:pPr>
            <w:r w:rsidRPr="005A1C76">
              <w:rPr>
                <w:rFonts w:eastAsia="Calibri" w:cs="Calibri"/>
                <w:bCs/>
                <w:sz w:val="20"/>
                <w:szCs w:val="20"/>
                <w:lang w:val="en-GB" w:eastAsia="hr-HR"/>
              </w:rPr>
              <w:t>PCB, TBT</w:t>
            </w:r>
          </w:p>
        </w:tc>
      </w:tr>
      <w:tr w:rsidR="00085672" w:rsidRPr="005A1C76" w14:paraId="57391A54" w14:textId="77777777" w:rsidTr="00085672">
        <w:trPr>
          <w:cantSplit/>
          <w:trHeight w:val="227"/>
        </w:trPr>
        <w:tc>
          <w:tcPr>
            <w:tcW w:w="1180" w:type="dxa"/>
            <w:vMerge/>
            <w:vAlign w:val="center"/>
          </w:tcPr>
          <w:p w14:paraId="737E9A0C" w14:textId="77777777" w:rsidR="00085672" w:rsidRPr="005A1C76" w:rsidRDefault="00085672" w:rsidP="00085672">
            <w:pPr>
              <w:spacing w:after="0" w:line="240" w:lineRule="auto"/>
              <w:rPr>
                <w:rFonts w:eastAsia="Calibri" w:cs="Calibri"/>
                <w:sz w:val="20"/>
                <w:szCs w:val="20"/>
                <w:lang w:val="en-GB" w:eastAsia="hr-HR"/>
              </w:rPr>
            </w:pPr>
          </w:p>
        </w:tc>
        <w:tc>
          <w:tcPr>
            <w:tcW w:w="1568" w:type="dxa"/>
            <w:shd w:val="clear" w:color="auto" w:fill="auto"/>
            <w:vAlign w:val="center"/>
          </w:tcPr>
          <w:p w14:paraId="5AE8C60E" w14:textId="77777777" w:rsidR="00085672" w:rsidRPr="005A1C76" w:rsidRDefault="00085672" w:rsidP="00085672">
            <w:pPr>
              <w:spacing w:after="0" w:line="240" w:lineRule="auto"/>
              <w:rPr>
                <w:rFonts w:eastAsia="Calibri" w:cs="Calibri"/>
                <w:sz w:val="20"/>
                <w:szCs w:val="20"/>
                <w:lang w:val="en-GB" w:eastAsia="hr-HR"/>
              </w:rPr>
            </w:pPr>
            <w:r w:rsidRPr="005A1C76">
              <w:rPr>
                <w:rFonts w:eastAsia="Calibri" w:cs="Calibri"/>
                <w:sz w:val="20"/>
                <w:szCs w:val="20"/>
                <w:lang w:val="en-GB" w:eastAsia="hr-HR"/>
              </w:rPr>
              <w:t>Luka Kotor</w:t>
            </w:r>
          </w:p>
        </w:tc>
        <w:tc>
          <w:tcPr>
            <w:tcW w:w="1080" w:type="dxa"/>
            <w:shd w:val="clear" w:color="auto" w:fill="FF0000"/>
            <w:vAlign w:val="center"/>
          </w:tcPr>
          <w:p w14:paraId="2F02DF21"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2144" w:type="dxa"/>
            <w:shd w:val="clear" w:color="auto" w:fill="auto"/>
            <w:vAlign w:val="center"/>
          </w:tcPr>
          <w:p w14:paraId="1C36B8E0"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Metali,PAH, PCB, OCl</w:t>
            </w:r>
          </w:p>
        </w:tc>
        <w:tc>
          <w:tcPr>
            <w:tcW w:w="1165" w:type="dxa"/>
            <w:shd w:val="clear" w:color="auto" w:fill="FF0000"/>
            <w:vAlign w:val="center"/>
          </w:tcPr>
          <w:p w14:paraId="7A5F3294"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1788" w:type="dxa"/>
            <w:shd w:val="clear" w:color="auto" w:fill="auto"/>
            <w:vAlign w:val="center"/>
          </w:tcPr>
          <w:p w14:paraId="3124435D"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 PCB, TBT</w:t>
            </w:r>
          </w:p>
        </w:tc>
      </w:tr>
      <w:tr w:rsidR="00085672" w:rsidRPr="005A1C76" w14:paraId="5FD2E6E1" w14:textId="77777777" w:rsidTr="00085672">
        <w:trPr>
          <w:cantSplit/>
          <w:trHeight w:val="227"/>
        </w:trPr>
        <w:tc>
          <w:tcPr>
            <w:tcW w:w="1180" w:type="dxa"/>
            <w:vMerge/>
            <w:vAlign w:val="center"/>
          </w:tcPr>
          <w:p w14:paraId="44B3F6A9" w14:textId="77777777" w:rsidR="00085672" w:rsidRPr="005A1C76" w:rsidRDefault="00085672" w:rsidP="00085672">
            <w:pPr>
              <w:spacing w:after="0" w:line="240" w:lineRule="auto"/>
              <w:rPr>
                <w:rFonts w:eastAsia="Calibri" w:cs="Calibri"/>
                <w:sz w:val="20"/>
                <w:szCs w:val="20"/>
                <w:lang w:val="en-GB" w:eastAsia="hr-HR"/>
              </w:rPr>
            </w:pPr>
          </w:p>
        </w:tc>
        <w:tc>
          <w:tcPr>
            <w:tcW w:w="1568" w:type="dxa"/>
            <w:shd w:val="clear" w:color="auto" w:fill="auto"/>
            <w:vAlign w:val="center"/>
          </w:tcPr>
          <w:p w14:paraId="470A8BAF" w14:textId="77777777" w:rsidR="00085672" w:rsidRPr="005A1C76" w:rsidRDefault="00085672" w:rsidP="00085672">
            <w:pPr>
              <w:spacing w:after="0" w:line="240" w:lineRule="auto"/>
              <w:rPr>
                <w:rFonts w:eastAsia="Calibri" w:cs="Calibri"/>
                <w:sz w:val="20"/>
                <w:szCs w:val="20"/>
                <w:lang w:val="en-GB" w:eastAsia="hr-HR"/>
              </w:rPr>
            </w:pPr>
            <w:r w:rsidRPr="005A1C76">
              <w:rPr>
                <w:rFonts w:eastAsia="Calibri" w:cs="Calibri"/>
                <w:sz w:val="20"/>
                <w:szCs w:val="20"/>
                <w:lang w:val="en-GB" w:eastAsia="hr-HR"/>
              </w:rPr>
              <w:t>Orahovac</w:t>
            </w:r>
          </w:p>
        </w:tc>
        <w:tc>
          <w:tcPr>
            <w:tcW w:w="1080" w:type="dxa"/>
            <w:shd w:val="clear" w:color="auto" w:fill="auto"/>
            <w:vAlign w:val="center"/>
          </w:tcPr>
          <w:p w14:paraId="7A9D8DB1"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w:t>
            </w:r>
          </w:p>
        </w:tc>
        <w:tc>
          <w:tcPr>
            <w:tcW w:w="2144" w:type="dxa"/>
            <w:shd w:val="clear" w:color="auto" w:fill="auto"/>
            <w:vAlign w:val="center"/>
          </w:tcPr>
          <w:p w14:paraId="0951A655"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w:t>
            </w:r>
          </w:p>
        </w:tc>
        <w:tc>
          <w:tcPr>
            <w:tcW w:w="1165" w:type="dxa"/>
            <w:shd w:val="clear" w:color="auto" w:fill="5B9BD5"/>
            <w:vAlign w:val="center"/>
          </w:tcPr>
          <w:p w14:paraId="1C66B511"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Dobar</w:t>
            </w:r>
          </w:p>
        </w:tc>
        <w:tc>
          <w:tcPr>
            <w:tcW w:w="1788" w:type="dxa"/>
            <w:shd w:val="clear" w:color="auto" w:fill="auto"/>
            <w:vAlign w:val="center"/>
          </w:tcPr>
          <w:p w14:paraId="2B3D0AC5" w14:textId="77777777" w:rsidR="00085672" w:rsidRPr="005A1C76" w:rsidRDefault="00085672" w:rsidP="00085672">
            <w:pPr>
              <w:spacing w:after="0" w:line="240" w:lineRule="auto"/>
              <w:jc w:val="center"/>
              <w:rPr>
                <w:rFonts w:eastAsia="Calibri" w:cs="Calibri"/>
                <w:b/>
                <w:bCs/>
                <w:sz w:val="20"/>
                <w:szCs w:val="20"/>
                <w:lang w:val="en-GB" w:eastAsia="hr-HR"/>
              </w:rPr>
            </w:pPr>
          </w:p>
        </w:tc>
      </w:tr>
      <w:tr w:rsidR="00085672" w:rsidRPr="005A1C76" w14:paraId="6A99E490" w14:textId="77777777" w:rsidTr="00085672">
        <w:trPr>
          <w:cantSplit/>
          <w:trHeight w:val="227"/>
        </w:trPr>
        <w:tc>
          <w:tcPr>
            <w:tcW w:w="1180" w:type="dxa"/>
            <w:vMerge w:val="restart"/>
            <w:vAlign w:val="center"/>
          </w:tcPr>
          <w:p w14:paraId="38F0323C"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eastAsia="hr-HR"/>
              </w:rPr>
            </w:pPr>
            <w:r w:rsidRPr="005A1C76">
              <w:rPr>
                <w:rFonts w:eastAsia="Calibri" w:cs="Calibri"/>
                <w:sz w:val="20"/>
                <w:szCs w:val="20"/>
                <w:lang w:val="en-GB" w:eastAsia="hr-HR"/>
              </w:rPr>
              <w:t>Priobalno – otvoreno more</w:t>
            </w:r>
          </w:p>
        </w:tc>
        <w:tc>
          <w:tcPr>
            <w:tcW w:w="1568" w:type="dxa"/>
            <w:shd w:val="clear" w:color="auto" w:fill="auto"/>
            <w:vAlign w:val="center"/>
          </w:tcPr>
          <w:p w14:paraId="71C4023C" w14:textId="77777777" w:rsidR="00085672" w:rsidRPr="005A1C76" w:rsidRDefault="00085672" w:rsidP="00085672">
            <w:pPr>
              <w:spacing w:after="0" w:line="240" w:lineRule="auto"/>
              <w:rPr>
                <w:rFonts w:eastAsia="Calibri" w:cs="Calibri"/>
                <w:sz w:val="20"/>
                <w:szCs w:val="20"/>
                <w:lang w:val="en-GB" w:eastAsia="hr-HR"/>
              </w:rPr>
            </w:pPr>
            <w:r w:rsidRPr="005A1C76">
              <w:rPr>
                <w:rFonts w:eastAsia="Calibri" w:cs="Calibri"/>
                <w:sz w:val="20"/>
                <w:szCs w:val="20"/>
                <w:lang w:val="en-GB" w:eastAsia="hr-HR"/>
              </w:rPr>
              <w:t>Luštica</w:t>
            </w:r>
          </w:p>
        </w:tc>
        <w:tc>
          <w:tcPr>
            <w:tcW w:w="1080" w:type="dxa"/>
            <w:shd w:val="clear" w:color="auto" w:fill="FF0000"/>
            <w:vAlign w:val="center"/>
          </w:tcPr>
          <w:p w14:paraId="07969ADB"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2144" w:type="dxa"/>
            <w:shd w:val="clear" w:color="auto" w:fill="auto"/>
            <w:vAlign w:val="center"/>
          </w:tcPr>
          <w:p w14:paraId="37BF7C21"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Metali,PCB</w:t>
            </w:r>
          </w:p>
        </w:tc>
        <w:tc>
          <w:tcPr>
            <w:tcW w:w="1165" w:type="dxa"/>
            <w:shd w:val="clear" w:color="auto" w:fill="auto"/>
            <w:vAlign w:val="center"/>
          </w:tcPr>
          <w:p w14:paraId="4809DD26"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w:t>
            </w:r>
          </w:p>
        </w:tc>
        <w:tc>
          <w:tcPr>
            <w:tcW w:w="1788" w:type="dxa"/>
            <w:shd w:val="clear" w:color="auto" w:fill="auto"/>
            <w:vAlign w:val="center"/>
          </w:tcPr>
          <w:p w14:paraId="3D75C881" w14:textId="77777777" w:rsidR="00085672" w:rsidRPr="005A1C76" w:rsidRDefault="00085672" w:rsidP="00085672">
            <w:pPr>
              <w:spacing w:after="0" w:line="240" w:lineRule="auto"/>
              <w:jc w:val="center"/>
              <w:rPr>
                <w:rFonts w:eastAsia="Calibri" w:cs="Calibri"/>
                <w:b/>
                <w:bCs/>
                <w:sz w:val="20"/>
                <w:szCs w:val="20"/>
                <w:lang w:val="en-GB" w:eastAsia="hr-HR"/>
              </w:rPr>
            </w:pPr>
            <w:r w:rsidRPr="005A1C76">
              <w:rPr>
                <w:rFonts w:eastAsia="Calibri" w:cs="Calibri"/>
                <w:b/>
                <w:bCs/>
                <w:sz w:val="20"/>
                <w:szCs w:val="20"/>
                <w:lang w:val="en-GB" w:eastAsia="hr-HR"/>
              </w:rPr>
              <w:t>-</w:t>
            </w:r>
          </w:p>
        </w:tc>
      </w:tr>
      <w:tr w:rsidR="00085672" w:rsidRPr="005A1C76" w14:paraId="6639964A" w14:textId="77777777" w:rsidTr="00085672">
        <w:trPr>
          <w:cantSplit/>
          <w:trHeight w:val="227"/>
        </w:trPr>
        <w:tc>
          <w:tcPr>
            <w:tcW w:w="1180" w:type="dxa"/>
            <w:vMerge/>
            <w:vAlign w:val="center"/>
          </w:tcPr>
          <w:p w14:paraId="2CE25123"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eastAsia="hr-HR"/>
              </w:rPr>
            </w:pPr>
          </w:p>
        </w:tc>
        <w:tc>
          <w:tcPr>
            <w:tcW w:w="1568" w:type="dxa"/>
            <w:shd w:val="clear" w:color="auto" w:fill="auto"/>
            <w:vAlign w:val="center"/>
          </w:tcPr>
          <w:p w14:paraId="014F89FB" w14:textId="77777777" w:rsidR="00085672" w:rsidRPr="005A1C76" w:rsidRDefault="00085672" w:rsidP="00085672">
            <w:pPr>
              <w:spacing w:after="0" w:line="240" w:lineRule="auto"/>
              <w:rPr>
                <w:rFonts w:eastAsia="Calibri" w:cs="Calibri"/>
                <w:sz w:val="20"/>
                <w:szCs w:val="20"/>
                <w:lang w:val="en-GB" w:eastAsia="hr-HR"/>
              </w:rPr>
            </w:pPr>
            <w:r w:rsidRPr="005A1C76">
              <w:rPr>
                <w:rFonts w:eastAsia="Calibri" w:cs="Calibri"/>
                <w:sz w:val="20"/>
                <w:szCs w:val="20"/>
                <w:lang w:val="en-GB" w:eastAsia="hr-HR"/>
              </w:rPr>
              <w:t>Luštica-Dobra Luka</w:t>
            </w:r>
          </w:p>
        </w:tc>
        <w:tc>
          <w:tcPr>
            <w:tcW w:w="1080" w:type="dxa"/>
            <w:shd w:val="clear" w:color="auto" w:fill="5B9BD5"/>
            <w:vAlign w:val="center"/>
          </w:tcPr>
          <w:p w14:paraId="636D02A0"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Dobar</w:t>
            </w:r>
          </w:p>
        </w:tc>
        <w:tc>
          <w:tcPr>
            <w:tcW w:w="2144" w:type="dxa"/>
            <w:shd w:val="clear" w:color="auto" w:fill="auto"/>
            <w:vAlign w:val="center"/>
          </w:tcPr>
          <w:p w14:paraId="680AA6EA" w14:textId="77777777" w:rsidR="00085672" w:rsidRPr="005A1C76" w:rsidRDefault="00085672" w:rsidP="00085672">
            <w:pPr>
              <w:spacing w:after="0" w:line="240" w:lineRule="auto"/>
              <w:jc w:val="center"/>
              <w:rPr>
                <w:rFonts w:eastAsia="Calibri" w:cs="Calibri"/>
                <w:bCs/>
                <w:sz w:val="20"/>
                <w:szCs w:val="20"/>
                <w:lang w:val="en-GB" w:eastAsia="hr-HR"/>
              </w:rPr>
            </w:pPr>
          </w:p>
        </w:tc>
        <w:tc>
          <w:tcPr>
            <w:tcW w:w="1165" w:type="dxa"/>
            <w:shd w:val="clear" w:color="auto" w:fill="auto"/>
            <w:vAlign w:val="center"/>
          </w:tcPr>
          <w:p w14:paraId="7BB24ECC"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w:t>
            </w:r>
          </w:p>
        </w:tc>
        <w:tc>
          <w:tcPr>
            <w:tcW w:w="1788" w:type="dxa"/>
            <w:shd w:val="clear" w:color="auto" w:fill="auto"/>
            <w:vAlign w:val="center"/>
          </w:tcPr>
          <w:p w14:paraId="0285E89E" w14:textId="77777777" w:rsidR="00085672" w:rsidRPr="005A1C76" w:rsidRDefault="00085672" w:rsidP="00085672">
            <w:pPr>
              <w:spacing w:after="0" w:line="240" w:lineRule="auto"/>
              <w:jc w:val="center"/>
              <w:rPr>
                <w:rFonts w:eastAsia="Calibri" w:cs="Calibri"/>
                <w:b/>
                <w:bCs/>
                <w:sz w:val="20"/>
                <w:szCs w:val="20"/>
                <w:lang w:val="en-GB" w:eastAsia="hr-HR"/>
              </w:rPr>
            </w:pPr>
            <w:r w:rsidRPr="005A1C76">
              <w:rPr>
                <w:rFonts w:eastAsia="Calibri" w:cs="Calibri"/>
                <w:b/>
                <w:bCs/>
                <w:sz w:val="20"/>
                <w:szCs w:val="20"/>
                <w:lang w:val="en-GB" w:eastAsia="hr-HR"/>
              </w:rPr>
              <w:t>-</w:t>
            </w:r>
          </w:p>
        </w:tc>
      </w:tr>
      <w:tr w:rsidR="00085672" w:rsidRPr="005A1C76" w14:paraId="733ADF20" w14:textId="77777777" w:rsidTr="00085672">
        <w:trPr>
          <w:cantSplit/>
          <w:trHeight w:val="227"/>
        </w:trPr>
        <w:tc>
          <w:tcPr>
            <w:tcW w:w="1180" w:type="dxa"/>
            <w:vMerge/>
            <w:vAlign w:val="center"/>
          </w:tcPr>
          <w:p w14:paraId="4A478B1F"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eastAsia="hr-HR"/>
              </w:rPr>
            </w:pPr>
          </w:p>
        </w:tc>
        <w:tc>
          <w:tcPr>
            <w:tcW w:w="1568" w:type="dxa"/>
            <w:shd w:val="clear" w:color="auto" w:fill="auto"/>
            <w:vAlign w:val="center"/>
          </w:tcPr>
          <w:p w14:paraId="35B106DE" w14:textId="77777777" w:rsidR="00085672" w:rsidRPr="005A1C76" w:rsidRDefault="00085672" w:rsidP="00085672">
            <w:pPr>
              <w:spacing w:after="0" w:line="240" w:lineRule="auto"/>
              <w:rPr>
                <w:rFonts w:eastAsia="Calibri" w:cs="Calibri"/>
                <w:sz w:val="20"/>
                <w:szCs w:val="20"/>
                <w:lang w:val="en-GB" w:eastAsia="hr-HR"/>
              </w:rPr>
            </w:pPr>
            <w:r w:rsidRPr="005A1C76">
              <w:rPr>
                <w:rFonts w:eastAsia="Calibri" w:cs="Calibri"/>
                <w:sz w:val="20"/>
                <w:szCs w:val="20"/>
                <w:lang w:val="en-GB" w:eastAsia="hr-HR"/>
              </w:rPr>
              <w:t>Luka Budva</w:t>
            </w:r>
          </w:p>
        </w:tc>
        <w:tc>
          <w:tcPr>
            <w:tcW w:w="1080" w:type="dxa"/>
            <w:shd w:val="clear" w:color="auto" w:fill="FF0000"/>
            <w:vAlign w:val="center"/>
          </w:tcPr>
          <w:p w14:paraId="63614DFC"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2144" w:type="dxa"/>
            <w:shd w:val="clear" w:color="auto" w:fill="auto"/>
            <w:vAlign w:val="center"/>
          </w:tcPr>
          <w:p w14:paraId="26F9A67F"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Metali,PAH, PCB</w:t>
            </w:r>
          </w:p>
        </w:tc>
        <w:tc>
          <w:tcPr>
            <w:tcW w:w="1165" w:type="dxa"/>
            <w:shd w:val="clear" w:color="auto" w:fill="FF0000"/>
            <w:vAlign w:val="center"/>
          </w:tcPr>
          <w:p w14:paraId="527529D5"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1788" w:type="dxa"/>
            <w:shd w:val="clear" w:color="auto" w:fill="auto"/>
            <w:vAlign w:val="center"/>
          </w:tcPr>
          <w:p w14:paraId="73D2A618" w14:textId="77777777" w:rsidR="00085672" w:rsidRPr="005A1C76" w:rsidRDefault="00085672" w:rsidP="00085672">
            <w:pPr>
              <w:spacing w:after="0" w:line="240" w:lineRule="auto"/>
              <w:jc w:val="center"/>
              <w:rPr>
                <w:rFonts w:eastAsia="Calibri" w:cs="Calibri"/>
                <w:b/>
                <w:bCs/>
                <w:sz w:val="20"/>
                <w:szCs w:val="20"/>
                <w:lang w:val="en-GB" w:eastAsia="hr-HR"/>
              </w:rPr>
            </w:pPr>
            <w:r w:rsidRPr="005A1C76">
              <w:rPr>
                <w:rFonts w:eastAsia="Calibri" w:cs="Calibri"/>
                <w:bCs/>
                <w:sz w:val="20"/>
                <w:szCs w:val="20"/>
                <w:lang w:val="en-GB" w:eastAsia="hr-HR"/>
              </w:rPr>
              <w:t>TBT</w:t>
            </w:r>
          </w:p>
        </w:tc>
      </w:tr>
      <w:tr w:rsidR="00085672" w:rsidRPr="005A1C76" w14:paraId="0224B5D4" w14:textId="77777777" w:rsidTr="00085672">
        <w:trPr>
          <w:cantSplit/>
          <w:trHeight w:val="227"/>
        </w:trPr>
        <w:tc>
          <w:tcPr>
            <w:tcW w:w="1180" w:type="dxa"/>
            <w:vMerge/>
            <w:vAlign w:val="center"/>
          </w:tcPr>
          <w:p w14:paraId="348ECAEF"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eastAsia="hr-HR"/>
              </w:rPr>
            </w:pPr>
          </w:p>
        </w:tc>
        <w:tc>
          <w:tcPr>
            <w:tcW w:w="1568" w:type="dxa"/>
            <w:shd w:val="clear" w:color="auto" w:fill="auto"/>
            <w:vAlign w:val="center"/>
          </w:tcPr>
          <w:p w14:paraId="650BF37C" w14:textId="77777777" w:rsidR="00085672" w:rsidRPr="005A1C76" w:rsidRDefault="00085672" w:rsidP="00085672">
            <w:pPr>
              <w:spacing w:after="0" w:line="240" w:lineRule="auto"/>
              <w:rPr>
                <w:rFonts w:eastAsia="Calibri" w:cs="Calibri"/>
                <w:sz w:val="20"/>
                <w:szCs w:val="20"/>
                <w:lang w:val="en-GB" w:eastAsia="hr-HR"/>
              </w:rPr>
            </w:pPr>
            <w:r w:rsidRPr="005A1C76">
              <w:rPr>
                <w:rFonts w:eastAsia="Calibri" w:cs="Calibri"/>
                <w:sz w:val="20"/>
                <w:szCs w:val="20"/>
                <w:lang w:val="en-GB" w:eastAsia="hr-HR"/>
              </w:rPr>
              <w:t>Luka Bar</w:t>
            </w:r>
          </w:p>
        </w:tc>
        <w:tc>
          <w:tcPr>
            <w:tcW w:w="1080" w:type="dxa"/>
            <w:shd w:val="clear" w:color="auto" w:fill="FF0000"/>
            <w:vAlign w:val="center"/>
          </w:tcPr>
          <w:p w14:paraId="1688D2E3"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2144" w:type="dxa"/>
            <w:shd w:val="clear" w:color="auto" w:fill="auto"/>
            <w:vAlign w:val="center"/>
          </w:tcPr>
          <w:p w14:paraId="1A0F0517"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Metali,PAH, PCB</w:t>
            </w:r>
          </w:p>
        </w:tc>
        <w:tc>
          <w:tcPr>
            <w:tcW w:w="1165" w:type="dxa"/>
            <w:shd w:val="clear" w:color="auto" w:fill="FF0000"/>
            <w:vAlign w:val="center"/>
          </w:tcPr>
          <w:p w14:paraId="4D4306CA"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1788" w:type="dxa"/>
            <w:shd w:val="clear" w:color="auto" w:fill="auto"/>
            <w:vAlign w:val="center"/>
          </w:tcPr>
          <w:p w14:paraId="1F685F82"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 PCB,TBT</w:t>
            </w:r>
          </w:p>
        </w:tc>
      </w:tr>
      <w:tr w:rsidR="00085672" w:rsidRPr="005A1C76" w14:paraId="1B09BA3A" w14:textId="77777777" w:rsidTr="00085672">
        <w:trPr>
          <w:cantSplit/>
          <w:trHeight w:val="227"/>
        </w:trPr>
        <w:tc>
          <w:tcPr>
            <w:tcW w:w="1180" w:type="dxa"/>
            <w:vMerge/>
            <w:vAlign w:val="center"/>
          </w:tcPr>
          <w:p w14:paraId="556030F3" w14:textId="77777777" w:rsidR="00085672" w:rsidRPr="005A1C76" w:rsidRDefault="00085672" w:rsidP="00085672">
            <w:pPr>
              <w:autoSpaceDE w:val="0"/>
              <w:autoSpaceDN w:val="0"/>
              <w:adjustRightInd w:val="0"/>
              <w:spacing w:after="0" w:line="240" w:lineRule="auto"/>
              <w:textAlignment w:val="center"/>
              <w:rPr>
                <w:rFonts w:eastAsia="Calibri" w:cs="Calibri"/>
                <w:sz w:val="20"/>
                <w:szCs w:val="20"/>
                <w:lang w:val="en-GB" w:eastAsia="hr-HR"/>
              </w:rPr>
            </w:pPr>
          </w:p>
        </w:tc>
        <w:tc>
          <w:tcPr>
            <w:tcW w:w="1568" w:type="dxa"/>
            <w:shd w:val="clear" w:color="auto" w:fill="auto"/>
            <w:vAlign w:val="center"/>
          </w:tcPr>
          <w:p w14:paraId="6642B730" w14:textId="77777777" w:rsidR="00085672" w:rsidRPr="005A1C76" w:rsidRDefault="00085672" w:rsidP="00085672">
            <w:pPr>
              <w:spacing w:after="0" w:line="240" w:lineRule="auto"/>
              <w:rPr>
                <w:rFonts w:eastAsia="Calibri" w:cs="Calibri"/>
                <w:sz w:val="20"/>
                <w:szCs w:val="20"/>
                <w:lang w:val="en-GB" w:eastAsia="hr-HR"/>
              </w:rPr>
            </w:pPr>
            <w:r w:rsidRPr="005A1C76">
              <w:rPr>
                <w:rFonts w:eastAsia="Calibri" w:cs="Calibri"/>
                <w:sz w:val="20"/>
                <w:szCs w:val="20"/>
                <w:lang w:val="en-GB" w:eastAsia="hr-HR"/>
              </w:rPr>
              <w:t>Port Milena</w:t>
            </w:r>
          </w:p>
        </w:tc>
        <w:tc>
          <w:tcPr>
            <w:tcW w:w="1080" w:type="dxa"/>
            <w:shd w:val="clear" w:color="auto" w:fill="FF0000"/>
            <w:vAlign w:val="center"/>
          </w:tcPr>
          <w:p w14:paraId="287AA646"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2144" w:type="dxa"/>
            <w:shd w:val="clear" w:color="auto" w:fill="auto"/>
            <w:vAlign w:val="center"/>
          </w:tcPr>
          <w:p w14:paraId="04498C3F"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w:t>
            </w:r>
          </w:p>
        </w:tc>
        <w:tc>
          <w:tcPr>
            <w:tcW w:w="1165" w:type="dxa"/>
            <w:shd w:val="clear" w:color="auto" w:fill="FF0000"/>
            <w:vAlign w:val="center"/>
          </w:tcPr>
          <w:p w14:paraId="149604F0"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1788" w:type="dxa"/>
            <w:shd w:val="clear" w:color="auto" w:fill="auto"/>
            <w:vAlign w:val="center"/>
          </w:tcPr>
          <w:p w14:paraId="5A481991" w14:textId="77777777" w:rsidR="00085672" w:rsidRPr="005A1C76" w:rsidRDefault="00085672" w:rsidP="00085672">
            <w:pPr>
              <w:spacing w:after="0" w:line="240" w:lineRule="auto"/>
              <w:jc w:val="center"/>
              <w:rPr>
                <w:rFonts w:eastAsia="Calibri" w:cs="Calibri"/>
                <w:b/>
                <w:bCs/>
                <w:sz w:val="20"/>
                <w:szCs w:val="20"/>
                <w:lang w:val="en-GB" w:eastAsia="hr-HR"/>
              </w:rPr>
            </w:pPr>
            <w:r w:rsidRPr="005A1C76">
              <w:rPr>
                <w:rFonts w:eastAsia="Calibri" w:cs="Calibri"/>
                <w:bCs/>
                <w:sz w:val="20"/>
                <w:szCs w:val="20"/>
                <w:lang w:val="en-GB" w:eastAsia="hr-HR"/>
              </w:rPr>
              <w:t>TBT</w:t>
            </w:r>
          </w:p>
        </w:tc>
      </w:tr>
      <w:tr w:rsidR="00085672" w:rsidRPr="005A1C76" w14:paraId="55B27316" w14:textId="77777777" w:rsidTr="00085672">
        <w:trPr>
          <w:cantSplit/>
          <w:trHeight w:val="227"/>
        </w:trPr>
        <w:tc>
          <w:tcPr>
            <w:tcW w:w="1180" w:type="dxa"/>
            <w:vMerge/>
          </w:tcPr>
          <w:p w14:paraId="5F3A01C9" w14:textId="77777777" w:rsidR="00085672" w:rsidRPr="005A1C76" w:rsidRDefault="00085672" w:rsidP="00085672">
            <w:pPr>
              <w:spacing w:after="0" w:line="240" w:lineRule="auto"/>
              <w:jc w:val="center"/>
              <w:rPr>
                <w:rFonts w:eastAsia="Calibri" w:cs="Calibri"/>
                <w:sz w:val="20"/>
                <w:szCs w:val="20"/>
                <w:lang w:val="en-GB" w:eastAsia="hr-HR"/>
              </w:rPr>
            </w:pPr>
          </w:p>
        </w:tc>
        <w:tc>
          <w:tcPr>
            <w:tcW w:w="1568" w:type="dxa"/>
            <w:shd w:val="clear" w:color="auto" w:fill="auto"/>
            <w:vAlign w:val="center"/>
          </w:tcPr>
          <w:p w14:paraId="4F635722" w14:textId="77777777" w:rsidR="00085672" w:rsidRPr="005A1C76" w:rsidRDefault="00085672" w:rsidP="00085672">
            <w:pPr>
              <w:spacing w:after="0" w:line="240" w:lineRule="auto"/>
              <w:rPr>
                <w:rFonts w:eastAsia="Calibri" w:cs="Calibri"/>
                <w:sz w:val="20"/>
                <w:szCs w:val="20"/>
                <w:lang w:val="en-GB" w:eastAsia="hr-HR"/>
              </w:rPr>
            </w:pPr>
            <w:r w:rsidRPr="005A1C76">
              <w:rPr>
                <w:rFonts w:eastAsia="Calibri" w:cs="Calibri"/>
                <w:sz w:val="20"/>
                <w:szCs w:val="20"/>
                <w:lang w:val="en-GB" w:eastAsia="hr-HR"/>
              </w:rPr>
              <w:t xml:space="preserve">Ada Bojana </w:t>
            </w:r>
          </w:p>
        </w:tc>
        <w:tc>
          <w:tcPr>
            <w:tcW w:w="1080" w:type="dxa"/>
            <w:shd w:val="clear" w:color="auto" w:fill="FF0000"/>
            <w:vAlign w:val="center"/>
          </w:tcPr>
          <w:p w14:paraId="31128865"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Nije dobar</w:t>
            </w:r>
          </w:p>
        </w:tc>
        <w:tc>
          <w:tcPr>
            <w:tcW w:w="2144" w:type="dxa"/>
            <w:shd w:val="clear" w:color="auto" w:fill="auto"/>
            <w:vAlign w:val="center"/>
          </w:tcPr>
          <w:p w14:paraId="2F076AC0"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Metali</w:t>
            </w:r>
          </w:p>
        </w:tc>
        <w:tc>
          <w:tcPr>
            <w:tcW w:w="1165" w:type="dxa"/>
            <w:shd w:val="clear" w:color="auto" w:fill="auto"/>
            <w:vAlign w:val="center"/>
          </w:tcPr>
          <w:p w14:paraId="4A971C58"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w:t>
            </w:r>
          </w:p>
        </w:tc>
        <w:tc>
          <w:tcPr>
            <w:tcW w:w="1788" w:type="dxa"/>
            <w:shd w:val="clear" w:color="auto" w:fill="auto"/>
            <w:vAlign w:val="center"/>
          </w:tcPr>
          <w:p w14:paraId="22273895" w14:textId="77777777" w:rsidR="00085672" w:rsidRPr="005A1C76" w:rsidRDefault="00085672" w:rsidP="00085672">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w:t>
            </w:r>
          </w:p>
        </w:tc>
      </w:tr>
    </w:tbl>
    <w:p w14:paraId="39F5ED5B" w14:textId="77777777" w:rsidR="00085672" w:rsidRPr="005A1C76" w:rsidRDefault="00085672" w:rsidP="00085672">
      <w:pPr>
        <w:spacing w:after="0" w:line="240" w:lineRule="auto"/>
        <w:rPr>
          <w:rFonts w:eastAsia="Calibri"/>
          <w:sz w:val="20"/>
          <w:szCs w:val="20"/>
          <w:lang w:val="en-GB" w:eastAsia="hr-HR"/>
        </w:rPr>
      </w:pPr>
      <w:r w:rsidRPr="005A1C76">
        <w:rPr>
          <w:rFonts w:eastAsia="Calibri"/>
          <w:sz w:val="20"/>
          <w:szCs w:val="20"/>
          <w:lang w:val="en-GB" w:eastAsia="hr-HR"/>
        </w:rPr>
        <w:t>* rezultati prikazani u Tabelama 2.28-2.30</w:t>
      </w:r>
    </w:p>
    <w:p w14:paraId="2A9F9826" w14:textId="77777777" w:rsidR="00085672" w:rsidRPr="005A1C76" w:rsidRDefault="00085672" w:rsidP="00085672">
      <w:pPr>
        <w:spacing w:after="0" w:line="240" w:lineRule="auto"/>
        <w:rPr>
          <w:rFonts w:eastAsia="Calibri"/>
          <w:sz w:val="20"/>
          <w:szCs w:val="20"/>
          <w:lang w:val="en-GB" w:eastAsia="hr-HR"/>
        </w:rPr>
      </w:pPr>
      <w:r w:rsidRPr="005A1C76">
        <w:rPr>
          <w:rFonts w:eastAsia="Calibri"/>
          <w:sz w:val="20"/>
          <w:szCs w:val="20"/>
          <w:lang w:val="en-GB" w:eastAsia="hr-HR"/>
        </w:rPr>
        <w:t>** rezultati prikazani u Tabelama 2.30-2.33</w:t>
      </w:r>
    </w:p>
    <w:p w14:paraId="479CA659" w14:textId="77777777" w:rsidR="00085672" w:rsidRPr="005A1C76" w:rsidRDefault="00085672" w:rsidP="00085672">
      <w:pPr>
        <w:spacing w:after="0" w:line="240" w:lineRule="auto"/>
        <w:rPr>
          <w:rFonts w:eastAsia="Calibri"/>
          <w:sz w:val="20"/>
          <w:szCs w:val="20"/>
          <w:lang w:val="en-GB" w:eastAsia="hr-HR"/>
        </w:rPr>
      </w:pPr>
    </w:p>
    <w:p w14:paraId="5FA6752E" w14:textId="77777777" w:rsidR="00085672" w:rsidRPr="005A1C76" w:rsidRDefault="00085672" w:rsidP="00085672">
      <w:pPr>
        <w:rPr>
          <w:rFonts w:eastAsia="Calibri" w:cs="Calibri"/>
          <w:lang w:val="en-GB"/>
        </w:rPr>
      </w:pPr>
      <w:r w:rsidRPr="005A1C76">
        <w:rPr>
          <w:rFonts w:eastAsia="Calibri" w:cs="Calibri"/>
          <w:lang w:val="en-GB"/>
        </w:rPr>
        <w:t>Procjena GES-a za analizirane organske i neorganske kontaminante u morskoj vodi izvršena je poređenjem izmjerenih koncentracija kontaminanata sa najvećom dozvoljenom koncentracijom utvrđenom standardom kvaliteta životne sredine iz dijela A Priloga II Direktive Direktive 2013/39/EU (o izmenama i dopunama Direktive 2000/60/EC u pogledu prioritetnih supstanci u oblasti vodene politike). Uzimajući u obzir da su izmjerene koncentracije prioritetnih supstanci tokom perioda istraživanja bile ispod maksimalno dozvoljene koncentracije, može se zaključiti da je GES postignut na ispitivanim lokacijama.</w:t>
      </w:r>
    </w:p>
    <w:p w14:paraId="0FEA3F2E" w14:textId="77777777" w:rsidR="00085672" w:rsidRPr="005A1C76" w:rsidRDefault="00085672" w:rsidP="00085672">
      <w:pPr>
        <w:rPr>
          <w:rFonts w:eastAsia="Calibri" w:cs="Calibri"/>
          <w:lang w:val="en-GB"/>
        </w:rPr>
      </w:pPr>
      <w:r w:rsidRPr="005A1C76">
        <w:rPr>
          <w:rFonts w:eastAsia="Calibri" w:cs="Calibri"/>
          <w:lang w:val="en-GB"/>
        </w:rPr>
        <w:t>Procjena GES-a prema kriterijumima u skladu sa Commission Decision 2017/848/EU predstavljena je u tabeli 2.36.</w:t>
      </w:r>
    </w:p>
    <w:p w14:paraId="2886768B" w14:textId="77777777" w:rsidR="00085672" w:rsidRPr="005A1C76" w:rsidRDefault="00085672" w:rsidP="00085672">
      <w:pPr>
        <w:spacing w:after="0"/>
        <w:rPr>
          <w:rFonts w:eastAsia="Calibri" w:cs="Calibri"/>
          <w:lang w:val="en-GB"/>
        </w:rPr>
      </w:pPr>
    </w:p>
    <w:p w14:paraId="497E7A21" w14:textId="3C7EDEC7" w:rsidR="00085672" w:rsidRPr="005A1C76" w:rsidRDefault="00085672" w:rsidP="00085672">
      <w:pPr>
        <w:rPr>
          <w:rFonts w:eastAsia="Calibri" w:cs="Calibri"/>
          <w:b/>
          <w:lang w:val="en-GB"/>
        </w:rPr>
      </w:pPr>
      <w:bookmarkStart w:id="215" w:name="_Toc83643182"/>
      <w:r w:rsidRPr="005A1C76">
        <w:rPr>
          <w:rFonts w:eastAsia="Calibri" w:cs="Calibri"/>
          <w:b/>
          <w:lang w:val="en-GB"/>
        </w:rPr>
        <w:t xml:space="preserve">Tabela </w:t>
      </w:r>
      <w:r w:rsidRPr="005A1C76">
        <w:rPr>
          <w:b/>
        </w:rPr>
        <w:fldChar w:fldCharType="begin"/>
      </w:r>
      <w:r w:rsidRPr="005A1C76">
        <w:rPr>
          <w:b/>
        </w:rPr>
        <w:instrText xml:space="preserve"> STYLEREF 1 \s </w:instrText>
      </w:r>
      <w:r w:rsidRPr="005A1C76">
        <w:rPr>
          <w:b/>
        </w:rPr>
        <w:fldChar w:fldCharType="separate"/>
      </w:r>
      <w:r w:rsidR="000D1E20">
        <w:rPr>
          <w:b/>
          <w:noProof/>
        </w:rPr>
        <w:t>2</w:t>
      </w:r>
      <w:r w:rsidRPr="005A1C76">
        <w:rPr>
          <w:b/>
        </w:rPr>
        <w:fldChar w:fldCharType="end"/>
      </w:r>
      <w:r w:rsidRPr="005A1C76">
        <w:rPr>
          <w:b/>
        </w:rPr>
        <w:t>.</w:t>
      </w:r>
      <w:r w:rsidRPr="005A1C76">
        <w:rPr>
          <w:b/>
        </w:rPr>
        <w:fldChar w:fldCharType="begin"/>
      </w:r>
      <w:r w:rsidRPr="005A1C76">
        <w:rPr>
          <w:b/>
        </w:rPr>
        <w:instrText xml:space="preserve"> SEQ Table \* ARABIC \s 1 </w:instrText>
      </w:r>
      <w:r w:rsidRPr="005A1C76">
        <w:rPr>
          <w:b/>
        </w:rPr>
        <w:fldChar w:fldCharType="separate"/>
      </w:r>
      <w:r w:rsidR="000D1E20">
        <w:rPr>
          <w:b/>
          <w:noProof/>
        </w:rPr>
        <w:t>24</w:t>
      </w:r>
      <w:r w:rsidRPr="005A1C76">
        <w:rPr>
          <w:b/>
        </w:rPr>
        <w:fldChar w:fldCharType="end"/>
      </w:r>
      <w:r w:rsidRPr="005A1C76">
        <w:rPr>
          <w:b/>
        </w:rPr>
        <w:t>.</w:t>
      </w:r>
      <w:r w:rsidRPr="005A1C76">
        <w:rPr>
          <w:rFonts w:eastAsia="Calibri" w:cs="Calibri"/>
          <w:b/>
          <w:lang w:val="en-GB"/>
        </w:rPr>
        <w:t xml:space="preserve"> Procjena GES-a za D8 prema kriterijumima</w:t>
      </w:r>
      <w:r w:rsidR="00960C00">
        <w:rPr>
          <w:rFonts w:eastAsia="Calibri" w:cs="Calibri"/>
          <w:b/>
          <w:lang w:val="en-GB"/>
        </w:rPr>
        <w:t xml:space="preserve"> </w:t>
      </w:r>
      <w:r w:rsidR="00960C00">
        <w:rPr>
          <w:rFonts w:eastAsia="Calibri"/>
          <w:b/>
          <w:szCs w:val="22"/>
          <w:lang w:val="en-GB" w:eastAsia="en-US"/>
        </w:rPr>
        <w:t>Odluke</w:t>
      </w:r>
      <w:r w:rsidR="00960C00" w:rsidRPr="00CC6C64">
        <w:rPr>
          <w:rFonts w:eastAsia="Calibri"/>
          <w:b/>
          <w:szCs w:val="22"/>
          <w:lang w:val="en-GB" w:eastAsia="en-US"/>
        </w:rPr>
        <w:t xml:space="preserve"> Komisije</w:t>
      </w:r>
      <w:r w:rsidR="00960C00" w:rsidRPr="001C6CCA">
        <w:rPr>
          <w:rFonts w:eastAsia="Calibri"/>
          <w:b/>
          <w:szCs w:val="22"/>
          <w:lang w:val="en-GB" w:eastAsia="en-US"/>
        </w:rPr>
        <w:t xml:space="preserve"> 217/845/EU</w:t>
      </w:r>
      <w:bookmarkEnd w:id="215"/>
      <w:r w:rsidR="00960C00" w:rsidRPr="005A1C76">
        <w:rPr>
          <w:rFonts w:eastAsia="Calibri" w:cs="Calibri"/>
          <w:b/>
          <w:lang w:val="en-GB"/>
        </w:rPr>
        <w:t xml:space="preserve"> </w:t>
      </w:r>
    </w:p>
    <w:tbl>
      <w:tblPr>
        <w:tblStyle w:val="GolderTable12"/>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696"/>
        <w:gridCol w:w="7325"/>
      </w:tblGrid>
      <w:tr w:rsidR="006A7CA8" w:rsidRPr="005A1C76" w14:paraId="5D6529AE" w14:textId="77777777" w:rsidTr="00C42B0B">
        <w:tc>
          <w:tcPr>
            <w:tcW w:w="902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EC16C50" w14:textId="45B7AE34" w:rsidR="006A7CA8" w:rsidRDefault="006A7CA8" w:rsidP="00C44CA3">
            <w:pPr>
              <w:jc w:val="center"/>
              <w:rPr>
                <w:b/>
                <w:color w:val="FFFFFF" w:themeColor="background1"/>
                <w:sz w:val="20"/>
                <w:szCs w:val="20"/>
                <w:lang w:val="en-GB"/>
              </w:rPr>
            </w:pPr>
            <w:r>
              <w:rPr>
                <w:b/>
                <w:color w:val="FFFFFF" w:themeColor="background1"/>
                <w:sz w:val="20"/>
                <w:szCs w:val="20"/>
                <w:lang w:val="en-GB"/>
              </w:rPr>
              <w:t>Područje procjene: nacionalni nivo – crnogorski dio Jadrana</w:t>
            </w:r>
          </w:p>
        </w:tc>
      </w:tr>
      <w:tr w:rsidR="00085672" w:rsidRPr="005A1C76" w14:paraId="062F0C3F" w14:textId="77777777" w:rsidTr="00C42B0B">
        <w:tc>
          <w:tcPr>
            <w:tcW w:w="1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14201058" w14:textId="77777777" w:rsidR="00085672" w:rsidRPr="00965760" w:rsidRDefault="00085672" w:rsidP="00085672">
            <w:pPr>
              <w:rPr>
                <w:b/>
                <w:color w:val="FFFFFF" w:themeColor="background1"/>
                <w:sz w:val="20"/>
                <w:szCs w:val="20"/>
                <w:lang w:val="en-GB"/>
              </w:rPr>
            </w:pPr>
            <w:r w:rsidRPr="00965760">
              <w:rPr>
                <w:b/>
                <w:color w:val="FFFFFF" w:themeColor="background1"/>
                <w:sz w:val="20"/>
                <w:szCs w:val="20"/>
                <w:lang w:val="en-GB"/>
              </w:rPr>
              <w:t>Kriterijum</w:t>
            </w:r>
          </w:p>
        </w:tc>
        <w:tc>
          <w:tcPr>
            <w:tcW w:w="73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34BB0802" w14:textId="4F82D91A" w:rsidR="00085672" w:rsidRPr="00965760" w:rsidRDefault="00965760" w:rsidP="00965760">
            <w:pPr>
              <w:rPr>
                <w:b/>
                <w:color w:val="FFFFFF" w:themeColor="background1"/>
                <w:sz w:val="20"/>
                <w:szCs w:val="20"/>
                <w:lang w:val="en-GB"/>
              </w:rPr>
            </w:pPr>
            <w:r>
              <w:rPr>
                <w:b/>
                <w:color w:val="FFFFFF" w:themeColor="background1"/>
                <w:sz w:val="20"/>
                <w:szCs w:val="20"/>
                <w:lang w:val="en-GB"/>
              </w:rPr>
              <w:t>GES</w:t>
            </w:r>
          </w:p>
        </w:tc>
      </w:tr>
      <w:tr w:rsidR="00085672" w:rsidRPr="005A1C76" w14:paraId="33CFAE12" w14:textId="77777777" w:rsidTr="00C42B0B">
        <w:tc>
          <w:tcPr>
            <w:tcW w:w="1696" w:type="dxa"/>
            <w:tcBorders>
              <w:top w:val="single" w:sz="4" w:space="0" w:color="FFFFFF" w:themeColor="background1"/>
            </w:tcBorders>
          </w:tcPr>
          <w:p w14:paraId="55F5865B" w14:textId="77777777" w:rsidR="00085672" w:rsidRPr="005A1C76" w:rsidRDefault="00085672" w:rsidP="00085672">
            <w:pPr>
              <w:rPr>
                <w:b/>
                <w:sz w:val="20"/>
                <w:szCs w:val="20"/>
                <w:lang w:val="en-GB"/>
              </w:rPr>
            </w:pPr>
            <w:r w:rsidRPr="005A1C76">
              <w:rPr>
                <w:b/>
                <w:sz w:val="20"/>
                <w:szCs w:val="20"/>
                <w:lang w:val="en-GB"/>
              </w:rPr>
              <w:t>D8C1</w:t>
            </w:r>
          </w:p>
          <w:p w14:paraId="4730371C" w14:textId="77777777" w:rsidR="00085672" w:rsidRPr="005A1C76" w:rsidRDefault="00085672" w:rsidP="00085672">
            <w:pPr>
              <w:rPr>
                <w:sz w:val="20"/>
                <w:szCs w:val="20"/>
                <w:lang w:val="en-GB"/>
              </w:rPr>
            </w:pPr>
            <w:r w:rsidRPr="005A1C76">
              <w:rPr>
                <w:sz w:val="20"/>
                <w:szCs w:val="20"/>
                <w:lang w:val="en-GB"/>
              </w:rPr>
              <w:t>Koncentracija kontaminanata</w:t>
            </w:r>
          </w:p>
        </w:tc>
        <w:tc>
          <w:tcPr>
            <w:tcW w:w="7325" w:type="dxa"/>
            <w:tcBorders>
              <w:top w:val="single" w:sz="4" w:space="0" w:color="FFFFFF" w:themeColor="background1"/>
            </w:tcBorders>
          </w:tcPr>
          <w:p w14:paraId="1FBF1626" w14:textId="77777777" w:rsidR="00085672" w:rsidRPr="005A1C76" w:rsidRDefault="00085672" w:rsidP="00085672">
            <w:pPr>
              <w:rPr>
                <w:rFonts w:cs="Calibri"/>
                <w:sz w:val="20"/>
                <w:szCs w:val="20"/>
                <w:lang w:val="sr-Latn-ME"/>
              </w:rPr>
            </w:pPr>
            <w:r w:rsidRPr="005A1C76">
              <w:rPr>
                <w:rFonts w:cs="Calibri"/>
                <w:sz w:val="20"/>
                <w:szCs w:val="20"/>
                <w:lang w:val="sr-Latn-ME"/>
              </w:rPr>
              <w:t xml:space="preserve">Prema </w:t>
            </w:r>
            <w:r w:rsidRPr="005A1C76">
              <w:rPr>
                <w:rFonts w:cs="Calibri"/>
                <w:sz w:val="20"/>
                <w:szCs w:val="20"/>
                <w:lang w:val="en-GB"/>
              </w:rPr>
              <w:t>UNEP/MAP</w:t>
            </w:r>
            <w:r w:rsidRPr="005A1C76">
              <w:rPr>
                <w:rFonts w:cs="Calibri"/>
                <w:sz w:val="20"/>
                <w:szCs w:val="20"/>
                <w:vertAlign w:val="superscript"/>
                <w:lang w:val="en-GB"/>
              </w:rPr>
              <w:footnoteReference w:id="39"/>
            </w:r>
            <w:r w:rsidRPr="005A1C76">
              <w:rPr>
                <w:rFonts w:cs="Calibri"/>
                <w:sz w:val="20"/>
                <w:szCs w:val="20"/>
                <w:lang w:val="en-GB"/>
              </w:rPr>
              <w:t xml:space="preserve"> i OSPAR</w:t>
            </w:r>
            <w:r w:rsidRPr="005A1C76">
              <w:rPr>
                <w:rFonts w:cs="Calibri"/>
                <w:sz w:val="20"/>
                <w:szCs w:val="20"/>
                <w:vertAlign w:val="superscript"/>
                <w:lang w:val="en-GB"/>
              </w:rPr>
              <w:footnoteReference w:id="40"/>
            </w:r>
            <w:r w:rsidRPr="005A1C76">
              <w:rPr>
                <w:rFonts w:cs="Calibri"/>
                <w:sz w:val="20"/>
                <w:szCs w:val="20"/>
                <w:lang w:val="en-GB"/>
              </w:rPr>
              <w:t xml:space="preserve"> kriterijumima i graničnim vrijednostima, GES nije postignut za</w:t>
            </w:r>
            <w:r w:rsidRPr="005A1C76">
              <w:rPr>
                <w:rFonts w:cs="Calibri"/>
                <w:sz w:val="20"/>
                <w:szCs w:val="20"/>
                <w:lang w:val="sr-Latn-ME"/>
              </w:rPr>
              <w:t xml:space="preserve"> kriterijum D8C1 ni za sediment ni za biotu.</w:t>
            </w:r>
          </w:p>
          <w:p w14:paraId="18CAD325" w14:textId="19831D63" w:rsidR="00085672" w:rsidRPr="005A1C76" w:rsidRDefault="00085672" w:rsidP="00085672">
            <w:pPr>
              <w:rPr>
                <w:rFonts w:cs="Calibri"/>
                <w:sz w:val="20"/>
                <w:szCs w:val="20"/>
                <w:lang w:val="en-GB"/>
              </w:rPr>
            </w:pPr>
            <w:r w:rsidRPr="005A1C76">
              <w:rPr>
                <w:rFonts w:cs="Calibri"/>
                <w:b/>
                <w:sz w:val="20"/>
                <w:szCs w:val="20"/>
                <w:lang w:val="en-GB"/>
              </w:rPr>
              <w:t>Napomen</w:t>
            </w:r>
            <w:r w:rsidR="001F0FB4">
              <w:rPr>
                <w:rFonts w:cs="Calibri"/>
                <w:b/>
                <w:sz w:val="20"/>
                <w:szCs w:val="20"/>
                <w:lang w:val="en-GB"/>
              </w:rPr>
              <w:t>a</w:t>
            </w:r>
            <w:r w:rsidRPr="005A1C76">
              <w:rPr>
                <w:rFonts w:cs="Calibri"/>
                <w:b/>
                <w:sz w:val="20"/>
                <w:szCs w:val="20"/>
                <w:lang w:val="en-GB"/>
              </w:rPr>
              <w:t xml:space="preserve">: </w:t>
            </w:r>
            <w:r w:rsidRPr="005A1C76">
              <w:rPr>
                <w:rFonts w:cs="Calibri"/>
                <w:sz w:val="20"/>
                <w:szCs w:val="20"/>
                <w:lang w:val="en-GB"/>
              </w:rPr>
              <w:t>Posmatrane lokacije izložene su značajnom antropognemo</w:t>
            </w:r>
            <w:r w:rsidR="006075FE">
              <w:rPr>
                <w:rFonts w:cs="Calibri"/>
                <w:sz w:val="20"/>
                <w:szCs w:val="20"/>
                <w:lang w:val="en-GB"/>
              </w:rPr>
              <w:t>m uticaju (“Hot Spot” lokacije)</w:t>
            </w:r>
          </w:p>
          <w:p w14:paraId="4BE5392F" w14:textId="3DC0248E" w:rsidR="00085672" w:rsidRPr="005A1C76" w:rsidRDefault="00085672" w:rsidP="00085672">
            <w:pPr>
              <w:rPr>
                <w:sz w:val="20"/>
                <w:szCs w:val="20"/>
                <w:lang w:val="en-GB"/>
              </w:rPr>
            </w:pPr>
            <w:r w:rsidRPr="005A1C76">
              <w:rPr>
                <w:sz w:val="20"/>
                <w:szCs w:val="20"/>
                <w:lang w:val="en-GB"/>
              </w:rPr>
              <w:t>GES je postignut za morsku vodu u skladu sa Commission Directive 2013/39/EU</w:t>
            </w:r>
            <w:r w:rsidRPr="005A1C76">
              <w:rPr>
                <w:sz w:val="20"/>
                <w:szCs w:val="20"/>
                <w:vertAlign w:val="superscript"/>
                <w:lang w:val="en-GB"/>
              </w:rPr>
              <w:footnoteReference w:id="41"/>
            </w:r>
          </w:p>
        </w:tc>
      </w:tr>
      <w:tr w:rsidR="00085672" w:rsidRPr="005A1C76" w14:paraId="0D006B00" w14:textId="77777777" w:rsidTr="00085672">
        <w:tc>
          <w:tcPr>
            <w:tcW w:w="1696" w:type="dxa"/>
          </w:tcPr>
          <w:p w14:paraId="4155B4E4" w14:textId="77777777" w:rsidR="00085672" w:rsidRPr="005A1C76" w:rsidRDefault="00085672" w:rsidP="00085672">
            <w:pPr>
              <w:rPr>
                <w:b/>
                <w:sz w:val="20"/>
                <w:szCs w:val="20"/>
                <w:lang w:val="en-GB"/>
              </w:rPr>
            </w:pPr>
            <w:r w:rsidRPr="005A1C76">
              <w:rPr>
                <w:b/>
                <w:sz w:val="20"/>
                <w:szCs w:val="20"/>
                <w:lang w:val="en-GB"/>
              </w:rPr>
              <w:t>D8C2</w:t>
            </w:r>
          </w:p>
          <w:p w14:paraId="10096C31" w14:textId="6A35411F" w:rsidR="00085672" w:rsidRPr="005A1C76" w:rsidRDefault="00085672" w:rsidP="00ED0415">
            <w:pPr>
              <w:spacing w:line="240" w:lineRule="auto"/>
              <w:jc w:val="left"/>
              <w:rPr>
                <w:b/>
                <w:sz w:val="20"/>
                <w:szCs w:val="20"/>
                <w:lang w:val="en-GB"/>
              </w:rPr>
            </w:pPr>
            <w:r w:rsidRPr="005A1C76">
              <w:rPr>
                <w:sz w:val="20"/>
                <w:szCs w:val="20"/>
                <w:lang w:val="en-GB"/>
              </w:rPr>
              <w:t>Vrste i staništa koja su u opasnosti od kontaminanata</w:t>
            </w:r>
          </w:p>
        </w:tc>
        <w:tc>
          <w:tcPr>
            <w:tcW w:w="7325" w:type="dxa"/>
          </w:tcPr>
          <w:p w14:paraId="548853B7" w14:textId="1A9FD960" w:rsidR="00085672" w:rsidRPr="005A1C76" w:rsidRDefault="00085672" w:rsidP="00085672">
            <w:pPr>
              <w:tabs>
                <w:tab w:val="left" w:pos="7328"/>
              </w:tabs>
              <w:rPr>
                <w:sz w:val="20"/>
                <w:szCs w:val="20"/>
                <w:lang w:val="en-GB"/>
              </w:rPr>
            </w:pPr>
            <w:r w:rsidRPr="005A1C76">
              <w:rPr>
                <w:rFonts w:cs="Calibri"/>
                <w:sz w:val="20"/>
                <w:szCs w:val="20"/>
                <w:lang w:val="en-GB"/>
              </w:rPr>
              <w:t xml:space="preserve">Nema dostupnih podataka </w:t>
            </w:r>
            <w:r w:rsidR="001F0FB4">
              <w:rPr>
                <w:rFonts w:cs="Calibri"/>
                <w:sz w:val="20"/>
                <w:szCs w:val="20"/>
                <w:lang w:val="en-GB"/>
              </w:rPr>
              <w:t xml:space="preserve">za </w:t>
            </w:r>
            <w:r w:rsidRPr="005A1C76">
              <w:rPr>
                <w:rFonts w:cs="Calibri"/>
                <w:sz w:val="20"/>
                <w:szCs w:val="20"/>
                <w:lang w:val="en-GB"/>
              </w:rPr>
              <w:t xml:space="preserve"> crnogorsk</w:t>
            </w:r>
            <w:r w:rsidR="001F0FB4">
              <w:rPr>
                <w:rFonts w:cs="Calibri"/>
                <w:sz w:val="20"/>
                <w:szCs w:val="20"/>
                <w:lang w:val="en-GB"/>
              </w:rPr>
              <w:t>e</w:t>
            </w:r>
            <w:r w:rsidRPr="005A1C76">
              <w:rPr>
                <w:rFonts w:cs="Calibri"/>
                <w:sz w:val="20"/>
                <w:szCs w:val="20"/>
                <w:lang w:val="en-GB"/>
              </w:rPr>
              <w:t xml:space="preserve"> morsk</w:t>
            </w:r>
            <w:r w:rsidR="001F0FB4">
              <w:rPr>
                <w:rFonts w:cs="Calibri"/>
                <w:sz w:val="20"/>
                <w:szCs w:val="20"/>
                <w:lang w:val="en-GB"/>
              </w:rPr>
              <w:t>e</w:t>
            </w:r>
            <w:r w:rsidRPr="005A1C76">
              <w:rPr>
                <w:rFonts w:cs="Calibri"/>
                <w:sz w:val="20"/>
                <w:szCs w:val="20"/>
                <w:lang w:val="en-GB"/>
              </w:rPr>
              <w:t xml:space="preserve"> vod</w:t>
            </w:r>
            <w:r w:rsidR="001F0FB4">
              <w:rPr>
                <w:rFonts w:cs="Calibri"/>
                <w:sz w:val="20"/>
                <w:szCs w:val="20"/>
                <w:lang w:val="en-GB"/>
              </w:rPr>
              <w:t>e</w:t>
            </w:r>
            <w:r w:rsidRPr="005A1C76">
              <w:rPr>
                <w:rFonts w:cs="Calibri"/>
                <w:sz w:val="20"/>
                <w:szCs w:val="20"/>
                <w:lang w:val="en-GB"/>
              </w:rPr>
              <w:t xml:space="preserve"> i status se ne može ocijeniti prema ovom kriterijumu. Crna Gora treba da preduzme mjere za praćenje i procjenu vezano za ovaj kriterijum kako bi se osigural</w:t>
            </w:r>
            <w:r w:rsidR="001F0FB4">
              <w:rPr>
                <w:rFonts w:cs="Calibri"/>
                <w:sz w:val="20"/>
                <w:szCs w:val="20"/>
                <w:lang w:val="en-GB"/>
              </w:rPr>
              <w:t>o</w:t>
            </w:r>
            <w:r w:rsidRPr="005A1C76">
              <w:rPr>
                <w:rFonts w:cs="Calibri"/>
                <w:sz w:val="20"/>
                <w:szCs w:val="20"/>
                <w:lang w:val="en-GB"/>
              </w:rPr>
              <w:t xml:space="preserve"> da pri sledećem ažuriranju GES-a u skladu sa članom 8 MSFD može dati ocjenu.</w:t>
            </w:r>
          </w:p>
        </w:tc>
      </w:tr>
      <w:tr w:rsidR="00085672" w:rsidRPr="005A1C76" w14:paraId="1F6F7835" w14:textId="77777777" w:rsidTr="00085672">
        <w:tc>
          <w:tcPr>
            <w:tcW w:w="1696" w:type="dxa"/>
          </w:tcPr>
          <w:p w14:paraId="64159878" w14:textId="77777777" w:rsidR="00085672" w:rsidRPr="005A1C76" w:rsidRDefault="00085672" w:rsidP="00085672">
            <w:pPr>
              <w:rPr>
                <w:b/>
                <w:sz w:val="20"/>
                <w:szCs w:val="20"/>
                <w:lang w:val="en-GB"/>
              </w:rPr>
            </w:pPr>
            <w:r w:rsidRPr="005A1C76">
              <w:rPr>
                <w:b/>
                <w:sz w:val="20"/>
                <w:szCs w:val="20"/>
                <w:lang w:val="en-GB"/>
              </w:rPr>
              <w:t>D8C3</w:t>
            </w:r>
          </w:p>
          <w:p w14:paraId="2B8719A6" w14:textId="77777777" w:rsidR="00085672" w:rsidRPr="005A1C76" w:rsidRDefault="00085672" w:rsidP="00ED0415">
            <w:pPr>
              <w:spacing w:line="240" w:lineRule="auto"/>
              <w:jc w:val="left"/>
              <w:rPr>
                <w:sz w:val="20"/>
                <w:szCs w:val="20"/>
                <w:lang w:val="en-GB"/>
              </w:rPr>
            </w:pPr>
            <w:r w:rsidRPr="005A1C76">
              <w:rPr>
                <w:sz w:val="20"/>
                <w:szCs w:val="20"/>
                <w:lang w:val="en-GB"/>
              </w:rPr>
              <w:t>Značajni akutni događaji zagađenja</w:t>
            </w:r>
          </w:p>
        </w:tc>
        <w:tc>
          <w:tcPr>
            <w:tcW w:w="7325" w:type="dxa"/>
          </w:tcPr>
          <w:p w14:paraId="78EFB7EA" w14:textId="77777777" w:rsidR="00085672" w:rsidRPr="005A1C76" w:rsidRDefault="00085672" w:rsidP="00085672">
            <w:pPr>
              <w:rPr>
                <w:sz w:val="20"/>
                <w:szCs w:val="20"/>
              </w:rPr>
            </w:pPr>
            <w:r w:rsidRPr="005A1C76">
              <w:rPr>
                <w:sz w:val="20"/>
                <w:szCs w:val="20"/>
              </w:rPr>
              <w:t>U poslednjih 5 godina nisu zabeleženi značajni akutni događaji zagađenja kako je definisano u članu 2 (2) Direktive 2005/35/EC Evropskog parlamenta i Savjeta</w:t>
            </w:r>
            <w:r w:rsidRPr="005A1C76">
              <w:rPr>
                <w:sz w:val="20"/>
                <w:szCs w:val="20"/>
                <w:vertAlign w:val="superscript"/>
              </w:rPr>
              <w:footnoteReference w:id="42"/>
            </w:r>
            <w:r w:rsidRPr="005A1C76">
              <w:rPr>
                <w:sz w:val="20"/>
                <w:szCs w:val="20"/>
              </w:rPr>
              <w:t>, uključujući sirovu naftu i slična jedinjenja.</w:t>
            </w:r>
          </w:p>
        </w:tc>
      </w:tr>
    </w:tbl>
    <w:p w14:paraId="126347D2" w14:textId="19CB307C" w:rsidR="00085672" w:rsidRDefault="00085672" w:rsidP="00085672">
      <w:pPr>
        <w:autoSpaceDE w:val="0"/>
        <w:autoSpaceDN w:val="0"/>
        <w:adjustRightInd w:val="0"/>
        <w:spacing w:after="0" w:line="240" w:lineRule="auto"/>
        <w:rPr>
          <w:rFonts w:eastAsia="Calibri" w:cs="Calibri"/>
          <w:sz w:val="20"/>
          <w:szCs w:val="20"/>
          <w:lang w:val="en-GB"/>
        </w:rPr>
      </w:pPr>
    </w:p>
    <w:p w14:paraId="230FBC45" w14:textId="77777777" w:rsidR="00965760" w:rsidRPr="005A1C76" w:rsidRDefault="00965760" w:rsidP="00085672">
      <w:pPr>
        <w:autoSpaceDE w:val="0"/>
        <w:autoSpaceDN w:val="0"/>
        <w:adjustRightInd w:val="0"/>
        <w:spacing w:after="0" w:line="240" w:lineRule="auto"/>
        <w:rPr>
          <w:rFonts w:eastAsia="Calibri" w:cs="Calibri"/>
          <w:sz w:val="20"/>
          <w:szCs w:val="20"/>
          <w:lang w:val="en-GB"/>
        </w:rPr>
      </w:pPr>
    </w:p>
    <w:p w14:paraId="56A5CC1E" w14:textId="11EC6D82" w:rsidR="001F0FB4" w:rsidRPr="001F0FB4" w:rsidRDefault="00085672" w:rsidP="00965760">
      <w:pPr>
        <w:pStyle w:val="Heading3"/>
        <w:ind w:left="1701" w:hanging="708"/>
        <w:rPr>
          <w:rFonts w:eastAsia="Calibri"/>
          <w:color w:val="365F91"/>
          <w:lang w:val="en-GB"/>
        </w:rPr>
      </w:pPr>
      <w:bookmarkStart w:id="216" w:name="_Toc83630939"/>
      <w:bookmarkEnd w:id="212"/>
      <w:bookmarkEnd w:id="213"/>
      <w:r w:rsidRPr="00D419DD">
        <w:rPr>
          <w:rFonts w:eastAsia="Calibri"/>
          <w:color w:val="365F91"/>
          <w:lang w:val="en-GB"/>
        </w:rPr>
        <w:t xml:space="preserve">Pristup </w:t>
      </w:r>
      <w:r w:rsidR="001F0FB4">
        <w:rPr>
          <w:rFonts w:eastAsia="Calibri"/>
          <w:color w:val="365F91"/>
          <w:lang w:val="en-GB"/>
        </w:rPr>
        <w:t xml:space="preserve">definisanju ciljeva </w:t>
      </w:r>
      <w:r w:rsidR="001F0FB4" w:rsidRPr="001F0FB4">
        <w:rPr>
          <w:rFonts w:eastAsia="Calibri"/>
          <w:color w:val="365F91"/>
          <w:lang w:val="en-GB"/>
        </w:rPr>
        <w:t>za ostvarivanje/održavanje GES-a za D</w:t>
      </w:r>
      <w:r w:rsidR="001F0FB4">
        <w:rPr>
          <w:rFonts w:eastAsia="Calibri"/>
          <w:color w:val="365F91"/>
          <w:lang w:val="en-GB"/>
        </w:rPr>
        <w:t>8</w:t>
      </w:r>
      <w:bookmarkEnd w:id="216"/>
    </w:p>
    <w:p w14:paraId="27F3C669" w14:textId="77777777" w:rsidR="00085672" w:rsidRPr="005A1C76" w:rsidRDefault="00085672" w:rsidP="00085672">
      <w:pPr>
        <w:autoSpaceDE w:val="0"/>
        <w:autoSpaceDN w:val="0"/>
        <w:adjustRightInd w:val="0"/>
        <w:rPr>
          <w:rFonts w:cs="Calibri"/>
          <w:color w:val="000000"/>
          <w:lang w:val="en-GB"/>
        </w:rPr>
      </w:pPr>
      <w:bookmarkStart w:id="217" w:name="_Toc68078520"/>
      <w:bookmarkStart w:id="218" w:name="_Toc68180785"/>
      <w:r w:rsidRPr="005A1C76">
        <w:rPr>
          <w:rFonts w:cs="Calibri"/>
          <w:color w:val="000000"/>
          <w:lang w:val="en-GB"/>
        </w:rPr>
        <w:t>Predloženi ciljevi za kontaminante odražavaju činjenicu da očekujemo da ćemo generalno postići GES prema osnovnom scenariju i oni se zasnivaju na postojećim ciljevima OSPAR-a ili Okvirne direktive o vodama. Postoji visok nivo regionalne koordinacije u pristupu procjeni kontaminanta i imamo veliko uvjerenje da će i druge zemlje u OSPAR-u slediti sličan pristup postavljanju ciljeva.</w:t>
      </w:r>
    </w:p>
    <w:p w14:paraId="4E0F6D94" w14:textId="3631BF9C" w:rsidR="00085672" w:rsidRDefault="00085672" w:rsidP="00085672">
      <w:pPr>
        <w:rPr>
          <w:rFonts w:eastAsia="Calibri" w:cs="Calibri"/>
          <w:lang w:val="en-GB"/>
        </w:rPr>
      </w:pPr>
      <w:r w:rsidRPr="005A1C76">
        <w:rPr>
          <w:rFonts w:eastAsia="Calibri" w:cs="Calibri"/>
          <w:lang w:val="en-GB"/>
        </w:rPr>
        <w:t>Ciljevi predloženi za zagađivače zasnivaju se na postojećim ciljevima prema Okvirnoj direktivi o vodama i OSPAR-u. Oni bi zahtjevali da koncentracije i efekti zagađivača u morskom okruženju budu na nivou dogovorenom postojećim zakonodavstvom i međunarodnim obavezama (Tabela 2.37). Postoji regionalna koordinacija na visokom nivou o pristupu procjeni 13 zagađivača i verovatno je da će i druge zemlje u OSPAR-u slediti sličan pristup ovde predloženom.</w:t>
      </w:r>
    </w:p>
    <w:p w14:paraId="2D90A408" w14:textId="1D5785CC" w:rsidR="001F0FB4" w:rsidRDefault="001F0FB4" w:rsidP="00085672">
      <w:pPr>
        <w:rPr>
          <w:rFonts w:eastAsia="Calibri" w:cs="Calibri"/>
          <w:lang w:val="en-GB"/>
        </w:rPr>
      </w:pPr>
    </w:p>
    <w:p w14:paraId="317CEEA8" w14:textId="77777777" w:rsidR="00965760" w:rsidRPr="005A1C76" w:rsidRDefault="00965760" w:rsidP="00085672">
      <w:pPr>
        <w:rPr>
          <w:rFonts w:eastAsia="Calibri" w:cs="Calibri"/>
          <w:lang w:val="en-GB"/>
        </w:rPr>
      </w:pPr>
    </w:p>
    <w:p w14:paraId="40EBB2E3" w14:textId="7410E6B8" w:rsidR="00085672" w:rsidRPr="005A1C76" w:rsidRDefault="00085672" w:rsidP="00085672">
      <w:pPr>
        <w:rPr>
          <w:rFonts w:eastAsia="Calibri" w:cs="Calibri"/>
          <w:b/>
          <w:lang w:val="en-GB"/>
        </w:rPr>
      </w:pPr>
      <w:bookmarkStart w:id="219" w:name="_Toc83643183"/>
      <w:r w:rsidRPr="005A1C76">
        <w:rPr>
          <w:rFonts w:eastAsia="Calibri" w:cs="Calibri"/>
          <w:b/>
          <w:bCs/>
          <w:color w:val="000000"/>
          <w:lang w:val="en-GB"/>
        </w:rPr>
        <w:t xml:space="preserve">Tabela </w:t>
      </w:r>
      <w:r w:rsidRPr="005A1C76">
        <w:rPr>
          <w:b/>
        </w:rPr>
        <w:fldChar w:fldCharType="begin"/>
      </w:r>
      <w:r w:rsidRPr="005A1C76">
        <w:rPr>
          <w:b/>
        </w:rPr>
        <w:instrText xml:space="preserve"> STYLEREF 1 \s </w:instrText>
      </w:r>
      <w:r w:rsidRPr="005A1C76">
        <w:rPr>
          <w:b/>
        </w:rPr>
        <w:fldChar w:fldCharType="separate"/>
      </w:r>
      <w:r w:rsidR="000D1E20">
        <w:rPr>
          <w:b/>
          <w:noProof/>
        </w:rPr>
        <w:t>2</w:t>
      </w:r>
      <w:r w:rsidRPr="005A1C76">
        <w:rPr>
          <w:b/>
        </w:rPr>
        <w:fldChar w:fldCharType="end"/>
      </w:r>
      <w:r w:rsidRPr="005A1C76">
        <w:rPr>
          <w:b/>
        </w:rPr>
        <w:t>.</w:t>
      </w:r>
      <w:r w:rsidRPr="005A1C76">
        <w:rPr>
          <w:b/>
        </w:rPr>
        <w:fldChar w:fldCharType="begin"/>
      </w:r>
      <w:r w:rsidRPr="005A1C76">
        <w:rPr>
          <w:b/>
        </w:rPr>
        <w:instrText xml:space="preserve"> SEQ Table \* ARABIC \s 1 </w:instrText>
      </w:r>
      <w:r w:rsidRPr="005A1C76">
        <w:rPr>
          <w:b/>
        </w:rPr>
        <w:fldChar w:fldCharType="separate"/>
      </w:r>
      <w:r w:rsidR="000D1E20">
        <w:rPr>
          <w:b/>
          <w:noProof/>
        </w:rPr>
        <w:t>25</w:t>
      </w:r>
      <w:r w:rsidRPr="005A1C76">
        <w:rPr>
          <w:b/>
        </w:rPr>
        <w:fldChar w:fldCharType="end"/>
      </w:r>
      <w:r w:rsidRPr="005A1C76">
        <w:rPr>
          <w:b/>
        </w:rPr>
        <w:t>.</w:t>
      </w:r>
      <w:r w:rsidRPr="005A1C76">
        <w:rPr>
          <w:rFonts w:eastAsia="Calibri" w:cs="Calibri"/>
          <w:b/>
          <w:bCs/>
          <w:color w:val="000000"/>
          <w:lang w:val="en-GB"/>
        </w:rPr>
        <w:t xml:space="preserve"> </w:t>
      </w:r>
      <w:r w:rsidR="001F0FB4">
        <w:rPr>
          <w:rFonts w:eastAsia="Calibri" w:cs="Calibri"/>
          <w:b/>
          <w:bCs/>
          <w:color w:val="000000"/>
          <w:lang w:val="en-GB"/>
        </w:rPr>
        <w:t>C</w:t>
      </w:r>
      <w:r w:rsidRPr="005A1C76">
        <w:rPr>
          <w:rFonts w:eastAsia="Calibri" w:cs="Calibri"/>
          <w:b/>
          <w:bCs/>
          <w:lang w:val="en-GB"/>
        </w:rPr>
        <w:t xml:space="preserve">iljevi koji vode ka </w:t>
      </w:r>
      <w:r w:rsidR="006648F0">
        <w:rPr>
          <w:rFonts w:eastAsia="Calibri" w:cs="Calibri"/>
          <w:b/>
          <w:szCs w:val="22"/>
          <w:lang w:val="sr-Latn-ME" w:eastAsia="en-US"/>
        </w:rPr>
        <w:t xml:space="preserve">napretku u postizanju GES-a za Deskriptor </w:t>
      </w:r>
      <w:r w:rsidRPr="005A1C76">
        <w:rPr>
          <w:rFonts w:eastAsia="Calibri" w:cs="Calibri"/>
          <w:b/>
          <w:bCs/>
          <w:lang w:val="en-GB"/>
        </w:rPr>
        <w:t>8.</w:t>
      </w:r>
      <w:bookmarkEnd w:id="219"/>
    </w:p>
    <w:tbl>
      <w:tblPr>
        <w:tblStyle w:val="GolderTable5"/>
        <w:tblW w:w="9067"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ayout w:type="fixed"/>
        <w:tblLook w:val="04A0" w:firstRow="1" w:lastRow="0" w:firstColumn="1" w:lastColumn="0" w:noHBand="0" w:noVBand="1"/>
      </w:tblPr>
      <w:tblGrid>
        <w:gridCol w:w="1555"/>
        <w:gridCol w:w="6378"/>
        <w:gridCol w:w="1134"/>
      </w:tblGrid>
      <w:tr w:rsidR="006A7CA8" w:rsidRPr="005A1C76" w14:paraId="3D69BF31" w14:textId="77777777" w:rsidTr="005E5218">
        <w:trPr>
          <w:tblHeader/>
        </w:trPr>
        <w:tc>
          <w:tcPr>
            <w:tcW w:w="9067" w:type="dxa"/>
            <w:gridSpan w:val="3"/>
            <w:shd w:val="clear" w:color="auto" w:fill="1F497D" w:themeFill="text2"/>
          </w:tcPr>
          <w:p w14:paraId="75BBB709" w14:textId="1A1320E6" w:rsidR="006A7CA8" w:rsidRPr="006A7CA8" w:rsidRDefault="006A7CA8" w:rsidP="00C44CA3">
            <w:pPr>
              <w:autoSpaceDE w:val="0"/>
              <w:autoSpaceDN w:val="0"/>
              <w:adjustRightInd w:val="0"/>
              <w:jc w:val="center"/>
              <w:rPr>
                <w:rFonts w:cs="Calibri"/>
                <w:b/>
                <w:color w:val="FFFFFF" w:themeColor="background1"/>
                <w:sz w:val="20"/>
                <w:szCs w:val="20"/>
                <w:lang w:val="en-GB"/>
              </w:rPr>
            </w:pPr>
            <w:r>
              <w:rPr>
                <w:rFonts w:cs="Calibri"/>
                <w:b/>
                <w:color w:val="FFFFFF" w:themeColor="background1"/>
                <w:sz w:val="20"/>
                <w:szCs w:val="20"/>
                <w:lang w:val="en-GB"/>
              </w:rPr>
              <w:t xml:space="preserve">Područje procjene: </w:t>
            </w:r>
            <w:r w:rsidR="00ED0415">
              <w:rPr>
                <w:rFonts w:cs="Calibri"/>
                <w:b/>
                <w:color w:val="FFFFFF" w:themeColor="background1"/>
                <w:sz w:val="20"/>
                <w:szCs w:val="20"/>
                <w:lang w:val="en-GB"/>
              </w:rPr>
              <w:t>n</w:t>
            </w:r>
            <w:r>
              <w:rPr>
                <w:rFonts w:cs="Calibri"/>
                <w:b/>
                <w:color w:val="FFFFFF" w:themeColor="background1"/>
                <w:sz w:val="20"/>
                <w:szCs w:val="20"/>
                <w:lang w:val="en-GB"/>
              </w:rPr>
              <w:t>acionalni nivo – crnogorski dio Jadrana</w:t>
            </w:r>
          </w:p>
        </w:tc>
      </w:tr>
      <w:tr w:rsidR="00085672" w:rsidRPr="005A1C76" w14:paraId="07433DC0" w14:textId="77777777" w:rsidTr="006A7CA8">
        <w:trPr>
          <w:tblHeader/>
        </w:trPr>
        <w:tc>
          <w:tcPr>
            <w:tcW w:w="1555" w:type="dxa"/>
            <w:shd w:val="clear" w:color="auto" w:fill="1F497D" w:themeFill="text2"/>
          </w:tcPr>
          <w:p w14:paraId="2D3A8C6D" w14:textId="77777777" w:rsidR="00085672" w:rsidRPr="006A7CA8" w:rsidRDefault="00085672" w:rsidP="00085672">
            <w:pPr>
              <w:rPr>
                <w:rFonts w:cs="Calibri"/>
                <w:b/>
                <w:color w:val="FFFFFF" w:themeColor="background1"/>
                <w:sz w:val="20"/>
                <w:szCs w:val="20"/>
                <w:lang w:val="en-GB"/>
              </w:rPr>
            </w:pPr>
            <w:r w:rsidRPr="006A7CA8">
              <w:rPr>
                <w:rFonts w:cs="Calibri"/>
                <w:b/>
                <w:color w:val="FFFFFF" w:themeColor="background1"/>
                <w:sz w:val="20"/>
                <w:szCs w:val="20"/>
                <w:lang w:val="en-GB"/>
              </w:rPr>
              <w:t xml:space="preserve">Kriterijum </w:t>
            </w:r>
          </w:p>
        </w:tc>
        <w:tc>
          <w:tcPr>
            <w:tcW w:w="6378" w:type="dxa"/>
            <w:tcBorders>
              <w:right w:val="single" w:sz="4" w:space="0" w:color="auto"/>
            </w:tcBorders>
            <w:shd w:val="clear" w:color="auto" w:fill="1F497D" w:themeFill="text2"/>
          </w:tcPr>
          <w:p w14:paraId="3A2A02E5" w14:textId="77777777" w:rsidR="00085672" w:rsidRPr="006A7CA8" w:rsidRDefault="00085672" w:rsidP="00085672">
            <w:pPr>
              <w:autoSpaceDE w:val="0"/>
              <w:autoSpaceDN w:val="0"/>
              <w:adjustRightInd w:val="0"/>
              <w:rPr>
                <w:rFonts w:cs="Calibri"/>
                <w:b/>
                <w:color w:val="FFFFFF" w:themeColor="background1"/>
                <w:sz w:val="20"/>
                <w:szCs w:val="20"/>
                <w:lang w:val="en-GB"/>
              </w:rPr>
            </w:pPr>
            <w:r w:rsidRPr="006A7CA8">
              <w:rPr>
                <w:rFonts w:cs="Calibri"/>
                <w:b/>
                <w:color w:val="FFFFFF" w:themeColor="background1"/>
                <w:sz w:val="20"/>
                <w:szCs w:val="20"/>
                <w:lang w:val="en-GB"/>
              </w:rPr>
              <w:t>Cilj</w:t>
            </w:r>
          </w:p>
          <w:p w14:paraId="78BDE819" w14:textId="77777777" w:rsidR="00085672" w:rsidRPr="006A7CA8" w:rsidRDefault="00085672" w:rsidP="00085672">
            <w:pPr>
              <w:autoSpaceDE w:val="0"/>
              <w:autoSpaceDN w:val="0"/>
              <w:adjustRightInd w:val="0"/>
              <w:rPr>
                <w:rFonts w:cs="Calibri"/>
                <w:b/>
                <w:color w:val="FFFFFF" w:themeColor="background1"/>
                <w:sz w:val="20"/>
                <w:szCs w:val="20"/>
                <w:lang w:val="en-GB"/>
              </w:rPr>
            </w:pPr>
          </w:p>
        </w:tc>
        <w:tc>
          <w:tcPr>
            <w:tcW w:w="1134" w:type="dxa"/>
            <w:tcBorders>
              <w:left w:val="single" w:sz="4" w:space="0" w:color="auto"/>
            </w:tcBorders>
            <w:shd w:val="clear" w:color="auto" w:fill="1F497D" w:themeFill="text2"/>
          </w:tcPr>
          <w:p w14:paraId="287E1047" w14:textId="77777777" w:rsidR="00085672" w:rsidRPr="006A7CA8" w:rsidRDefault="00085672" w:rsidP="00085672">
            <w:pPr>
              <w:autoSpaceDE w:val="0"/>
              <w:autoSpaceDN w:val="0"/>
              <w:adjustRightInd w:val="0"/>
              <w:rPr>
                <w:rFonts w:cs="Calibri"/>
                <w:b/>
                <w:color w:val="FFFFFF" w:themeColor="background1"/>
                <w:sz w:val="20"/>
                <w:szCs w:val="20"/>
                <w:lang w:val="en-GB"/>
              </w:rPr>
            </w:pPr>
            <w:r w:rsidRPr="006A7CA8">
              <w:rPr>
                <w:rFonts w:cs="Calibri"/>
                <w:b/>
                <w:color w:val="FFFFFF" w:themeColor="background1"/>
                <w:sz w:val="20"/>
                <w:szCs w:val="20"/>
                <w:lang w:val="en-GB"/>
              </w:rPr>
              <w:t>Kod cilja</w:t>
            </w:r>
          </w:p>
        </w:tc>
      </w:tr>
      <w:tr w:rsidR="00085672" w:rsidRPr="005A1C76" w14:paraId="751A63D0" w14:textId="77777777" w:rsidTr="00085672">
        <w:tc>
          <w:tcPr>
            <w:tcW w:w="1555" w:type="dxa"/>
          </w:tcPr>
          <w:p w14:paraId="39A4ACF1" w14:textId="77777777" w:rsidR="00085672" w:rsidRPr="005A1C76" w:rsidRDefault="00085672" w:rsidP="00085672">
            <w:pPr>
              <w:autoSpaceDE w:val="0"/>
              <w:autoSpaceDN w:val="0"/>
              <w:adjustRightInd w:val="0"/>
              <w:rPr>
                <w:rFonts w:cs="Calibri"/>
                <w:b/>
                <w:color w:val="000000"/>
                <w:sz w:val="20"/>
                <w:szCs w:val="20"/>
                <w:lang w:val="en-GB"/>
              </w:rPr>
            </w:pPr>
            <w:r w:rsidRPr="005A1C76">
              <w:rPr>
                <w:rFonts w:cs="Calibri"/>
                <w:b/>
                <w:color w:val="000000"/>
                <w:sz w:val="20"/>
                <w:szCs w:val="20"/>
                <w:lang w:val="en-GB"/>
              </w:rPr>
              <w:t>D8C1</w:t>
            </w:r>
          </w:p>
          <w:p w14:paraId="7D8B6A3F" w14:textId="77777777" w:rsidR="00085672" w:rsidRPr="005A1C76" w:rsidRDefault="00085672" w:rsidP="00085672">
            <w:pPr>
              <w:autoSpaceDE w:val="0"/>
              <w:autoSpaceDN w:val="0"/>
              <w:adjustRightInd w:val="0"/>
              <w:rPr>
                <w:rFonts w:cs="Calibri"/>
                <w:color w:val="000000"/>
                <w:sz w:val="20"/>
                <w:szCs w:val="20"/>
                <w:lang w:val="en-GB"/>
              </w:rPr>
            </w:pPr>
            <w:r w:rsidRPr="005A1C76">
              <w:rPr>
                <w:rFonts w:cs="Calibri"/>
                <w:color w:val="000000"/>
                <w:sz w:val="20"/>
                <w:szCs w:val="20"/>
                <w:lang w:val="en-GB"/>
              </w:rPr>
              <w:t>Koncentracije zagađivača ne prelaze granične vrijednosti.</w:t>
            </w:r>
          </w:p>
        </w:tc>
        <w:tc>
          <w:tcPr>
            <w:tcW w:w="6378" w:type="dxa"/>
            <w:tcBorders>
              <w:right w:val="single" w:sz="4" w:space="0" w:color="auto"/>
            </w:tcBorders>
          </w:tcPr>
          <w:p w14:paraId="6877E4C7" w14:textId="77777777" w:rsidR="00085672" w:rsidRPr="005A1C76" w:rsidRDefault="00085672" w:rsidP="00085672">
            <w:pPr>
              <w:autoSpaceDE w:val="0"/>
              <w:autoSpaceDN w:val="0"/>
              <w:adjustRightInd w:val="0"/>
              <w:rPr>
                <w:rFonts w:cs="Calibri"/>
                <w:color w:val="000000"/>
                <w:sz w:val="20"/>
                <w:szCs w:val="20"/>
                <w:lang w:val="en-GB"/>
              </w:rPr>
            </w:pPr>
            <w:r w:rsidRPr="005A1C76">
              <w:rPr>
                <w:rFonts w:cs="Calibri"/>
                <w:color w:val="000000"/>
                <w:sz w:val="20"/>
                <w:szCs w:val="20"/>
                <w:lang w:val="en-GB"/>
              </w:rPr>
              <w:t xml:space="preserve">Koncentracije odabranih supstanci identifikovane u relevantnom zakonodavstvu i međunarodnim obavezama kao relevantne za zaštitu morske sredine su unutar dogovorenih nivoa na kojima je malo vjerovatno da će doći do negativnih efekata (npr. manje su od standarda kvaliteta životne sredine primenjenih </w:t>
            </w:r>
            <w:r w:rsidRPr="005A1C76">
              <w:rPr>
                <w:rFonts w:cs="Calibri"/>
                <w:sz w:val="20"/>
                <w:szCs w:val="20"/>
                <w:lang w:val="en-GB"/>
              </w:rPr>
              <w:t>u WFD</w:t>
            </w:r>
            <w:r w:rsidRPr="005A1C76">
              <w:rPr>
                <w:rFonts w:cs="Calibri"/>
                <w:sz w:val="20"/>
                <w:szCs w:val="20"/>
                <w:vertAlign w:val="superscript"/>
                <w:lang w:val="en-GB"/>
              </w:rPr>
              <w:footnoteReference w:id="43"/>
            </w:r>
            <w:r w:rsidRPr="005A1C76">
              <w:rPr>
                <w:rFonts w:cs="Calibri"/>
                <w:sz w:val="20"/>
                <w:szCs w:val="20"/>
                <w:lang w:val="en-GB"/>
              </w:rPr>
              <w:t xml:space="preserve"> i primenjenih </w:t>
            </w:r>
            <w:r w:rsidRPr="005A1C76">
              <w:rPr>
                <w:rFonts w:cs="Calibri"/>
                <w:color w:val="000000"/>
                <w:sz w:val="20"/>
                <w:szCs w:val="20"/>
                <w:lang w:val="en-GB"/>
              </w:rPr>
              <w:t>kriterijuma za procjenu uticaja na životnu sredinu u okviru OSPAR-a i UNEP/MAP-a i koncentracije se ne povećavaju za područje procjene.</w:t>
            </w:r>
          </w:p>
        </w:tc>
        <w:tc>
          <w:tcPr>
            <w:tcW w:w="1134" w:type="dxa"/>
            <w:tcBorders>
              <w:left w:val="single" w:sz="4" w:space="0" w:color="auto"/>
            </w:tcBorders>
          </w:tcPr>
          <w:p w14:paraId="5A9083BA" w14:textId="77777777" w:rsidR="00085672" w:rsidRPr="005A1C76" w:rsidRDefault="00085672" w:rsidP="00085672">
            <w:pPr>
              <w:autoSpaceDE w:val="0"/>
              <w:autoSpaceDN w:val="0"/>
              <w:adjustRightInd w:val="0"/>
              <w:rPr>
                <w:rFonts w:cs="Calibri"/>
                <w:b/>
                <w:color w:val="000000"/>
                <w:sz w:val="20"/>
                <w:szCs w:val="20"/>
                <w:lang w:val="en-GB"/>
              </w:rPr>
            </w:pPr>
            <w:r w:rsidRPr="005A1C76">
              <w:rPr>
                <w:rFonts w:cs="Calibri"/>
                <w:b/>
                <w:color w:val="000000"/>
                <w:sz w:val="20"/>
                <w:szCs w:val="20"/>
                <w:lang w:val="en-GB"/>
              </w:rPr>
              <w:t>D8T1</w:t>
            </w:r>
          </w:p>
        </w:tc>
      </w:tr>
      <w:tr w:rsidR="00085672" w:rsidRPr="005A1C76" w14:paraId="2CE5832F" w14:textId="77777777" w:rsidTr="00085672">
        <w:tc>
          <w:tcPr>
            <w:tcW w:w="1555" w:type="dxa"/>
          </w:tcPr>
          <w:p w14:paraId="10741C53" w14:textId="77777777" w:rsidR="00085672" w:rsidRPr="005A1C76" w:rsidRDefault="00085672" w:rsidP="00085672">
            <w:pPr>
              <w:rPr>
                <w:b/>
                <w:sz w:val="20"/>
                <w:szCs w:val="20"/>
                <w:lang w:val="en-GB"/>
              </w:rPr>
            </w:pPr>
            <w:r w:rsidRPr="005A1C76">
              <w:rPr>
                <w:b/>
                <w:sz w:val="20"/>
                <w:szCs w:val="20"/>
                <w:lang w:val="en-GB"/>
              </w:rPr>
              <w:t>D8C2</w:t>
            </w:r>
          </w:p>
          <w:p w14:paraId="516F5612" w14:textId="77777777" w:rsidR="00085672" w:rsidRPr="005A1C76" w:rsidRDefault="00085672" w:rsidP="00085672">
            <w:pPr>
              <w:rPr>
                <w:rFonts w:cs="Calibri"/>
                <w:b/>
                <w:sz w:val="20"/>
                <w:szCs w:val="20"/>
                <w:lang w:val="en-GB"/>
              </w:rPr>
            </w:pPr>
            <w:r w:rsidRPr="005A1C76">
              <w:rPr>
                <w:sz w:val="20"/>
                <w:szCs w:val="20"/>
                <w:lang w:val="en-GB"/>
              </w:rPr>
              <w:t>Vrste  i staništa koja su u opasnosti od kontaminanata.</w:t>
            </w:r>
          </w:p>
        </w:tc>
        <w:tc>
          <w:tcPr>
            <w:tcW w:w="6378" w:type="dxa"/>
            <w:tcBorders>
              <w:right w:val="single" w:sz="4" w:space="0" w:color="auto"/>
            </w:tcBorders>
          </w:tcPr>
          <w:p w14:paraId="3745DA0A" w14:textId="77777777" w:rsidR="00085672" w:rsidRPr="005A1C76" w:rsidRDefault="00085672" w:rsidP="00085672">
            <w:pPr>
              <w:autoSpaceDE w:val="0"/>
              <w:autoSpaceDN w:val="0"/>
              <w:adjustRightInd w:val="0"/>
              <w:rPr>
                <w:rFonts w:cs="Calibri"/>
                <w:color w:val="000000"/>
                <w:sz w:val="20"/>
                <w:szCs w:val="20"/>
                <w:lang w:val="en-GB"/>
              </w:rPr>
            </w:pPr>
            <w:r w:rsidRPr="005A1C76">
              <w:rPr>
                <w:rFonts w:cs="Calibri"/>
                <w:color w:val="000000"/>
                <w:sz w:val="20"/>
                <w:szCs w:val="20"/>
                <w:lang w:val="en-GB"/>
              </w:rPr>
              <w:t>Budući da se radi o kriterijumima za koje ne postoje dostupni podaci za Crnu Goru, glavni cilj bi trebao biti preduzimanje radnji na alatima za praćenje i ocjenu kako bi se osiguralo da se može preduzeti sljedeće ažuriranje u skladu sa članom 8 MSFD-a. Očekuje se da će ovo biti uključeno najkasnije 2022.</w:t>
            </w:r>
          </w:p>
        </w:tc>
        <w:tc>
          <w:tcPr>
            <w:tcW w:w="1134" w:type="dxa"/>
            <w:tcBorders>
              <w:left w:val="single" w:sz="4" w:space="0" w:color="auto"/>
            </w:tcBorders>
          </w:tcPr>
          <w:p w14:paraId="0DCA81E2" w14:textId="77777777" w:rsidR="00085672" w:rsidRPr="005A1C76" w:rsidRDefault="00085672" w:rsidP="00085672">
            <w:pPr>
              <w:autoSpaceDE w:val="0"/>
              <w:autoSpaceDN w:val="0"/>
              <w:adjustRightInd w:val="0"/>
              <w:rPr>
                <w:rFonts w:cs="Calibri"/>
                <w:b/>
                <w:color w:val="000000"/>
                <w:sz w:val="20"/>
                <w:szCs w:val="20"/>
                <w:lang w:val="en-GB"/>
              </w:rPr>
            </w:pPr>
            <w:r w:rsidRPr="005A1C76">
              <w:rPr>
                <w:rFonts w:cs="Calibri"/>
                <w:b/>
                <w:color w:val="000000"/>
                <w:sz w:val="20"/>
                <w:szCs w:val="20"/>
                <w:lang w:val="en-GB"/>
              </w:rPr>
              <w:t>OT*</w:t>
            </w:r>
          </w:p>
        </w:tc>
      </w:tr>
      <w:tr w:rsidR="00085672" w:rsidRPr="005A1C76" w14:paraId="6D69E34A" w14:textId="77777777" w:rsidTr="00085672">
        <w:tc>
          <w:tcPr>
            <w:tcW w:w="1555" w:type="dxa"/>
          </w:tcPr>
          <w:p w14:paraId="7BE671DF" w14:textId="77777777" w:rsidR="00085672" w:rsidRPr="005A1C76" w:rsidRDefault="00085672" w:rsidP="00085672">
            <w:pPr>
              <w:rPr>
                <w:b/>
                <w:sz w:val="20"/>
                <w:szCs w:val="20"/>
                <w:lang w:val="en-GB"/>
              </w:rPr>
            </w:pPr>
            <w:r w:rsidRPr="005A1C76">
              <w:rPr>
                <w:b/>
                <w:sz w:val="20"/>
                <w:szCs w:val="20"/>
                <w:lang w:val="en-GB"/>
              </w:rPr>
              <w:t>D8C3</w:t>
            </w:r>
          </w:p>
          <w:p w14:paraId="52AB6302" w14:textId="77777777" w:rsidR="00085672" w:rsidRPr="005A1C76" w:rsidRDefault="00085672" w:rsidP="00085672">
            <w:pPr>
              <w:rPr>
                <w:b/>
                <w:sz w:val="20"/>
                <w:szCs w:val="20"/>
                <w:lang w:val="en-GB"/>
              </w:rPr>
            </w:pPr>
            <w:r w:rsidRPr="005A1C76">
              <w:rPr>
                <w:sz w:val="20"/>
                <w:szCs w:val="20"/>
                <w:lang w:val="en-GB"/>
              </w:rPr>
              <w:t>Značajni akutni događaji zagađenja</w:t>
            </w:r>
          </w:p>
        </w:tc>
        <w:tc>
          <w:tcPr>
            <w:tcW w:w="6378" w:type="dxa"/>
            <w:tcBorders>
              <w:right w:val="single" w:sz="4" w:space="0" w:color="auto"/>
            </w:tcBorders>
          </w:tcPr>
          <w:p w14:paraId="14022C41" w14:textId="77777777" w:rsidR="00085672" w:rsidRPr="005A1C76" w:rsidRDefault="00085672" w:rsidP="00085672">
            <w:pPr>
              <w:autoSpaceDE w:val="0"/>
              <w:autoSpaceDN w:val="0"/>
              <w:adjustRightInd w:val="0"/>
              <w:rPr>
                <w:rFonts w:cs="Calibri"/>
                <w:color w:val="000000"/>
                <w:sz w:val="20"/>
                <w:szCs w:val="20"/>
                <w:lang w:val="en-GB"/>
              </w:rPr>
            </w:pPr>
            <w:r w:rsidRPr="005A1C76">
              <w:rPr>
                <w:rFonts w:cs="Calibri"/>
                <w:color w:val="000000"/>
                <w:sz w:val="20"/>
                <w:szCs w:val="20"/>
                <w:lang w:val="en-GB"/>
              </w:rPr>
              <w:t>Pojava i obim značajnih akutnih događaja zagađenja (npr. mrlje nastale usled izlivanja nafte i naftnih derivata ili izlivanja hemikalija) i uticaj na biotu pogođenu ovim zagađivanjem minimiziraju se kroz odgovarajuće pristupe zasnovane na riziku.</w:t>
            </w:r>
          </w:p>
        </w:tc>
        <w:tc>
          <w:tcPr>
            <w:tcW w:w="1134" w:type="dxa"/>
            <w:tcBorders>
              <w:left w:val="single" w:sz="4" w:space="0" w:color="auto"/>
            </w:tcBorders>
          </w:tcPr>
          <w:p w14:paraId="32687C00" w14:textId="77777777" w:rsidR="00085672" w:rsidRPr="005A1C76" w:rsidRDefault="00085672" w:rsidP="00085672">
            <w:pPr>
              <w:autoSpaceDE w:val="0"/>
              <w:autoSpaceDN w:val="0"/>
              <w:adjustRightInd w:val="0"/>
              <w:rPr>
                <w:rFonts w:cs="Calibri"/>
                <w:b/>
                <w:color w:val="000000"/>
                <w:sz w:val="20"/>
                <w:szCs w:val="20"/>
                <w:lang w:val="en-GB"/>
              </w:rPr>
            </w:pPr>
            <w:r w:rsidRPr="005A1C76">
              <w:rPr>
                <w:rFonts w:cs="Calibri"/>
                <w:b/>
                <w:color w:val="000000"/>
                <w:sz w:val="20"/>
                <w:szCs w:val="20"/>
                <w:lang w:val="en-GB"/>
              </w:rPr>
              <w:t>D8T2</w:t>
            </w:r>
          </w:p>
        </w:tc>
      </w:tr>
      <w:tr w:rsidR="00085672" w:rsidRPr="005A1C76" w14:paraId="019C5B9A" w14:textId="77777777" w:rsidTr="00085672">
        <w:tc>
          <w:tcPr>
            <w:tcW w:w="1555" w:type="dxa"/>
          </w:tcPr>
          <w:p w14:paraId="1EC27DF9" w14:textId="77777777" w:rsidR="00085672" w:rsidRPr="005A1C76" w:rsidRDefault="00085672" w:rsidP="00085672">
            <w:pPr>
              <w:autoSpaceDE w:val="0"/>
              <w:autoSpaceDN w:val="0"/>
              <w:adjustRightInd w:val="0"/>
              <w:rPr>
                <w:rFonts w:cs="Calibri"/>
                <w:b/>
                <w:color w:val="000000"/>
                <w:sz w:val="20"/>
                <w:szCs w:val="20"/>
                <w:lang w:val="en-GB"/>
              </w:rPr>
            </w:pPr>
            <w:r w:rsidRPr="005A1C76">
              <w:rPr>
                <w:rFonts w:cs="Calibri"/>
                <w:b/>
                <w:color w:val="000000"/>
                <w:sz w:val="20"/>
                <w:szCs w:val="20"/>
                <w:lang w:val="en-GB"/>
              </w:rPr>
              <w:t>Indikatori koji se koriste za procjenu statusa</w:t>
            </w:r>
          </w:p>
        </w:tc>
        <w:tc>
          <w:tcPr>
            <w:tcW w:w="7512" w:type="dxa"/>
            <w:gridSpan w:val="2"/>
          </w:tcPr>
          <w:p w14:paraId="266778EC" w14:textId="77777777" w:rsidR="00085672" w:rsidRPr="005A1C76" w:rsidRDefault="00085672" w:rsidP="00085672">
            <w:pPr>
              <w:autoSpaceDE w:val="0"/>
              <w:autoSpaceDN w:val="0"/>
              <w:adjustRightInd w:val="0"/>
              <w:contextualSpacing/>
              <w:rPr>
                <w:rFonts w:cs="Calibri"/>
                <w:color w:val="000000"/>
                <w:sz w:val="20"/>
                <w:szCs w:val="20"/>
                <w:lang w:val="en-GB"/>
              </w:rPr>
            </w:pPr>
            <w:r w:rsidRPr="005A1C76">
              <w:rPr>
                <w:rFonts w:cs="Calibri"/>
                <w:color w:val="000000"/>
                <w:sz w:val="20"/>
                <w:szCs w:val="20"/>
                <w:lang w:val="en-GB"/>
              </w:rPr>
              <w:t>Obalne vode: Zagađivači specifični za Direktivu o vodama u zoni od 1 milje</w:t>
            </w:r>
          </w:p>
          <w:p w14:paraId="005456FD" w14:textId="189109F1" w:rsidR="005F1FBD" w:rsidRDefault="005F1FBD" w:rsidP="00085672">
            <w:pPr>
              <w:autoSpaceDE w:val="0"/>
              <w:autoSpaceDN w:val="0"/>
              <w:adjustRightInd w:val="0"/>
              <w:contextualSpacing/>
              <w:rPr>
                <w:rFonts w:cs="Calibri"/>
                <w:color w:val="000000"/>
                <w:sz w:val="20"/>
                <w:szCs w:val="20"/>
                <w:lang w:val="en-GB"/>
              </w:rPr>
            </w:pPr>
            <w:r w:rsidRPr="005F1FBD">
              <w:rPr>
                <w:rFonts w:cs="Calibri"/>
                <w:b/>
                <w:color w:val="000000"/>
                <w:sz w:val="20"/>
                <w:szCs w:val="20"/>
                <w:lang w:val="en-GB"/>
              </w:rPr>
              <w:t>D8C1.1</w:t>
            </w:r>
            <w:r>
              <w:rPr>
                <w:rFonts w:cs="Calibri"/>
                <w:color w:val="000000"/>
                <w:sz w:val="20"/>
                <w:szCs w:val="20"/>
                <w:lang w:val="en-GB"/>
              </w:rPr>
              <w:t>: Zagađivači u morskoj vodi</w:t>
            </w:r>
          </w:p>
          <w:p w14:paraId="6A9A758B" w14:textId="3E9F5737" w:rsidR="005F1FBD" w:rsidRDefault="005F1FBD" w:rsidP="00085672">
            <w:pPr>
              <w:autoSpaceDE w:val="0"/>
              <w:autoSpaceDN w:val="0"/>
              <w:adjustRightInd w:val="0"/>
              <w:contextualSpacing/>
              <w:rPr>
                <w:rFonts w:cs="Calibri"/>
                <w:color w:val="000000"/>
                <w:sz w:val="20"/>
                <w:szCs w:val="20"/>
                <w:lang w:val="en-GB"/>
              </w:rPr>
            </w:pPr>
            <w:r w:rsidRPr="005F1FBD">
              <w:rPr>
                <w:rFonts w:cs="Calibri"/>
                <w:b/>
                <w:color w:val="000000"/>
                <w:sz w:val="20"/>
                <w:szCs w:val="20"/>
                <w:lang w:val="en-GB"/>
              </w:rPr>
              <w:t>D8C1.2</w:t>
            </w:r>
            <w:r>
              <w:rPr>
                <w:rFonts w:cs="Calibri"/>
                <w:color w:val="000000"/>
                <w:sz w:val="20"/>
                <w:szCs w:val="20"/>
                <w:lang w:val="en-GB"/>
              </w:rPr>
              <w:t xml:space="preserve">: Zagađivaču </w:t>
            </w:r>
            <w:r w:rsidR="00085672" w:rsidRPr="005A1C76">
              <w:rPr>
                <w:rFonts w:cs="Calibri"/>
                <w:color w:val="000000"/>
                <w:sz w:val="20"/>
                <w:szCs w:val="20"/>
                <w:lang w:val="en-GB"/>
              </w:rPr>
              <w:t>u bioti</w:t>
            </w:r>
          </w:p>
          <w:p w14:paraId="6A96C9CD" w14:textId="4B9B8831" w:rsidR="00085672" w:rsidRDefault="005F1FBD" w:rsidP="00085672">
            <w:pPr>
              <w:autoSpaceDE w:val="0"/>
              <w:autoSpaceDN w:val="0"/>
              <w:adjustRightInd w:val="0"/>
              <w:contextualSpacing/>
              <w:rPr>
                <w:rFonts w:cs="Calibri"/>
                <w:color w:val="000000"/>
                <w:sz w:val="20"/>
                <w:szCs w:val="20"/>
                <w:lang w:val="en-GB"/>
              </w:rPr>
            </w:pPr>
            <w:r w:rsidRPr="005F1FBD">
              <w:rPr>
                <w:rFonts w:cs="Calibri"/>
                <w:b/>
                <w:color w:val="000000"/>
                <w:sz w:val="20"/>
                <w:szCs w:val="20"/>
                <w:lang w:val="en-GB"/>
              </w:rPr>
              <w:t>D8C1.3</w:t>
            </w:r>
            <w:r>
              <w:rPr>
                <w:rFonts w:cs="Calibri"/>
                <w:color w:val="000000"/>
                <w:sz w:val="20"/>
                <w:szCs w:val="20"/>
                <w:lang w:val="en-GB"/>
              </w:rPr>
              <w:t>: Zagađivači u sediment</w:t>
            </w:r>
          </w:p>
          <w:p w14:paraId="5877235F" w14:textId="030973E6" w:rsidR="00085672" w:rsidRPr="005A1C76" w:rsidRDefault="005F1FBD" w:rsidP="00085672">
            <w:pPr>
              <w:autoSpaceDE w:val="0"/>
              <w:autoSpaceDN w:val="0"/>
              <w:adjustRightInd w:val="0"/>
              <w:contextualSpacing/>
              <w:rPr>
                <w:rFonts w:cs="Calibri"/>
                <w:color w:val="000000"/>
                <w:sz w:val="20"/>
                <w:szCs w:val="20"/>
                <w:lang w:val="en-GB"/>
              </w:rPr>
            </w:pPr>
            <w:r w:rsidRPr="005F1FBD">
              <w:rPr>
                <w:rFonts w:cs="Calibri"/>
                <w:b/>
                <w:color w:val="000000"/>
                <w:sz w:val="20"/>
                <w:szCs w:val="20"/>
                <w:lang w:val="en-GB"/>
              </w:rPr>
              <w:t>D8C3.1</w:t>
            </w:r>
            <w:r>
              <w:rPr>
                <w:rFonts w:cs="Calibri"/>
                <w:color w:val="000000"/>
                <w:sz w:val="20"/>
                <w:szCs w:val="20"/>
                <w:lang w:val="en-GB"/>
              </w:rPr>
              <w:t xml:space="preserve">: </w:t>
            </w:r>
            <w:r w:rsidR="00085672" w:rsidRPr="005A1C76">
              <w:rPr>
                <w:rFonts w:cs="Calibri"/>
                <w:color w:val="000000"/>
                <w:sz w:val="20"/>
                <w:szCs w:val="20"/>
                <w:lang w:val="en-GB"/>
              </w:rPr>
              <w:t>Akutna kontaminacija: broj i zapremina po incidentu</w:t>
            </w:r>
          </w:p>
          <w:p w14:paraId="6D94D42B" w14:textId="66A3429D" w:rsidR="00085672" w:rsidRPr="005A1C76" w:rsidRDefault="00085672" w:rsidP="00085672">
            <w:pPr>
              <w:autoSpaceDE w:val="0"/>
              <w:autoSpaceDN w:val="0"/>
              <w:adjustRightInd w:val="0"/>
              <w:contextualSpacing/>
              <w:rPr>
                <w:rFonts w:cs="Calibri"/>
                <w:color w:val="000000"/>
                <w:sz w:val="20"/>
                <w:szCs w:val="20"/>
                <w:lang w:val="en-GB"/>
              </w:rPr>
            </w:pPr>
            <w:r w:rsidRPr="005A1C76">
              <w:rPr>
                <w:rFonts w:cs="Calibri"/>
                <w:b/>
                <w:color w:val="000000"/>
                <w:sz w:val="20"/>
                <w:szCs w:val="20"/>
                <w:lang w:val="en-GB"/>
              </w:rPr>
              <w:t>Napomena:</w:t>
            </w:r>
            <w:r w:rsidRPr="005A1C76">
              <w:rPr>
                <w:rFonts w:cs="Calibri"/>
                <w:color w:val="000000"/>
                <w:sz w:val="20"/>
                <w:szCs w:val="20"/>
                <w:lang w:val="en-GB"/>
              </w:rPr>
              <w:t xml:space="preserve"> Biološki efekti (kriterijumi D8C2) još uvijek nisu uključeni u program praćenja MSFD. Očekuje se da će ovo biti uključeno najkasnije 2022</w:t>
            </w:r>
            <w:r w:rsidR="006648F0">
              <w:rPr>
                <w:rFonts w:cs="Calibri"/>
                <w:color w:val="000000"/>
                <w:sz w:val="20"/>
                <w:szCs w:val="20"/>
                <w:lang w:val="en-GB"/>
              </w:rPr>
              <w:t>. godine</w:t>
            </w:r>
          </w:p>
        </w:tc>
      </w:tr>
    </w:tbl>
    <w:p w14:paraId="6672DEA9" w14:textId="77777777" w:rsidR="00085672" w:rsidRPr="005A1C76" w:rsidRDefault="00085672" w:rsidP="00085672">
      <w:pPr>
        <w:tabs>
          <w:tab w:val="left" w:pos="7328"/>
        </w:tabs>
        <w:spacing w:after="0"/>
        <w:rPr>
          <w:rFonts w:eastAsia="Calibri" w:cs="Calibri"/>
          <w:b/>
          <w:sz w:val="20"/>
          <w:szCs w:val="20"/>
          <w:lang w:val="en-GB"/>
        </w:rPr>
      </w:pPr>
      <w:r w:rsidRPr="005A1C76">
        <w:rPr>
          <w:rFonts w:eastAsia="Calibri" w:cs="Calibri"/>
          <w:sz w:val="20"/>
          <w:szCs w:val="20"/>
          <w:lang w:val="en-GB"/>
        </w:rPr>
        <w:t>*Oprativni ciljevi</w:t>
      </w:r>
    </w:p>
    <w:p w14:paraId="35BF5F38" w14:textId="33ABD41A" w:rsidR="00085672" w:rsidRPr="00085672" w:rsidRDefault="00085672" w:rsidP="00085672">
      <w:pPr>
        <w:pStyle w:val="Heading3"/>
        <w:rPr>
          <w:rFonts w:eastAsia="Calibri"/>
          <w:lang w:val="en-GB" w:eastAsia="en-US"/>
        </w:rPr>
      </w:pPr>
      <w:bookmarkStart w:id="220" w:name="_Toc83630940"/>
      <w:bookmarkEnd w:id="217"/>
      <w:bookmarkEnd w:id="218"/>
      <w:r w:rsidRPr="00085672">
        <w:rPr>
          <w:rFonts w:eastAsia="Calibri"/>
          <w:color w:val="365F91"/>
          <w:lang w:val="en-GB"/>
        </w:rPr>
        <w:t>Veza sa drugim Deskriptorima</w:t>
      </w:r>
      <w:bookmarkEnd w:id="220"/>
    </w:p>
    <w:p w14:paraId="3D1DE08E" w14:textId="77777777" w:rsidR="00085672" w:rsidRPr="005A1C76" w:rsidRDefault="00085672" w:rsidP="00085672">
      <w:pPr>
        <w:tabs>
          <w:tab w:val="left" w:pos="7328"/>
        </w:tabs>
        <w:spacing w:after="0"/>
        <w:rPr>
          <w:rFonts w:eastAsia="Calibri" w:cs="Calibri"/>
          <w:lang w:val="en-GB"/>
        </w:rPr>
      </w:pPr>
      <w:bookmarkStart w:id="221" w:name="_Toc68078521"/>
      <w:bookmarkStart w:id="222" w:name="_Toc68180786"/>
      <w:r w:rsidRPr="005A1C76">
        <w:rPr>
          <w:rFonts w:eastAsia="Calibri" w:cs="Calibri"/>
          <w:lang w:val="en-GB"/>
        </w:rPr>
        <w:t>Deskriptor 8 je najuže povezan sa Deskriptorom 9, čiji je cilj osigurati da „kontaminanti u ribi i drugim morskim plodovima za ljudsku ishranu ne prelaze nivoe utvrđene zakonodavstvom ili drugim relevantnim standardima“. Kontaminanti u morskim organizmima - čak i sićušni organizmi na dnu prehrambenog lanca - mogu naći put do vrha morskog prehrambenog lanca i na kraju do naših tanjira (</w:t>
      </w:r>
      <w:hyperlink r:id="rId84" w:history="1">
        <w:r w:rsidRPr="005A1C76">
          <w:rPr>
            <w:rFonts w:eastAsia="Calibri"/>
          </w:rPr>
          <w:t>https://ec.europa.eu</w:t>
        </w:r>
      </w:hyperlink>
      <w:r w:rsidRPr="005A1C76">
        <w:rPr>
          <w:rFonts w:eastAsia="Calibri" w:cs="Calibri"/>
          <w:lang w:val="en-GB"/>
        </w:rPr>
        <w:t>).</w:t>
      </w:r>
    </w:p>
    <w:p w14:paraId="3E3C8F10" w14:textId="77777777" w:rsidR="00085672" w:rsidRPr="005A1C76" w:rsidRDefault="00085672" w:rsidP="00085672">
      <w:pPr>
        <w:tabs>
          <w:tab w:val="left" w:pos="7328"/>
        </w:tabs>
        <w:spacing w:after="0"/>
        <w:rPr>
          <w:rFonts w:eastAsia="Calibri" w:cs="Calibri"/>
          <w:lang w:val="en-GB"/>
        </w:rPr>
      </w:pPr>
      <w:r w:rsidRPr="005A1C76">
        <w:rPr>
          <w:rFonts w:eastAsia="Calibri" w:cs="Calibri"/>
          <w:lang w:val="en-GB"/>
        </w:rPr>
        <w:t>Deskriptor 8 je takođe povezan sa Deskriptorom 10 koji kaže da morski otpad, koje se može ispuštati, akumulirati ili transportovati kontaminante, ne bi trebalo da nanosi štetu obalnom i morskom okruženju. Postizanje cilja Deskriptora 10 takođe će doprinijeti tome da zagađivači budu na nivou koji ne dovodi do efekata zagađenja (</w:t>
      </w:r>
      <w:hyperlink r:id="rId85" w:history="1">
        <w:r w:rsidRPr="005A1C76">
          <w:rPr>
            <w:rFonts w:eastAsia="Calibri"/>
          </w:rPr>
          <w:t>https://ec.europa.eu</w:t>
        </w:r>
      </w:hyperlink>
      <w:r w:rsidRPr="005A1C76">
        <w:rPr>
          <w:rFonts w:eastAsia="Calibri" w:cs="Calibri"/>
          <w:lang w:val="en-GB"/>
        </w:rPr>
        <w:t>).</w:t>
      </w:r>
    </w:p>
    <w:p w14:paraId="34493832" w14:textId="77777777" w:rsidR="00085672" w:rsidRPr="005A1C76" w:rsidRDefault="00085672" w:rsidP="00085672">
      <w:pPr>
        <w:tabs>
          <w:tab w:val="left" w:pos="7328"/>
        </w:tabs>
        <w:spacing w:after="0"/>
        <w:rPr>
          <w:rFonts w:eastAsia="Calibri" w:cs="Calibri"/>
          <w:lang w:val="en-GB"/>
        </w:rPr>
      </w:pPr>
      <w:r w:rsidRPr="005A1C76">
        <w:rPr>
          <w:rFonts w:eastAsia="Calibri" w:cs="Calibri"/>
          <w:lang w:val="en-GB"/>
        </w:rPr>
        <w:t>Konačno, hemijsko zagađenje može uticati na biodiverzitet (npr. vrste i stanje staništa), integritet prehrambenih mreža i ekosistema morskog dna. Stoga, Deskriptor 8 takođe doprinosi postizanju Deskriptora 1, 4 i 6 (</w:t>
      </w:r>
      <w:hyperlink r:id="rId86" w:history="1">
        <w:r w:rsidRPr="005A1C76">
          <w:rPr>
            <w:rFonts w:eastAsia="Calibri"/>
          </w:rPr>
          <w:t>https://ec.europa.eu</w:t>
        </w:r>
      </w:hyperlink>
      <w:r w:rsidRPr="005A1C76">
        <w:rPr>
          <w:rFonts w:eastAsia="Calibri" w:cs="Calibri"/>
          <w:lang w:val="en-GB"/>
        </w:rPr>
        <w:t>).</w:t>
      </w:r>
    </w:p>
    <w:p w14:paraId="77FDB8C4" w14:textId="77777777" w:rsidR="00085672" w:rsidRPr="005A1C76" w:rsidRDefault="00085672" w:rsidP="00085672">
      <w:pPr>
        <w:tabs>
          <w:tab w:val="left" w:pos="7328"/>
        </w:tabs>
        <w:spacing w:after="0"/>
        <w:rPr>
          <w:rFonts w:eastAsia="Calibri" w:cs="Calibri"/>
          <w:lang w:val="en-GB"/>
        </w:rPr>
      </w:pPr>
    </w:p>
    <w:p w14:paraId="7E58FB36" w14:textId="1539C6C0" w:rsidR="00085672" w:rsidRPr="00085672" w:rsidRDefault="00085672" w:rsidP="00085672">
      <w:pPr>
        <w:pStyle w:val="Heading3"/>
        <w:rPr>
          <w:rFonts w:eastAsia="Calibri"/>
          <w:lang w:val="en-GB"/>
        </w:rPr>
      </w:pPr>
      <w:bookmarkStart w:id="223" w:name="_Toc83630941"/>
      <w:bookmarkEnd w:id="221"/>
      <w:bookmarkEnd w:id="222"/>
      <w:r w:rsidRPr="00085672">
        <w:rPr>
          <w:rFonts w:eastAsia="Calibri"/>
          <w:color w:val="365F91"/>
          <w:lang w:val="en-GB"/>
        </w:rPr>
        <w:t>Nedostaci i potrebe</w:t>
      </w:r>
      <w:r w:rsidR="00E24841">
        <w:rPr>
          <w:rFonts w:eastAsia="Calibri"/>
          <w:color w:val="365F91"/>
          <w:lang w:val="en-GB"/>
        </w:rPr>
        <w:t xml:space="preserve"> za unapređenjem</w:t>
      </w:r>
      <w:bookmarkEnd w:id="223"/>
      <w:r w:rsidR="00E24841">
        <w:rPr>
          <w:rFonts w:eastAsia="Calibri"/>
          <w:color w:val="365F91"/>
          <w:lang w:val="en-GB"/>
        </w:rPr>
        <w:t xml:space="preserve"> </w:t>
      </w:r>
    </w:p>
    <w:p w14:paraId="0F6A912C" w14:textId="77777777" w:rsidR="00085672" w:rsidRPr="005A1C76" w:rsidRDefault="00085672" w:rsidP="00085672">
      <w:pPr>
        <w:spacing w:after="0"/>
        <w:rPr>
          <w:lang w:val="en-GB"/>
        </w:rPr>
      </w:pPr>
      <w:r w:rsidRPr="005A1C76">
        <w:rPr>
          <w:lang w:val="en-GB"/>
        </w:rPr>
        <w:t>Sledeća lista uključuje neke nedostatke i razvojne potrebe za procjenu Deskriptora 8:</w:t>
      </w:r>
    </w:p>
    <w:p w14:paraId="064FF3D2" w14:textId="77777777" w:rsidR="00085672" w:rsidRPr="005A1C76" w:rsidRDefault="00085672" w:rsidP="00C52E6F">
      <w:pPr>
        <w:numPr>
          <w:ilvl w:val="0"/>
          <w:numId w:val="71"/>
        </w:numPr>
        <w:spacing w:after="0"/>
        <w:contextualSpacing/>
        <w:rPr>
          <w:lang w:val="en-GB"/>
        </w:rPr>
      </w:pPr>
      <w:r w:rsidRPr="005A1C76">
        <w:rPr>
          <w:lang w:val="en-GB"/>
        </w:rPr>
        <w:t>Trenutni program monitoringa morskog ekosistema uključuje uglavnom lokacije koje su pod antropogenim uticajem, tako da prirodne (background) koncentracije teških metala i organskih jedinjenja u sedimentu i bioti iz crnogorskog dijela Jadrana nisu poznate. Mrežu lokacija za monitoring treba proširiti na obalne lokacije na otvorenom moru i na “</w:t>
      </w:r>
      <w:r w:rsidRPr="005A1C76">
        <w:rPr>
          <w:rFonts w:cs="Calibri"/>
          <w:lang w:val="en-GB"/>
        </w:rPr>
        <w:t>offshore”</w:t>
      </w:r>
      <w:r w:rsidRPr="005A1C76">
        <w:rPr>
          <w:lang w:val="en-GB"/>
        </w:rPr>
        <w:t xml:space="preserve"> lokacije.</w:t>
      </w:r>
    </w:p>
    <w:p w14:paraId="4449608F" w14:textId="77777777" w:rsidR="00085672" w:rsidRPr="005A1C76" w:rsidRDefault="00085672" w:rsidP="00C52E6F">
      <w:pPr>
        <w:numPr>
          <w:ilvl w:val="0"/>
          <w:numId w:val="71"/>
        </w:numPr>
        <w:spacing w:after="0"/>
        <w:contextualSpacing/>
        <w:rPr>
          <w:lang w:val="en-GB"/>
        </w:rPr>
      </w:pPr>
      <w:r w:rsidRPr="005A1C76">
        <w:rPr>
          <w:lang w:val="en-GB"/>
        </w:rPr>
        <w:t>Uspostaviti monitoring radi utvrđivanja biološkog efekta koji se javlja kao rezultat zagađenja morske sredine (D8C2 - Sekundarni kriterijumi).</w:t>
      </w:r>
    </w:p>
    <w:p w14:paraId="4E0A1A4D" w14:textId="77777777" w:rsidR="00085672" w:rsidRPr="005A1C76" w:rsidRDefault="00085672" w:rsidP="00C52E6F">
      <w:pPr>
        <w:numPr>
          <w:ilvl w:val="0"/>
          <w:numId w:val="71"/>
        </w:numPr>
        <w:spacing w:after="0"/>
        <w:contextualSpacing/>
        <w:rPr>
          <w:lang w:val="en-GB"/>
        </w:rPr>
      </w:pPr>
      <w:r w:rsidRPr="005A1C76">
        <w:rPr>
          <w:lang w:val="en-GB"/>
        </w:rPr>
        <w:t>U vezi sa CI19 (izlivanje nafte i HNS-a), i pored uspostavljanja monitoringa balastne vode radi praćenja drugih pritisaka koji potiču i iz transporta, bilo bi korisno uspostaviti sveukupni sistem praćenja svih parametara koji bi se mogli shvatiti kao pritisci na morsku sredinu. Ove podatka bi onda naučne institucije mogle da koriste za uporednu analizu uticaja pomorske ekonomije na životnu sredinu i za praćenje relevantnih trendova.</w:t>
      </w:r>
    </w:p>
    <w:p w14:paraId="749FD955" w14:textId="77777777" w:rsidR="00085672" w:rsidRPr="005A1C76" w:rsidRDefault="00085672" w:rsidP="00085672">
      <w:pPr>
        <w:rPr>
          <w:rFonts w:eastAsia="Calibri"/>
          <w:lang w:val="en-GB"/>
        </w:rPr>
      </w:pPr>
    </w:p>
    <w:p w14:paraId="31FD75AB" w14:textId="547D2F9F" w:rsidR="00741496" w:rsidRPr="00741496" w:rsidRDefault="00741496" w:rsidP="00DA6B61">
      <w:pPr>
        <w:pStyle w:val="Heading2"/>
        <w:ind w:left="709" w:hanging="567"/>
        <w:jc w:val="left"/>
        <w:rPr>
          <w:lang w:val="en-GB"/>
        </w:rPr>
      </w:pPr>
      <w:bookmarkStart w:id="224" w:name="_Toc83630942"/>
      <w:r w:rsidRPr="00741496">
        <w:rPr>
          <w:color w:val="365F91"/>
          <w:lang w:val="en-GB"/>
        </w:rPr>
        <w:t xml:space="preserve">KONTAMINANTI U RIBI I DRUGIM </w:t>
      </w:r>
      <w:r w:rsidR="006648F0">
        <w:rPr>
          <w:color w:val="365F91"/>
          <w:lang w:val="en-GB"/>
        </w:rPr>
        <w:t xml:space="preserve">morskim organizmima </w:t>
      </w:r>
      <w:r w:rsidRPr="00741496">
        <w:rPr>
          <w:color w:val="365F91"/>
          <w:lang w:val="en-GB"/>
        </w:rPr>
        <w:t xml:space="preserve"> NAMIJENJENIM PREHRANI LJUDI (DESKRIPTOR 9)</w:t>
      </w:r>
      <w:bookmarkEnd w:id="224"/>
    </w:p>
    <w:p w14:paraId="3193D8C5" w14:textId="77777777" w:rsidR="00741496" w:rsidRPr="005A1C76" w:rsidRDefault="00741496" w:rsidP="00741496">
      <w:pPr>
        <w:rPr>
          <w:rFonts w:eastAsia="Calibri" w:cs="Calibri"/>
          <w:b/>
          <w:color w:val="000000"/>
          <w:lang w:val="en-GB"/>
        </w:rPr>
      </w:pPr>
      <w:bookmarkStart w:id="225" w:name="_Hlk67847594"/>
      <w:bookmarkStart w:id="226" w:name="_Toc68078523"/>
      <w:bookmarkStart w:id="227" w:name="_Toc68180788"/>
      <w:r w:rsidRPr="005A1C76">
        <w:rPr>
          <w:rFonts w:eastAsia="Calibri" w:cs="Calibri"/>
          <w:b/>
          <w:color w:val="000000"/>
          <w:lang w:val="en-GB"/>
        </w:rPr>
        <w:t>Uvod</w:t>
      </w:r>
    </w:p>
    <w:p w14:paraId="0FEFDC81" w14:textId="77777777" w:rsidR="00741496" w:rsidRPr="005A1C76" w:rsidRDefault="00741496" w:rsidP="00741496">
      <w:pPr>
        <w:rPr>
          <w:rFonts w:eastAsia="Calibri" w:cs="Calibri"/>
          <w:color w:val="000000"/>
          <w:lang w:val="en-GB"/>
        </w:rPr>
      </w:pPr>
      <w:r w:rsidRPr="005A1C76">
        <w:rPr>
          <w:rFonts w:eastAsia="Calibri" w:cs="Calibri"/>
          <w:color w:val="000000"/>
          <w:lang w:val="en-GB"/>
        </w:rPr>
        <w:t>Namjena ovog deskriptora je da osigura da kontaminanti, posebno organske supstance i teški metali koji se nalaze u ribama i školjkama namijenjenim za ljudsku ishranu, ne prelaze granične vrijednosti propisane zakonodavstvom ili drugim sporazumima.</w:t>
      </w:r>
    </w:p>
    <w:bookmarkEnd w:id="225"/>
    <w:p w14:paraId="7FEAF9A8" w14:textId="77777777" w:rsidR="00741496" w:rsidRPr="005A1C76" w:rsidRDefault="00741496" w:rsidP="00741496">
      <w:pPr>
        <w:spacing w:after="0"/>
        <w:rPr>
          <w:rFonts w:eastAsia="Calibri" w:cs="Calibri"/>
          <w:b/>
          <w:lang w:val="en-GB"/>
        </w:rPr>
      </w:pPr>
      <w:r w:rsidRPr="005A1C76">
        <w:rPr>
          <w:rFonts w:cs="Stag Sans Semibold"/>
          <w:b/>
          <w:bCs/>
          <w:noProof/>
          <w:color w:val="000000"/>
          <w:lang w:eastAsia="en-US"/>
        </w:rPr>
        <mc:AlternateContent>
          <mc:Choice Requires="wps">
            <w:drawing>
              <wp:anchor distT="0" distB="0" distL="114300" distR="114300" simplePos="0" relativeHeight="251820032" behindDoc="0" locked="0" layoutInCell="1" allowOverlap="1" wp14:anchorId="05615601" wp14:editId="022D0749">
                <wp:simplePos x="0" y="0"/>
                <wp:positionH relativeFrom="margin">
                  <wp:align>left</wp:align>
                </wp:positionH>
                <wp:positionV relativeFrom="paragraph">
                  <wp:posOffset>22226</wp:posOffset>
                </wp:positionV>
                <wp:extent cx="5722620" cy="685800"/>
                <wp:effectExtent l="0" t="0" r="0" b="0"/>
                <wp:wrapNone/>
                <wp:docPr id="102" name="Rectangle: Rounded Corners 102"/>
                <wp:cNvGraphicFramePr/>
                <a:graphic xmlns:a="http://schemas.openxmlformats.org/drawingml/2006/main">
                  <a:graphicData uri="http://schemas.microsoft.com/office/word/2010/wordprocessingShape">
                    <wps:wsp>
                      <wps:cNvSpPr/>
                      <wps:spPr>
                        <a:xfrm>
                          <a:off x="0" y="0"/>
                          <a:ext cx="5722620" cy="685800"/>
                        </a:xfrm>
                        <a:prstGeom prst="roundRect">
                          <a:avLst/>
                        </a:prstGeom>
                        <a:solidFill>
                          <a:srgbClr val="4F81BD">
                            <a:lumMod val="20000"/>
                            <a:lumOff val="80000"/>
                            <a:alpha val="84000"/>
                          </a:srgbClr>
                        </a:solidFill>
                        <a:ln w="25400" cap="flat" cmpd="sng" algn="ctr">
                          <a:noFill/>
                          <a:prstDash val="solid"/>
                        </a:ln>
                        <a:effectLst/>
                      </wps:spPr>
                      <wps:txbx>
                        <w:txbxContent>
                          <w:p w14:paraId="72CEB6D6" w14:textId="77777777" w:rsidR="00515997" w:rsidRPr="00A52E7D" w:rsidRDefault="00515997" w:rsidP="00741496">
                            <w:pPr>
                              <w:autoSpaceDE w:val="0"/>
                              <w:autoSpaceDN w:val="0"/>
                              <w:adjustRightInd w:val="0"/>
                              <w:spacing w:after="240"/>
                              <w:rPr>
                                <w:rFonts w:eastAsia="Calibri" w:cs="Calibri"/>
                                <w:b/>
                                <w:i/>
                                <w:color w:val="000000"/>
                              </w:rPr>
                            </w:pPr>
                            <w:r w:rsidRPr="005A1C76">
                              <w:rPr>
                                <w:b/>
                                <w:color w:val="000000"/>
                                <w14:textOutline w14:w="9525" w14:cap="rnd" w14:cmpd="sng" w14:algn="ctr">
                                  <w14:noFill/>
                                  <w14:prstDash w14:val="solid"/>
                                  <w14:bevel/>
                                </w14:textOutline>
                              </w:rPr>
                              <w:t>GES definicija za deskriptor 9: Kontaminanti u ribi i drugim morskim plodovima za ljudsku ishranu ne prelaze nivoe utvrđene zakonodavstvom ili drugim relevantnim standardima</w:t>
                            </w:r>
                          </w:p>
                          <w:p w14:paraId="7F491411" w14:textId="77777777" w:rsidR="00515997" w:rsidRPr="005A1C76" w:rsidRDefault="00515997" w:rsidP="00741496">
                            <w:pPr>
                              <w:rPr>
                                <w:i/>
                                <w:color w:val="000000"/>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615601" id="Rectangle: Rounded Corners 102" o:spid="_x0000_s1059" style="position:absolute;left:0;text-align:left;margin-left:0;margin-top:1.75pt;width:450.6pt;height:54pt;z-index:251820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" fillcolor="#dce6f2" stroked="f" strokeweight="2pt">
                <v:fill opacity="54998f"/>
                <v:textbox>
                  <w:txbxContent>
                    <w:p w14:paraId="72CEB6D6" w14:textId="77777777" w:rsidR="00515997" w:rsidRPr="00A52E7D" w:rsidRDefault="00515997" w:rsidP="00741496">
                      <w:pPr>
                        <w:autoSpaceDE w:val="0"/>
                        <w:autoSpaceDN w:val="0"/>
                        <w:adjustRightInd w:val="0"/>
                        <w:spacing w:after="240"/>
                        <w:rPr>
                          <w:rFonts w:eastAsia="Calibri" w:cs="Calibri"/>
                          <w:b/>
                          <w:i/>
                          <w:color w:val="000000"/>
                        </w:rPr>
                      </w:pPr>
                      <w:r w:rsidRPr="005A1C76">
                        <w:rPr>
                          <w:b/>
                          <w:color w:val="000000"/>
                          <w14:textOutline w14:w="9525" w14:cap="rnd" w14:cmpd="sng" w14:algn="ctr">
                            <w14:noFill/>
                            <w14:prstDash w14:val="solid"/>
                            <w14:bevel/>
                          </w14:textOutline>
                        </w:rPr>
                        <w:t>GES definicija za deskriptor 9: Kontaminanti u ribi i drugim morskim plodovima za ljudsku ishranu ne prelaze nivoe utvrđene zakonodavstvom ili drugim relevantnim standardima</w:t>
                      </w:r>
                    </w:p>
                    <w:p w14:paraId="7F491411" w14:textId="77777777" w:rsidR="00515997" w:rsidRPr="005A1C76" w:rsidRDefault="00515997" w:rsidP="00741496">
                      <w:pPr>
                        <w:rPr>
                          <w:i/>
                          <w:color w:val="000000"/>
                          <w14:textOutline w14:w="9525" w14:cap="rnd" w14:cmpd="sng" w14:algn="ctr">
                            <w14:noFill/>
                            <w14:prstDash w14:val="solid"/>
                            <w14:bevel/>
                          </w14:textOutline>
                        </w:rPr>
                      </w:pPr>
                    </w:p>
                  </w:txbxContent>
                </v:textbox>
                <w10:wrap anchorx="margin"/>
              </v:roundrect>
            </w:pict>
          </mc:Fallback>
        </mc:AlternateContent>
      </w:r>
    </w:p>
    <w:p w14:paraId="74789618" w14:textId="77777777" w:rsidR="00741496" w:rsidRPr="005A1C76" w:rsidRDefault="00741496" w:rsidP="00741496">
      <w:pPr>
        <w:autoSpaceDE w:val="0"/>
        <w:autoSpaceDN w:val="0"/>
        <w:adjustRightInd w:val="0"/>
        <w:spacing w:after="0"/>
        <w:rPr>
          <w:rFonts w:eastAsia="Calibri" w:cs="Calibri"/>
          <w:b/>
          <w:bCs/>
          <w:color w:val="000000"/>
          <w:lang w:val="en-GB"/>
        </w:rPr>
      </w:pPr>
    </w:p>
    <w:p w14:paraId="5122FE7E" w14:textId="77777777" w:rsidR="00741496" w:rsidRPr="005A1C76" w:rsidRDefault="00741496" w:rsidP="00741496">
      <w:pPr>
        <w:autoSpaceDE w:val="0"/>
        <w:autoSpaceDN w:val="0"/>
        <w:adjustRightInd w:val="0"/>
        <w:spacing w:after="0"/>
        <w:rPr>
          <w:rFonts w:eastAsia="Calibri" w:cs="Calibri"/>
          <w:b/>
          <w:bCs/>
          <w:color w:val="000000"/>
          <w:lang w:val="en-GB"/>
        </w:rPr>
      </w:pPr>
    </w:p>
    <w:p w14:paraId="468A17A4" w14:textId="77777777" w:rsidR="00741496" w:rsidRPr="005A1C76" w:rsidRDefault="00741496" w:rsidP="00741496">
      <w:pPr>
        <w:autoSpaceDE w:val="0"/>
        <w:autoSpaceDN w:val="0"/>
        <w:adjustRightInd w:val="0"/>
        <w:spacing w:after="0"/>
        <w:rPr>
          <w:rFonts w:eastAsia="Calibri" w:cs="Calibri"/>
          <w:b/>
          <w:bCs/>
          <w:color w:val="000000"/>
          <w:lang w:val="en-GB"/>
        </w:rPr>
      </w:pPr>
    </w:p>
    <w:p w14:paraId="3AB9CFB0" w14:textId="48BB7D39" w:rsidR="00741496" w:rsidRPr="005A1C76" w:rsidRDefault="00741496" w:rsidP="00741496">
      <w:pPr>
        <w:spacing w:after="0"/>
        <w:rPr>
          <w:rFonts w:eastAsia="Calibri" w:cs="Calibri"/>
          <w:lang w:val="en-GB"/>
        </w:rPr>
      </w:pPr>
      <w:r w:rsidRPr="005A1C76">
        <w:rPr>
          <w:rFonts w:eastAsia="Calibri" w:cs="Calibri"/>
          <w:lang w:val="en-GB"/>
        </w:rPr>
        <w:t xml:space="preserve">Da bi se postigao dobar status </w:t>
      </w:r>
      <w:r w:rsidR="006648F0">
        <w:rPr>
          <w:rFonts w:eastAsia="Calibri" w:cs="Calibri"/>
          <w:lang w:val="en-GB"/>
        </w:rPr>
        <w:t>morske sredine u odnosu na D9</w:t>
      </w:r>
      <w:r w:rsidRPr="005A1C76">
        <w:rPr>
          <w:rFonts w:eastAsia="Calibri" w:cs="Calibri"/>
          <w:lang w:val="en-GB"/>
        </w:rPr>
        <w:t xml:space="preserve">, prema </w:t>
      </w:r>
      <w:r w:rsidR="006648F0">
        <w:rPr>
          <w:rFonts w:eastAsia="Calibri" w:cs="Calibri"/>
          <w:lang w:val="en-GB"/>
        </w:rPr>
        <w:t>Odluci komisije 20</w:t>
      </w:r>
      <w:r w:rsidRPr="005A1C76">
        <w:rPr>
          <w:rFonts w:eastAsia="Calibri" w:cs="Calibri"/>
          <w:lang w:val="en-GB"/>
        </w:rPr>
        <w:t xml:space="preserve">17/848, koncentracija svih zagađujućih materija trebalo bi da bude ispod maksimalnog nivoa postavljenog za ishranu ljudi, a ako je moguće, trebalo bi da opada. Stoga su koncentracije zagađivača u ribi i morskim </w:t>
      </w:r>
      <w:r w:rsidR="006648F0">
        <w:rPr>
          <w:rFonts w:eastAsia="Calibri" w:cs="Calibri"/>
          <w:lang w:val="en-GB"/>
        </w:rPr>
        <w:t>organizmima</w:t>
      </w:r>
      <w:r w:rsidRPr="005A1C76">
        <w:rPr>
          <w:rFonts w:eastAsia="Calibri" w:cs="Calibri"/>
          <w:lang w:val="en-GB"/>
        </w:rPr>
        <w:t>, koje nisu u skladu sa regulatornim nivoima i koje ih premašuju, takođe pokazatelji lošeg stanja životne sredine.</w:t>
      </w:r>
    </w:p>
    <w:p w14:paraId="1F7595DA" w14:textId="28F0573E" w:rsidR="00741496" w:rsidRPr="006648F0" w:rsidRDefault="006648F0" w:rsidP="00741496">
      <w:pPr>
        <w:pStyle w:val="Heading3"/>
        <w:rPr>
          <w:rFonts w:eastAsia="Calibri"/>
          <w:color w:val="365F91"/>
          <w:lang w:val="en-GB"/>
        </w:rPr>
      </w:pPr>
      <w:bookmarkStart w:id="228" w:name="_Toc69678393"/>
      <w:bookmarkStart w:id="229" w:name="_Toc83630943"/>
      <w:bookmarkEnd w:id="226"/>
      <w:bookmarkEnd w:id="227"/>
      <w:r w:rsidRPr="006648F0">
        <w:rPr>
          <w:rFonts w:eastAsia="Calibri"/>
          <w:color w:val="365F91"/>
          <w:lang w:val="en-GB"/>
        </w:rPr>
        <w:t>Odabir kriterijuma za procjenu GES-a</w:t>
      </w:r>
      <w:bookmarkEnd w:id="228"/>
      <w:bookmarkEnd w:id="229"/>
    </w:p>
    <w:p w14:paraId="34924032" w14:textId="4AABCAF5" w:rsidR="00DA6B61" w:rsidRPr="005A1C76" w:rsidRDefault="00DA6B61" w:rsidP="00DA6B61">
      <w:pPr>
        <w:rPr>
          <w:rFonts w:eastAsia="Calibri"/>
          <w:iCs/>
          <w:lang w:val="en-GB"/>
        </w:rPr>
      </w:pPr>
      <w:bookmarkStart w:id="230" w:name="_Toc69718403"/>
      <w:bookmarkStart w:id="231" w:name="_Toc68078524"/>
      <w:bookmarkStart w:id="232" w:name="_Toc68180789"/>
      <w:r w:rsidRPr="005A1C76">
        <w:rPr>
          <w:rFonts w:eastAsia="Calibri"/>
          <w:iCs/>
          <w:lang w:val="en-GB"/>
        </w:rPr>
        <w:t xml:space="preserve">U tabeli 2.38 </w:t>
      </w:r>
      <w:r w:rsidR="00312B76">
        <w:rPr>
          <w:rFonts w:eastAsia="Calibri"/>
          <w:iCs/>
          <w:lang w:val="en-GB"/>
        </w:rPr>
        <w:t xml:space="preserve">prikazan je </w:t>
      </w:r>
      <w:r w:rsidRPr="005A1C76">
        <w:rPr>
          <w:rFonts w:eastAsia="Calibri"/>
          <w:iCs/>
          <w:lang w:val="en-GB"/>
        </w:rPr>
        <w:t xml:space="preserve">kriterijum, uključujući elemente kriterijuma i metodološke standarde za ocenu GES-a u odnosu na deskriptor 9, u skladu sa </w:t>
      </w:r>
      <w:r w:rsidR="00D5162D">
        <w:rPr>
          <w:rFonts w:eastAsia="Calibri"/>
          <w:iCs/>
          <w:lang w:val="en-GB"/>
        </w:rPr>
        <w:t xml:space="preserve">Odlukom </w:t>
      </w:r>
      <w:r w:rsidR="00312B76">
        <w:rPr>
          <w:rFonts w:eastAsia="Calibri"/>
          <w:iCs/>
          <w:lang w:val="en-GB"/>
        </w:rPr>
        <w:t>K</w:t>
      </w:r>
      <w:r w:rsidR="00D5162D">
        <w:rPr>
          <w:rFonts w:eastAsia="Calibri"/>
          <w:iCs/>
          <w:lang w:val="en-GB"/>
        </w:rPr>
        <w:t xml:space="preserve">omisije </w:t>
      </w:r>
      <w:r w:rsidRPr="005A1C76">
        <w:rPr>
          <w:rFonts w:eastAsia="Calibri"/>
          <w:lang w:val="en-GB"/>
        </w:rPr>
        <w:t>(EU) 2017/848.</w:t>
      </w:r>
    </w:p>
    <w:p w14:paraId="02C1CB09" w14:textId="77777777" w:rsidR="00DA6B61" w:rsidRPr="005A1C76" w:rsidRDefault="00DA6B61" w:rsidP="00DA6B61">
      <w:pPr>
        <w:spacing w:line="240" w:lineRule="auto"/>
        <w:rPr>
          <w:rFonts w:eastAsia="Calibri"/>
          <w:b/>
          <w:iCs/>
          <w:lang w:val="en-GB"/>
        </w:rPr>
      </w:pPr>
    </w:p>
    <w:p w14:paraId="5F96C5E6" w14:textId="2BE98511" w:rsidR="00DA6B61" w:rsidRPr="005A1C76" w:rsidRDefault="00DA6B61" w:rsidP="00DA6B61">
      <w:pPr>
        <w:spacing w:line="240" w:lineRule="auto"/>
        <w:rPr>
          <w:rFonts w:eastAsia="Calibri" w:cs="Calibri"/>
          <w:lang w:val="en-GB"/>
        </w:rPr>
      </w:pPr>
      <w:bookmarkStart w:id="233" w:name="_Toc83643184"/>
      <w:bookmarkStart w:id="234" w:name="_Hlk68159460"/>
      <w:r w:rsidRPr="005A1C76">
        <w:rPr>
          <w:rFonts w:eastAsia="Calibri"/>
          <w:b/>
          <w:iCs/>
          <w:lang w:val="en-GB"/>
        </w:rPr>
        <w:t xml:space="preserve">Tabela </w:t>
      </w:r>
      <w:r w:rsidRPr="005A1C76">
        <w:rPr>
          <w:b/>
        </w:rPr>
        <w:fldChar w:fldCharType="begin"/>
      </w:r>
      <w:r w:rsidRPr="005A1C76">
        <w:rPr>
          <w:b/>
        </w:rPr>
        <w:instrText xml:space="preserve"> STYLEREF 1 \s </w:instrText>
      </w:r>
      <w:r w:rsidRPr="005A1C76">
        <w:rPr>
          <w:b/>
        </w:rPr>
        <w:fldChar w:fldCharType="separate"/>
      </w:r>
      <w:r w:rsidR="000D1E20">
        <w:rPr>
          <w:b/>
          <w:noProof/>
        </w:rPr>
        <w:t>2</w:t>
      </w:r>
      <w:r w:rsidRPr="005A1C76">
        <w:rPr>
          <w:b/>
        </w:rPr>
        <w:fldChar w:fldCharType="end"/>
      </w:r>
      <w:r w:rsidRPr="005A1C76">
        <w:rPr>
          <w:b/>
        </w:rPr>
        <w:t>.</w:t>
      </w:r>
      <w:r w:rsidRPr="005A1C76">
        <w:rPr>
          <w:b/>
        </w:rPr>
        <w:fldChar w:fldCharType="begin"/>
      </w:r>
      <w:r w:rsidRPr="005A1C76">
        <w:rPr>
          <w:b/>
        </w:rPr>
        <w:instrText xml:space="preserve"> SEQ Table \* ARABIC \s 1 </w:instrText>
      </w:r>
      <w:r w:rsidRPr="005A1C76">
        <w:rPr>
          <w:b/>
        </w:rPr>
        <w:fldChar w:fldCharType="separate"/>
      </w:r>
      <w:r w:rsidR="000D1E20">
        <w:rPr>
          <w:b/>
          <w:noProof/>
        </w:rPr>
        <w:t>26</w:t>
      </w:r>
      <w:r w:rsidRPr="005A1C76">
        <w:rPr>
          <w:b/>
        </w:rPr>
        <w:fldChar w:fldCharType="end"/>
      </w:r>
      <w:r w:rsidRPr="005A1C76">
        <w:rPr>
          <w:b/>
        </w:rPr>
        <w:t>.</w:t>
      </w:r>
      <w:r w:rsidRPr="005A1C76">
        <w:rPr>
          <w:rFonts w:eastAsia="Calibri" w:cs="Calibri"/>
          <w:b/>
          <w:lang w:val="en-GB"/>
        </w:rPr>
        <w:t xml:space="preserve"> </w:t>
      </w:r>
      <w:r w:rsidR="00312B76">
        <w:rPr>
          <w:rFonts w:eastAsia="Calibri" w:cs="Calibri"/>
          <w:b/>
          <w:lang w:val="en-GB"/>
        </w:rPr>
        <w:t>K</w:t>
      </w:r>
      <w:r w:rsidR="00D5162D" w:rsidRPr="0046315C">
        <w:rPr>
          <w:rFonts w:eastAsia="Calibri"/>
          <w:b/>
          <w:szCs w:val="22"/>
          <w:lang w:eastAsia="en-US"/>
        </w:rPr>
        <w:t xml:space="preserve">riterijuma za procjenu </w:t>
      </w:r>
      <w:r w:rsidR="00D5162D">
        <w:rPr>
          <w:rFonts w:eastAsia="Calibri"/>
          <w:b/>
          <w:szCs w:val="22"/>
          <w:lang w:eastAsia="en-US"/>
        </w:rPr>
        <w:t>GES-a</w:t>
      </w:r>
      <w:r w:rsidR="00D5162D" w:rsidRPr="0046315C">
        <w:rPr>
          <w:rFonts w:eastAsia="Calibri"/>
          <w:b/>
          <w:szCs w:val="22"/>
          <w:lang w:eastAsia="en-US"/>
        </w:rPr>
        <w:t xml:space="preserve"> za Deskriptor </w:t>
      </w:r>
      <w:r w:rsidR="00312B76">
        <w:rPr>
          <w:rFonts w:eastAsia="Calibri"/>
          <w:b/>
          <w:szCs w:val="22"/>
          <w:lang w:eastAsia="en-US"/>
        </w:rPr>
        <w:t>9</w:t>
      </w:r>
      <w:r w:rsidR="00D5162D" w:rsidRPr="0046315C">
        <w:rPr>
          <w:rFonts w:eastAsia="Calibri"/>
          <w:b/>
          <w:szCs w:val="22"/>
          <w:lang w:eastAsia="en-US"/>
        </w:rPr>
        <w:t xml:space="preserve"> prema Odluci Komisije 2017/848/EU</w:t>
      </w:r>
      <w:bookmarkEnd w:id="233"/>
      <w:r w:rsidR="00D5162D" w:rsidRPr="005A1C76">
        <w:rPr>
          <w:rFonts w:eastAsia="Calibri" w:cs="Calibri"/>
          <w:b/>
          <w:lang w:val="en-GB"/>
        </w:rPr>
        <w:t xml:space="preserve"> </w:t>
      </w:r>
      <w:bookmarkEnd w:id="230"/>
    </w:p>
    <w:tbl>
      <w:tblPr>
        <w:tblW w:w="9242" w:type="dxa"/>
        <w:jc w:val="center"/>
        <w:tblBorders>
          <w:top w:val="single" w:sz="8" w:space="0" w:color="2F5496"/>
          <w:left w:val="single" w:sz="8" w:space="0" w:color="2F5496"/>
          <w:bottom w:val="single" w:sz="8" w:space="0" w:color="2F5496"/>
          <w:right w:val="single" w:sz="8" w:space="0" w:color="2F5496"/>
          <w:insideH w:val="single" w:sz="8" w:space="0" w:color="2F5496"/>
          <w:insideV w:val="single" w:sz="8" w:space="0" w:color="2F5496"/>
        </w:tblBorders>
        <w:tblLayout w:type="fixed"/>
        <w:tblCellMar>
          <w:left w:w="0" w:type="dxa"/>
          <w:right w:w="0" w:type="dxa"/>
        </w:tblCellMar>
        <w:tblLook w:val="01E0" w:firstRow="1" w:lastRow="1" w:firstColumn="1" w:lastColumn="1" w:noHBand="0" w:noVBand="0"/>
      </w:tblPr>
      <w:tblGrid>
        <w:gridCol w:w="3251"/>
        <w:gridCol w:w="4819"/>
        <w:gridCol w:w="1172"/>
      </w:tblGrid>
      <w:tr w:rsidR="00DA6B61" w:rsidRPr="005A1C76" w14:paraId="4F39DC48" w14:textId="77777777" w:rsidTr="006A7CA8">
        <w:trPr>
          <w:trHeight w:val="353"/>
          <w:tblHeader/>
          <w:jc w:val="center"/>
        </w:trPr>
        <w:tc>
          <w:tcPr>
            <w:tcW w:w="3251" w:type="dxa"/>
            <w:tcBorders>
              <w:top w:val="single" w:sz="8" w:space="0" w:color="FFFFFF"/>
              <w:left w:val="single" w:sz="8" w:space="0" w:color="FFFFFF"/>
              <w:bottom w:val="single" w:sz="8" w:space="0" w:color="FFFFFF"/>
              <w:right w:val="single" w:sz="8" w:space="0" w:color="FFFFFF"/>
            </w:tcBorders>
            <w:shd w:val="clear" w:color="auto" w:fill="1F497D" w:themeFill="text2"/>
          </w:tcPr>
          <w:bookmarkEnd w:id="234"/>
          <w:p w14:paraId="3632FA26" w14:textId="77777777" w:rsidR="00DA6B61" w:rsidRPr="006A7CA8" w:rsidRDefault="00DA6B61" w:rsidP="00DA6B61">
            <w:pPr>
              <w:spacing w:after="0"/>
              <w:jc w:val="center"/>
              <w:rPr>
                <w:rFonts w:eastAsia="Calibri"/>
                <w:b/>
                <w:color w:val="FFFFFF" w:themeColor="background1"/>
                <w:lang w:val="en-GB"/>
              </w:rPr>
            </w:pPr>
            <w:r w:rsidRPr="006A7CA8">
              <w:rPr>
                <w:rFonts w:eastAsia="Calibri"/>
                <w:b/>
                <w:color w:val="FFFFFF" w:themeColor="background1"/>
                <w:lang w:val="en-GB"/>
              </w:rPr>
              <w:t>Elementi kriterijuma</w:t>
            </w:r>
          </w:p>
        </w:tc>
        <w:tc>
          <w:tcPr>
            <w:tcW w:w="4819" w:type="dxa"/>
            <w:tcBorders>
              <w:top w:val="single" w:sz="8" w:space="0" w:color="FFFFFF"/>
              <w:left w:val="single" w:sz="8" w:space="0" w:color="FFFFFF"/>
              <w:bottom w:val="single" w:sz="8" w:space="0" w:color="FFFFFF"/>
              <w:right w:val="single" w:sz="8" w:space="0" w:color="FFFFFF"/>
            </w:tcBorders>
            <w:shd w:val="clear" w:color="auto" w:fill="1F497D" w:themeFill="text2"/>
          </w:tcPr>
          <w:p w14:paraId="5CB35C5E" w14:textId="77777777" w:rsidR="00DA6B61" w:rsidRPr="006A7CA8" w:rsidRDefault="00DA6B61" w:rsidP="00DA6B61">
            <w:pPr>
              <w:spacing w:after="0"/>
              <w:jc w:val="center"/>
              <w:rPr>
                <w:rFonts w:eastAsia="Calibri"/>
                <w:b/>
                <w:color w:val="FFFFFF" w:themeColor="background1"/>
                <w:lang w:val="en-GB"/>
              </w:rPr>
            </w:pPr>
            <w:r w:rsidRPr="006A7CA8">
              <w:rPr>
                <w:rFonts w:eastAsia="Calibri"/>
                <w:b/>
                <w:color w:val="FFFFFF" w:themeColor="background1"/>
                <w:lang w:val="en-GB"/>
              </w:rPr>
              <w:t>Kriterijumi</w:t>
            </w:r>
          </w:p>
        </w:tc>
        <w:tc>
          <w:tcPr>
            <w:tcW w:w="1172" w:type="dxa"/>
            <w:tcBorders>
              <w:top w:val="single" w:sz="8" w:space="0" w:color="FFFFFF"/>
              <w:left w:val="single" w:sz="8" w:space="0" w:color="FFFFFF"/>
              <w:bottom w:val="single" w:sz="8" w:space="0" w:color="FFFFFF"/>
              <w:right w:val="single" w:sz="8" w:space="0" w:color="FFFFFF"/>
            </w:tcBorders>
            <w:shd w:val="clear" w:color="auto" w:fill="1F497D" w:themeFill="text2"/>
          </w:tcPr>
          <w:p w14:paraId="67EB76CF" w14:textId="11CE2479" w:rsidR="00DA6B61" w:rsidRPr="006A7CA8" w:rsidRDefault="00D5162D" w:rsidP="00DA6B61">
            <w:pPr>
              <w:spacing w:after="0"/>
              <w:jc w:val="center"/>
              <w:rPr>
                <w:rFonts w:eastAsia="Calibri"/>
                <w:b/>
                <w:color w:val="FFFFFF" w:themeColor="background1"/>
                <w:lang w:val="en-GB"/>
              </w:rPr>
            </w:pPr>
            <w:r w:rsidRPr="006A7CA8">
              <w:rPr>
                <w:rFonts w:eastAsia="Calibri"/>
                <w:b/>
                <w:color w:val="FFFFFF" w:themeColor="background1"/>
                <w:lang w:val="en-GB"/>
              </w:rPr>
              <w:t>CG</w:t>
            </w:r>
            <w:r w:rsidR="00DA6B61" w:rsidRPr="006A7CA8">
              <w:rPr>
                <w:rFonts w:eastAsia="Calibri"/>
                <w:b/>
                <w:color w:val="FFFFFF" w:themeColor="background1"/>
                <w:lang w:val="en-GB"/>
              </w:rPr>
              <w:t xml:space="preserve"> GES obuhvata</w:t>
            </w:r>
            <w:r w:rsidR="00DA6B61" w:rsidRPr="006A7CA8">
              <w:rPr>
                <w:rFonts w:eastAsia="Calibri"/>
                <w:b/>
                <w:color w:val="FFFFFF" w:themeColor="background1"/>
                <w:vertAlign w:val="superscript"/>
                <w:lang w:val="en-GB"/>
              </w:rPr>
              <w:footnoteReference w:id="44"/>
            </w:r>
          </w:p>
        </w:tc>
      </w:tr>
      <w:tr w:rsidR="00DA6B61" w:rsidRPr="005A1C76" w14:paraId="03A63F1D" w14:textId="77777777" w:rsidTr="00D5162D">
        <w:trPr>
          <w:trHeight w:val="711"/>
          <w:jc w:val="center"/>
        </w:trPr>
        <w:tc>
          <w:tcPr>
            <w:tcW w:w="3251" w:type="dxa"/>
            <w:tcBorders>
              <w:top w:val="single" w:sz="8" w:space="0" w:color="FFFFFF"/>
            </w:tcBorders>
          </w:tcPr>
          <w:p w14:paraId="79C4A45F" w14:textId="77777777" w:rsidR="00DA6B61" w:rsidRPr="005A1C76" w:rsidRDefault="00DA6B61" w:rsidP="00DA6B61">
            <w:pPr>
              <w:spacing w:after="0"/>
              <w:rPr>
                <w:rFonts w:eastAsia="Calibri"/>
                <w:sz w:val="20"/>
                <w:szCs w:val="20"/>
                <w:lang w:val="en-GB"/>
              </w:rPr>
            </w:pPr>
            <w:r w:rsidRPr="005A1C76">
              <w:rPr>
                <w:rFonts w:eastAsia="Calibri"/>
                <w:w w:val="105"/>
                <w:sz w:val="20"/>
                <w:szCs w:val="20"/>
                <w:lang w:val="en-GB"/>
              </w:rPr>
              <w:t xml:space="preserve">Kontaminanti dati u Regulation </w:t>
            </w:r>
            <w:r w:rsidRPr="005A1C76">
              <w:rPr>
                <w:rFonts w:eastAsia="Calibri"/>
                <w:spacing w:val="-4"/>
                <w:w w:val="105"/>
                <w:sz w:val="20"/>
                <w:szCs w:val="20"/>
                <w:lang w:val="en-GB"/>
              </w:rPr>
              <w:t xml:space="preserve">(EC) </w:t>
            </w:r>
            <w:r w:rsidRPr="005A1C76">
              <w:rPr>
                <w:rFonts w:eastAsia="Calibri"/>
                <w:w w:val="105"/>
                <w:sz w:val="20"/>
                <w:szCs w:val="20"/>
                <w:lang w:val="en-GB"/>
              </w:rPr>
              <w:t>No</w:t>
            </w:r>
            <w:r w:rsidRPr="005A1C76">
              <w:rPr>
                <w:rFonts w:eastAsia="Calibri"/>
                <w:spacing w:val="6"/>
                <w:w w:val="105"/>
                <w:sz w:val="20"/>
                <w:szCs w:val="20"/>
                <w:lang w:val="en-GB"/>
              </w:rPr>
              <w:t xml:space="preserve"> </w:t>
            </w:r>
            <w:r w:rsidRPr="005A1C76">
              <w:rPr>
                <w:rFonts w:eastAsia="Calibri"/>
                <w:w w:val="105"/>
                <w:sz w:val="20"/>
                <w:szCs w:val="20"/>
                <w:lang w:val="en-GB"/>
              </w:rPr>
              <w:t>1881/2006.</w:t>
            </w:r>
          </w:p>
          <w:p w14:paraId="07E2D823" w14:textId="7F639D0A" w:rsidR="00DA6B61" w:rsidRPr="005A1C76" w:rsidRDefault="00DA6B61" w:rsidP="00DA6B61">
            <w:pPr>
              <w:spacing w:after="0"/>
              <w:rPr>
                <w:rFonts w:eastAsia="Calibri"/>
                <w:sz w:val="20"/>
                <w:szCs w:val="20"/>
                <w:lang w:val="en-GB"/>
              </w:rPr>
            </w:pPr>
          </w:p>
        </w:tc>
        <w:tc>
          <w:tcPr>
            <w:tcW w:w="4819" w:type="dxa"/>
            <w:tcBorders>
              <w:top w:val="single" w:sz="8" w:space="0" w:color="FFFFFF"/>
            </w:tcBorders>
          </w:tcPr>
          <w:p w14:paraId="248A6180" w14:textId="77777777" w:rsidR="00DA6B61" w:rsidRPr="005A1C76" w:rsidRDefault="00DA6B61" w:rsidP="00DA6B61">
            <w:pPr>
              <w:spacing w:after="0"/>
              <w:rPr>
                <w:rFonts w:eastAsia="Calibri"/>
                <w:b/>
                <w:sz w:val="20"/>
                <w:szCs w:val="20"/>
                <w:lang w:val="en-GB"/>
              </w:rPr>
            </w:pPr>
            <w:r w:rsidRPr="005A1C76">
              <w:rPr>
                <w:rFonts w:eastAsia="Calibri"/>
                <w:b/>
                <w:sz w:val="20"/>
                <w:szCs w:val="20"/>
                <w:lang w:val="en-GB"/>
              </w:rPr>
              <w:t>D9C1 — Primarni:</w:t>
            </w:r>
          </w:p>
          <w:p w14:paraId="6BCB3A79" w14:textId="77777777" w:rsidR="00DA6B61" w:rsidRPr="005A1C76" w:rsidRDefault="00DA6B61" w:rsidP="00DA6B61">
            <w:pPr>
              <w:spacing w:after="0"/>
              <w:rPr>
                <w:rFonts w:eastAsia="Calibri"/>
                <w:sz w:val="20"/>
                <w:szCs w:val="20"/>
                <w:lang w:val="en-GB"/>
              </w:rPr>
            </w:pPr>
            <w:r w:rsidRPr="005A1C76">
              <w:rPr>
                <w:rFonts w:eastAsia="Calibri"/>
                <w:sz w:val="20"/>
                <w:szCs w:val="20"/>
                <w:lang w:val="en-GB"/>
              </w:rPr>
              <w:t xml:space="preserve">Nivo kontaminanta u jestivim tkivima (mišić, jetra, ikra, meso ili drugi mekani djelovi, prema potrebi) morskih plodova (uključujući ribu, rakove, mekušce, bodljokošce, morske alge i druge morske biljke) ulovljenih ili uzgajanih u divljini (osim riba iz marikulture) ne prelazi maksimalne nivoe  kontaminanata navedenih u </w:t>
            </w:r>
            <w:r w:rsidRPr="005A1C76">
              <w:rPr>
                <w:rFonts w:eastAsia="Calibri"/>
                <w:w w:val="105"/>
                <w:sz w:val="20"/>
                <w:szCs w:val="20"/>
                <w:lang w:val="en-GB"/>
              </w:rPr>
              <w:t>Regulation (EC) No</w:t>
            </w:r>
            <w:r w:rsidRPr="005A1C76">
              <w:rPr>
                <w:rFonts w:eastAsia="Calibri"/>
                <w:sz w:val="20"/>
                <w:szCs w:val="20"/>
                <w:lang w:val="en-GB"/>
              </w:rPr>
              <w:t xml:space="preserve"> 1881/2006, </w:t>
            </w:r>
          </w:p>
        </w:tc>
        <w:tc>
          <w:tcPr>
            <w:tcW w:w="1172" w:type="dxa"/>
            <w:tcBorders>
              <w:top w:val="single" w:sz="8" w:space="0" w:color="FFFFFF"/>
            </w:tcBorders>
          </w:tcPr>
          <w:p w14:paraId="6E8F1F07" w14:textId="77777777" w:rsidR="00DA6B61" w:rsidRPr="005A1C76" w:rsidRDefault="00DA6B61" w:rsidP="00DA6B61">
            <w:pPr>
              <w:spacing w:after="0"/>
              <w:rPr>
                <w:rFonts w:eastAsia="Calibri"/>
                <w:sz w:val="20"/>
                <w:szCs w:val="20"/>
                <w:lang w:val="en-GB"/>
              </w:rPr>
            </w:pPr>
            <w:r w:rsidRPr="005A1C76">
              <w:rPr>
                <w:rFonts w:eastAsia="Calibri"/>
                <w:sz w:val="20"/>
                <w:szCs w:val="20"/>
                <w:lang w:val="en-GB"/>
              </w:rPr>
              <w:t>Obuhvaćeno</w:t>
            </w:r>
          </w:p>
        </w:tc>
      </w:tr>
    </w:tbl>
    <w:p w14:paraId="1BD000D9" w14:textId="77777777" w:rsidR="00DA6B61" w:rsidRPr="005A1C76" w:rsidRDefault="00DA6B61" w:rsidP="00DA6B61">
      <w:pPr>
        <w:keepNext/>
        <w:spacing w:before="240" w:after="0"/>
        <w:ind w:left="1710"/>
        <w:outlineLvl w:val="2"/>
        <w:rPr>
          <w:b/>
          <w:bCs/>
          <w:color w:val="365F91"/>
          <w:sz w:val="26"/>
          <w:szCs w:val="26"/>
          <w:lang w:val="en-GB"/>
        </w:rPr>
      </w:pPr>
    </w:p>
    <w:p w14:paraId="51A8DEF8" w14:textId="1B4FC7A5" w:rsidR="00DA6B61" w:rsidRPr="00D5162D" w:rsidRDefault="00DA6B61" w:rsidP="00DA6B61">
      <w:pPr>
        <w:pStyle w:val="Heading3"/>
        <w:rPr>
          <w:lang w:val="en-GB" w:eastAsia="en-US"/>
        </w:rPr>
      </w:pPr>
      <w:bookmarkStart w:id="235" w:name="_Toc83630944"/>
      <w:bookmarkEnd w:id="231"/>
      <w:bookmarkEnd w:id="232"/>
      <w:r w:rsidRPr="00DA6B61">
        <w:rPr>
          <w:color w:val="365F91"/>
          <w:lang w:val="en-GB"/>
        </w:rPr>
        <w:t>Zakonodavni okvir - nacionalni i međunarodni</w:t>
      </w:r>
      <w:bookmarkEnd w:id="235"/>
      <w:r w:rsidRPr="00DA6B61">
        <w:rPr>
          <w:color w:val="365F91"/>
          <w:lang w:val="en-GB"/>
        </w:rPr>
        <w:t xml:space="preserve"> </w:t>
      </w:r>
    </w:p>
    <w:p w14:paraId="3481A34C" w14:textId="6D1368B0" w:rsidR="00DA6B61" w:rsidRDefault="00DA6B61" w:rsidP="00DA6B61">
      <w:pPr>
        <w:spacing w:after="0"/>
        <w:rPr>
          <w:rFonts w:eastAsia="Calibri" w:cs="Calibri"/>
          <w:bCs/>
          <w:iCs/>
          <w:lang w:val="en-GB"/>
        </w:rPr>
      </w:pPr>
      <w:bookmarkStart w:id="236" w:name="_Toc68078525"/>
      <w:bookmarkStart w:id="237" w:name="_Toc68180790"/>
      <w:r w:rsidRPr="005A1C76">
        <w:rPr>
          <w:rFonts w:eastAsia="Calibri" w:cs="Calibri"/>
          <w:bCs/>
          <w:iCs/>
          <w:lang w:val="en-GB"/>
        </w:rPr>
        <w:t>Procjena dostignutog nivoa GES</w:t>
      </w:r>
      <w:r w:rsidR="00D5162D">
        <w:rPr>
          <w:rFonts w:eastAsia="Calibri" w:cs="Calibri"/>
          <w:bCs/>
          <w:iCs/>
          <w:lang w:val="en-GB"/>
        </w:rPr>
        <w:t>-a</w:t>
      </w:r>
      <w:r w:rsidRPr="005A1C76">
        <w:rPr>
          <w:rFonts w:eastAsia="Calibri" w:cs="Calibri"/>
          <w:bCs/>
          <w:iCs/>
          <w:lang w:val="en-GB"/>
        </w:rPr>
        <w:t xml:space="preserve"> za </w:t>
      </w:r>
      <w:r w:rsidR="00D5162D">
        <w:rPr>
          <w:rFonts w:eastAsia="Calibri" w:cs="Calibri"/>
          <w:bCs/>
          <w:iCs/>
          <w:lang w:val="en-GB"/>
        </w:rPr>
        <w:t>hranu iz mora</w:t>
      </w:r>
      <w:r w:rsidRPr="005A1C76">
        <w:rPr>
          <w:rFonts w:eastAsia="Calibri" w:cs="Calibri"/>
          <w:bCs/>
          <w:iCs/>
          <w:lang w:val="en-GB"/>
        </w:rPr>
        <w:t xml:space="preserve"> izvršena je primenom kriterijuma propisanih Uredbom o maksimalno dozvoljenim količinama kontaminanta u hrani („Službeni list CG“, br. 48/16, 066/19), a koja je usklađena sa EU zakonodavstvom, Commission Regulation (EC) No. 1881/2006, o utvrđivanju maksimalnih nivoa određenih kontaminanta u hrani.</w:t>
      </w:r>
    </w:p>
    <w:p w14:paraId="1CA422D3" w14:textId="77777777" w:rsidR="00965760" w:rsidRPr="005A1C76" w:rsidRDefault="00965760" w:rsidP="00DA6B61">
      <w:pPr>
        <w:spacing w:after="0"/>
        <w:rPr>
          <w:rFonts w:eastAsia="Calibri" w:cs="Calibri"/>
          <w:bCs/>
          <w:iCs/>
          <w:lang w:val="en-GB"/>
        </w:rPr>
      </w:pPr>
    </w:p>
    <w:p w14:paraId="146E3BBE" w14:textId="459CAB6F" w:rsidR="00DA6B61" w:rsidRPr="00D5162D" w:rsidRDefault="00DA6B61" w:rsidP="00DA6B61">
      <w:pPr>
        <w:pStyle w:val="Heading3"/>
        <w:rPr>
          <w:color w:val="365F91"/>
          <w:lang w:val="en-GB"/>
        </w:rPr>
      </w:pPr>
      <w:bookmarkStart w:id="238" w:name="_Toc83630945"/>
      <w:bookmarkStart w:id="239" w:name="_Toc69678395"/>
      <w:bookmarkEnd w:id="236"/>
      <w:bookmarkEnd w:id="237"/>
      <w:r w:rsidRPr="00DA6B61">
        <w:rPr>
          <w:color w:val="365F91"/>
          <w:lang w:val="en-GB"/>
        </w:rPr>
        <w:t>Rezime stanja</w:t>
      </w:r>
      <w:r w:rsidR="00ED0415">
        <w:rPr>
          <w:color w:val="365F91"/>
          <w:lang w:val="en-GB"/>
        </w:rPr>
        <w:t xml:space="preserve"> D9 na osnovu P</w:t>
      </w:r>
      <w:r w:rsidRPr="00DA6B61">
        <w:rPr>
          <w:color w:val="365F91"/>
          <w:lang w:val="en-GB"/>
        </w:rPr>
        <w:t>očetne procjene</w:t>
      </w:r>
      <w:bookmarkEnd w:id="238"/>
      <w:r w:rsidRPr="00DA6B61">
        <w:rPr>
          <w:color w:val="365F91"/>
          <w:lang w:val="en-GB"/>
        </w:rPr>
        <w:t xml:space="preserve"> </w:t>
      </w:r>
      <w:bookmarkEnd w:id="239"/>
    </w:p>
    <w:p w14:paraId="51759DF2" w14:textId="24DE4BB1" w:rsidR="00DA6B61" w:rsidRPr="005A1C76" w:rsidRDefault="00DA6B61" w:rsidP="00DA6B61">
      <w:pPr>
        <w:widowControl w:val="0"/>
        <w:tabs>
          <w:tab w:val="left" w:pos="449"/>
        </w:tabs>
        <w:autoSpaceDE w:val="0"/>
        <w:autoSpaceDN w:val="0"/>
        <w:spacing w:after="0"/>
        <w:rPr>
          <w:rFonts w:eastAsia="Calibri" w:cs="Calibri"/>
          <w:lang w:val="en-GB"/>
        </w:rPr>
      </w:pPr>
      <w:r w:rsidRPr="005A1C76">
        <w:rPr>
          <w:rFonts w:eastAsia="Calibri" w:cs="Calibri"/>
          <w:lang w:val="en-GB"/>
        </w:rPr>
        <w:t>Procjena GES-a za kontaminante (teški metali i PAH) u morsk</w:t>
      </w:r>
      <w:r w:rsidR="00312B76">
        <w:rPr>
          <w:rFonts w:eastAsia="Calibri" w:cs="Calibri"/>
          <w:lang w:val="en-GB"/>
        </w:rPr>
        <w:t xml:space="preserve">oj hrani </w:t>
      </w:r>
      <w:r w:rsidRPr="005A1C76">
        <w:rPr>
          <w:rFonts w:eastAsia="Calibri" w:cs="Calibri"/>
          <w:lang w:val="en-GB"/>
        </w:rPr>
        <w:t xml:space="preserve">izvršena je upoređivanjem relevantnih kriterijuma datih Uredbom („Službeni list Crne Gore“, br. 48/16, 066/19) sa izmjerenim vrijednostima teških metala i PAH-ova u okviru monitoring programa za kontrolu kontaminanta u morskim </w:t>
      </w:r>
      <w:r w:rsidR="00312B76">
        <w:rPr>
          <w:rFonts w:eastAsia="Calibri" w:cs="Calibri"/>
          <w:lang w:val="en-GB"/>
        </w:rPr>
        <w:t xml:space="preserve">organizmima </w:t>
      </w:r>
      <w:r w:rsidRPr="005A1C76">
        <w:rPr>
          <w:rFonts w:eastAsia="Calibri" w:cs="Calibri"/>
          <w:lang w:val="en-GB"/>
        </w:rPr>
        <w:t xml:space="preserve">za ljudsku </w:t>
      </w:r>
      <w:r w:rsidR="00312B76">
        <w:rPr>
          <w:rFonts w:eastAsia="Calibri" w:cs="Calibri"/>
          <w:lang w:val="en-GB"/>
        </w:rPr>
        <w:t>ishranu</w:t>
      </w:r>
      <w:r w:rsidRPr="005A1C76">
        <w:rPr>
          <w:rFonts w:eastAsia="Calibri" w:cs="Calibri"/>
          <w:lang w:val="en-GB"/>
        </w:rPr>
        <w:t xml:space="preserve"> u Crnoj Gori.</w:t>
      </w:r>
    </w:p>
    <w:p w14:paraId="2839209C" w14:textId="2F12198D" w:rsidR="00DA6B61" w:rsidRPr="005A1C76" w:rsidRDefault="00DA6B61" w:rsidP="00DA6B61">
      <w:pPr>
        <w:widowControl w:val="0"/>
        <w:tabs>
          <w:tab w:val="left" w:pos="449"/>
        </w:tabs>
        <w:autoSpaceDE w:val="0"/>
        <w:autoSpaceDN w:val="0"/>
        <w:spacing w:after="0"/>
        <w:rPr>
          <w:rFonts w:eastAsia="Calibri" w:cs="Calibri"/>
          <w:lang w:val="en-GB"/>
        </w:rPr>
      </w:pPr>
      <w:r w:rsidRPr="005A1C76">
        <w:rPr>
          <w:rFonts w:eastAsia="Calibri" w:cs="Calibri"/>
          <w:lang w:val="en-GB"/>
        </w:rPr>
        <w:t xml:space="preserve">Program kontrole kontaminanta u morskim </w:t>
      </w:r>
      <w:r w:rsidR="00312B76">
        <w:rPr>
          <w:rFonts w:eastAsia="Calibri" w:cs="Calibri"/>
          <w:lang w:val="en-GB"/>
        </w:rPr>
        <w:t xml:space="preserve">organizmima </w:t>
      </w:r>
      <w:r w:rsidRPr="005A1C76">
        <w:rPr>
          <w:rFonts w:eastAsia="Calibri" w:cs="Calibri"/>
          <w:lang w:val="en-GB"/>
        </w:rPr>
        <w:t xml:space="preserve">za ljudsku </w:t>
      </w:r>
      <w:r w:rsidR="00312B76">
        <w:rPr>
          <w:rFonts w:eastAsia="Calibri" w:cs="Calibri"/>
          <w:lang w:val="en-GB"/>
        </w:rPr>
        <w:t>ishranu</w:t>
      </w:r>
      <w:r w:rsidRPr="005A1C76">
        <w:rPr>
          <w:rFonts w:eastAsia="Calibri" w:cs="Calibri"/>
          <w:lang w:val="en-GB"/>
        </w:rPr>
        <w:t xml:space="preserve"> u Crnoj Gori realizuje se kroz monitoring program za kontrolu biotoksina i hemijskih kontaminanta (teški metali i PAH) u školjkama (Mitilus galloprovincialis), koje se nalaze na proizvodnim područjima za uzgoj školjki u Bokokotorskom zalivu.</w:t>
      </w:r>
    </w:p>
    <w:p w14:paraId="32A4D664" w14:textId="77777777" w:rsidR="00DA6B61" w:rsidRPr="005A1C76" w:rsidRDefault="00DA6B61" w:rsidP="00DA6B61">
      <w:pPr>
        <w:adjustRightInd w:val="0"/>
        <w:rPr>
          <w:rFonts w:eastAsia="Calibri" w:cs="Calibri"/>
          <w:lang w:val="en-GB"/>
        </w:rPr>
      </w:pPr>
      <w:r w:rsidRPr="005A1C76">
        <w:rPr>
          <w:rFonts w:eastAsia="Calibri" w:cs="Calibri"/>
          <w:lang w:val="en-GB"/>
        </w:rPr>
        <w:t xml:space="preserve">Ispitivanje kontaminanta (PAH i metala) u školjkama, koje se nalaze na lokacijama smeštenim na proizvodnim područjima za uzgoj školjki, sprovodi se od kraja 2014. do aprila 2020. godine na šest različitih lokacija, dva puta godišnje. Od maja 2020. ispitivanje se redovno sprovodi na četiri lokacije (Dražin vrt, Lipci, Kalardovo i Sveta Neđelja). Na slici 2.29. </w:t>
      </w:r>
      <w:r w:rsidRPr="005A1C76">
        <w:rPr>
          <w:rFonts w:cs="Calibri"/>
        </w:rPr>
        <w:t xml:space="preserve">prikazane su sve dosadašnje lokacije uzorkovanja školjki na </w:t>
      </w:r>
      <w:r w:rsidRPr="005A1C76">
        <w:rPr>
          <w:rFonts w:cs="Calibri"/>
          <w:lang w:val="sl-SI"/>
        </w:rPr>
        <w:t xml:space="preserve">proizvodnim područjima za uzgoj školjki. </w:t>
      </w:r>
    </w:p>
    <w:p w14:paraId="78C18C5F" w14:textId="77777777" w:rsidR="00DA6B61" w:rsidRPr="005A1C76" w:rsidRDefault="00DA6B61" w:rsidP="00DA6B61">
      <w:pPr>
        <w:spacing w:after="0"/>
        <w:rPr>
          <w:rFonts w:eastAsia="Calibri" w:cs="Calibri"/>
          <w:lang w:val="en-GB"/>
        </w:rPr>
      </w:pPr>
    </w:p>
    <w:p w14:paraId="328D4472" w14:textId="77777777" w:rsidR="00DA6B61" w:rsidRPr="005A1C76" w:rsidRDefault="00DA6B61" w:rsidP="00DA6B61">
      <w:pPr>
        <w:keepNext/>
        <w:spacing w:after="0" w:line="240" w:lineRule="auto"/>
        <w:rPr>
          <w:rFonts w:eastAsia="Calibri"/>
          <w:lang w:val="en-GB"/>
        </w:rPr>
      </w:pPr>
      <w:bookmarkStart w:id="240" w:name="_Toc68078526"/>
      <w:bookmarkStart w:id="241" w:name="_Toc68180791"/>
    </w:p>
    <w:p w14:paraId="7087916B" w14:textId="77777777" w:rsidR="00DA6B61" w:rsidRPr="005A1C76" w:rsidRDefault="00DA6B61" w:rsidP="00DA6B61">
      <w:pPr>
        <w:spacing w:after="0" w:line="240" w:lineRule="auto"/>
        <w:jc w:val="center"/>
        <w:rPr>
          <w:rFonts w:eastAsia="Calibri"/>
          <w:b/>
          <w:iCs/>
          <w:sz w:val="20"/>
          <w:szCs w:val="20"/>
          <w:lang w:val="en-GB"/>
        </w:rPr>
      </w:pPr>
      <w:r w:rsidRPr="005A1C76">
        <w:rPr>
          <w:noProof/>
          <w:lang w:eastAsia="en-US"/>
        </w:rPr>
        <w:drawing>
          <wp:inline distT="0" distB="0" distL="0" distR="0" wp14:anchorId="00840B52" wp14:editId="64B2F093">
            <wp:extent cx="5189302" cy="358902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231604" cy="3618277"/>
                    </a:xfrm>
                    <a:prstGeom prst="rect">
                      <a:avLst/>
                    </a:prstGeom>
                    <a:noFill/>
                    <a:ln>
                      <a:noFill/>
                    </a:ln>
                  </pic:spPr>
                </pic:pic>
              </a:graphicData>
            </a:graphic>
          </wp:inline>
        </w:drawing>
      </w:r>
    </w:p>
    <w:p w14:paraId="50D48D86" w14:textId="77777777" w:rsidR="000413B6" w:rsidRPr="006A7CA8" w:rsidRDefault="000413B6" w:rsidP="000413B6">
      <w:pPr>
        <w:spacing w:after="0" w:line="240" w:lineRule="auto"/>
        <w:jc w:val="center"/>
        <w:rPr>
          <w:rFonts w:eastAsia="Calibri" w:cs="Calibri"/>
          <w:b/>
          <w:iCs/>
          <w:lang w:val="en-GB"/>
        </w:rPr>
      </w:pPr>
      <w:bookmarkStart w:id="242" w:name="_Toc83636920"/>
      <w:bookmarkStart w:id="243" w:name="_Toc69678478"/>
      <w:r w:rsidRPr="005A1C76">
        <w:rPr>
          <w:rFonts w:eastAsia="Calibri"/>
          <w:b/>
          <w:iCs/>
          <w:lang w:val="en-GB"/>
        </w:rPr>
        <w:t xml:space="preserve">Slika </w:t>
      </w:r>
      <w:r w:rsidRPr="005A1C76">
        <w:rPr>
          <w:rFonts w:eastAsia="Calibri" w:cs="Calibri"/>
          <w:b/>
          <w:iCs/>
          <w:lang w:val="en-GB"/>
        </w:rPr>
        <w:fldChar w:fldCharType="begin"/>
      </w:r>
      <w:r w:rsidRPr="005A1C76">
        <w:rPr>
          <w:rFonts w:eastAsia="Calibri" w:cs="Calibri"/>
          <w:b/>
          <w:iCs/>
          <w:lang w:val="en-GB"/>
        </w:rPr>
        <w:instrText xml:space="preserve"> STYLEREF 1 \s </w:instrText>
      </w:r>
      <w:r w:rsidRPr="005A1C76">
        <w:rPr>
          <w:rFonts w:eastAsia="Calibri" w:cs="Calibri"/>
          <w:b/>
          <w:iCs/>
          <w:lang w:val="en-GB"/>
        </w:rPr>
        <w:fldChar w:fldCharType="separate"/>
      </w:r>
      <w:r w:rsidR="000D1E20">
        <w:rPr>
          <w:rFonts w:eastAsia="Calibri" w:cs="Calibri"/>
          <w:b/>
          <w:iCs/>
          <w:noProof/>
          <w:lang w:val="en-GB"/>
        </w:rPr>
        <w:t>2</w:t>
      </w:r>
      <w:r w:rsidRPr="005A1C76">
        <w:rPr>
          <w:rFonts w:eastAsia="Calibri" w:cs="Calibri"/>
          <w:b/>
          <w:iCs/>
          <w:lang w:val="en-GB"/>
        </w:rPr>
        <w:fldChar w:fldCharType="end"/>
      </w:r>
      <w:r w:rsidRPr="005A1C76">
        <w:rPr>
          <w:rFonts w:eastAsia="Calibri" w:cs="Calibri"/>
          <w:b/>
          <w:iCs/>
          <w:lang w:val="en-GB"/>
        </w:rPr>
        <w:t>.</w:t>
      </w:r>
      <w:r w:rsidRPr="005A1C76">
        <w:rPr>
          <w:rFonts w:eastAsia="Calibri" w:cs="Calibri"/>
          <w:b/>
          <w:iCs/>
          <w:lang w:val="en-GB"/>
        </w:rPr>
        <w:fldChar w:fldCharType="begin"/>
      </w:r>
      <w:r w:rsidRPr="005A1C76">
        <w:rPr>
          <w:rFonts w:eastAsia="Calibri" w:cs="Calibri"/>
          <w:b/>
          <w:iCs/>
          <w:lang w:val="en-GB"/>
        </w:rPr>
        <w:instrText xml:space="preserve"> SEQ Figure \* ARABIC \s 1 </w:instrText>
      </w:r>
      <w:r w:rsidRPr="005A1C76">
        <w:rPr>
          <w:rFonts w:eastAsia="Calibri" w:cs="Calibri"/>
          <w:b/>
          <w:iCs/>
          <w:lang w:val="en-GB"/>
        </w:rPr>
        <w:fldChar w:fldCharType="separate"/>
      </w:r>
      <w:r w:rsidR="000D1E20">
        <w:rPr>
          <w:rFonts w:eastAsia="Calibri" w:cs="Calibri"/>
          <w:b/>
          <w:iCs/>
          <w:noProof/>
          <w:lang w:val="en-GB"/>
        </w:rPr>
        <w:t>25</w:t>
      </w:r>
      <w:r w:rsidRPr="005A1C76">
        <w:rPr>
          <w:rFonts w:eastAsia="Calibri" w:cs="Calibri"/>
          <w:b/>
          <w:iCs/>
          <w:lang w:val="en-GB"/>
        </w:rPr>
        <w:fldChar w:fldCharType="end"/>
      </w:r>
      <w:r w:rsidRPr="006A7CA8">
        <w:rPr>
          <w:b/>
        </w:rPr>
        <w:t>.</w:t>
      </w:r>
      <w:r w:rsidRPr="006A7CA8">
        <w:rPr>
          <w:rFonts w:eastAsia="Calibri" w:cs="Calibri"/>
          <w:b/>
          <w:lang w:val="en-GB"/>
        </w:rPr>
        <w:t xml:space="preserve">  Mapa lokacija uzorkovanja školjki na proizvodnim područjima za uzgoj školjki</w:t>
      </w:r>
      <w:bookmarkEnd w:id="242"/>
      <w:r w:rsidRPr="006A7CA8">
        <w:rPr>
          <w:rFonts w:eastAsia="Calibri" w:cs="Calibri"/>
          <w:b/>
          <w:lang w:val="en-GB"/>
        </w:rPr>
        <w:t xml:space="preserve"> </w:t>
      </w:r>
      <w:bookmarkEnd w:id="243"/>
    </w:p>
    <w:p w14:paraId="1BE2A511" w14:textId="77777777" w:rsidR="00DA6B61" w:rsidRPr="005A1C76" w:rsidRDefault="00DA6B61" w:rsidP="00DA6B61">
      <w:pPr>
        <w:rPr>
          <w:rFonts w:eastAsia="Calibri"/>
          <w:b/>
          <w:sz w:val="20"/>
          <w:szCs w:val="20"/>
          <w:lang w:val="en-GB"/>
        </w:rPr>
      </w:pPr>
    </w:p>
    <w:p w14:paraId="60E345EE" w14:textId="77777777" w:rsidR="00DA6B61" w:rsidRPr="005A1C76" w:rsidRDefault="00DA6B61" w:rsidP="00DA6B61">
      <w:pPr>
        <w:rPr>
          <w:rFonts w:eastAsia="Calibri"/>
          <w:b/>
          <w:lang w:val="en-GB"/>
        </w:rPr>
      </w:pPr>
      <w:r w:rsidRPr="005A1C76">
        <w:rPr>
          <w:rFonts w:eastAsia="Calibri"/>
          <w:b/>
          <w:lang w:val="en-GB"/>
        </w:rPr>
        <w:t>Metali i PAH-ovi u školjkama</w:t>
      </w:r>
    </w:p>
    <w:p w14:paraId="09FEA39D" w14:textId="77777777" w:rsidR="00DA6B61" w:rsidRPr="005A1C76" w:rsidRDefault="00DA6B61" w:rsidP="00DA6B61">
      <w:pPr>
        <w:rPr>
          <w:rFonts w:eastAsia="Calibri" w:cs="Calibri"/>
          <w:lang w:val="en-GB"/>
        </w:rPr>
      </w:pPr>
      <w:r w:rsidRPr="005A1C76">
        <w:rPr>
          <w:rFonts w:eastAsia="Calibri" w:cs="Calibri"/>
          <w:lang w:val="en-GB"/>
        </w:rPr>
        <w:t>Masne koncentracije teških metala i PAH-ova u školjkama tokom perioda istraživanja na svim lokacijama i njihove odgovarajuće ML (maksimalno dozvoljena koncentracija propisana Uredbom) date su na slikama 2.30 - 2.35.</w:t>
      </w:r>
    </w:p>
    <w:tbl>
      <w:tblPr>
        <w:tblStyle w:val="GolderTable6"/>
        <w:tblW w:w="10602" w:type="dxa"/>
        <w:tblInd w:w="-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01"/>
        <w:gridCol w:w="5301"/>
      </w:tblGrid>
      <w:tr w:rsidR="00DA6B61" w:rsidRPr="005A1C76" w14:paraId="0DCE06AC" w14:textId="77777777" w:rsidTr="00DA6B61">
        <w:trPr>
          <w:trHeight w:hRule="exact" w:val="3358"/>
        </w:trPr>
        <w:tc>
          <w:tcPr>
            <w:tcW w:w="5301" w:type="dxa"/>
          </w:tcPr>
          <w:p w14:paraId="315EDD0A" w14:textId="77777777" w:rsidR="00DA6B61" w:rsidRPr="005A1C76" w:rsidRDefault="00DA6B61" w:rsidP="00DA6B61">
            <w:pPr>
              <w:rPr>
                <w:sz w:val="20"/>
                <w:szCs w:val="20"/>
                <w:lang w:val="en-GB"/>
              </w:rPr>
            </w:pPr>
            <w:r w:rsidRPr="005A1C76">
              <w:rPr>
                <w:noProof/>
                <w:sz w:val="20"/>
                <w:szCs w:val="20"/>
                <w:lang w:eastAsia="en-US"/>
              </w:rPr>
              <w:drawing>
                <wp:anchor distT="0" distB="0" distL="114300" distR="114300" simplePos="0" relativeHeight="251822080" behindDoc="0" locked="0" layoutInCell="1" allowOverlap="1" wp14:anchorId="3FC4228D" wp14:editId="1488B6E0">
                  <wp:simplePos x="0" y="0"/>
                  <wp:positionH relativeFrom="column">
                    <wp:posOffset>99695</wp:posOffset>
                  </wp:positionH>
                  <wp:positionV relativeFrom="paragraph">
                    <wp:posOffset>0</wp:posOffset>
                  </wp:positionV>
                  <wp:extent cx="3076575" cy="1844040"/>
                  <wp:effectExtent l="0" t="0" r="9525" b="3810"/>
                  <wp:wrapThrough wrapText="bothSides">
                    <wp:wrapPolygon edited="0">
                      <wp:start x="0" y="0"/>
                      <wp:lineTo x="0" y="21421"/>
                      <wp:lineTo x="21533" y="21421"/>
                      <wp:lineTo x="21533" y="0"/>
                      <wp:lineTo x="0" y="0"/>
                    </wp:wrapPolygon>
                  </wp:wrapThrough>
                  <wp:docPr id="94" name="Chart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14:sizeRelH relativeFrom="page">
                    <wp14:pctWidth>0</wp14:pctWidth>
                  </wp14:sizeRelH>
                  <wp14:sizeRelV relativeFrom="page">
                    <wp14:pctHeight>0</wp14:pctHeight>
                  </wp14:sizeRelV>
                </wp:anchor>
              </w:drawing>
            </w:r>
          </w:p>
          <w:p w14:paraId="1F52A46C" w14:textId="77777777" w:rsidR="00DA6B61" w:rsidRPr="005A1C76" w:rsidRDefault="00DA6B61" w:rsidP="00DA6B61">
            <w:pPr>
              <w:keepNext/>
              <w:rPr>
                <w:sz w:val="20"/>
                <w:szCs w:val="20"/>
                <w:lang w:val="en-GB"/>
              </w:rPr>
            </w:pPr>
          </w:p>
          <w:p w14:paraId="407A8A44" w14:textId="77777777" w:rsidR="00DA6B61" w:rsidRPr="005A1C76" w:rsidRDefault="00DA6B61" w:rsidP="00DA6B61">
            <w:pPr>
              <w:rPr>
                <w:sz w:val="20"/>
                <w:szCs w:val="20"/>
                <w:lang w:val="en-GB"/>
              </w:rPr>
            </w:pPr>
          </w:p>
        </w:tc>
        <w:tc>
          <w:tcPr>
            <w:tcW w:w="5301" w:type="dxa"/>
          </w:tcPr>
          <w:p w14:paraId="38173409" w14:textId="77777777" w:rsidR="00DA6B61" w:rsidRPr="005A1C76" w:rsidRDefault="00DA6B61" w:rsidP="00DA6B61">
            <w:pPr>
              <w:rPr>
                <w:sz w:val="20"/>
                <w:szCs w:val="20"/>
                <w:lang w:val="en-GB"/>
              </w:rPr>
            </w:pPr>
            <w:r w:rsidRPr="005A1C76">
              <w:rPr>
                <w:noProof/>
                <w:sz w:val="20"/>
                <w:szCs w:val="20"/>
                <w:lang w:eastAsia="en-US"/>
              </w:rPr>
              <w:drawing>
                <wp:inline distT="0" distB="0" distL="0" distR="0" wp14:anchorId="3E043583" wp14:editId="71DB06C7">
                  <wp:extent cx="3019425" cy="1857375"/>
                  <wp:effectExtent l="0" t="0" r="9525" b="9525"/>
                  <wp:docPr id="95" name="Chart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6D34153C" w14:textId="77777777" w:rsidR="00DA6B61" w:rsidRPr="005A1C76" w:rsidRDefault="00DA6B61" w:rsidP="00DA6B61">
            <w:pPr>
              <w:keepNext/>
              <w:rPr>
                <w:sz w:val="20"/>
                <w:szCs w:val="20"/>
                <w:lang w:val="en-GB"/>
              </w:rPr>
            </w:pPr>
          </w:p>
          <w:p w14:paraId="021F8215" w14:textId="77777777" w:rsidR="00DA6B61" w:rsidRPr="005A1C76" w:rsidRDefault="00DA6B61" w:rsidP="00DA6B61">
            <w:pPr>
              <w:rPr>
                <w:i/>
                <w:iCs/>
                <w:color w:val="44546A"/>
                <w:sz w:val="20"/>
                <w:szCs w:val="20"/>
                <w:lang w:val="en-GB"/>
              </w:rPr>
            </w:pPr>
          </w:p>
        </w:tc>
      </w:tr>
      <w:tr w:rsidR="00DA6B61" w:rsidRPr="005A1C76" w14:paraId="7D5829C3" w14:textId="77777777" w:rsidTr="000413B6">
        <w:trPr>
          <w:trHeight w:hRule="exact" w:val="856"/>
        </w:trPr>
        <w:tc>
          <w:tcPr>
            <w:tcW w:w="5301" w:type="dxa"/>
          </w:tcPr>
          <w:p w14:paraId="33E299F4" w14:textId="1AE7E003" w:rsidR="00DA6B61" w:rsidRPr="005A1C76" w:rsidRDefault="000413B6" w:rsidP="00DA6B61">
            <w:pPr>
              <w:jc w:val="center"/>
              <w:rPr>
                <w:b/>
                <w:iCs/>
                <w:lang w:val="en-GB"/>
              </w:rPr>
            </w:pPr>
            <w:bookmarkStart w:id="244" w:name="_Toc69678479"/>
            <w:bookmarkStart w:id="245" w:name="_Toc83636921"/>
            <w:r w:rsidRPr="005A1C76">
              <w:rPr>
                <w:b/>
                <w:lang w:val="en-GB"/>
              </w:rPr>
              <w:t xml:space="preserve">Slika </w:t>
            </w:r>
            <w:r w:rsidRPr="005A1C76">
              <w:rPr>
                <w:rFonts w:cs="Calibri"/>
                <w:b/>
                <w:iCs/>
                <w:lang w:val="en-GB"/>
              </w:rPr>
              <w:fldChar w:fldCharType="begin"/>
            </w:r>
            <w:r w:rsidRPr="005A1C76">
              <w:rPr>
                <w:rFonts w:cs="Calibri"/>
                <w:b/>
                <w:iCs/>
                <w:lang w:val="en-GB"/>
              </w:rPr>
              <w:instrText xml:space="preserve"> STYLEREF 1 \s </w:instrText>
            </w:r>
            <w:r w:rsidRPr="005A1C76">
              <w:rPr>
                <w:rFonts w:cs="Calibri"/>
                <w:b/>
                <w:iCs/>
                <w:lang w:val="en-GB"/>
              </w:rPr>
              <w:fldChar w:fldCharType="separate"/>
            </w:r>
            <w:r w:rsidR="000D1E20">
              <w:rPr>
                <w:rFonts w:cs="Calibri"/>
                <w:b/>
                <w:iCs/>
                <w:noProof/>
                <w:lang w:val="en-GB"/>
              </w:rPr>
              <w:t>2</w:t>
            </w:r>
            <w:r w:rsidRPr="005A1C76">
              <w:rPr>
                <w:rFonts w:cs="Calibri"/>
                <w:b/>
                <w:iCs/>
                <w:lang w:val="en-GB"/>
              </w:rPr>
              <w:fldChar w:fldCharType="end"/>
            </w:r>
            <w:r w:rsidRPr="005A1C76">
              <w:rPr>
                <w:rFonts w:cs="Calibri"/>
                <w:b/>
                <w:iCs/>
                <w:lang w:val="en-GB"/>
              </w:rPr>
              <w:t>.</w:t>
            </w:r>
            <w:r w:rsidRPr="005A1C76">
              <w:rPr>
                <w:rFonts w:cs="Calibri"/>
                <w:b/>
                <w:iCs/>
                <w:lang w:val="en-GB"/>
              </w:rPr>
              <w:fldChar w:fldCharType="begin"/>
            </w:r>
            <w:r w:rsidRPr="005A1C76">
              <w:rPr>
                <w:rFonts w:cs="Calibri"/>
                <w:b/>
                <w:iCs/>
                <w:lang w:val="en-GB"/>
              </w:rPr>
              <w:instrText xml:space="preserve"> SEQ Figure \* ARABIC \s 1 </w:instrText>
            </w:r>
            <w:r w:rsidRPr="005A1C76">
              <w:rPr>
                <w:rFonts w:cs="Calibri"/>
                <w:b/>
                <w:iCs/>
                <w:lang w:val="en-GB"/>
              </w:rPr>
              <w:fldChar w:fldCharType="separate"/>
            </w:r>
            <w:r w:rsidR="000D1E20">
              <w:rPr>
                <w:rFonts w:cs="Calibri"/>
                <w:b/>
                <w:iCs/>
                <w:noProof/>
                <w:lang w:val="en-GB"/>
              </w:rPr>
              <w:t>26</w:t>
            </w:r>
            <w:r w:rsidRPr="005A1C76">
              <w:rPr>
                <w:rFonts w:cs="Calibri"/>
                <w:b/>
                <w:iCs/>
                <w:lang w:val="en-GB"/>
              </w:rPr>
              <w:fldChar w:fldCharType="end"/>
            </w:r>
            <w:r w:rsidRPr="005A1C76">
              <w:t>.</w:t>
            </w:r>
            <w:r w:rsidRPr="005A1C76">
              <w:rPr>
                <w:rFonts w:cs="Calibri"/>
                <w:lang w:val="en-GB"/>
              </w:rPr>
              <w:t xml:space="preserve">  </w:t>
            </w:r>
            <w:r w:rsidRPr="005A1C76">
              <w:rPr>
                <w:b/>
                <w:lang w:val="en-GB"/>
              </w:rPr>
              <w:t>Masena koncentracija Pb u školjkama po lokacijama uzorkovanja u odnosu na odgovarajući ML</w:t>
            </w:r>
            <w:bookmarkEnd w:id="244"/>
            <w:bookmarkEnd w:id="245"/>
          </w:p>
        </w:tc>
        <w:tc>
          <w:tcPr>
            <w:tcW w:w="5301" w:type="dxa"/>
          </w:tcPr>
          <w:p w14:paraId="1738E93B" w14:textId="6E248D9B" w:rsidR="00DA6B61" w:rsidRPr="005A1C76" w:rsidRDefault="000413B6" w:rsidP="00DA6B61">
            <w:pPr>
              <w:rPr>
                <w:b/>
                <w:iCs/>
                <w:lang w:val="en-GB"/>
              </w:rPr>
            </w:pPr>
            <w:bookmarkStart w:id="246" w:name="_Toc69678480"/>
            <w:bookmarkStart w:id="247" w:name="_Toc83636922"/>
            <w:r w:rsidRPr="005A1C76">
              <w:rPr>
                <w:b/>
                <w:iCs/>
                <w:lang w:val="en-GB"/>
              </w:rPr>
              <w:t xml:space="preserve">Slika </w:t>
            </w:r>
            <w:r w:rsidRPr="005A1C76">
              <w:rPr>
                <w:rFonts w:cs="Calibri"/>
                <w:b/>
                <w:iCs/>
                <w:lang w:val="en-GB"/>
              </w:rPr>
              <w:fldChar w:fldCharType="begin"/>
            </w:r>
            <w:r w:rsidRPr="005A1C76">
              <w:rPr>
                <w:rFonts w:cs="Calibri"/>
                <w:b/>
                <w:iCs/>
                <w:lang w:val="en-GB"/>
              </w:rPr>
              <w:instrText xml:space="preserve"> STYLEREF 1 \s </w:instrText>
            </w:r>
            <w:r w:rsidRPr="005A1C76">
              <w:rPr>
                <w:rFonts w:cs="Calibri"/>
                <w:b/>
                <w:iCs/>
                <w:lang w:val="en-GB"/>
              </w:rPr>
              <w:fldChar w:fldCharType="separate"/>
            </w:r>
            <w:r w:rsidR="000D1E20">
              <w:rPr>
                <w:rFonts w:cs="Calibri"/>
                <w:b/>
                <w:iCs/>
                <w:noProof/>
                <w:lang w:val="en-GB"/>
              </w:rPr>
              <w:t>2</w:t>
            </w:r>
            <w:r w:rsidRPr="005A1C76">
              <w:rPr>
                <w:rFonts w:cs="Calibri"/>
                <w:b/>
                <w:iCs/>
                <w:lang w:val="en-GB"/>
              </w:rPr>
              <w:fldChar w:fldCharType="end"/>
            </w:r>
            <w:r w:rsidRPr="005A1C76">
              <w:rPr>
                <w:rFonts w:cs="Calibri"/>
                <w:b/>
                <w:iCs/>
                <w:lang w:val="en-GB"/>
              </w:rPr>
              <w:t>.</w:t>
            </w:r>
            <w:r w:rsidRPr="005A1C76">
              <w:rPr>
                <w:rFonts w:cs="Calibri"/>
                <w:b/>
                <w:iCs/>
                <w:lang w:val="en-GB"/>
              </w:rPr>
              <w:fldChar w:fldCharType="begin"/>
            </w:r>
            <w:r w:rsidRPr="005A1C76">
              <w:rPr>
                <w:rFonts w:cs="Calibri"/>
                <w:b/>
                <w:iCs/>
                <w:lang w:val="en-GB"/>
              </w:rPr>
              <w:instrText xml:space="preserve"> SEQ Figure \* ARABIC \s 1 </w:instrText>
            </w:r>
            <w:r w:rsidRPr="005A1C76">
              <w:rPr>
                <w:rFonts w:cs="Calibri"/>
                <w:b/>
                <w:iCs/>
                <w:lang w:val="en-GB"/>
              </w:rPr>
              <w:fldChar w:fldCharType="separate"/>
            </w:r>
            <w:r w:rsidR="000D1E20">
              <w:rPr>
                <w:rFonts w:cs="Calibri"/>
                <w:b/>
                <w:iCs/>
                <w:noProof/>
                <w:lang w:val="en-GB"/>
              </w:rPr>
              <w:t>27</w:t>
            </w:r>
            <w:r w:rsidRPr="005A1C76">
              <w:rPr>
                <w:rFonts w:cs="Calibri"/>
                <w:b/>
                <w:iCs/>
                <w:lang w:val="en-GB"/>
              </w:rPr>
              <w:fldChar w:fldCharType="end"/>
            </w:r>
            <w:r w:rsidRPr="005A1C76">
              <w:t>.</w:t>
            </w:r>
            <w:r w:rsidRPr="005A1C76">
              <w:rPr>
                <w:rFonts w:cs="Calibri"/>
                <w:lang w:val="en-GB"/>
              </w:rPr>
              <w:t xml:space="preserve">  </w:t>
            </w:r>
            <w:r w:rsidRPr="005A1C76">
              <w:rPr>
                <w:b/>
                <w:lang w:val="en-GB"/>
              </w:rPr>
              <w:t>Masena koncentracija Cd u školjkama po lokacijama uzorkovanja u odnosu na odgovarajući</w:t>
            </w:r>
            <w:bookmarkEnd w:id="246"/>
            <w:r w:rsidRPr="005A1C76">
              <w:rPr>
                <w:b/>
                <w:lang w:val="en-GB"/>
              </w:rPr>
              <w:t xml:space="preserve"> ML</w:t>
            </w:r>
            <w:bookmarkEnd w:id="247"/>
          </w:p>
        </w:tc>
      </w:tr>
    </w:tbl>
    <w:p w14:paraId="3A4719EC" w14:textId="77777777" w:rsidR="00DA6B61" w:rsidRPr="005A1C76" w:rsidRDefault="00DA6B61" w:rsidP="00DA6B61">
      <w:pPr>
        <w:spacing w:after="0"/>
        <w:rPr>
          <w:rFonts w:eastAsia="Calibri"/>
          <w:lang w:val="en-GB"/>
        </w:rPr>
      </w:pPr>
      <w:r w:rsidRPr="005A1C76">
        <w:rPr>
          <w:rFonts w:eastAsia="Calibri"/>
          <w:lang w:val="en-GB"/>
        </w:rPr>
        <w:t>Rezultati analize pokazuju da su masene koncentracije Pb i Cd ispod maksimalno dozvoljenih koncentracija, koje su navedene u Uredbi ("Službeni list Crne Gore", br. 48/16, 066/19) i Commission Regulation (EC) No. 1881/2006.</w:t>
      </w:r>
    </w:p>
    <w:p w14:paraId="54BA44C8" w14:textId="646AF828" w:rsidR="00DA6B61" w:rsidRPr="005A1C76" w:rsidRDefault="00DA6B61" w:rsidP="00DA6B61">
      <w:pPr>
        <w:spacing w:after="0"/>
        <w:rPr>
          <w:rFonts w:eastAsia="Calibri"/>
          <w:lang w:val="en-GB"/>
        </w:rPr>
      </w:pPr>
      <w:r w:rsidRPr="005A1C76">
        <w:rPr>
          <w:rFonts w:eastAsia="Calibri"/>
          <w:lang w:val="en-GB"/>
        </w:rPr>
        <w:t>Trend mas</w:t>
      </w:r>
      <w:r w:rsidR="00312B76">
        <w:rPr>
          <w:rFonts w:eastAsia="Calibri"/>
          <w:lang w:val="en-GB"/>
        </w:rPr>
        <w:t>e</w:t>
      </w:r>
      <w:r w:rsidRPr="005A1C76">
        <w:rPr>
          <w:rFonts w:eastAsia="Calibri"/>
          <w:lang w:val="en-GB"/>
        </w:rPr>
        <w:t>nih koncentracija Pb i Cd u školjkama pokazuje pad tokom perioda istraživanja.</w:t>
      </w:r>
    </w:p>
    <w:tbl>
      <w:tblPr>
        <w:tblStyle w:val="GolderTable6"/>
        <w:tblW w:w="10602" w:type="dxa"/>
        <w:tblInd w:w="-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01"/>
        <w:gridCol w:w="5301"/>
      </w:tblGrid>
      <w:tr w:rsidR="00DA6B61" w:rsidRPr="005A1C76" w14:paraId="6B2E69FE" w14:textId="77777777" w:rsidTr="00DA6B61">
        <w:trPr>
          <w:trHeight w:hRule="exact" w:val="3483"/>
        </w:trPr>
        <w:tc>
          <w:tcPr>
            <w:tcW w:w="5301" w:type="dxa"/>
          </w:tcPr>
          <w:p w14:paraId="3C2CE28A" w14:textId="77777777" w:rsidR="00DA6B61" w:rsidRPr="005A1C76" w:rsidRDefault="00DA6B61" w:rsidP="00DA6B61">
            <w:pPr>
              <w:rPr>
                <w:sz w:val="20"/>
                <w:szCs w:val="20"/>
                <w:lang w:val="en-GB"/>
              </w:rPr>
            </w:pPr>
            <w:r w:rsidRPr="005A1C76">
              <w:rPr>
                <w:noProof/>
                <w:sz w:val="20"/>
                <w:szCs w:val="20"/>
                <w:lang w:eastAsia="en-US"/>
              </w:rPr>
              <w:drawing>
                <wp:anchor distT="0" distB="0" distL="114300" distR="114300" simplePos="0" relativeHeight="251823104" behindDoc="0" locked="0" layoutInCell="1" allowOverlap="1" wp14:anchorId="1CD49994" wp14:editId="7022ED40">
                  <wp:simplePos x="0" y="0"/>
                  <wp:positionH relativeFrom="column">
                    <wp:posOffset>126494</wp:posOffset>
                  </wp:positionH>
                  <wp:positionV relativeFrom="paragraph">
                    <wp:posOffset>253516</wp:posOffset>
                  </wp:positionV>
                  <wp:extent cx="3103245" cy="1882140"/>
                  <wp:effectExtent l="0" t="0" r="1905" b="3810"/>
                  <wp:wrapThrough wrapText="bothSides">
                    <wp:wrapPolygon edited="0">
                      <wp:start x="0" y="0"/>
                      <wp:lineTo x="0" y="21425"/>
                      <wp:lineTo x="21481" y="21425"/>
                      <wp:lineTo x="21481" y="0"/>
                      <wp:lineTo x="0" y="0"/>
                    </wp:wrapPolygon>
                  </wp:wrapThrough>
                  <wp:docPr id="97" name="Chart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14:sizeRelH relativeFrom="page">
                    <wp14:pctWidth>0</wp14:pctWidth>
                  </wp14:sizeRelH>
                  <wp14:sizeRelV relativeFrom="page">
                    <wp14:pctHeight>0</wp14:pctHeight>
                  </wp14:sizeRelV>
                </wp:anchor>
              </w:drawing>
            </w:r>
          </w:p>
          <w:p w14:paraId="20FB9277" w14:textId="77777777" w:rsidR="00DA6B61" w:rsidRPr="005A1C76" w:rsidRDefault="00DA6B61" w:rsidP="00DA6B61">
            <w:pPr>
              <w:keepNext/>
              <w:rPr>
                <w:sz w:val="20"/>
                <w:szCs w:val="20"/>
                <w:lang w:val="en-GB"/>
              </w:rPr>
            </w:pPr>
          </w:p>
          <w:p w14:paraId="6E2E99E6" w14:textId="77777777" w:rsidR="00DA6B61" w:rsidRPr="005A1C76" w:rsidRDefault="00DA6B61" w:rsidP="00DA6B61">
            <w:pPr>
              <w:rPr>
                <w:sz w:val="20"/>
                <w:szCs w:val="20"/>
                <w:lang w:val="en-GB"/>
              </w:rPr>
            </w:pPr>
          </w:p>
          <w:p w14:paraId="0CD2EF04" w14:textId="77777777" w:rsidR="00DA6B61" w:rsidRPr="005A1C76" w:rsidRDefault="00DA6B61" w:rsidP="00DA6B61">
            <w:pPr>
              <w:rPr>
                <w:sz w:val="20"/>
                <w:szCs w:val="20"/>
                <w:lang w:val="en-GB"/>
              </w:rPr>
            </w:pPr>
          </w:p>
        </w:tc>
        <w:tc>
          <w:tcPr>
            <w:tcW w:w="5301" w:type="dxa"/>
          </w:tcPr>
          <w:p w14:paraId="132813A5" w14:textId="77777777" w:rsidR="00DA6B61" w:rsidRPr="005A1C76" w:rsidRDefault="00DA6B61" w:rsidP="00DA6B61">
            <w:pPr>
              <w:rPr>
                <w:sz w:val="20"/>
                <w:szCs w:val="20"/>
                <w:lang w:val="en-GB"/>
              </w:rPr>
            </w:pPr>
          </w:p>
          <w:p w14:paraId="03865459" w14:textId="77777777" w:rsidR="00DA6B61" w:rsidRPr="005A1C76" w:rsidRDefault="00DA6B61" w:rsidP="00DA6B61">
            <w:pPr>
              <w:keepNext/>
              <w:rPr>
                <w:sz w:val="20"/>
                <w:szCs w:val="20"/>
                <w:lang w:val="en-GB"/>
              </w:rPr>
            </w:pPr>
            <w:r w:rsidRPr="005A1C76">
              <w:rPr>
                <w:noProof/>
                <w:sz w:val="20"/>
                <w:szCs w:val="20"/>
                <w:lang w:eastAsia="en-US"/>
              </w:rPr>
              <w:drawing>
                <wp:inline distT="0" distB="0" distL="0" distR="0" wp14:anchorId="660877AA" wp14:editId="6DE39A5C">
                  <wp:extent cx="2886075" cy="1882140"/>
                  <wp:effectExtent l="0" t="0" r="9525" b="3810"/>
                  <wp:docPr id="98" name="Chart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535E7EAC" w14:textId="77777777" w:rsidR="00DA6B61" w:rsidRPr="005A1C76" w:rsidRDefault="00DA6B61" w:rsidP="00DA6B61">
            <w:pPr>
              <w:rPr>
                <w:i/>
                <w:iCs/>
                <w:color w:val="44546A"/>
                <w:sz w:val="20"/>
                <w:szCs w:val="20"/>
                <w:lang w:val="en-GB"/>
              </w:rPr>
            </w:pPr>
          </w:p>
        </w:tc>
      </w:tr>
      <w:tr w:rsidR="00DA6B61" w:rsidRPr="005A1C76" w14:paraId="0A0D4D1B" w14:textId="77777777" w:rsidTr="000413B6">
        <w:trPr>
          <w:trHeight w:hRule="exact" w:val="870"/>
        </w:trPr>
        <w:tc>
          <w:tcPr>
            <w:tcW w:w="5301" w:type="dxa"/>
          </w:tcPr>
          <w:p w14:paraId="6EA5297C" w14:textId="601D0CEF" w:rsidR="00DA6B61" w:rsidRPr="005A1C76" w:rsidRDefault="000413B6" w:rsidP="00DA6B61">
            <w:pPr>
              <w:rPr>
                <w:b/>
                <w:iCs/>
                <w:lang w:val="en-GB"/>
              </w:rPr>
            </w:pPr>
            <w:bookmarkStart w:id="248" w:name="_Toc69678481"/>
            <w:bookmarkStart w:id="249" w:name="_Toc83636923"/>
            <w:r w:rsidRPr="005A1C76">
              <w:rPr>
                <w:b/>
                <w:iCs/>
                <w:lang w:val="en-GB"/>
              </w:rPr>
              <w:t xml:space="preserve">Slika </w:t>
            </w:r>
            <w:r w:rsidRPr="005A1C76">
              <w:rPr>
                <w:rFonts w:cs="Calibri"/>
                <w:b/>
                <w:iCs/>
                <w:lang w:val="en-GB"/>
              </w:rPr>
              <w:fldChar w:fldCharType="begin"/>
            </w:r>
            <w:r w:rsidRPr="005A1C76">
              <w:rPr>
                <w:rFonts w:cs="Calibri"/>
                <w:b/>
                <w:iCs/>
                <w:lang w:val="en-GB"/>
              </w:rPr>
              <w:instrText xml:space="preserve"> STYLEREF 1 \s </w:instrText>
            </w:r>
            <w:r w:rsidRPr="005A1C76">
              <w:rPr>
                <w:rFonts w:cs="Calibri"/>
                <w:b/>
                <w:iCs/>
                <w:lang w:val="en-GB"/>
              </w:rPr>
              <w:fldChar w:fldCharType="separate"/>
            </w:r>
            <w:r w:rsidR="000D1E20">
              <w:rPr>
                <w:rFonts w:cs="Calibri"/>
                <w:b/>
                <w:iCs/>
                <w:noProof/>
                <w:lang w:val="en-GB"/>
              </w:rPr>
              <w:t>2</w:t>
            </w:r>
            <w:r w:rsidRPr="005A1C76">
              <w:rPr>
                <w:rFonts w:cs="Calibri"/>
                <w:b/>
                <w:iCs/>
                <w:lang w:val="en-GB"/>
              </w:rPr>
              <w:fldChar w:fldCharType="end"/>
            </w:r>
            <w:r w:rsidRPr="005A1C76">
              <w:rPr>
                <w:rFonts w:cs="Calibri"/>
                <w:b/>
                <w:iCs/>
                <w:lang w:val="en-GB"/>
              </w:rPr>
              <w:t>.</w:t>
            </w:r>
            <w:r w:rsidRPr="005A1C76">
              <w:rPr>
                <w:rFonts w:cs="Calibri"/>
                <w:b/>
                <w:iCs/>
                <w:lang w:val="en-GB"/>
              </w:rPr>
              <w:fldChar w:fldCharType="begin"/>
            </w:r>
            <w:r w:rsidRPr="005A1C76">
              <w:rPr>
                <w:rFonts w:cs="Calibri"/>
                <w:b/>
                <w:iCs/>
                <w:lang w:val="en-GB"/>
              </w:rPr>
              <w:instrText xml:space="preserve"> SEQ Figure \* ARABIC \s 1 </w:instrText>
            </w:r>
            <w:r w:rsidRPr="005A1C76">
              <w:rPr>
                <w:rFonts w:cs="Calibri"/>
                <w:b/>
                <w:iCs/>
                <w:lang w:val="en-GB"/>
              </w:rPr>
              <w:fldChar w:fldCharType="separate"/>
            </w:r>
            <w:r w:rsidR="000D1E20">
              <w:rPr>
                <w:rFonts w:cs="Calibri"/>
                <w:b/>
                <w:iCs/>
                <w:noProof/>
                <w:lang w:val="en-GB"/>
              </w:rPr>
              <w:t>28</w:t>
            </w:r>
            <w:r w:rsidRPr="005A1C76">
              <w:rPr>
                <w:rFonts w:cs="Calibri"/>
                <w:b/>
                <w:iCs/>
                <w:lang w:val="en-GB"/>
              </w:rPr>
              <w:fldChar w:fldCharType="end"/>
            </w:r>
            <w:r w:rsidRPr="005A1C76">
              <w:t>.</w:t>
            </w:r>
            <w:r w:rsidRPr="005A1C76">
              <w:rPr>
                <w:rFonts w:cs="Calibri"/>
                <w:lang w:val="en-GB"/>
              </w:rPr>
              <w:t xml:space="preserve">  </w:t>
            </w:r>
            <w:r w:rsidRPr="005A1C76">
              <w:rPr>
                <w:b/>
                <w:lang w:val="en-GB"/>
              </w:rPr>
              <w:t>Masena koncentracija Hg u školjkama po lokacijama uzorkovanja u odnosu ML</w:t>
            </w:r>
            <w:bookmarkEnd w:id="248"/>
            <w:bookmarkEnd w:id="249"/>
          </w:p>
        </w:tc>
        <w:tc>
          <w:tcPr>
            <w:tcW w:w="5301" w:type="dxa"/>
          </w:tcPr>
          <w:p w14:paraId="60CFE9AF" w14:textId="77777777" w:rsidR="000413B6" w:rsidRPr="005A1C76" w:rsidRDefault="000413B6" w:rsidP="000413B6">
            <w:pPr>
              <w:ind w:left="-98"/>
              <w:rPr>
                <w:b/>
                <w:lang w:val="en-GB"/>
              </w:rPr>
            </w:pPr>
            <w:bookmarkStart w:id="250" w:name="_Toc83636924"/>
            <w:r w:rsidRPr="005A1C76">
              <w:rPr>
                <w:b/>
                <w:iCs/>
                <w:lang w:val="en-GB"/>
              </w:rPr>
              <w:t xml:space="preserve">Slika </w:t>
            </w:r>
            <w:r w:rsidRPr="005A1C76">
              <w:rPr>
                <w:rFonts w:cs="Calibri"/>
                <w:b/>
                <w:iCs/>
                <w:lang w:val="en-GB"/>
              </w:rPr>
              <w:fldChar w:fldCharType="begin"/>
            </w:r>
            <w:r w:rsidRPr="005A1C76">
              <w:rPr>
                <w:rFonts w:cs="Calibri"/>
                <w:b/>
                <w:iCs/>
                <w:lang w:val="en-GB"/>
              </w:rPr>
              <w:instrText xml:space="preserve"> STYLEREF 1 \s </w:instrText>
            </w:r>
            <w:r w:rsidRPr="005A1C76">
              <w:rPr>
                <w:rFonts w:cs="Calibri"/>
                <w:b/>
                <w:iCs/>
                <w:lang w:val="en-GB"/>
              </w:rPr>
              <w:fldChar w:fldCharType="separate"/>
            </w:r>
            <w:r w:rsidR="000D1E20">
              <w:rPr>
                <w:rFonts w:cs="Calibri"/>
                <w:b/>
                <w:iCs/>
                <w:noProof/>
                <w:lang w:val="en-GB"/>
              </w:rPr>
              <w:t>2</w:t>
            </w:r>
            <w:r w:rsidRPr="005A1C76">
              <w:rPr>
                <w:rFonts w:cs="Calibri"/>
                <w:b/>
                <w:iCs/>
                <w:lang w:val="en-GB"/>
              </w:rPr>
              <w:fldChar w:fldCharType="end"/>
            </w:r>
            <w:r w:rsidRPr="005A1C76">
              <w:rPr>
                <w:rFonts w:cs="Calibri"/>
                <w:b/>
                <w:iCs/>
                <w:lang w:val="en-GB"/>
              </w:rPr>
              <w:t>.</w:t>
            </w:r>
            <w:r w:rsidRPr="005A1C76">
              <w:rPr>
                <w:rFonts w:cs="Calibri"/>
                <w:b/>
                <w:iCs/>
                <w:lang w:val="en-GB"/>
              </w:rPr>
              <w:fldChar w:fldCharType="begin"/>
            </w:r>
            <w:r w:rsidRPr="005A1C76">
              <w:rPr>
                <w:rFonts w:cs="Calibri"/>
                <w:b/>
                <w:iCs/>
                <w:lang w:val="en-GB"/>
              </w:rPr>
              <w:instrText xml:space="preserve"> SEQ Figure \* ARABIC \s 1 </w:instrText>
            </w:r>
            <w:r w:rsidRPr="005A1C76">
              <w:rPr>
                <w:rFonts w:cs="Calibri"/>
                <w:b/>
                <w:iCs/>
                <w:lang w:val="en-GB"/>
              </w:rPr>
              <w:fldChar w:fldCharType="separate"/>
            </w:r>
            <w:r w:rsidR="000D1E20">
              <w:rPr>
                <w:rFonts w:cs="Calibri"/>
                <w:b/>
                <w:iCs/>
                <w:noProof/>
                <w:lang w:val="en-GB"/>
              </w:rPr>
              <w:t>29</w:t>
            </w:r>
            <w:r w:rsidRPr="005A1C76">
              <w:rPr>
                <w:rFonts w:cs="Calibri"/>
                <w:b/>
                <w:iCs/>
                <w:lang w:val="en-GB"/>
              </w:rPr>
              <w:fldChar w:fldCharType="end"/>
            </w:r>
            <w:r w:rsidRPr="005A1C76">
              <w:t>.</w:t>
            </w:r>
            <w:r w:rsidRPr="005A1C76">
              <w:rPr>
                <w:rFonts w:cs="Calibri"/>
                <w:lang w:val="en-GB"/>
              </w:rPr>
              <w:t xml:space="preserve">  </w:t>
            </w:r>
            <w:r w:rsidRPr="005A1C76">
              <w:rPr>
                <w:b/>
                <w:lang w:val="en-GB"/>
              </w:rPr>
              <w:t>Masena koncentracija As u školjkama</w:t>
            </w:r>
            <w:bookmarkEnd w:id="250"/>
          </w:p>
          <w:p w14:paraId="51356FC2" w14:textId="2344D078" w:rsidR="00DA6B61" w:rsidRPr="005A1C76" w:rsidRDefault="000413B6" w:rsidP="000413B6">
            <w:pPr>
              <w:ind w:left="-98"/>
              <w:rPr>
                <w:b/>
                <w:iCs/>
                <w:lang w:val="en-GB"/>
              </w:rPr>
            </w:pPr>
            <w:r w:rsidRPr="005A1C76">
              <w:rPr>
                <w:b/>
                <w:lang w:val="en-GB"/>
              </w:rPr>
              <w:t>po lokacijama uzorkovanja</w:t>
            </w:r>
          </w:p>
        </w:tc>
      </w:tr>
    </w:tbl>
    <w:p w14:paraId="0F761C2E" w14:textId="77777777" w:rsidR="000413B6" w:rsidRDefault="000413B6" w:rsidP="00DA6B61">
      <w:pPr>
        <w:rPr>
          <w:rFonts w:eastAsia="Calibri" w:cs="Calibri"/>
          <w:lang w:val="en-GB"/>
        </w:rPr>
      </w:pPr>
    </w:p>
    <w:p w14:paraId="3B53C04D" w14:textId="05AE6C1C" w:rsidR="00DA6B61" w:rsidRPr="005A1C76" w:rsidRDefault="00DA6B61" w:rsidP="00DA6B61">
      <w:pPr>
        <w:rPr>
          <w:rFonts w:eastAsia="Calibri" w:cs="Calibri"/>
          <w:lang w:val="en-GB"/>
        </w:rPr>
      </w:pPr>
      <w:r w:rsidRPr="005A1C76">
        <w:rPr>
          <w:rFonts w:eastAsia="Calibri" w:cs="Calibri"/>
          <w:lang w:val="en-GB"/>
        </w:rPr>
        <w:t xml:space="preserve">Rezultati analize pokazuju da su masene koncentracije Hg ispod maksimalno dozvoljenih koncentracija, koje su navedene u Uredbi („Službeni list Crne Gore“, br. 48/16, 066/19) i </w:t>
      </w:r>
      <w:r w:rsidRPr="005A1C76">
        <w:rPr>
          <w:rFonts w:eastAsia="Calibri"/>
          <w:lang w:val="en-GB"/>
        </w:rPr>
        <w:t>Commission Regulation</w:t>
      </w:r>
      <w:r w:rsidRPr="005A1C76">
        <w:rPr>
          <w:rFonts w:eastAsia="Calibri" w:cs="Calibri"/>
          <w:lang w:val="en-GB"/>
        </w:rPr>
        <w:t xml:space="preserve"> (EC) No. 1881/2006.</w:t>
      </w:r>
    </w:p>
    <w:p w14:paraId="17052C5B" w14:textId="76BF10BC" w:rsidR="00DA6B61" w:rsidRPr="005A1C76" w:rsidRDefault="00DA6B61" w:rsidP="00DA6B61">
      <w:pPr>
        <w:rPr>
          <w:rFonts w:eastAsia="Calibri" w:cs="Calibri"/>
          <w:lang w:val="en-GB"/>
        </w:rPr>
      </w:pPr>
      <w:r w:rsidRPr="005A1C76">
        <w:rPr>
          <w:rFonts w:eastAsia="Calibri" w:cs="Calibri"/>
          <w:lang w:val="en-GB"/>
        </w:rPr>
        <w:t>Zakonodavstvo nije definisalo ML za arsen u školjkama, ali trend mas</w:t>
      </w:r>
      <w:r w:rsidR="00312B76">
        <w:rPr>
          <w:rFonts w:eastAsia="Calibri" w:cs="Calibri"/>
          <w:lang w:val="en-GB"/>
        </w:rPr>
        <w:t>e</w:t>
      </w:r>
      <w:r w:rsidRPr="005A1C76">
        <w:rPr>
          <w:rFonts w:eastAsia="Calibri" w:cs="Calibri"/>
          <w:lang w:val="en-GB"/>
        </w:rPr>
        <w:t>nih koncentracija As, kao i Hg u dagnjama za period istraživanja je opadajući.</w:t>
      </w:r>
    </w:p>
    <w:p w14:paraId="3C83657E" w14:textId="77777777" w:rsidR="00DA6B61" w:rsidRPr="005A1C76" w:rsidRDefault="00DA6B61" w:rsidP="00DA6B61">
      <w:pPr>
        <w:rPr>
          <w:rFonts w:eastAsia="Calibri" w:cs="Calibri"/>
          <w:lang w:val="en-GB"/>
        </w:rPr>
      </w:pPr>
    </w:p>
    <w:tbl>
      <w:tblPr>
        <w:tblStyle w:val="GolderTable6"/>
        <w:tblW w:w="105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3"/>
        <w:gridCol w:w="5301"/>
      </w:tblGrid>
      <w:tr w:rsidR="00DA6B61" w:rsidRPr="005A1C76" w14:paraId="0BF449A0" w14:textId="77777777" w:rsidTr="00206305">
        <w:trPr>
          <w:trHeight w:hRule="exact" w:val="3912"/>
        </w:trPr>
        <w:tc>
          <w:tcPr>
            <w:tcW w:w="5233" w:type="dxa"/>
          </w:tcPr>
          <w:p w14:paraId="78644EB3" w14:textId="77777777" w:rsidR="00DA6B61" w:rsidRPr="005A1C76" w:rsidRDefault="00DA6B61" w:rsidP="00DA6B61">
            <w:pPr>
              <w:rPr>
                <w:sz w:val="20"/>
                <w:szCs w:val="20"/>
                <w:lang w:val="en-GB"/>
              </w:rPr>
            </w:pPr>
            <w:r w:rsidRPr="005A1C76">
              <w:rPr>
                <w:noProof/>
                <w:sz w:val="20"/>
                <w:szCs w:val="20"/>
                <w:lang w:eastAsia="en-US"/>
              </w:rPr>
              <w:drawing>
                <wp:anchor distT="0" distB="0" distL="114300" distR="114300" simplePos="0" relativeHeight="251824128" behindDoc="0" locked="0" layoutInCell="1" allowOverlap="1" wp14:anchorId="4FA5A0F3" wp14:editId="201C68EA">
                  <wp:simplePos x="0" y="0"/>
                  <wp:positionH relativeFrom="column">
                    <wp:posOffset>62865</wp:posOffset>
                  </wp:positionH>
                  <wp:positionV relativeFrom="paragraph">
                    <wp:posOffset>207645</wp:posOffset>
                  </wp:positionV>
                  <wp:extent cx="3155950" cy="1767840"/>
                  <wp:effectExtent l="0" t="0" r="6350" b="3810"/>
                  <wp:wrapThrough wrapText="bothSides">
                    <wp:wrapPolygon edited="0">
                      <wp:start x="0" y="0"/>
                      <wp:lineTo x="0" y="21414"/>
                      <wp:lineTo x="21513" y="21414"/>
                      <wp:lineTo x="21513" y="0"/>
                      <wp:lineTo x="0" y="0"/>
                    </wp:wrapPolygon>
                  </wp:wrapThrough>
                  <wp:docPr id="9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14:sizeRelH relativeFrom="page">
                    <wp14:pctWidth>0</wp14:pctWidth>
                  </wp14:sizeRelH>
                  <wp14:sizeRelV relativeFrom="page">
                    <wp14:pctHeight>0</wp14:pctHeight>
                  </wp14:sizeRelV>
                </wp:anchor>
              </w:drawing>
            </w:r>
          </w:p>
          <w:p w14:paraId="73C95756" w14:textId="77777777" w:rsidR="00206305" w:rsidRPr="005A1C76" w:rsidRDefault="00206305" w:rsidP="00206305">
            <w:pPr>
              <w:rPr>
                <w:b/>
                <w:iCs/>
                <w:lang w:val="en-GB"/>
              </w:rPr>
            </w:pPr>
            <w:bookmarkStart w:id="251" w:name="_Toc83636925"/>
            <w:bookmarkStart w:id="252" w:name="_Toc69678483"/>
            <w:r w:rsidRPr="005A1C76">
              <w:rPr>
                <w:b/>
                <w:iCs/>
                <w:lang w:val="en-GB"/>
              </w:rPr>
              <w:t xml:space="preserve">Slika </w:t>
            </w:r>
            <w:r w:rsidRPr="005A1C76">
              <w:rPr>
                <w:rFonts w:cs="Calibri"/>
                <w:b/>
                <w:iCs/>
                <w:lang w:val="en-GB"/>
              </w:rPr>
              <w:fldChar w:fldCharType="begin"/>
            </w:r>
            <w:r w:rsidRPr="005A1C76">
              <w:rPr>
                <w:rFonts w:cs="Calibri"/>
                <w:b/>
                <w:iCs/>
                <w:lang w:val="en-GB"/>
              </w:rPr>
              <w:instrText xml:space="preserve"> STYLEREF 1 \s </w:instrText>
            </w:r>
            <w:r w:rsidRPr="005A1C76">
              <w:rPr>
                <w:rFonts w:cs="Calibri"/>
                <w:b/>
                <w:iCs/>
                <w:lang w:val="en-GB"/>
              </w:rPr>
              <w:fldChar w:fldCharType="separate"/>
            </w:r>
            <w:r w:rsidR="000D1E20">
              <w:rPr>
                <w:rFonts w:cs="Calibri"/>
                <w:b/>
                <w:iCs/>
                <w:noProof/>
                <w:lang w:val="en-GB"/>
              </w:rPr>
              <w:t>2</w:t>
            </w:r>
            <w:r w:rsidRPr="005A1C76">
              <w:rPr>
                <w:rFonts w:cs="Calibri"/>
                <w:b/>
                <w:iCs/>
                <w:lang w:val="en-GB"/>
              </w:rPr>
              <w:fldChar w:fldCharType="end"/>
            </w:r>
            <w:r w:rsidRPr="005A1C76">
              <w:rPr>
                <w:rFonts w:cs="Calibri"/>
                <w:b/>
                <w:iCs/>
                <w:lang w:val="en-GB"/>
              </w:rPr>
              <w:t>.</w:t>
            </w:r>
            <w:r w:rsidRPr="005A1C76">
              <w:rPr>
                <w:rFonts w:cs="Calibri"/>
                <w:b/>
                <w:iCs/>
                <w:lang w:val="en-GB"/>
              </w:rPr>
              <w:fldChar w:fldCharType="begin"/>
            </w:r>
            <w:r w:rsidRPr="005A1C76">
              <w:rPr>
                <w:rFonts w:cs="Calibri"/>
                <w:b/>
                <w:iCs/>
                <w:lang w:val="en-GB"/>
              </w:rPr>
              <w:instrText xml:space="preserve"> SEQ Figure \* ARABIC \s 1 </w:instrText>
            </w:r>
            <w:r w:rsidRPr="005A1C76">
              <w:rPr>
                <w:rFonts w:cs="Calibri"/>
                <w:b/>
                <w:iCs/>
                <w:lang w:val="en-GB"/>
              </w:rPr>
              <w:fldChar w:fldCharType="separate"/>
            </w:r>
            <w:r w:rsidR="000D1E20">
              <w:rPr>
                <w:rFonts w:cs="Calibri"/>
                <w:b/>
                <w:iCs/>
                <w:noProof/>
                <w:lang w:val="en-GB"/>
              </w:rPr>
              <w:t>30</w:t>
            </w:r>
            <w:r w:rsidRPr="005A1C76">
              <w:rPr>
                <w:rFonts w:cs="Calibri"/>
                <w:b/>
                <w:iCs/>
                <w:lang w:val="en-GB"/>
              </w:rPr>
              <w:fldChar w:fldCharType="end"/>
            </w:r>
            <w:r w:rsidRPr="005A1C76">
              <w:t xml:space="preserve">. </w:t>
            </w:r>
            <w:r w:rsidRPr="005A1C76">
              <w:rPr>
                <w:b/>
                <w:lang w:val="en-GB"/>
              </w:rPr>
              <w:t xml:space="preserve">Masena koncentracija </w:t>
            </w:r>
            <w:r w:rsidRPr="005A1C76">
              <w:rPr>
                <w:b/>
                <w:iCs/>
                <w:lang w:val="en-GB"/>
              </w:rPr>
              <w:t>benzo(a)pirena</w:t>
            </w:r>
            <w:r w:rsidRPr="005A1C76">
              <w:rPr>
                <w:b/>
                <w:lang w:val="en-GB"/>
              </w:rPr>
              <w:t xml:space="preserve"> u školjkama po lokacijama uzorkovanja u odnosu ML</w:t>
            </w:r>
            <w:bookmarkEnd w:id="251"/>
            <w:r w:rsidRPr="005A1C76">
              <w:rPr>
                <w:rFonts w:cs="Calibri"/>
                <w:lang w:val="en-GB"/>
              </w:rPr>
              <w:t xml:space="preserve">  </w:t>
            </w:r>
            <w:bookmarkEnd w:id="252"/>
          </w:p>
          <w:p w14:paraId="3B2C1F31" w14:textId="77777777" w:rsidR="00DA6B61" w:rsidRPr="005A1C76" w:rsidRDefault="00DA6B61" w:rsidP="00DA6B61">
            <w:pPr>
              <w:rPr>
                <w:i/>
                <w:iCs/>
                <w:color w:val="44546A"/>
                <w:sz w:val="20"/>
                <w:szCs w:val="20"/>
                <w:lang w:val="en-GB"/>
              </w:rPr>
            </w:pPr>
          </w:p>
        </w:tc>
        <w:tc>
          <w:tcPr>
            <w:tcW w:w="5301" w:type="dxa"/>
          </w:tcPr>
          <w:p w14:paraId="23C5E4C3" w14:textId="0A6A7BE1" w:rsidR="00206305" w:rsidRPr="005A1C76" w:rsidRDefault="00206305" w:rsidP="00206305">
            <w:pPr>
              <w:rPr>
                <w:b/>
                <w:iCs/>
                <w:lang w:val="en-GB"/>
              </w:rPr>
            </w:pPr>
            <w:bookmarkStart w:id="253" w:name="_Toc83636926"/>
            <w:r w:rsidRPr="005A1C76">
              <w:rPr>
                <w:noProof/>
                <w:sz w:val="20"/>
                <w:szCs w:val="20"/>
                <w:lang w:eastAsia="en-US"/>
              </w:rPr>
              <w:drawing>
                <wp:anchor distT="0" distB="0" distL="114300" distR="114300" simplePos="0" relativeHeight="251825152" behindDoc="0" locked="0" layoutInCell="1" allowOverlap="1" wp14:anchorId="7CF19C4A" wp14:editId="7AE4C415">
                  <wp:simplePos x="0" y="0"/>
                  <wp:positionH relativeFrom="column">
                    <wp:posOffset>-31750</wp:posOffset>
                  </wp:positionH>
                  <wp:positionV relativeFrom="paragraph">
                    <wp:posOffset>199390</wp:posOffset>
                  </wp:positionV>
                  <wp:extent cx="2962275" cy="1767840"/>
                  <wp:effectExtent l="0" t="0" r="9525" b="3810"/>
                  <wp:wrapThrough wrapText="bothSides">
                    <wp:wrapPolygon edited="0">
                      <wp:start x="0" y="0"/>
                      <wp:lineTo x="0" y="21414"/>
                      <wp:lineTo x="21531" y="21414"/>
                      <wp:lineTo x="21531" y="0"/>
                      <wp:lineTo x="0" y="0"/>
                    </wp:wrapPolygon>
                  </wp:wrapThrough>
                  <wp:docPr id="10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14:sizeRelH relativeFrom="page">
                    <wp14:pctWidth>0</wp14:pctWidth>
                  </wp14:sizeRelH>
                  <wp14:sizeRelV relativeFrom="page">
                    <wp14:pctHeight>0</wp14:pctHeight>
                  </wp14:sizeRelV>
                </wp:anchor>
              </w:drawing>
            </w:r>
            <w:r w:rsidRPr="005A1C76">
              <w:rPr>
                <w:b/>
                <w:lang w:val="en-GB"/>
              </w:rPr>
              <w:t xml:space="preserve">Slika </w:t>
            </w:r>
            <w:r w:rsidRPr="005A1C76">
              <w:rPr>
                <w:rFonts w:cs="Calibri"/>
                <w:b/>
                <w:iCs/>
                <w:lang w:val="en-GB"/>
              </w:rPr>
              <w:fldChar w:fldCharType="begin"/>
            </w:r>
            <w:r w:rsidRPr="005A1C76">
              <w:rPr>
                <w:rFonts w:cs="Calibri"/>
                <w:b/>
                <w:iCs/>
                <w:lang w:val="en-GB"/>
              </w:rPr>
              <w:instrText xml:space="preserve"> STYLEREF 1 \s </w:instrText>
            </w:r>
            <w:r w:rsidRPr="005A1C76">
              <w:rPr>
                <w:rFonts w:cs="Calibri"/>
                <w:b/>
                <w:iCs/>
                <w:lang w:val="en-GB"/>
              </w:rPr>
              <w:fldChar w:fldCharType="separate"/>
            </w:r>
            <w:r w:rsidR="000D1E20">
              <w:rPr>
                <w:rFonts w:cs="Calibri"/>
                <w:b/>
                <w:iCs/>
                <w:noProof/>
                <w:lang w:val="en-GB"/>
              </w:rPr>
              <w:t>2</w:t>
            </w:r>
            <w:r w:rsidRPr="005A1C76">
              <w:rPr>
                <w:rFonts w:cs="Calibri"/>
                <w:b/>
                <w:iCs/>
                <w:lang w:val="en-GB"/>
              </w:rPr>
              <w:fldChar w:fldCharType="end"/>
            </w:r>
            <w:r w:rsidRPr="005A1C76">
              <w:rPr>
                <w:rFonts w:cs="Calibri"/>
                <w:b/>
                <w:iCs/>
                <w:lang w:val="en-GB"/>
              </w:rPr>
              <w:t>.</w:t>
            </w:r>
            <w:r w:rsidRPr="005A1C76">
              <w:rPr>
                <w:rFonts w:cs="Calibri"/>
                <w:b/>
                <w:iCs/>
                <w:lang w:val="en-GB"/>
              </w:rPr>
              <w:fldChar w:fldCharType="begin"/>
            </w:r>
            <w:r w:rsidRPr="005A1C76">
              <w:rPr>
                <w:rFonts w:cs="Calibri"/>
                <w:b/>
                <w:iCs/>
                <w:lang w:val="en-GB"/>
              </w:rPr>
              <w:instrText xml:space="preserve"> SEQ Figure \* ARABIC \s 1 </w:instrText>
            </w:r>
            <w:r w:rsidRPr="005A1C76">
              <w:rPr>
                <w:rFonts w:cs="Calibri"/>
                <w:b/>
                <w:iCs/>
                <w:lang w:val="en-GB"/>
              </w:rPr>
              <w:fldChar w:fldCharType="separate"/>
            </w:r>
            <w:r w:rsidR="000D1E20">
              <w:rPr>
                <w:rFonts w:cs="Calibri"/>
                <w:b/>
                <w:iCs/>
                <w:noProof/>
                <w:lang w:val="en-GB"/>
              </w:rPr>
              <w:t>31</w:t>
            </w:r>
            <w:r w:rsidRPr="005A1C76">
              <w:rPr>
                <w:rFonts w:cs="Calibri"/>
                <w:b/>
                <w:iCs/>
                <w:lang w:val="en-GB"/>
              </w:rPr>
              <w:fldChar w:fldCharType="end"/>
            </w:r>
            <w:r w:rsidRPr="005A1C76">
              <w:t>.</w:t>
            </w:r>
            <w:r w:rsidRPr="005A1C76">
              <w:rPr>
                <w:rFonts w:cs="Calibri"/>
                <w:lang w:val="en-GB"/>
              </w:rPr>
              <w:t xml:space="preserve">  </w:t>
            </w:r>
            <w:r w:rsidRPr="005A1C76">
              <w:rPr>
                <w:b/>
                <w:lang w:val="en-GB"/>
              </w:rPr>
              <w:t xml:space="preserve">Masena koncentracija </w:t>
            </w:r>
            <w:r w:rsidRPr="005A1C76">
              <w:rPr>
                <w:b/>
                <w:iCs/>
                <w:lang w:val="en-GB"/>
              </w:rPr>
              <w:t>sume 4 PAH-a</w:t>
            </w:r>
            <w:r w:rsidRPr="005A1C76">
              <w:rPr>
                <w:b/>
                <w:lang w:val="en-GB"/>
              </w:rPr>
              <w:t xml:space="preserve"> u školjkama po lokacijama uzorkovanja u odnosu ML</w:t>
            </w:r>
            <w:bookmarkEnd w:id="253"/>
            <w:r w:rsidRPr="005A1C76">
              <w:rPr>
                <w:rFonts w:cs="Calibri"/>
                <w:lang w:val="en-GB"/>
              </w:rPr>
              <w:t xml:space="preserve">  </w:t>
            </w:r>
          </w:p>
          <w:p w14:paraId="26B55F83" w14:textId="50A94FE2" w:rsidR="00DA6B61" w:rsidRPr="005A1C76" w:rsidRDefault="00DA6B61" w:rsidP="00DA6B61">
            <w:pPr>
              <w:jc w:val="center"/>
              <w:rPr>
                <w:sz w:val="20"/>
                <w:szCs w:val="20"/>
                <w:lang w:val="en-GB"/>
              </w:rPr>
            </w:pPr>
          </w:p>
          <w:p w14:paraId="171DEDB9" w14:textId="77777777" w:rsidR="00DA6B61" w:rsidRPr="005A1C76" w:rsidRDefault="00DA6B61" w:rsidP="00DA6B61">
            <w:pPr>
              <w:keepNext/>
              <w:jc w:val="center"/>
              <w:rPr>
                <w:sz w:val="20"/>
                <w:szCs w:val="20"/>
                <w:lang w:val="en-GB"/>
              </w:rPr>
            </w:pPr>
          </w:p>
          <w:p w14:paraId="72359078" w14:textId="77777777" w:rsidR="00DA6B61" w:rsidRPr="005A1C76" w:rsidRDefault="00DA6B61" w:rsidP="00DA6B61">
            <w:pPr>
              <w:jc w:val="center"/>
              <w:rPr>
                <w:i/>
                <w:iCs/>
                <w:color w:val="44546A"/>
                <w:sz w:val="20"/>
                <w:szCs w:val="20"/>
                <w:lang w:val="en-GB"/>
              </w:rPr>
            </w:pPr>
          </w:p>
        </w:tc>
      </w:tr>
    </w:tbl>
    <w:p w14:paraId="633A8F21" w14:textId="77777777" w:rsidR="00206305" w:rsidRDefault="00206305" w:rsidP="00DA6B61">
      <w:pPr>
        <w:rPr>
          <w:rFonts w:eastAsia="Calibri"/>
          <w:lang w:val="en-GB"/>
        </w:rPr>
      </w:pPr>
    </w:p>
    <w:p w14:paraId="35B946AF" w14:textId="545530B6" w:rsidR="00DA6B61" w:rsidRPr="005A1C76" w:rsidRDefault="00DA6B61" w:rsidP="00DA6B61">
      <w:pPr>
        <w:rPr>
          <w:rFonts w:eastAsia="Calibri"/>
          <w:lang w:val="en-GB"/>
        </w:rPr>
      </w:pPr>
      <w:r w:rsidRPr="005A1C76">
        <w:rPr>
          <w:rFonts w:eastAsia="Calibri"/>
          <w:lang w:val="en-GB"/>
        </w:rPr>
        <w:t>Rezultati analize pokazuju da su masene koncentracije sume 4 PAH-a ispod maksimalno dozvoljenih koncentracija, koje su navedene u Uredbi („Službeni list Crne Gore“, br. 48/16, 066/19) i Commission Regulation (EC) No. 1881/2006.</w:t>
      </w:r>
    </w:p>
    <w:p w14:paraId="1FD96CF6" w14:textId="77777777" w:rsidR="00DA6B61" w:rsidRPr="005A1C76" w:rsidRDefault="00DA6B61" w:rsidP="00DA6B61">
      <w:pPr>
        <w:rPr>
          <w:rFonts w:eastAsia="Calibri"/>
          <w:lang w:val="en-GB"/>
        </w:rPr>
      </w:pPr>
      <w:r w:rsidRPr="005A1C76">
        <w:rPr>
          <w:rFonts w:eastAsia="Calibri"/>
          <w:lang w:val="en-GB"/>
        </w:rPr>
        <w:t>Masene koncentracije benzo(a)pirena tokom cijelog perioda istraživanja bile su niže od granica kvantifikacije metode.</w:t>
      </w:r>
    </w:p>
    <w:p w14:paraId="7335D47C" w14:textId="77777777" w:rsidR="00DA6B61" w:rsidRPr="005A1C76" w:rsidRDefault="00DA6B61" w:rsidP="00DA6B61">
      <w:pPr>
        <w:rPr>
          <w:rFonts w:eastAsia="Calibri"/>
          <w:lang w:val="en-GB"/>
        </w:rPr>
      </w:pPr>
      <w:r w:rsidRPr="005A1C76">
        <w:rPr>
          <w:rFonts w:eastAsia="Calibri"/>
          <w:lang w:val="en-GB"/>
        </w:rPr>
        <w:t>Posmatrajući trendove masovnih koncentracija sume 4 PAH-a u školjkama za period istraživanja, može se zaključiti da koncentracije pokazuju pad tokom perioda istraživanja.</w:t>
      </w:r>
    </w:p>
    <w:p w14:paraId="73257EF2" w14:textId="77777777" w:rsidR="00DA6B61" w:rsidRPr="005A1C76" w:rsidRDefault="00DA6B61" w:rsidP="00DA6B61">
      <w:pPr>
        <w:rPr>
          <w:rFonts w:eastAsia="Calibri"/>
          <w:lang w:val="en-GB"/>
        </w:rPr>
      </w:pPr>
    </w:p>
    <w:p w14:paraId="1EF401C3" w14:textId="75D696D2" w:rsidR="00DA6B61" w:rsidRPr="00DA6B61" w:rsidRDefault="00DA6B61" w:rsidP="00DA6B61">
      <w:pPr>
        <w:pStyle w:val="Heading3"/>
        <w:rPr>
          <w:rFonts w:eastAsia="Calibri"/>
          <w:lang w:val="en-GB"/>
        </w:rPr>
      </w:pPr>
      <w:bookmarkStart w:id="254" w:name="_Toc83630946"/>
      <w:bookmarkEnd w:id="240"/>
      <w:bookmarkEnd w:id="241"/>
      <w:r w:rsidRPr="00DA6B61">
        <w:rPr>
          <w:rFonts w:eastAsia="Calibri"/>
          <w:color w:val="365F91"/>
          <w:lang w:val="en-GB"/>
        </w:rPr>
        <w:t>Postizanje GES-a za Deskriptor 9</w:t>
      </w:r>
      <w:bookmarkEnd w:id="254"/>
      <w:r w:rsidRPr="00DA6B61">
        <w:rPr>
          <w:rFonts w:eastAsia="Calibri"/>
          <w:color w:val="365F91"/>
          <w:lang w:val="en-GB"/>
        </w:rPr>
        <w:t xml:space="preserve"> </w:t>
      </w:r>
    </w:p>
    <w:p w14:paraId="5EDCBAB9" w14:textId="4DC0ABB0" w:rsidR="00DA6B61" w:rsidRPr="005A1C76" w:rsidRDefault="00DA6B61" w:rsidP="00DA6B61">
      <w:pPr>
        <w:autoSpaceDE w:val="0"/>
        <w:autoSpaceDN w:val="0"/>
        <w:adjustRightInd w:val="0"/>
        <w:spacing w:after="0"/>
        <w:rPr>
          <w:rFonts w:eastAsia="Calibri" w:cs="Calibri"/>
          <w:bCs/>
          <w:color w:val="000000"/>
          <w:lang w:val="en-GB"/>
        </w:rPr>
      </w:pPr>
      <w:bookmarkStart w:id="255" w:name="_Toc68078527"/>
      <w:bookmarkStart w:id="256" w:name="_Toc68180792"/>
      <w:r w:rsidRPr="005A1C76">
        <w:rPr>
          <w:rFonts w:eastAsia="Calibri" w:cs="Calibri"/>
          <w:bCs/>
          <w:color w:val="000000"/>
          <w:lang w:val="en-GB"/>
        </w:rPr>
        <w:t xml:space="preserve">Dobar status vezano za sadržaj kontaminanata u morskim </w:t>
      </w:r>
      <w:r w:rsidR="00312B76">
        <w:rPr>
          <w:rFonts w:eastAsia="Calibri" w:cs="Calibri"/>
          <w:bCs/>
          <w:color w:val="000000"/>
          <w:lang w:val="en-GB"/>
        </w:rPr>
        <w:t>prganizmima</w:t>
      </w:r>
      <w:r w:rsidRPr="005A1C76">
        <w:rPr>
          <w:rFonts w:eastAsia="Calibri" w:cs="Calibri"/>
          <w:bCs/>
          <w:color w:val="000000"/>
          <w:lang w:val="en-GB"/>
        </w:rPr>
        <w:t xml:space="preserve"> (školjke) postignut je na svim lokacijama tokom </w:t>
      </w:r>
      <w:r w:rsidR="00312B76">
        <w:rPr>
          <w:rFonts w:eastAsia="Calibri" w:cs="Calibri"/>
          <w:bCs/>
          <w:color w:val="000000"/>
          <w:lang w:val="en-GB"/>
        </w:rPr>
        <w:t>c</w:t>
      </w:r>
      <w:r w:rsidRPr="005A1C76">
        <w:rPr>
          <w:rFonts w:eastAsia="Calibri" w:cs="Calibri"/>
          <w:bCs/>
          <w:color w:val="000000"/>
          <w:lang w:val="en-GB"/>
        </w:rPr>
        <w:t>ijelog perioda istraživanja, jer utvrđene granične vrednosti (ML prema Uredbi Komisije (EC) br. 1881/2006) za kontaminante u školjkama nisu prekoračene (slika 2.36).</w:t>
      </w:r>
    </w:p>
    <w:p w14:paraId="54F44437" w14:textId="77777777" w:rsidR="00DA6B61" w:rsidRPr="005A1C76" w:rsidRDefault="00DA6B61" w:rsidP="00DA6B61">
      <w:pPr>
        <w:spacing w:after="0" w:line="240" w:lineRule="auto"/>
        <w:rPr>
          <w:rFonts w:eastAsia="Calibri"/>
          <w:b/>
          <w:sz w:val="20"/>
          <w:szCs w:val="20"/>
          <w:lang w:val="en-GB"/>
        </w:rPr>
      </w:pPr>
    </w:p>
    <w:p w14:paraId="5B3F91CF" w14:textId="77777777" w:rsidR="00DA6B61" w:rsidRPr="005A1C76" w:rsidRDefault="00DA6B61" w:rsidP="00DA6B61">
      <w:pPr>
        <w:keepNext/>
        <w:spacing w:after="0" w:line="240" w:lineRule="auto"/>
        <w:jc w:val="center"/>
        <w:rPr>
          <w:rFonts w:eastAsia="Calibri"/>
          <w:sz w:val="20"/>
          <w:szCs w:val="20"/>
          <w:lang w:val="en-GB"/>
        </w:rPr>
      </w:pPr>
      <w:r w:rsidRPr="005A1C76">
        <w:rPr>
          <w:rFonts w:eastAsia="Calibri"/>
          <w:noProof/>
          <w:sz w:val="20"/>
          <w:szCs w:val="20"/>
          <w:lang w:eastAsia="en-US"/>
        </w:rPr>
        <w:drawing>
          <wp:inline distT="0" distB="0" distL="0" distR="0" wp14:anchorId="68072ABF" wp14:editId="75FFC93C">
            <wp:extent cx="3695700" cy="2319928"/>
            <wp:effectExtent l="0" t="0" r="0" b="444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700336" cy="2322838"/>
                    </a:xfrm>
                    <a:prstGeom prst="rect">
                      <a:avLst/>
                    </a:prstGeom>
                    <a:noFill/>
                    <a:ln>
                      <a:noFill/>
                    </a:ln>
                  </pic:spPr>
                </pic:pic>
              </a:graphicData>
            </a:graphic>
          </wp:inline>
        </w:drawing>
      </w:r>
    </w:p>
    <w:p w14:paraId="1CD03379" w14:textId="77777777" w:rsidR="00206305" w:rsidRPr="005A1C76" w:rsidRDefault="00206305" w:rsidP="00206305">
      <w:pPr>
        <w:spacing w:after="0" w:line="240" w:lineRule="auto"/>
        <w:jc w:val="center"/>
        <w:rPr>
          <w:rFonts w:eastAsia="Calibri" w:cs="Calibri"/>
          <w:b/>
          <w:iCs/>
          <w:lang w:val="en-GB"/>
        </w:rPr>
      </w:pPr>
      <w:bookmarkStart w:id="257" w:name="_Toc83636927"/>
      <w:r w:rsidRPr="005A1C76">
        <w:rPr>
          <w:rFonts w:eastAsia="Calibri"/>
          <w:b/>
          <w:iCs/>
          <w:lang w:val="en-GB"/>
        </w:rPr>
        <w:t xml:space="preserve">Slika </w:t>
      </w:r>
      <w:r w:rsidRPr="005A1C76">
        <w:rPr>
          <w:rFonts w:eastAsia="Calibri" w:cs="Calibri"/>
          <w:b/>
          <w:iCs/>
          <w:lang w:val="en-GB"/>
        </w:rPr>
        <w:fldChar w:fldCharType="begin"/>
      </w:r>
      <w:r w:rsidRPr="005A1C76">
        <w:rPr>
          <w:rFonts w:eastAsia="Calibri" w:cs="Calibri"/>
          <w:b/>
          <w:iCs/>
          <w:lang w:val="en-GB"/>
        </w:rPr>
        <w:instrText xml:space="preserve"> STYLEREF 1 \s </w:instrText>
      </w:r>
      <w:r w:rsidRPr="005A1C76">
        <w:rPr>
          <w:rFonts w:eastAsia="Calibri" w:cs="Calibri"/>
          <w:b/>
          <w:iCs/>
          <w:lang w:val="en-GB"/>
        </w:rPr>
        <w:fldChar w:fldCharType="separate"/>
      </w:r>
      <w:r w:rsidR="000D1E20">
        <w:rPr>
          <w:rFonts w:eastAsia="Calibri" w:cs="Calibri"/>
          <w:b/>
          <w:iCs/>
          <w:noProof/>
          <w:lang w:val="en-GB"/>
        </w:rPr>
        <w:t>2</w:t>
      </w:r>
      <w:r w:rsidRPr="005A1C76">
        <w:rPr>
          <w:rFonts w:eastAsia="Calibri" w:cs="Calibri"/>
          <w:b/>
          <w:iCs/>
          <w:lang w:val="en-GB"/>
        </w:rPr>
        <w:fldChar w:fldCharType="end"/>
      </w:r>
      <w:r w:rsidRPr="005A1C76">
        <w:rPr>
          <w:rFonts w:eastAsia="Calibri" w:cs="Calibri"/>
          <w:b/>
          <w:iCs/>
          <w:lang w:val="en-GB"/>
        </w:rPr>
        <w:t>.</w:t>
      </w:r>
      <w:r w:rsidRPr="005A1C76">
        <w:rPr>
          <w:rFonts w:eastAsia="Calibri" w:cs="Calibri"/>
          <w:b/>
          <w:iCs/>
          <w:lang w:val="en-GB"/>
        </w:rPr>
        <w:fldChar w:fldCharType="begin"/>
      </w:r>
      <w:r w:rsidRPr="005A1C76">
        <w:rPr>
          <w:rFonts w:eastAsia="Calibri" w:cs="Calibri"/>
          <w:b/>
          <w:iCs/>
          <w:lang w:val="en-GB"/>
        </w:rPr>
        <w:instrText xml:space="preserve"> SEQ Figure \* ARABIC \s 1 </w:instrText>
      </w:r>
      <w:r w:rsidRPr="005A1C76">
        <w:rPr>
          <w:rFonts w:eastAsia="Calibri" w:cs="Calibri"/>
          <w:b/>
          <w:iCs/>
          <w:lang w:val="en-GB"/>
        </w:rPr>
        <w:fldChar w:fldCharType="separate"/>
      </w:r>
      <w:r w:rsidR="000D1E20">
        <w:rPr>
          <w:rFonts w:eastAsia="Calibri" w:cs="Calibri"/>
          <w:b/>
          <w:iCs/>
          <w:noProof/>
          <w:lang w:val="en-GB"/>
        </w:rPr>
        <w:t>32</w:t>
      </w:r>
      <w:r w:rsidRPr="005A1C76">
        <w:rPr>
          <w:rFonts w:eastAsia="Calibri" w:cs="Calibri"/>
          <w:b/>
          <w:iCs/>
          <w:lang w:val="en-GB"/>
        </w:rPr>
        <w:fldChar w:fldCharType="end"/>
      </w:r>
      <w:r w:rsidRPr="005A1C76">
        <w:t>.</w:t>
      </w:r>
      <w:r w:rsidRPr="005A1C76">
        <w:rPr>
          <w:rFonts w:eastAsia="Calibri" w:cs="Calibri"/>
          <w:lang w:val="en-GB"/>
        </w:rPr>
        <w:t xml:space="preserve">  </w:t>
      </w:r>
      <w:r w:rsidRPr="005A1C76">
        <w:rPr>
          <w:rFonts w:eastAsia="Calibri"/>
          <w:b/>
          <w:iCs/>
          <w:lang w:val="en-GB"/>
        </w:rPr>
        <w:t xml:space="preserve">Procentni nivo kontaminanata u morskim </w:t>
      </w:r>
      <w:r>
        <w:rPr>
          <w:rFonts w:eastAsia="Calibri"/>
          <w:b/>
          <w:iCs/>
          <w:lang w:val="en-GB"/>
        </w:rPr>
        <w:t>organizmima</w:t>
      </w:r>
      <w:r w:rsidRPr="005A1C76">
        <w:rPr>
          <w:rFonts w:eastAsia="Calibri"/>
          <w:b/>
          <w:iCs/>
          <w:lang w:val="en-GB"/>
        </w:rPr>
        <w:t xml:space="preserve"> tokom perioda istraživanja</w:t>
      </w:r>
      <w:bookmarkEnd w:id="257"/>
    </w:p>
    <w:p w14:paraId="3A09961A" w14:textId="77777777" w:rsidR="00206305" w:rsidRDefault="00206305" w:rsidP="003466C5">
      <w:pPr>
        <w:keepNext/>
        <w:spacing w:after="0"/>
        <w:rPr>
          <w:rFonts w:eastAsia="Calibri"/>
          <w:b/>
          <w:iCs/>
          <w:lang w:val="en-GB"/>
        </w:rPr>
      </w:pPr>
    </w:p>
    <w:p w14:paraId="436C5AFF" w14:textId="00AE4E97" w:rsidR="00DA6B61" w:rsidRPr="005A1C76" w:rsidRDefault="00DA6B61" w:rsidP="00DA6B61">
      <w:pPr>
        <w:keepNext/>
        <w:spacing w:after="0"/>
        <w:ind w:left="720"/>
        <w:rPr>
          <w:rFonts w:eastAsia="Calibri"/>
          <w:b/>
          <w:iCs/>
          <w:lang w:val="en-GB" w:eastAsia="hr-HR"/>
        </w:rPr>
      </w:pPr>
      <w:bookmarkStart w:id="258" w:name="_Toc83643185"/>
      <w:r w:rsidRPr="005A1C76">
        <w:rPr>
          <w:rFonts w:eastAsia="Calibri"/>
          <w:b/>
          <w:iCs/>
          <w:lang w:val="en-GB"/>
        </w:rPr>
        <w:t xml:space="preserve">Tabela </w:t>
      </w:r>
      <w:r w:rsidRPr="005A1C76">
        <w:rPr>
          <w:b/>
        </w:rPr>
        <w:fldChar w:fldCharType="begin"/>
      </w:r>
      <w:r w:rsidRPr="005A1C76">
        <w:rPr>
          <w:b/>
        </w:rPr>
        <w:instrText xml:space="preserve"> STYLEREF 1 \s </w:instrText>
      </w:r>
      <w:r w:rsidRPr="005A1C76">
        <w:rPr>
          <w:b/>
        </w:rPr>
        <w:fldChar w:fldCharType="separate"/>
      </w:r>
      <w:r w:rsidR="000D1E20">
        <w:rPr>
          <w:b/>
          <w:noProof/>
        </w:rPr>
        <w:t>2</w:t>
      </w:r>
      <w:r w:rsidRPr="005A1C76">
        <w:rPr>
          <w:b/>
        </w:rPr>
        <w:fldChar w:fldCharType="end"/>
      </w:r>
      <w:r w:rsidRPr="005A1C76">
        <w:rPr>
          <w:b/>
        </w:rPr>
        <w:t>.</w:t>
      </w:r>
      <w:r w:rsidRPr="005A1C76">
        <w:rPr>
          <w:b/>
        </w:rPr>
        <w:fldChar w:fldCharType="begin"/>
      </w:r>
      <w:r w:rsidRPr="005A1C76">
        <w:rPr>
          <w:b/>
        </w:rPr>
        <w:instrText xml:space="preserve"> SEQ Table \* ARABIC \s 1 </w:instrText>
      </w:r>
      <w:r w:rsidRPr="005A1C76">
        <w:rPr>
          <w:b/>
        </w:rPr>
        <w:fldChar w:fldCharType="separate"/>
      </w:r>
      <w:r w:rsidR="000D1E20">
        <w:rPr>
          <w:b/>
          <w:noProof/>
        </w:rPr>
        <w:t>27</w:t>
      </w:r>
      <w:r w:rsidRPr="005A1C76">
        <w:rPr>
          <w:b/>
        </w:rPr>
        <w:fldChar w:fldCharType="end"/>
      </w:r>
      <w:r w:rsidRPr="005A1C76">
        <w:rPr>
          <w:b/>
        </w:rPr>
        <w:t>.</w:t>
      </w:r>
      <w:r w:rsidRPr="005A1C76">
        <w:rPr>
          <w:rFonts w:eastAsia="Calibri" w:cs="Calibri"/>
          <w:b/>
          <w:lang w:val="en-GB"/>
        </w:rPr>
        <w:t xml:space="preserve"> </w:t>
      </w:r>
      <w:r w:rsidRPr="005A1C76">
        <w:rPr>
          <w:rFonts w:eastAsia="Calibri"/>
          <w:b/>
          <w:iCs/>
          <w:lang w:val="en-GB" w:eastAsia="hr-HR"/>
        </w:rPr>
        <w:t>Procjena GES-a za školjke na pojedinačnim lokacijama</w:t>
      </w:r>
      <w:bookmarkEnd w:id="258"/>
    </w:p>
    <w:tbl>
      <w:tblPr>
        <w:tblpPr w:leftFromText="180" w:rightFromText="180" w:vertAnchor="text" w:tblpXSpec="center" w:tblpY="1"/>
        <w:tblOverlap w:val="never"/>
        <w:tblW w:w="802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FFFF00"/>
        <w:tblCellMar>
          <w:left w:w="57" w:type="dxa"/>
          <w:right w:w="57" w:type="dxa"/>
        </w:tblCellMar>
        <w:tblLook w:val="04A0" w:firstRow="1" w:lastRow="0" w:firstColumn="1" w:lastColumn="0" w:noHBand="0" w:noVBand="1"/>
      </w:tblPr>
      <w:tblGrid>
        <w:gridCol w:w="1914"/>
        <w:gridCol w:w="2371"/>
        <w:gridCol w:w="1367"/>
        <w:gridCol w:w="2372"/>
      </w:tblGrid>
      <w:tr w:rsidR="00DA6B61" w:rsidRPr="005A1C76" w14:paraId="46F99CDE" w14:textId="77777777" w:rsidTr="00DA6B61">
        <w:trPr>
          <w:cantSplit/>
          <w:trHeight w:val="240"/>
        </w:trPr>
        <w:tc>
          <w:tcPr>
            <w:tcW w:w="1914" w:type="dxa"/>
            <w:vMerge w:val="restart"/>
            <w:tcBorders>
              <w:top w:val="single" w:sz="4" w:space="0" w:color="DEEAF6"/>
              <w:left w:val="single" w:sz="4" w:space="0" w:color="DEEAF6"/>
              <w:bottom w:val="single" w:sz="4" w:space="0" w:color="DEEAF6"/>
              <w:right w:val="single" w:sz="4" w:space="0" w:color="DEEAF6"/>
            </w:tcBorders>
            <w:shd w:val="clear" w:color="auto" w:fill="1F497D"/>
            <w:vAlign w:val="center"/>
          </w:tcPr>
          <w:p w14:paraId="2EEBCA32" w14:textId="77777777" w:rsidR="00DA6B61" w:rsidRPr="005A1C76" w:rsidRDefault="00DA6B61" w:rsidP="00DA6B61">
            <w:pPr>
              <w:spacing w:after="0" w:line="240" w:lineRule="auto"/>
              <w:jc w:val="center"/>
              <w:rPr>
                <w:rFonts w:eastAsia="Calibri" w:cs="Calibri"/>
                <w:b/>
                <w:color w:val="FFFFFF"/>
                <w:sz w:val="20"/>
                <w:szCs w:val="20"/>
                <w:lang w:val="en-GB" w:eastAsia="hr-HR"/>
              </w:rPr>
            </w:pPr>
            <w:r w:rsidRPr="005A1C76">
              <w:rPr>
                <w:rFonts w:eastAsia="Calibri" w:cs="Calibri"/>
                <w:b/>
                <w:color w:val="FFFFFF"/>
                <w:sz w:val="20"/>
                <w:szCs w:val="20"/>
                <w:lang w:val="en-GB" w:eastAsia="hr-HR"/>
              </w:rPr>
              <w:t>Zona</w:t>
            </w:r>
          </w:p>
        </w:tc>
        <w:tc>
          <w:tcPr>
            <w:tcW w:w="2371" w:type="dxa"/>
            <w:vMerge w:val="restart"/>
            <w:tcBorders>
              <w:top w:val="single" w:sz="4" w:space="0" w:color="DEEAF6"/>
              <w:left w:val="single" w:sz="4" w:space="0" w:color="DEEAF6"/>
              <w:bottom w:val="single" w:sz="4" w:space="0" w:color="DEEAF6"/>
              <w:right w:val="single" w:sz="4" w:space="0" w:color="DEEAF6"/>
            </w:tcBorders>
            <w:shd w:val="clear" w:color="auto" w:fill="1F497D"/>
            <w:vAlign w:val="center"/>
          </w:tcPr>
          <w:p w14:paraId="26B8A6AC" w14:textId="77777777" w:rsidR="00DA6B61" w:rsidRPr="005A1C76" w:rsidRDefault="00DA6B61" w:rsidP="00DA6B61">
            <w:pPr>
              <w:spacing w:after="0" w:line="240" w:lineRule="auto"/>
              <w:jc w:val="center"/>
              <w:rPr>
                <w:rFonts w:eastAsia="Calibri" w:cs="Calibri"/>
                <w:b/>
                <w:color w:val="FFFFFF"/>
                <w:sz w:val="20"/>
                <w:szCs w:val="20"/>
                <w:lang w:val="en-GB" w:eastAsia="hr-HR"/>
              </w:rPr>
            </w:pPr>
            <w:r w:rsidRPr="005A1C76">
              <w:rPr>
                <w:rFonts w:eastAsia="Calibri" w:cs="Calibri"/>
                <w:b/>
                <w:color w:val="FFFFFF"/>
                <w:sz w:val="20"/>
                <w:szCs w:val="20"/>
                <w:lang w:val="en-GB" w:eastAsia="hr-HR"/>
              </w:rPr>
              <w:t>Naziv lokacije</w:t>
            </w:r>
          </w:p>
        </w:tc>
        <w:tc>
          <w:tcPr>
            <w:tcW w:w="3739" w:type="dxa"/>
            <w:gridSpan w:val="2"/>
            <w:tcBorders>
              <w:top w:val="single" w:sz="4" w:space="0" w:color="DEEAF6"/>
              <w:left w:val="single" w:sz="4" w:space="0" w:color="DEEAF6"/>
              <w:bottom w:val="single" w:sz="4" w:space="0" w:color="DEEAF6"/>
              <w:right w:val="single" w:sz="4" w:space="0" w:color="DEEAF6"/>
            </w:tcBorders>
            <w:shd w:val="clear" w:color="auto" w:fill="1F497D"/>
          </w:tcPr>
          <w:p w14:paraId="14DEEB67" w14:textId="77777777" w:rsidR="00DA6B61" w:rsidRPr="005A1C76" w:rsidRDefault="00DA6B61" w:rsidP="00DA6B61">
            <w:pPr>
              <w:spacing w:after="0" w:line="240" w:lineRule="auto"/>
              <w:jc w:val="center"/>
              <w:rPr>
                <w:rFonts w:eastAsia="Calibri" w:cs="Calibri"/>
                <w:b/>
                <w:color w:val="FFFFFF"/>
                <w:sz w:val="20"/>
                <w:szCs w:val="20"/>
                <w:lang w:val="en-GB" w:eastAsia="hr-HR"/>
              </w:rPr>
            </w:pPr>
            <w:r w:rsidRPr="005A1C76">
              <w:rPr>
                <w:rFonts w:eastAsia="Calibri" w:cs="Calibri"/>
                <w:b/>
                <w:color w:val="FFFFFF"/>
                <w:sz w:val="20"/>
                <w:szCs w:val="20"/>
                <w:lang w:val="en-GB" w:eastAsia="hr-HR"/>
              </w:rPr>
              <w:t>Školjke</w:t>
            </w:r>
          </w:p>
        </w:tc>
      </w:tr>
      <w:tr w:rsidR="00DA6B61" w:rsidRPr="005A1C76" w14:paraId="7A77E237" w14:textId="77777777" w:rsidTr="00DA6B61">
        <w:trPr>
          <w:cantSplit/>
          <w:trHeight w:hRule="exact" w:val="527"/>
        </w:trPr>
        <w:tc>
          <w:tcPr>
            <w:tcW w:w="1914" w:type="dxa"/>
            <w:vMerge/>
            <w:tcBorders>
              <w:top w:val="single" w:sz="4" w:space="0" w:color="DEEAF6"/>
              <w:left w:val="single" w:sz="4" w:space="0" w:color="DEEAF6"/>
              <w:bottom w:val="single" w:sz="4" w:space="0" w:color="DEEAF6"/>
              <w:right w:val="single" w:sz="4" w:space="0" w:color="DEEAF6"/>
            </w:tcBorders>
            <w:shd w:val="clear" w:color="auto" w:fill="1F497D"/>
            <w:vAlign w:val="center"/>
          </w:tcPr>
          <w:p w14:paraId="7103D14E" w14:textId="77777777" w:rsidR="00DA6B61" w:rsidRPr="005A1C76" w:rsidRDefault="00DA6B61" w:rsidP="00DA6B61">
            <w:pPr>
              <w:spacing w:after="0" w:line="240" w:lineRule="auto"/>
              <w:rPr>
                <w:rFonts w:eastAsia="Calibri" w:cs="Calibri"/>
                <w:b/>
                <w:color w:val="FFFFFF"/>
                <w:sz w:val="20"/>
                <w:szCs w:val="20"/>
                <w:lang w:val="en-GB" w:eastAsia="hr-HR"/>
              </w:rPr>
            </w:pPr>
          </w:p>
        </w:tc>
        <w:tc>
          <w:tcPr>
            <w:tcW w:w="2371" w:type="dxa"/>
            <w:vMerge/>
            <w:tcBorders>
              <w:top w:val="single" w:sz="4" w:space="0" w:color="DEEAF6"/>
              <w:left w:val="single" w:sz="4" w:space="0" w:color="DEEAF6"/>
              <w:bottom w:val="single" w:sz="4" w:space="0" w:color="DEEAF6"/>
              <w:right w:val="single" w:sz="4" w:space="0" w:color="DEEAF6"/>
            </w:tcBorders>
            <w:shd w:val="clear" w:color="auto" w:fill="1F497D"/>
            <w:vAlign w:val="center"/>
          </w:tcPr>
          <w:p w14:paraId="3A818350" w14:textId="77777777" w:rsidR="00DA6B61" w:rsidRPr="005A1C76" w:rsidRDefault="00DA6B61" w:rsidP="00DA6B61">
            <w:pPr>
              <w:spacing w:after="0" w:line="240" w:lineRule="auto"/>
              <w:rPr>
                <w:rFonts w:eastAsia="Calibri" w:cs="Calibri"/>
                <w:b/>
                <w:color w:val="FFFFFF"/>
                <w:sz w:val="20"/>
                <w:szCs w:val="20"/>
                <w:lang w:val="en-GB" w:eastAsia="hr-HR"/>
              </w:rPr>
            </w:pPr>
          </w:p>
        </w:tc>
        <w:tc>
          <w:tcPr>
            <w:tcW w:w="1367" w:type="dxa"/>
            <w:tcBorders>
              <w:top w:val="single" w:sz="4" w:space="0" w:color="DEEAF6"/>
              <w:left w:val="single" w:sz="4" w:space="0" w:color="DEEAF6"/>
              <w:bottom w:val="single" w:sz="4" w:space="0" w:color="DEEAF6"/>
              <w:right w:val="single" w:sz="4" w:space="0" w:color="DEEAF6"/>
            </w:tcBorders>
            <w:shd w:val="clear" w:color="auto" w:fill="1F497D"/>
            <w:vAlign w:val="center"/>
          </w:tcPr>
          <w:p w14:paraId="15977626" w14:textId="77777777" w:rsidR="00DA6B61" w:rsidRPr="005A1C76" w:rsidRDefault="00DA6B61" w:rsidP="00DA6B61">
            <w:pPr>
              <w:spacing w:after="0" w:line="240" w:lineRule="auto"/>
              <w:jc w:val="center"/>
              <w:rPr>
                <w:rFonts w:eastAsia="Calibri" w:cs="Calibri"/>
                <w:b/>
                <w:color w:val="FFFFFF"/>
                <w:sz w:val="20"/>
                <w:szCs w:val="20"/>
                <w:lang w:val="en-GB" w:eastAsia="hr-HR"/>
              </w:rPr>
            </w:pPr>
            <w:r w:rsidRPr="005A1C76">
              <w:rPr>
                <w:rFonts w:eastAsia="Calibri" w:cs="Calibri"/>
                <w:b/>
                <w:color w:val="FFFFFF"/>
                <w:sz w:val="20"/>
                <w:szCs w:val="20"/>
                <w:lang w:val="en-GB" w:eastAsia="hr-HR"/>
              </w:rPr>
              <w:t>Hemijski status</w:t>
            </w:r>
          </w:p>
        </w:tc>
        <w:tc>
          <w:tcPr>
            <w:tcW w:w="2371" w:type="dxa"/>
            <w:tcBorders>
              <w:top w:val="single" w:sz="4" w:space="0" w:color="DEEAF6"/>
              <w:left w:val="single" w:sz="4" w:space="0" w:color="DEEAF6"/>
              <w:bottom w:val="single" w:sz="4" w:space="0" w:color="DEEAF6"/>
              <w:right w:val="single" w:sz="4" w:space="0" w:color="DEEAF6"/>
            </w:tcBorders>
            <w:shd w:val="clear" w:color="auto" w:fill="1F497D"/>
            <w:vAlign w:val="center"/>
          </w:tcPr>
          <w:p w14:paraId="6E9C3A5D" w14:textId="77777777" w:rsidR="00DA6B61" w:rsidRPr="005A1C76" w:rsidRDefault="00DA6B61" w:rsidP="00DA6B61">
            <w:pPr>
              <w:spacing w:after="0" w:line="240" w:lineRule="auto"/>
              <w:jc w:val="center"/>
              <w:rPr>
                <w:rFonts w:eastAsia="Calibri" w:cs="Calibri"/>
                <w:b/>
                <w:color w:val="FFFFFF"/>
                <w:sz w:val="20"/>
                <w:szCs w:val="20"/>
                <w:lang w:val="en-GB" w:eastAsia="hr-HR"/>
              </w:rPr>
            </w:pPr>
            <w:r w:rsidRPr="005A1C76">
              <w:rPr>
                <w:rFonts w:eastAsia="Calibri" w:cs="Calibri"/>
                <w:b/>
                <w:color w:val="FFFFFF"/>
                <w:sz w:val="20"/>
                <w:szCs w:val="20"/>
                <w:lang w:val="en-GB" w:eastAsia="hr-HR"/>
              </w:rPr>
              <w:t>Kritična komponenta</w:t>
            </w:r>
          </w:p>
        </w:tc>
      </w:tr>
      <w:tr w:rsidR="00DA6B61" w:rsidRPr="005A1C76" w14:paraId="176FEF8C" w14:textId="77777777" w:rsidTr="00DA6B61">
        <w:trPr>
          <w:cantSplit/>
          <w:trHeight w:hRule="exact" w:val="433"/>
        </w:trPr>
        <w:tc>
          <w:tcPr>
            <w:tcW w:w="1914" w:type="dxa"/>
            <w:vMerge w:val="restart"/>
            <w:tcBorders>
              <w:top w:val="single" w:sz="4" w:space="0" w:color="DEEAF6"/>
            </w:tcBorders>
            <w:vAlign w:val="center"/>
          </w:tcPr>
          <w:p w14:paraId="642E4F7D" w14:textId="77777777" w:rsidR="00DA6B61" w:rsidRPr="005A1C76" w:rsidRDefault="00DA6B61" w:rsidP="00DA6B61">
            <w:pPr>
              <w:autoSpaceDE w:val="0"/>
              <w:autoSpaceDN w:val="0"/>
              <w:adjustRightInd w:val="0"/>
              <w:spacing w:after="0" w:line="240" w:lineRule="auto"/>
              <w:textAlignment w:val="center"/>
              <w:rPr>
                <w:rFonts w:eastAsia="Calibri" w:cs="Calibri"/>
                <w:sz w:val="20"/>
                <w:szCs w:val="20"/>
                <w:lang w:val="en-GB" w:eastAsia="hr-HR"/>
              </w:rPr>
            </w:pPr>
            <w:r w:rsidRPr="005A1C76">
              <w:rPr>
                <w:rFonts w:eastAsia="Calibri" w:cs="Calibri"/>
                <w:sz w:val="20"/>
                <w:szCs w:val="20"/>
                <w:lang w:val="en-GB" w:eastAsia="hr-HR"/>
              </w:rPr>
              <w:t>Bokokotorski zaliv</w:t>
            </w:r>
          </w:p>
        </w:tc>
        <w:tc>
          <w:tcPr>
            <w:tcW w:w="2371" w:type="dxa"/>
            <w:tcBorders>
              <w:top w:val="single" w:sz="4" w:space="0" w:color="DEEAF6"/>
            </w:tcBorders>
            <w:shd w:val="clear" w:color="auto" w:fill="auto"/>
            <w:vAlign w:val="center"/>
          </w:tcPr>
          <w:p w14:paraId="5FAC63D2" w14:textId="77777777" w:rsidR="00DA6B61" w:rsidRPr="005A1C76" w:rsidRDefault="00DA6B61" w:rsidP="00DA6B61">
            <w:pPr>
              <w:spacing w:after="0" w:line="240" w:lineRule="auto"/>
              <w:rPr>
                <w:rFonts w:eastAsia="Calibri" w:cs="Calibri"/>
                <w:sz w:val="20"/>
                <w:szCs w:val="20"/>
                <w:lang w:val="en-GB" w:eastAsia="hr-HR"/>
              </w:rPr>
            </w:pPr>
            <w:r w:rsidRPr="005A1C76">
              <w:rPr>
                <w:rFonts w:eastAsia="Calibri" w:cs="Calibri"/>
                <w:sz w:val="20"/>
                <w:szCs w:val="20"/>
                <w:lang w:val="en-GB" w:eastAsia="hr-HR"/>
              </w:rPr>
              <w:t>Ljuta-B1</w:t>
            </w:r>
          </w:p>
        </w:tc>
        <w:tc>
          <w:tcPr>
            <w:tcW w:w="1367" w:type="dxa"/>
            <w:tcBorders>
              <w:top w:val="single" w:sz="4" w:space="0" w:color="DEEAF6"/>
            </w:tcBorders>
            <w:shd w:val="clear" w:color="auto" w:fill="95B3D7"/>
            <w:vAlign w:val="center"/>
          </w:tcPr>
          <w:p w14:paraId="737E6154" w14:textId="77777777" w:rsidR="00DA6B61" w:rsidRPr="005A1C76" w:rsidRDefault="00DA6B61" w:rsidP="00DA6B61">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Dobar</w:t>
            </w:r>
          </w:p>
        </w:tc>
        <w:tc>
          <w:tcPr>
            <w:tcW w:w="2371" w:type="dxa"/>
            <w:tcBorders>
              <w:top w:val="single" w:sz="4" w:space="0" w:color="DEEAF6"/>
            </w:tcBorders>
            <w:shd w:val="clear" w:color="auto" w:fill="auto"/>
            <w:vAlign w:val="center"/>
          </w:tcPr>
          <w:p w14:paraId="5268BEE3" w14:textId="77777777" w:rsidR="00DA6B61" w:rsidRPr="005A1C76" w:rsidRDefault="00DA6B61" w:rsidP="00DA6B61">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w:t>
            </w:r>
          </w:p>
        </w:tc>
      </w:tr>
      <w:tr w:rsidR="00DA6B61" w:rsidRPr="005A1C76" w14:paraId="228ACD42" w14:textId="77777777" w:rsidTr="00DA6B61">
        <w:trPr>
          <w:cantSplit/>
          <w:trHeight w:hRule="exact" w:val="433"/>
        </w:trPr>
        <w:tc>
          <w:tcPr>
            <w:tcW w:w="1914" w:type="dxa"/>
            <w:vMerge/>
            <w:vAlign w:val="center"/>
          </w:tcPr>
          <w:p w14:paraId="3C45829C" w14:textId="77777777" w:rsidR="00DA6B61" w:rsidRPr="005A1C76" w:rsidRDefault="00DA6B61" w:rsidP="00DA6B61">
            <w:pPr>
              <w:spacing w:after="0" w:line="240" w:lineRule="auto"/>
              <w:rPr>
                <w:rFonts w:eastAsia="Calibri" w:cs="Calibri"/>
                <w:sz w:val="20"/>
                <w:szCs w:val="20"/>
                <w:lang w:val="en-GB" w:eastAsia="hr-HR"/>
              </w:rPr>
            </w:pPr>
          </w:p>
        </w:tc>
        <w:tc>
          <w:tcPr>
            <w:tcW w:w="2371" w:type="dxa"/>
            <w:shd w:val="clear" w:color="auto" w:fill="auto"/>
            <w:vAlign w:val="center"/>
          </w:tcPr>
          <w:p w14:paraId="51B06FB7" w14:textId="77777777" w:rsidR="00DA6B61" w:rsidRPr="005A1C76" w:rsidRDefault="00DA6B61" w:rsidP="00DA6B61">
            <w:pPr>
              <w:spacing w:after="0" w:line="240" w:lineRule="auto"/>
              <w:rPr>
                <w:rFonts w:eastAsia="Calibri" w:cs="Calibri"/>
                <w:sz w:val="20"/>
                <w:szCs w:val="20"/>
                <w:lang w:val="en-GB" w:eastAsia="hr-HR"/>
              </w:rPr>
            </w:pPr>
            <w:r w:rsidRPr="005A1C76">
              <w:rPr>
                <w:rFonts w:eastAsia="Calibri" w:cs="Calibri"/>
                <w:sz w:val="20"/>
                <w:szCs w:val="20"/>
                <w:lang w:val="en-GB" w:eastAsia="hr-HR"/>
              </w:rPr>
              <w:t>Dražin vrt-B2</w:t>
            </w:r>
          </w:p>
        </w:tc>
        <w:tc>
          <w:tcPr>
            <w:tcW w:w="1367" w:type="dxa"/>
            <w:shd w:val="clear" w:color="auto" w:fill="95B3D7"/>
            <w:vAlign w:val="center"/>
          </w:tcPr>
          <w:p w14:paraId="78BA9F89" w14:textId="77777777" w:rsidR="00DA6B61" w:rsidRPr="005A1C76" w:rsidRDefault="00DA6B61" w:rsidP="00DA6B61">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Dobar</w:t>
            </w:r>
          </w:p>
        </w:tc>
        <w:tc>
          <w:tcPr>
            <w:tcW w:w="2371" w:type="dxa"/>
            <w:shd w:val="clear" w:color="auto" w:fill="auto"/>
            <w:vAlign w:val="center"/>
          </w:tcPr>
          <w:p w14:paraId="2A8745BA" w14:textId="77777777" w:rsidR="00DA6B61" w:rsidRPr="005A1C76" w:rsidRDefault="00DA6B61" w:rsidP="00DA6B61">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w:t>
            </w:r>
          </w:p>
        </w:tc>
      </w:tr>
      <w:tr w:rsidR="00DA6B61" w:rsidRPr="005A1C76" w14:paraId="400A62A8" w14:textId="77777777" w:rsidTr="00DA6B61">
        <w:trPr>
          <w:cantSplit/>
          <w:trHeight w:hRule="exact" w:val="433"/>
        </w:trPr>
        <w:tc>
          <w:tcPr>
            <w:tcW w:w="1914" w:type="dxa"/>
            <w:vMerge/>
            <w:vAlign w:val="center"/>
          </w:tcPr>
          <w:p w14:paraId="41F12AE7" w14:textId="77777777" w:rsidR="00DA6B61" w:rsidRPr="005A1C76" w:rsidRDefault="00DA6B61" w:rsidP="00DA6B61">
            <w:pPr>
              <w:spacing w:after="0" w:line="240" w:lineRule="auto"/>
              <w:rPr>
                <w:rFonts w:eastAsia="Calibri" w:cs="Calibri"/>
                <w:sz w:val="20"/>
                <w:szCs w:val="20"/>
                <w:lang w:val="en-GB" w:eastAsia="hr-HR"/>
              </w:rPr>
            </w:pPr>
          </w:p>
        </w:tc>
        <w:tc>
          <w:tcPr>
            <w:tcW w:w="2371" w:type="dxa"/>
            <w:shd w:val="clear" w:color="auto" w:fill="auto"/>
            <w:vAlign w:val="center"/>
          </w:tcPr>
          <w:p w14:paraId="5C07B629" w14:textId="77777777" w:rsidR="00DA6B61" w:rsidRPr="005A1C76" w:rsidRDefault="00DA6B61" w:rsidP="00DA6B61">
            <w:pPr>
              <w:spacing w:after="0" w:line="240" w:lineRule="auto"/>
              <w:rPr>
                <w:rFonts w:eastAsia="Calibri" w:cs="Calibri"/>
                <w:sz w:val="20"/>
                <w:szCs w:val="20"/>
                <w:lang w:val="en-GB" w:eastAsia="hr-HR"/>
              </w:rPr>
            </w:pPr>
            <w:r w:rsidRPr="005A1C76">
              <w:rPr>
                <w:rFonts w:eastAsia="Calibri" w:cs="Calibri"/>
                <w:sz w:val="20"/>
                <w:szCs w:val="20"/>
                <w:lang w:val="en-GB" w:eastAsia="hr-HR"/>
              </w:rPr>
              <w:t>Lipci-B3</w:t>
            </w:r>
          </w:p>
        </w:tc>
        <w:tc>
          <w:tcPr>
            <w:tcW w:w="1367" w:type="dxa"/>
            <w:shd w:val="clear" w:color="auto" w:fill="95B3D7"/>
            <w:vAlign w:val="center"/>
          </w:tcPr>
          <w:p w14:paraId="2EE41F5B" w14:textId="77777777" w:rsidR="00DA6B61" w:rsidRPr="005A1C76" w:rsidRDefault="00DA6B61" w:rsidP="00DA6B61">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Dobar</w:t>
            </w:r>
          </w:p>
        </w:tc>
        <w:tc>
          <w:tcPr>
            <w:tcW w:w="2371" w:type="dxa"/>
            <w:shd w:val="clear" w:color="auto" w:fill="auto"/>
            <w:vAlign w:val="center"/>
          </w:tcPr>
          <w:p w14:paraId="0093C572" w14:textId="77777777" w:rsidR="00DA6B61" w:rsidRPr="005A1C76" w:rsidRDefault="00DA6B61" w:rsidP="00DA6B61">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w:t>
            </w:r>
          </w:p>
        </w:tc>
      </w:tr>
      <w:tr w:rsidR="00DA6B61" w:rsidRPr="005A1C76" w14:paraId="4D45203C" w14:textId="77777777" w:rsidTr="00DA6B61">
        <w:trPr>
          <w:cantSplit/>
          <w:trHeight w:hRule="exact" w:val="433"/>
        </w:trPr>
        <w:tc>
          <w:tcPr>
            <w:tcW w:w="1914" w:type="dxa"/>
            <w:vMerge/>
            <w:vAlign w:val="center"/>
          </w:tcPr>
          <w:p w14:paraId="6977A25E" w14:textId="77777777" w:rsidR="00DA6B61" w:rsidRPr="005A1C76" w:rsidRDefault="00DA6B61" w:rsidP="00DA6B61">
            <w:pPr>
              <w:spacing w:after="0" w:line="240" w:lineRule="auto"/>
              <w:rPr>
                <w:rFonts w:eastAsia="Calibri" w:cs="Calibri"/>
                <w:sz w:val="20"/>
                <w:szCs w:val="20"/>
                <w:lang w:val="en-GB" w:eastAsia="hr-HR"/>
              </w:rPr>
            </w:pPr>
          </w:p>
        </w:tc>
        <w:tc>
          <w:tcPr>
            <w:tcW w:w="2371" w:type="dxa"/>
            <w:shd w:val="clear" w:color="auto" w:fill="auto"/>
            <w:vAlign w:val="center"/>
          </w:tcPr>
          <w:p w14:paraId="2D9CE590" w14:textId="77777777" w:rsidR="00DA6B61" w:rsidRPr="005A1C76" w:rsidRDefault="00DA6B61" w:rsidP="00DA6B61">
            <w:pPr>
              <w:spacing w:after="0" w:line="240" w:lineRule="auto"/>
              <w:rPr>
                <w:rFonts w:eastAsia="Calibri" w:cs="Calibri"/>
                <w:sz w:val="20"/>
                <w:szCs w:val="20"/>
                <w:lang w:val="en-GB" w:eastAsia="hr-HR"/>
              </w:rPr>
            </w:pPr>
            <w:r w:rsidRPr="005A1C76">
              <w:rPr>
                <w:rFonts w:eastAsia="Calibri" w:cs="Calibri"/>
                <w:sz w:val="20"/>
                <w:szCs w:val="20"/>
                <w:lang w:val="en-GB" w:eastAsia="hr-HR"/>
              </w:rPr>
              <w:t>Kalardovo-B4</w:t>
            </w:r>
          </w:p>
        </w:tc>
        <w:tc>
          <w:tcPr>
            <w:tcW w:w="1367" w:type="dxa"/>
            <w:shd w:val="clear" w:color="auto" w:fill="95B3D7"/>
            <w:vAlign w:val="center"/>
          </w:tcPr>
          <w:p w14:paraId="771F90FD" w14:textId="77777777" w:rsidR="00DA6B61" w:rsidRPr="005A1C76" w:rsidRDefault="00DA6B61" w:rsidP="00DA6B61">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Dobar</w:t>
            </w:r>
          </w:p>
        </w:tc>
        <w:tc>
          <w:tcPr>
            <w:tcW w:w="2371" w:type="dxa"/>
            <w:shd w:val="clear" w:color="auto" w:fill="auto"/>
            <w:vAlign w:val="center"/>
          </w:tcPr>
          <w:p w14:paraId="110A2549" w14:textId="77777777" w:rsidR="00DA6B61" w:rsidRPr="005A1C76" w:rsidRDefault="00DA6B61" w:rsidP="00DA6B61">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w:t>
            </w:r>
          </w:p>
        </w:tc>
      </w:tr>
      <w:tr w:rsidR="00DA6B61" w:rsidRPr="005A1C76" w14:paraId="003F46F1" w14:textId="77777777" w:rsidTr="00DA6B61">
        <w:trPr>
          <w:cantSplit/>
          <w:trHeight w:hRule="exact" w:val="433"/>
        </w:trPr>
        <w:tc>
          <w:tcPr>
            <w:tcW w:w="1914" w:type="dxa"/>
            <w:vMerge/>
            <w:vAlign w:val="center"/>
          </w:tcPr>
          <w:p w14:paraId="6FF278E8" w14:textId="77777777" w:rsidR="00DA6B61" w:rsidRPr="005A1C76" w:rsidRDefault="00DA6B61" w:rsidP="00DA6B61">
            <w:pPr>
              <w:spacing w:after="0" w:line="240" w:lineRule="auto"/>
              <w:rPr>
                <w:rFonts w:eastAsia="Calibri" w:cs="Calibri"/>
                <w:sz w:val="20"/>
                <w:szCs w:val="20"/>
                <w:lang w:val="en-GB" w:eastAsia="hr-HR"/>
              </w:rPr>
            </w:pPr>
          </w:p>
        </w:tc>
        <w:tc>
          <w:tcPr>
            <w:tcW w:w="2371" w:type="dxa"/>
            <w:shd w:val="clear" w:color="auto" w:fill="auto"/>
            <w:vAlign w:val="center"/>
          </w:tcPr>
          <w:p w14:paraId="441557B0" w14:textId="77777777" w:rsidR="00DA6B61" w:rsidRPr="005A1C76" w:rsidRDefault="00DA6B61" w:rsidP="00DA6B61">
            <w:pPr>
              <w:spacing w:after="0" w:line="240" w:lineRule="auto"/>
              <w:rPr>
                <w:rFonts w:eastAsia="Calibri" w:cs="Calibri"/>
                <w:sz w:val="20"/>
                <w:szCs w:val="20"/>
                <w:lang w:val="en-GB" w:eastAsia="hr-HR"/>
              </w:rPr>
            </w:pPr>
            <w:r w:rsidRPr="005A1C76">
              <w:rPr>
                <w:rFonts w:eastAsia="Calibri" w:cs="Calibri"/>
                <w:sz w:val="20"/>
                <w:szCs w:val="20"/>
                <w:lang w:val="en-GB" w:eastAsia="hr-HR"/>
              </w:rPr>
              <w:t>Solila-B5</w:t>
            </w:r>
          </w:p>
        </w:tc>
        <w:tc>
          <w:tcPr>
            <w:tcW w:w="1367" w:type="dxa"/>
            <w:shd w:val="clear" w:color="auto" w:fill="95B3D7"/>
            <w:vAlign w:val="center"/>
          </w:tcPr>
          <w:p w14:paraId="01D1DB13" w14:textId="77777777" w:rsidR="00DA6B61" w:rsidRPr="005A1C76" w:rsidRDefault="00DA6B61" w:rsidP="00DA6B61">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Dobar</w:t>
            </w:r>
          </w:p>
        </w:tc>
        <w:tc>
          <w:tcPr>
            <w:tcW w:w="2371" w:type="dxa"/>
            <w:shd w:val="clear" w:color="auto" w:fill="auto"/>
            <w:vAlign w:val="center"/>
          </w:tcPr>
          <w:p w14:paraId="6ACE1D19" w14:textId="77777777" w:rsidR="00DA6B61" w:rsidRPr="005A1C76" w:rsidRDefault="00DA6B61" w:rsidP="00DA6B61">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w:t>
            </w:r>
          </w:p>
        </w:tc>
      </w:tr>
      <w:tr w:rsidR="00DA6B61" w:rsidRPr="005A1C76" w14:paraId="3095970E" w14:textId="77777777" w:rsidTr="00DA6B61">
        <w:trPr>
          <w:cantSplit/>
          <w:trHeight w:hRule="exact" w:val="433"/>
        </w:trPr>
        <w:tc>
          <w:tcPr>
            <w:tcW w:w="1914" w:type="dxa"/>
            <w:vMerge/>
            <w:vAlign w:val="center"/>
          </w:tcPr>
          <w:p w14:paraId="16914386" w14:textId="77777777" w:rsidR="00DA6B61" w:rsidRPr="005A1C76" w:rsidRDefault="00DA6B61" w:rsidP="00DA6B61">
            <w:pPr>
              <w:spacing w:after="0" w:line="240" w:lineRule="auto"/>
              <w:rPr>
                <w:rFonts w:eastAsia="Calibri" w:cs="Calibri"/>
                <w:sz w:val="20"/>
                <w:szCs w:val="20"/>
                <w:lang w:val="en-GB" w:eastAsia="hr-HR"/>
              </w:rPr>
            </w:pPr>
          </w:p>
        </w:tc>
        <w:tc>
          <w:tcPr>
            <w:tcW w:w="2371" w:type="dxa"/>
            <w:shd w:val="clear" w:color="auto" w:fill="auto"/>
            <w:vAlign w:val="center"/>
          </w:tcPr>
          <w:p w14:paraId="5DD83975" w14:textId="77777777" w:rsidR="00DA6B61" w:rsidRPr="005A1C76" w:rsidRDefault="00DA6B61" w:rsidP="00DA6B61">
            <w:pPr>
              <w:spacing w:after="0" w:line="240" w:lineRule="auto"/>
              <w:rPr>
                <w:rFonts w:eastAsia="Calibri" w:cs="Calibri"/>
                <w:sz w:val="20"/>
                <w:szCs w:val="20"/>
                <w:lang w:val="en-GB" w:eastAsia="hr-HR"/>
              </w:rPr>
            </w:pPr>
            <w:r w:rsidRPr="005A1C76">
              <w:rPr>
                <w:rFonts w:eastAsia="Calibri" w:cs="Calibri"/>
                <w:sz w:val="20"/>
                <w:szCs w:val="20"/>
                <w:lang w:val="en-GB" w:eastAsia="hr-HR"/>
              </w:rPr>
              <w:t>Sveta Neđelja-B6</w:t>
            </w:r>
          </w:p>
        </w:tc>
        <w:tc>
          <w:tcPr>
            <w:tcW w:w="1367" w:type="dxa"/>
            <w:shd w:val="clear" w:color="auto" w:fill="95B3D7"/>
            <w:vAlign w:val="center"/>
          </w:tcPr>
          <w:p w14:paraId="4B21142D" w14:textId="77777777" w:rsidR="00DA6B61" w:rsidRPr="005A1C76" w:rsidRDefault="00DA6B61" w:rsidP="00DA6B61">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Dobar</w:t>
            </w:r>
          </w:p>
        </w:tc>
        <w:tc>
          <w:tcPr>
            <w:tcW w:w="2371" w:type="dxa"/>
            <w:shd w:val="clear" w:color="auto" w:fill="auto"/>
            <w:vAlign w:val="center"/>
          </w:tcPr>
          <w:p w14:paraId="4F0FEA1F" w14:textId="77777777" w:rsidR="00DA6B61" w:rsidRPr="005A1C76" w:rsidRDefault="00DA6B61" w:rsidP="00DA6B61">
            <w:pPr>
              <w:spacing w:after="0" w:line="240" w:lineRule="auto"/>
              <w:jc w:val="center"/>
              <w:rPr>
                <w:rFonts w:eastAsia="Calibri" w:cs="Calibri"/>
                <w:bCs/>
                <w:sz w:val="20"/>
                <w:szCs w:val="20"/>
                <w:lang w:val="en-GB" w:eastAsia="hr-HR"/>
              </w:rPr>
            </w:pPr>
            <w:r w:rsidRPr="005A1C76">
              <w:rPr>
                <w:rFonts w:eastAsia="Calibri" w:cs="Calibri"/>
                <w:bCs/>
                <w:sz w:val="20"/>
                <w:szCs w:val="20"/>
                <w:lang w:val="en-GB" w:eastAsia="hr-HR"/>
              </w:rPr>
              <w:t>-</w:t>
            </w:r>
          </w:p>
        </w:tc>
      </w:tr>
    </w:tbl>
    <w:p w14:paraId="75D0CE39" w14:textId="77777777" w:rsidR="00DA6B61" w:rsidRPr="005A1C76" w:rsidRDefault="00DA6B61" w:rsidP="00DA6B61">
      <w:pPr>
        <w:spacing w:after="0" w:line="240" w:lineRule="auto"/>
        <w:rPr>
          <w:rFonts w:eastAsia="Calibri"/>
          <w:sz w:val="20"/>
          <w:szCs w:val="20"/>
          <w:lang w:val="en-GB"/>
        </w:rPr>
      </w:pPr>
    </w:p>
    <w:p w14:paraId="66844E40" w14:textId="7E35F8F1" w:rsidR="00DA6B61" w:rsidRPr="005A1C76" w:rsidRDefault="00DA6B61" w:rsidP="00DA6B61">
      <w:pPr>
        <w:spacing w:after="0"/>
        <w:rPr>
          <w:rFonts w:eastAsia="Calibri"/>
          <w:lang w:val="en-GB"/>
        </w:rPr>
      </w:pPr>
      <w:r w:rsidRPr="005A1C76">
        <w:rPr>
          <w:rFonts w:eastAsia="Calibri"/>
          <w:lang w:val="en-GB"/>
        </w:rPr>
        <w:t>U tabeli 2.40 prikaza</w:t>
      </w:r>
      <w:r w:rsidR="00312B76">
        <w:rPr>
          <w:rFonts w:eastAsia="Calibri"/>
          <w:lang w:val="en-GB"/>
        </w:rPr>
        <w:t xml:space="preserve">na je procjena </w:t>
      </w:r>
      <w:r w:rsidRPr="005A1C76">
        <w:rPr>
          <w:rFonts w:eastAsia="Calibri"/>
          <w:lang w:val="en-GB"/>
        </w:rPr>
        <w:t xml:space="preserve"> </w:t>
      </w:r>
      <w:r w:rsidR="00312B76">
        <w:rPr>
          <w:rFonts w:eastAsia="Calibri"/>
          <w:lang w:val="en-GB"/>
        </w:rPr>
        <w:t xml:space="preserve">GES-a za D9 </w:t>
      </w:r>
      <w:r w:rsidR="007F5494">
        <w:rPr>
          <w:rFonts w:eastAsia="Calibri"/>
          <w:lang w:val="en-GB"/>
        </w:rPr>
        <w:t xml:space="preserve">u odnosu granične vrijenosti I kriterijume </w:t>
      </w:r>
      <w:r w:rsidRPr="005A1C76">
        <w:rPr>
          <w:rFonts w:eastAsia="Calibri"/>
          <w:lang w:val="en-GB"/>
        </w:rPr>
        <w:t>sadržan</w:t>
      </w:r>
      <w:r w:rsidR="007F5494">
        <w:rPr>
          <w:rFonts w:eastAsia="Calibri"/>
          <w:lang w:val="en-GB"/>
        </w:rPr>
        <w:t>e</w:t>
      </w:r>
      <w:r w:rsidRPr="005A1C76">
        <w:rPr>
          <w:rFonts w:eastAsia="Calibri"/>
          <w:lang w:val="en-GB"/>
        </w:rPr>
        <w:t xml:space="preserve"> u Commission Regulation (EC) No. 1881/2006, </w:t>
      </w:r>
      <w:r w:rsidR="007F5494">
        <w:rPr>
          <w:rFonts w:eastAsia="Calibri"/>
          <w:lang w:val="en-GB"/>
        </w:rPr>
        <w:t xml:space="preserve">te kriteriji I metodološki standardi </w:t>
      </w:r>
      <w:r w:rsidRPr="005A1C76">
        <w:rPr>
          <w:rFonts w:eastAsia="Calibri"/>
          <w:lang w:val="en-GB"/>
        </w:rPr>
        <w:t xml:space="preserve">kriterijumi i metodološki standardi korišćeni </w:t>
      </w:r>
      <w:r w:rsidR="00312B76">
        <w:rPr>
          <w:rFonts w:eastAsia="Calibri"/>
          <w:lang w:val="en-GB"/>
        </w:rPr>
        <w:t>u</w:t>
      </w:r>
      <w:r w:rsidRPr="005A1C76">
        <w:rPr>
          <w:rFonts w:eastAsia="Calibri"/>
          <w:lang w:val="en-GB"/>
        </w:rPr>
        <w:t xml:space="preserve">u procjeni GES-a </w:t>
      </w:r>
      <w:r w:rsidR="00312B76">
        <w:rPr>
          <w:rFonts w:eastAsia="Calibri"/>
          <w:lang w:val="en-GB"/>
        </w:rPr>
        <w:t>m</w:t>
      </w:r>
      <w:r w:rsidRPr="005A1C76">
        <w:rPr>
          <w:rFonts w:eastAsia="Calibri"/>
          <w:lang w:val="en-GB"/>
        </w:rPr>
        <w:t>orski</w:t>
      </w:r>
      <w:r w:rsidR="00312B76">
        <w:rPr>
          <w:rFonts w:eastAsia="Calibri"/>
          <w:lang w:val="en-GB"/>
        </w:rPr>
        <w:t xml:space="preserve">h organizama </w:t>
      </w:r>
      <w:r w:rsidRPr="005A1C76">
        <w:rPr>
          <w:rFonts w:eastAsia="Calibri"/>
          <w:lang w:val="en-GB"/>
        </w:rPr>
        <w:t xml:space="preserve"> (školjkama) u crnogorskom dijelu Jadranskog mora.</w:t>
      </w:r>
    </w:p>
    <w:p w14:paraId="13321131" w14:textId="77777777" w:rsidR="00DA6B61" w:rsidRDefault="00DA6B61" w:rsidP="00DA6B61">
      <w:pPr>
        <w:tabs>
          <w:tab w:val="left" w:pos="7328"/>
        </w:tabs>
        <w:spacing w:after="0" w:line="240" w:lineRule="auto"/>
        <w:rPr>
          <w:rFonts w:eastAsia="Calibri"/>
          <w:sz w:val="20"/>
          <w:szCs w:val="20"/>
          <w:lang w:val="en-GB"/>
        </w:rPr>
      </w:pPr>
      <w:bookmarkStart w:id="259" w:name="_Toc69718405"/>
    </w:p>
    <w:p w14:paraId="096A1768" w14:textId="77777777" w:rsidR="003466C5" w:rsidRDefault="003466C5" w:rsidP="00DA6B61">
      <w:pPr>
        <w:tabs>
          <w:tab w:val="left" w:pos="7328"/>
        </w:tabs>
        <w:spacing w:after="0" w:line="240" w:lineRule="auto"/>
        <w:rPr>
          <w:rFonts w:eastAsia="Calibri"/>
          <w:sz w:val="20"/>
          <w:szCs w:val="20"/>
          <w:lang w:val="en-GB"/>
        </w:rPr>
      </w:pPr>
    </w:p>
    <w:p w14:paraId="4610A60E" w14:textId="77777777" w:rsidR="003466C5" w:rsidRDefault="003466C5" w:rsidP="00DA6B61">
      <w:pPr>
        <w:tabs>
          <w:tab w:val="left" w:pos="7328"/>
        </w:tabs>
        <w:spacing w:after="0" w:line="240" w:lineRule="auto"/>
        <w:rPr>
          <w:rFonts w:eastAsia="Calibri"/>
          <w:sz w:val="20"/>
          <w:szCs w:val="20"/>
          <w:lang w:val="en-GB"/>
        </w:rPr>
      </w:pPr>
    </w:p>
    <w:p w14:paraId="07BF468C" w14:textId="77777777" w:rsidR="003466C5" w:rsidRDefault="003466C5" w:rsidP="00DA6B61">
      <w:pPr>
        <w:tabs>
          <w:tab w:val="left" w:pos="7328"/>
        </w:tabs>
        <w:spacing w:after="0" w:line="240" w:lineRule="auto"/>
        <w:rPr>
          <w:rFonts w:eastAsia="Calibri"/>
          <w:sz w:val="20"/>
          <w:szCs w:val="20"/>
          <w:lang w:val="en-GB"/>
        </w:rPr>
      </w:pPr>
    </w:p>
    <w:p w14:paraId="50022C12" w14:textId="77777777" w:rsidR="003466C5" w:rsidRDefault="003466C5" w:rsidP="00DA6B61">
      <w:pPr>
        <w:tabs>
          <w:tab w:val="left" w:pos="7328"/>
        </w:tabs>
        <w:spacing w:after="0" w:line="240" w:lineRule="auto"/>
        <w:rPr>
          <w:rFonts w:eastAsia="Calibri"/>
          <w:sz w:val="20"/>
          <w:szCs w:val="20"/>
          <w:lang w:val="en-GB"/>
        </w:rPr>
      </w:pPr>
    </w:p>
    <w:p w14:paraId="7E6185C1" w14:textId="77777777" w:rsidR="003466C5" w:rsidRDefault="003466C5" w:rsidP="00DA6B61">
      <w:pPr>
        <w:tabs>
          <w:tab w:val="left" w:pos="7328"/>
        </w:tabs>
        <w:spacing w:after="0" w:line="240" w:lineRule="auto"/>
        <w:rPr>
          <w:rFonts w:eastAsia="Calibri"/>
          <w:sz w:val="20"/>
          <w:szCs w:val="20"/>
          <w:lang w:val="en-GB"/>
        </w:rPr>
      </w:pPr>
    </w:p>
    <w:p w14:paraId="7E55276F" w14:textId="77777777" w:rsidR="003466C5" w:rsidRPr="005A1C76" w:rsidRDefault="003466C5" w:rsidP="00DA6B61">
      <w:pPr>
        <w:tabs>
          <w:tab w:val="left" w:pos="7328"/>
        </w:tabs>
        <w:spacing w:after="0" w:line="240" w:lineRule="auto"/>
        <w:rPr>
          <w:rFonts w:eastAsia="Calibri"/>
          <w:b/>
          <w:color w:val="FF0000"/>
          <w:lang w:val="en-GB"/>
        </w:rPr>
      </w:pPr>
    </w:p>
    <w:p w14:paraId="22C10EC3" w14:textId="23D6C3F0" w:rsidR="00DA6B61" w:rsidRPr="003466C5" w:rsidRDefault="00DA6B61" w:rsidP="00DA6B61">
      <w:pPr>
        <w:tabs>
          <w:tab w:val="left" w:pos="7328"/>
        </w:tabs>
        <w:spacing w:after="0" w:line="240" w:lineRule="auto"/>
        <w:rPr>
          <w:rFonts w:eastAsia="Calibri" w:cs="Calibri"/>
          <w:b/>
          <w:shd w:val="clear" w:color="auto" w:fill="FFFFFF"/>
          <w:lang w:val="en-GB"/>
        </w:rPr>
      </w:pPr>
      <w:bookmarkStart w:id="260" w:name="_Toc83643186"/>
      <w:bookmarkEnd w:id="259"/>
      <w:r w:rsidRPr="005A1C76">
        <w:rPr>
          <w:rFonts w:eastAsia="Calibri"/>
          <w:b/>
          <w:lang w:val="en-GB"/>
        </w:rPr>
        <w:t xml:space="preserve">Tabela </w:t>
      </w:r>
      <w:r w:rsidRPr="005A1C76">
        <w:rPr>
          <w:b/>
        </w:rPr>
        <w:fldChar w:fldCharType="begin"/>
      </w:r>
      <w:r w:rsidRPr="005A1C76">
        <w:rPr>
          <w:b/>
        </w:rPr>
        <w:instrText xml:space="preserve"> STYLEREF 1 \s </w:instrText>
      </w:r>
      <w:r w:rsidRPr="005A1C76">
        <w:rPr>
          <w:b/>
        </w:rPr>
        <w:fldChar w:fldCharType="separate"/>
      </w:r>
      <w:r w:rsidR="000D1E20">
        <w:rPr>
          <w:b/>
          <w:noProof/>
        </w:rPr>
        <w:t>2</w:t>
      </w:r>
      <w:r w:rsidRPr="005A1C76">
        <w:rPr>
          <w:b/>
        </w:rPr>
        <w:fldChar w:fldCharType="end"/>
      </w:r>
      <w:r w:rsidRPr="005A1C76">
        <w:rPr>
          <w:b/>
        </w:rPr>
        <w:t>.</w:t>
      </w:r>
      <w:r w:rsidRPr="005A1C76">
        <w:rPr>
          <w:b/>
        </w:rPr>
        <w:fldChar w:fldCharType="begin"/>
      </w:r>
      <w:r w:rsidRPr="005A1C76">
        <w:rPr>
          <w:b/>
        </w:rPr>
        <w:instrText xml:space="preserve"> SEQ Table \* ARABIC \s 1 </w:instrText>
      </w:r>
      <w:r w:rsidRPr="005A1C76">
        <w:rPr>
          <w:b/>
        </w:rPr>
        <w:fldChar w:fldCharType="separate"/>
      </w:r>
      <w:r w:rsidR="000D1E20">
        <w:rPr>
          <w:b/>
          <w:noProof/>
        </w:rPr>
        <w:t>28</w:t>
      </w:r>
      <w:r w:rsidRPr="005A1C76">
        <w:rPr>
          <w:b/>
        </w:rPr>
        <w:fldChar w:fldCharType="end"/>
      </w:r>
      <w:r w:rsidRPr="005A1C76">
        <w:rPr>
          <w:b/>
        </w:rPr>
        <w:t>.</w:t>
      </w:r>
      <w:r w:rsidRPr="005A1C76">
        <w:rPr>
          <w:rFonts w:eastAsia="Calibri" w:cs="Calibri"/>
          <w:b/>
          <w:lang w:val="en-GB"/>
        </w:rPr>
        <w:t xml:space="preserve"> Procjena GES-a za D9 u skladu sa kriterjumima iz </w:t>
      </w:r>
      <w:r w:rsidRPr="005A1C76">
        <w:rPr>
          <w:rFonts w:eastAsia="Calibri" w:cs="Calibri"/>
          <w:b/>
          <w:shd w:val="clear" w:color="auto" w:fill="FFFFFF"/>
          <w:lang w:val="en-GB"/>
        </w:rPr>
        <w:t>Commission Decision (EU) 2017/848</w:t>
      </w:r>
      <w:bookmarkEnd w:id="260"/>
    </w:p>
    <w:tbl>
      <w:tblPr>
        <w:tblStyle w:val="GolderTable6"/>
        <w:tblpPr w:leftFromText="180" w:rightFromText="180" w:vertAnchor="text" w:horzAnchor="margin" w:tblpY="54"/>
        <w:tblW w:w="0" w:type="auto"/>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2390"/>
        <w:gridCol w:w="6615"/>
      </w:tblGrid>
      <w:tr w:rsidR="006A7CA8" w:rsidRPr="005A1C76" w14:paraId="0DAE0CEB" w14:textId="77777777" w:rsidTr="00C42B0B">
        <w:trPr>
          <w:trHeight w:val="411"/>
        </w:trPr>
        <w:tc>
          <w:tcPr>
            <w:tcW w:w="900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5C0D84D7" w14:textId="4157F313" w:rsidR="006A7CA8" w:rsidRPr="00387195" w:rsidRDefault="006A7CA8" w:rsidP="006A7CA8">
            <w:pPr>
              <w:jc w:val="center"/>
              <w:rPr>
                <w:b/>
                <w:color w:val="FFFFFF" w:themeColor="background1"/>
                <w:lang w:val="en-GB"/>
              </w:rPr>
            </w:pPr>
            <w:r>
              <w:rPr>
                <w:b/>
                <w:color w:val="FFFFFF" w:themeColor="background1"/>
                <w:lang w:val="en-GB"/>
              </w:rPr>
              <w:t>Područje procjene: nacionalni nivo – crnogorski dio Jadrana</w:t>
            </w:r>
          </w:p>
        </w:tc>
      </w:tr>
      <w:tr w:rsidR="00DA6B61" w:rsidRPr="005A1C76" w14:paraId="259A921B" w14:textId="77777777" w:rsidTr="00C42B0B">
        <w:trPr>
          <w:trHeight w:val="553"/>
        </w:trPr>
        <w:tc>
          <w:tcPr>
            <w:tcW w:w="2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5A1C1F6" w14:textId="48E11A69" w:rsidR="00DA6B61" w:rsidRPr="00387195" w:rsidRDefault="00DA6B61" w:rsidP="00DA6B61">
            <w:pPr>
              <w:rPr>
                <w:b/>
                <w:color w:val="FFFFFF" w:themeColor="background1"/>
                <w:lang w:val="en-GB"/>
              </w:rPr>
            </w:pPr>
            <w:r w:rsidRPr="00387195">
              <w:rPr>
                <w:b/>
                <w:color w:val="FFFFFF" w:themeColor="background1"/>
                <w:lang w:val="en-GB"/>
              </w:rPr>
              <w:t>Kriterijum</w:t>
            </w:r>
          </w:p>
        </w:tc>
        <w:tc>
          <w:tcPr>
            <w:tcW w:w="66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599AE045" w14:textId="77777777" w:rsidR="00DA6B61" w:rsidRPr="00387195" w:rsidRDefault="00DA6B61" w:rsidP="00DA6B61">
            <w:pPr>
              <w:rPr>
                <w:b/>
                <w:color w:val="FFFFFF" w:themeColor="background1"/>
                <w:lang w:val="en-GB"/>
              </w:rPr>
            </w:pPr>
            <w:r w:rsidRPr="00387195">
              <w:rPr>
                <w:b/>
                <w:color w:val="FFFFFF" w:themeColor="background1"/>
                <w:lang w:val="en-GB"/>
              </w:rPr>
              <w:t>Dobro stanje sredine</w:t>
            </w:r>
          </w:p>
        </w:tc>
      </w:tr>
      <w:tr w:rsidR="00DA6B61" w:rsidRPr="005A1C76" w14:paraId="3A1B2E5C" w14:textId="77777777" w:rsidTr="00C42B0B">
        <w:trPr>
          <w:trHeight w:val="2929"/>
        </w:trPr>
        <w:tc>
          <w:tcPr>
            <w:tcW w:w="2390" w:type="dxa"/>
            <w:tcBorders>
              <w:top w:val="single" w:sz="4" w:space="0" w:color="FFFFFF" w:themeColor="background1"/>
            </w:tcBorders>
          </w:tcPr>
          <w:p w14:paraId="35E3E3E3" w14:textId="77777777" w:rsidR="00DA6B61" w:rsidRPr="005A1C76" w:rsidRDefault="00DA6B61" w:rsidP="00DA6B61">
            <w:pPr>
              <w:rPr>
                <w:b/>
                <w:sz w:val="20"/>
                <w:szCs w:val="20"/>
                <w:lang w:val="en-GB"/>
              </w:rPr>
            </w:pPr>
            <w:r w:rsidRPr="005A1C76">
              <w:rPr>
                <w:b/>
                <w:sz w:val="20"/>
                <w:szCs w:val="20"/>
                <w:lang w:val="en-GB"/>
              </w:rPr>
              <w:t>Kriterijum D9C1:</w:t>
            </w:r>
          </w:p>
          <w:p w14:paraId="02AA3949" w14:textId="77777777" w:rsidR="00DA6B61" w:rsidRPr="005A1C76" w:rsidRDefault="00DA6B61" w:rsidP="00DA6B61">
            <w:pPr>
              <w:rPr>
                <w:sz w:val="20"/>
                <w:szCs w:val="20"/>
                <w:lang w:val="en-GB"/>
              </w:rPr>
            </w:pPr>
            <w:r w:rsidRPr="005A1C76">
              <w:rPr>
                <w:sz w:val="20"/>
                <w:szCs w:val="20"/>
                <w:lang w:val="en-GB"/>
              </w:rPr>
              <w:t>Kontaminanti navedeni u Commission Regulation (EC) No. 1881/2006 za školjke:</w:t>
            </w:r>
          </w:p>
          <w:p w14:paraId="57645360" w14:textId="77777777" w:rsidR="00DA6B61" w:rsidRPr="005A1C76" w:rsidRDefault="00DA6B61" w:rsidP="00DA6B61">
            <w:pPr>
              <w:rPr>
                <w:sz w:val="20"/>
                <w:szCs w:val="20"/>
                <w:lang w:val="en-GB"/>
              </w:rPr>
            </w:pPr>
            <w:r w:rsidRPr="005A1C76">
              <w:rPr>
                <w:sz w:val="20"/>
                <w:szCs w:val="20"/>
                <w:lang w:val="en-GB"/>
              </w:rPr>
              <w:t>1.</w:t>
            </w:r>
            <w:r w:rsidRPr="005A1C76">
              <w:rPr>
                <w:sz w:val="20"/>
                <w:szCs w:val="20"/>
                <w:lang w:val="en-GB"/>
              </w:rPr>
              <w:tab/>
              <w:t>Pb</w:t>
            </w:r>
          </w:p>
          <w:p w14:paraId="3EDF6A03" w14:textId="77777777" w:rsidR="00DA6B61" w:rsidRPr="005A1C76" w:rsidRDefault="00DA6B61" w:rsidP="00DA6B61">
            <w:pPr>
              <w:rPr>
                <w:sz w:val="20"/>
                <w:szCs w:val="20"/>
                <w:lang w:val="en-GB"/>
              </w:rPr>
            </w:pPr>
            <w:r w:rsidRPr="005A1C76">
              <w:rPr>
                <w:sz w:val="20"/>
                <w:szCs w:val="20"/>
                <w:lang w:val="en-GB"/>
              </w:rPr>
              <w:t>2.</w:t>
            </w:r>
            <w:r w:rsidRPr="005A1C76">
              <w:rPr>
                <w:sz w:val="20"/>
                <w:szCs w:val="20"/>
                <w:lang w:val="en-GB"/>
              </w:rPr>
              <w:tab/>
              <w:t>Cd</w:t>
            </w:r>
          </w:p>
          <w:p w14:paraId="1BF2C14B" w14:textId="77777777" w:rsidR="00DA6B61" w:rsidRPr="005A1C76" w:rsidRDefault="00DA6B61" w:rsidP="00DA6B61">
            <w:pPr>
              <w:rPr>
                <w:sz w:val="20"/>
                <w:szCs w:val="20"/>
                <w:lang w:val="en-GB"/>
              </w:rPr>
            </w:pPr>
            <w:r w:rsidRPr="005A1C76">
              <w:rPr>
                <w:sz w:val="20"/>
                <w:szCs w:val="20"/>
                <w:lang w:val="en-GB"/>
              </w:rPr>
              <w:t>3.</w:t>
            </w:r>
            <w:r w:rsidRPr="005A1C76">
              <w:rPr>
                <w:sz w:val="20"/>
                <w:szCs w:val="20"/>
                <w:lang w:val="en-GB"/>
              </w:rPr>
              <w:tab/>
              <w:t>Hg</w:t>
            </w:r>
          </w:p>
          <w:p w14:paraId="4AEE29AB" w14:textId="77777777" w:rsidR="00DA6B61" w:rsidRPr="005A1C76" w:rsidRDefault="00DA6B61" w:rsidP="00DA6B61">
            <w:pPr>
              <w:rPr>
                <w:sz w:val="20"/>
                <w:szCs w:val="20"/>
                <w:lang w:val="en-GB"/>
              </w:rPr>
            </w:pPr>
            <w:r w:rsidRPr="005A1C76">
              <w:rPr>
                <w:sz w:val="20"/>
                <w:szCs w:val="20"/>
                <w:lang w:val="en-GB"/>
              </w:rPr>
              <w:t>4.</w:t>
            </w:r>
            <w:r w:rsidRPr="005A1C76">
              <w:rPr>
                <w:sz w:val="20"/>
                <w:szCs w:val="20"/>
                <w:lang w:val="en-GB"/>
              </w:rPr>
              <w:tab/>
              <w:t>benzo(a)piren</w:t>
            </w:r>
          </w:p>
          <w:p w14:paraId="2DC173A4" w14:textId="77777777" w:rsidR="00DA6B61" w:rsidRPr="005A1C76" w:rsidRDefault="00DA6B61" w:rsidP="00DA6B61">
            <w:pPr>
              <w:rPr>
                <w:sz w:val="20"/>
                <w:szCs w:val="20"/>
                <w:lang w:val="en-GB"/>
              </w:rPr>
            </w:pPr>
            <w:r w:rsidRPr="005A1C76">
              <w:rPr>
                <w:sz w:val="20"/>
                <w:szCs w:val="20"/>
                <w:lang w:val="en-GB"/>
              </w:rPr>
              <w:t>5.</w:t>
            </w:r>
            <w:r w:rsidRPr="005A1C76">
              <w:rPr>
                <w:sz w:val="20"/>
                <w:szCs w:val="20"/>
                <w:lang w:val="en-GB"/>
              </w:rPr>
              <w:tab/>
              <w:t xml:space="preserve">suma benzo(a)anthracena,  </w:t>
            </w:r>
          </w:p>
          <w:p w14:paraId="717E3158" w14:textId="77777777" w:rsidR="00DA6B61" w:rsidRPr="005A1C76" w:rsidRDefault="00DA6B61" w:rsidP="00DA6B61">
            <w:pPr>
              <w:rPr>
                <w:sz w:val="20"/>
                <w:szCs w:val="20"/>
                <w:lang w:val="en-GB"/>
              </w:rPr>
            </w:pPr>
            <w:r w:rsidRPr="005A1C76">
              <w:rPr>
                <w:sz w:val="20"/>
                <w:szCs w:val="20"/>
                <w:lang w:val="en-GB"/>
              </w:rPr>
              <w:t>benzo(b)flourantena, hrizena i benzo(a)pirena</w:t>
            </w:r>
          </w:p>
        </w:tc>
        <w:tc>
          <w:tcPr>
            <w:tcW w:w="6615" w:type="dxa"/>
            <w:tcBorders>
              <w:top w:val="single" w:sz="4" w:space="0" w:color="FFFFFF" w:themeColor="background1"/>
            </w:tcBorders>
          </w:tcPr>
          <w:p w14:paraId="1137E3D9" w14:textId="61CC9BF7" w:rsidR="00DA6B61" w:rsidRPr="005A1C76" w:rsidRDefault="00DA6B61" w:rsidP="00DA6B61">
            <w:pPr>
              <w:rPr>
                <w:sz w:val="20"/>
                <w:szCs w:val="20"/>
                <w:lang w:val="en-GB"/>
              </w:rPr>
            </w:pPr>
            <w:r w:rsidRPr="005A1C76">
              <w:rPr>
                <w:sz w:val="20"/>
                <w:szCs w:val="20"/>
                <w:lang w:val="en-GB"/>
              </w:rPr>
              <w:t xml:space="preserve">GES je postignut u </w:t>
            </w:r>
            <w:r w:rsidR="00941F15">
              <w:rPr>
                <w:sz w:val="20"/>
                <w:szCs w:val="20"/>
                <w:lang w:val="en-GB"/>
              </w:rPr>
              <w:t xml:space="preserve">crnogorskom dijelu </w:t>
            </w:r>
            <w:r w:rsidRPr="005A1C76">
              <w:rPr>
                <w:sz w:val="20"/>
                <w:szCs w:val="20"/>
                <w:lang w:val="en-GB"/>
              </w:rPr>
              <w:t>Jadranskog mora</w:t>
            </w:r>
            <w:r w:rsidR="00941F15">
              <w:rPr>
                <w:sz w:val="20"/>
                <w:szCs w:val="20"/>
                <w:lang w:val="en-GB"/>
              </w:rPr>
              <w:t xml:space="preserve"> za kriterijum D9C1.</w:t>
            </w:r>
          </w:p>
          <w:p w14:paraId="282CBE72" w14:textId="77777777" w:rsidR="00DA6B61" w:rsidRPr="005A1C76" w:rsidRDefault="00DA6B61" w:rsidP="00DA6B61">
            <w:pPr>
              <w:rPr>
                <w:sz w:val="20"/>
                <w:szCs w:val="20"/>
                <w:lang w:val="en-GB"/>
              </w:rPr>
            </w:pPr>
          </w:p>
          <w:p w14:paraId="5792E13F" w14:textId="07F5166D" w:rsidR="00DA6B61" w:rsidRPr="005A1C76" w:rsidRDefault="00DA6B61" w:rsidP="00DA6B61">
            <w:pPr>
              <w:rPr>
                <w:sz w:val="20"/>
                <w:szCs w:val="20"/>
                <w:lang w:val="en-GB"/>
              </w:rPr>
            </w:pPr>
            <w:r w:rsidRPr="005A1C76">
              <w:rPr>
                <w:sz w:val="20"/>
                <w:szCs w:val="20"/>
                <w:lang w:val="en-GB"/>
              </w:rPr>
              <w:t>Nivoi kontaminanata u jestivim tkivima školjki ​​ulovljenih ili uzgajanih u divljini ne prelaz</w:t>
            </w:r>
            <w:r w:rsidR="00941F15">
              <w:rPr>
                <w:sz w:val="20"/>
                <w:szCs w:val="20"/>
                <w:lang w:val="en-GB"/>
              </w:rPr>
              <w:t>e</w:t>
            </w:r>
            <w:r w:rsidRPr="005A1C76">
              <w:rPr>
                <w:sz w:val="20"/>
                <w:szCs w:val="20"/>
                <w:lang w:val="en-GB"/>
              </w:rPr>
              <w:t xml:space="preserve"> maksimalne </w:t>
            </w:r>
            <w:r w:rsidR="00941F15">
              <w:rPr>
                <w:sz w:val="20"/>
                <w:szCs w:val="20"/>
                <w:lang w:val="en-GB"/>
              </w:rPr>
              <w:t xml:space="preserve">dozvoljene vrijednosti </w:t>
            </w:r>
            <w:r w:rsidR="009F77E1">
              <w:rPr>
                <w:sz w:val="20"/>
                <w:szCs w:val="20"/>
                <w:lang w:val="en-GB"/>
              </w:rPr>
              <w:t xml:space="preserve">prema </w:t>
            </w:r>
            <w:r w:rsidRPr="005A1C76">
              <w:rPr>
                <w:sz w:val="20"/>
                <w:szCs w:val="20"/>
                <w:lang w:val="en-GB"/>
              </w:rPr>
              <w:t>Commission Regulation (EC) No. 1881/2006.</w:t>
            </w:r>
          </w:p>
          <w:p w14:paraId="38D812D1" w14:textId="620DF90C" w:rsidR="00DA6B61" w:rsidRPr="005A1C76" w:rsidRDefault="00DA6B61" w:rsidP="00DA6B61">
            <w:pPr>
              <w:rPr>
                <w:sz w:val="20"/>
                <w:szCs w:val="20"/>
                <w:lang w:val="en-GB"/>
              </w:rPr>
            </w:pPr>
            <w:r w:rsidRPr="005A1C76">
              <w:rPr>
                <w:sz w:val="20"/>
                <w:szCs w:val="20"/>
                <w:lang w:val="en-GB"/>
              </w:rPr>
              <w:t>Maksimaln</w:t>
            </w:r>
            <w:r w:rsidR="00941F15">
              <w:rPr>
                <w:sz w:val="20"/>
                <w:szCs w:val="20"/>
                <w:lang w:val="en-GB"/>
              </w:rPr>
              <w:t>e utvrđene vrijednosti iznosile su:</w:t>
            </w:r>
          </w:p>
          <w:p w14:paraId="5456A91A" w14:textId="77777777" w:rsidR="00DA6B61" w:rsidRPr="005A1C76" w:rsidRDefault="00DA6B61" w:rsidP="00DA6B61">
            <w:pPr>
              <w:rPr>
                <w:sz w:val="20"/>
                <w:szCs w:val="20"/>
                <w:lang w:val="en-GB"/>
              </w:rPr>
            </w:pPr>
            <w:r w:rsidRPr="005A1C76">
              <w:rPr>
                <w:sz w:val="20"/>
                <w:szCs w:val="20"/>
                <w:lang w:val="en-GB"/>
              </w:rPr>
              <w:t>1.</w:t>
            </w:r>
            <w:r w:rsidRPr="005A1C76">
              <w:rPr>
                <w:sz w:val="20"/>
                <w:szCs w:val="20"/>
                <w:lang w:val="en-GB"/>
              </w:rPr>
              <w:tab/>
              <w:t>Pb-1,5 mg/kg</w:t>
            </w:r>
          </w:p>
          <w:p w14:paraId="1BA227BC" w14:textId="77777777" w:rsidR="00DA6B61" w:rsidRPr="005A1C76" w:rsidRDefault="00DA6B61" w:rsidP="00DA6B61">
            <w:pPr>
              <w:rPr>
                <w:sz w:val="20"/>
                <w:szCs w:val="20"/>
                <w:lang w:val="en-GB"/>
              </w:rPr>
            </w:pPr>
            <w:r w:rsidRPr="005A1C76">
              <w:rPr>
                <w:sz w:val="20"/>
                <w:szCs w:val="20"/>
                <w:lang w:val="en-GB"/>
              </w:rPr>
              <w:t>2.</w:t>
            </w:r>
            <w:r w:rsidRPr="005A1C76">
              <w:rPr>
                <w:sz w:val="20"/>
                <w:szCs w:val="20"/>
                <w:lang w:val="en-GB"/>
              </w:rPr>
              <w:tab/>
              <w:t>Cd-1 mg/kg</w:t>
            </w:r>
          </w:p>
          <w:p w14:paraId="36DB103E" w14:textId="77777777" w:rsidR="00DA6B61" w:rsidRPr="005A1C76" w:rsidRDefault="00DA6B61" w:rsidP="00DA6B61">
            <w:pPr>
              <w:rPr>
                <w:sz w:val="20"/>
                <w:szCs w:val="20"/>
                <w:lang w:val="en-GB"/>
              </w:rPr>
            </w:pPr>
            <w:r w:rsidRPr="005A1C76">
              <w:rPr>
                <w:sz w:val="20"/>
                <w:szCs w:val="20"/>
                <w:lang w:val="en-GB"/>
              </w:rPr>
              <w:t>3.</w:t>
            </w:r>
            <w:r w:rsidRPr="005A1C76">
              <w:rPr>
                <w:sz w:val="20"/>
                <w:szCs w:val="20"/>
                <w:lang w:val="en-GB"/>
              </w:rPr>
              <w:tab/>
              <w:t>Hg-0,5 mg/kg</w:t>
            </w:r>
          </w:p>
          <w:p w14:paraId="0D0AF62A" w14:textId="77777777" w:rsidR="00DA6B61" w:rsidRPr="005A1C76" w:rsidRDefault="00DA6B61" w:rsidP="00DA6B61">
            <w:pPr>
              <w:rPr>
                <w:sz w:val="20"/>
                <w:szCs w:val="20"/>
                <w:lang w:val="en-GB"/>
              </w:rPr>
            </w:pPr>
            <w:r w:rsidRPr="005A1C76">
              <w:rPr>
                <w:sz w:val="20"/>
                <w:szCs w:val="20"/>
                <w:lang w:val="en-GB"/>
              </w:rPr>
              <w:t>4.</w:t>
            </w:r>
            <w:r w:rsidRPr="005A1C76">
              <w:rPr>
                <w:sz w:val="20"/>
                <w:szCs w:val="20"/>
                <w:lang w:val="en-GB"/>
              </w:rPr>
              <w:tab/>
              <w:t>benzo(a)piren-5,0 μg/kg</w:t>
            </w:r>
          </w:p>
          <w:p w14:paraId="7892625A" w14:textId="77777777" w:rsidR="00DA6B61" w:rsidRPr="005A1C76" w:rsidRDefault="00DA6B61" w:rsidP="00DA6B61">
            <w:pPr>
              <w:rPr>
                <w:sz w:val="20"/>
                <w:szCs w:val="20"/>
                <w:lang w:val="en-GB"/>
              </w:rPr>
            </w:pPr>
            <w:r w:rsidRPr="005A1C76">
              <w:rPr>
                <w:sz w:val="20"/>
                <w:szCs w:val="20"/>
                <w:lang w:val="en-GB"/>
              </w:rPr>
              <w:t>5.</w:t>
            </w:r>
            <w:r w:rsidRPr="005A1C76">
              <w:rPr>
                <w:sz w:val="20"/>
                <w:szCs w:val="20"/>
                <w:lang w:val="en-GB"/>
              </w:rPr>
              <w:tab/>
              <w:t>suma benzo(a)anthracena,</w:t>
            </w:r>
          </w:p>
          <w:p w14:paraId="22D40045" w14:textId="77777777" w:rsidR="00DA6B61" w:rsidRPr="005A1C76" w:rsidRDefault="00DA6B61" w:rsidP="00DA6B61">
            <w:pPr>
              <w:rPr>
                <w:b/>
                <w:sz w:val="20"/>
                <w:szCs w:val="20"/>
                <w:lang w:val="en-GB"/>
              </w:rPr>
            </w:pPr>
            <w:r w:rsidRPr="005A1C76">
              <w:rPr>
                <w:sz w:val="20"/>
                <w:szCs w:val="20"/>
                <w:lang w:val="en-GB"/>
              </w:rPr>
              <w:t>benzo(b)flourantena, hrizena i benzo(a)pirena -30,0 μg/kg</w:t>
            </w:r>
          </w:p>
        </w:tc>
      </w:tr>
    </w:tbl>
    <w:p w14:paraId="3FCE4A5A" w14:textId="2E63D4E4" w:rsidR="00DA6B61" w:rsidRDefault="00DA6B61" w:rsidP="00DA6B61">
      <w:pPr>
        <w:spacing w:after="0" w:line="240" w:lineRule="auto"/>
        <w:rPr>
          <w:rFonts w:eastAsia="Calibri"/>
          <w:sz w:val="20"/>
          <w:szCs w:val="20"/>
          <w:lang w:val="en-GB"/>
        </w:rPr>
      </w:pPr>
    </w:p>
    <w:p w14:paraId="46EAFFFA" w14:textId="77777777" w:rsidR="00965760" w:rsidRPr="005A1C76" w:rsidRDefault="00965760" w:rsidP="00DA6B61">
      <w:pPr>
        <w:spacing w:after="0" w:line="240" w:lineRule="auto"/>
        <w:rPr>
          <w:rFonts w:eastAsia="Calibri"/>
          <w:sz w:val="20"/>
          <w:szCs w:val="20"/>
          <w:lang w:val="en-GB"/>
        </w:rPr>
      </w:pPr>
    </w:p>
    <w:p w14:paraId="6000A998" w14:textId="24488FA0" w:rsidR="00DA6B61" w:rsidRPr="00DA6B61" w:rsidRDefault="00DA6B61" w:rsidP="00DA6B61">
      <w:pPr>
        <w:pStyle w:val="Heading3"/>
        <w:rPr>
          <w:rFonts w:eastAsia="Calibri"/>
          <w:lang w:val="en-GB" w:eastAsia="en-US"/>
        </w:rPr>
      </w:pPr>
      <w:bookmarkStart w:id="261" w:name="_Toc83630947"/>
      <w:bookmarkEnd w:id="255"/>
      <w:bookmarkEnd w:id="256"/>
      <w:r w:rsidRPr="00DA6B61">
        <w:rPr>
          <w:rFonts w:eastAsia="Calibri"/>
          <w:color w:val="365F91"/>
          <w:lang w:val="en-GB"/>
        </w:rPr>
        <w:t xml:space="preserve">Pristup </w:t>
      </w:r>
      <w:r w:rsidR="00941F15">
        <w:rPr>
          <w:rFonts w:eastAsia="Calibri"/>
          <w:color w:val="365F91"/>
          <w:lang w:val="en-GB"/>
        </w:rPr>
        <w:t xml:space="preserve">definisanju </w:t>
      </w:r>
      <w:r w:rsidRPr="00DA6B61">
        <w:rPr>
          <w:rFonts w:eastAsia="Calibri"/>
          <w:color w:val="365F91"/>
          <w:lang w:val="en-GB"/>
        </w:rPr>
        <w:t>ciljeva za Descriptor 9</w:t>
      </w:r>
      <w:bookmarkEnd w:id="261"/>
    </w:p>
    <w:p w14:paraId="1FA17056" w14:textId="286B4E42" w:rsidR="00DA6B61" w:rsidRPr="005A1C76" w:rsidRDefault="00DA6B61" w:rsidP="00DA6B61">
      <w:pPr>
        <w:autoSpaceDE w:val="0"/>
        <w:autoSpaceDN w:val="0"/>
        <w:adjustRightInd w:val="0"/>
        <w:rPr>
          <w:rFonts w:eastAsia="Calibri" w:cs="Calibri"/>
          <w:color w:val="000000"/>
          <w:lang w:val="en-GB"/>
        </w:rPr>
      </w:pPr>
      <w:r w:rsidRPr="005A1C76">
        <w:rPr>
          <w:rFonts w:eastAsia="Calibri" w:cs="Calibri"/>
          <w:color w:val="000000"/>
          <w:lang w:val="en-GB"/>
        </w:rPr>
        <w:t xml:space="preserve">Predloženi cilj za kontaminate u ribi i morskim </w:t>
      </w:r>
      <w:r w:rsidR="00941F15">
        <w:rPr>
          <w:rFonts w:eastAsia="Calibri" w:cs="Calibri"/>
          <w:color w:val="000000"/>
          <w:lang w:val="en-GB"/>
        </w:rPr>
        <w:t>organizmima za ljudsku ishranu</w:t>
      </w:r>
      <w:r w:rsidRPr="005A1C76">
        <w:rPr>
          <w:rFonts w:eastAsia="Calibri" w:cs="Calibri"/>
          <w:color w:val="000000"/>
          <w:lang w:val="en-GB"/>
        </w:rPr>
        <w:t xml:space="preserve"> zasnovan je na postojećim graničnim vrijednostima</w:t>
      </w:r>
      <w:r w:rsidRPr="005A1C76">
        <w:rPr>
          <w:rFonts w:eastAsia="Calibri"/>
          <w:color w:val="000000"/>
          <w:vertAlign w:val="superscript"/>
          <w:lang w:val="en-GB"/>
        </w:rPr>
        <w:footnoteReference w:id="45"/>
      </w:r>
      <w:r w:rsidRPr="005A1C76">
        <w:rPr>
          <w:rFonts w:eastAsia="Calibri" w:cs="Calibri"/>
          <w:color w:val="000000"/>
          <w:lang w:val="en-GB"/>
        </w:rPr>
        <w:t xml:space="preserve"> za kontaminate utvrđenim u postojećem zakonodavstvu EU</w:t>
      </w:r>
      <w:r w:rsidRPr="005A1C76">
        <w:rPr>
          <w:rFonts w:eastAsia="Calibri" w:cs="Calibri"/>
          <w:vertAlign w:val="superscript"/>
          <w:lang w:val="en-GB"/>
        </w:rPr>
        <w:footnoteReference w:id="46"/>
      </w:r>
      <w:r w:rsidRPr="005A1C76">
        <w:rPr>
          <w:rFonts w:eastAsia="Calibri" w:cs="Calibri"/>
          <w:color w:val="000000"/>
          <w:lang w:val="en-GB"/>
        </w:rPr>
        <w:t xml:space="preserve"> i nacionalno dogovorenim standardima</w:t>
      </w:r>
      <w:r w:rsidRPr="005A1C76">
        <w:rPr>
          <w:rFonts w:eastAsia="Calibri"/>
          <w:color w:val="000000"/>
          <w:vertAlign w:val="superscript"/>
          <w:lang w:val="en-GB"/>
        </w:rPr>
        <w:footnoteReference w:id="47"/>
      </w:r>
      <w:r w:rsidRPr="005A1C76">
        <w:rPr>
          <w:rFonts w:eastAsia="Calibri" w:cs="Calibri"/>
          <w:color w:val="000000"/>
          <w:lang w:val="en-GB"/>
        </w:rPr>
        <w:t xml:space="preserve">. Budući da predloženi ciljevi odražavaju postojeće dogovorene standarde (tabela 2.41), </w:t>
      </w:r>
      <w:r w:rsidR="00A64DB6">
        <w:rPr>
          <w:rFonts w:eastAsia="Calibri" w:cs="Calibri"/>
          <w:color w:val="000000"/>
          <w:lang w:val="en-GB"/>
        </w:rPr>
        <w:t xml:space="preserve">vjeruje se </w:t>
      </w:r>
      <w:r w:rsidRPr="005A1C76">
        <w:rPr>
          <w:rFonts w:eastAsia="Calibri" w:cs="Calibri"/>
          <w:color w:val="000000"/>
          <w:lang w:val="en-GB"/>
        </w:rPr>
        <w:t xml:space="preserve">da će i druge države članice primeniti sličan pristup. </w:t>
      </w:r>
    </w:p>
    <w:p w14:paraId="0F5F5A81" w14:textId="77777777" w:rsidR="00DA6B61" w:rsidRPr="005A1C76" w:rsidRDefault="00DA6B61" w:rsidP="00DA6B61">
      <w:pPr>
        <w:autoSpaceDE w:val="0"/>
        <w:autoSpaceDN w:val="0"/>
        <w:adjustRightInd w:val="0"/>
        <w:spacing w:after="0" w:line="240" w:lineRule="auto"/>
        <w:rPr>
          <w:rFonts w:cs="Arial"/>
          <w:color w:val="000000"/>
          <w:sz w:val="20"/>
          <w:szCs w:val="20"/>
          <w:lang w:val="en-GB"/>
        </w:rPr>
      </w:pPr>
    </w:p>
    <w:p w14:paraId="563096C6" w14:textId="36B6126D" w:rsidR="00DA6B61" w:rsidRPr="00965760" w:rsidRDefault="00DA6B61" w:rsidP="00DA6B61">
      <w:pPr>
        <w:spacing w:after="0"/>
        <w:rPr>
          <w:rFonts w:eastAsia="Calibri" w:cs="Calibri"/>
          <w:b/>
          <w:bCs/>
          <w:lang w:val="en-GB"/>
        </w:rPr>
      </w:pPr>
      <w:bookmarkStart w:id="262" w:name="_Toc83643187"/>
      <w:r w:rsidRPr="005A1C76">
        <w:rPr>
          <w:rFonts w:cs="Calibri"/>
          <w:b/>
          <w:color w:val="000000"/>
          <w:lang w:val="en-GB"/>
        </w:rPr>
        <w:t xml:space="preserve">Tabela </w:t>
      </w:r>
      <w:r w:rsidRPr="005A1C76">
        <w:rPr>
          <w:b/>
        </w:rPr>
        <w:fldChar w:fldCharType="begin"/>
      </w:r>
      <w:r w:rsidRPr="005A1C76">
        <w:rPr>
          <w:b/>
        </w:rPr>
        <w:instrText xml:space="preserve"> STYLEREF 1 \s </w:instrText>
      </w:r>
      <w:r w:rsidRPr="005A1C76">
        <w:rPr>
          <w:b/>
        </w:rPr>
        <w:fldChar w:fldCharType="separate"/>
      </w:r>
      <w:r w:rsidR="000D1E20">
        <w:rPr>
          <w:b/>
          <w:noProof/>
        </w:rPr>
        <w:t>2</w:t>
      </w:r>
      <w:r w:rsidRPr="005A1C76">
        <w:rPr>
          <w:b/>
        </w:rPr>
        <w:fldChar w:fldCharType="end"/>
      </w:r>
      <w:r w:rsidRPr="005A1C76">
        <w:rPr>
          <w:b/>
        </w:rPr>
        <w:t>.</w:t>
      </w:r>
      <w:r w:rsidRPr="005A1C76">
        <w:rPr>
          <w:b/>
        </w:rPr>
        <w:fldChar w:fldCharType="begin"/>
      </w:r>
      <w:r w:rsidRPr="005A1C76">
        <w:rPr>
          <w:b/>
        </w:rPr>
        <w:instrText xml:space="preserve"> SEQ Table \* ARABIC \s 1 </w:instrText>
      </w:r>
      <w:r w:rsidRPr="005A1C76">
        <w:rPr>
          <w:b/>
        </w:rPr>
        <w:fldChar w:fldCharType="separate"/>
      </w:r>
      <w:r w:rsidR="000D1E20">
        <w:rPr>
          <w:b/>
          <w:noProof/>
        </w:rPr>
        <w:t>29</w:t>
      </w:r>
      <w:r w:rsidRPr="005A1C76">
        <w:rPr>
          <w:b/>
        </w:rPr>
        <w:fldChar w:fldCharType="end"/>
      </w:r>
      <w:r w:rsidRPr="005A1C76">
        <w:rPr>
          <w:b/>
        </w:rPr>
        <w:t>.</w:t>
      </w:r>
      <w:r w:rsidRPr="005A1C76">
        <w:rPr>
          <w:rFonts w:eastAsia="Calibri" w:cs="Calibri"/>
          <w:b/>
          <w:lang w:val="en-GB"/>
        </w:rPr>
        <w:t xml:space="preserve"> </w:t>
      </w:r>
      <w:r w:rsidR="00A64DB6">
        <w:rPr>
          <w:rFonts w:eastAsia="Calibri" w:cs="Calibri"/>
          <w:b/>
          <w:lang w:val="en-GB"/>
        </w:rPr>
        <w:t>C</w:t>
      </w:r>
      <w:r w:rsidRPr="005A1C76">
        <w:rPr>
          <w:rFonts w:eastAsia="Calibri" w:cs="Calibri"/>
          <w:b/>
          <w:bCs/>
          <w:lang w:val="en-GB"/>
        </w:rPr>
        <w:t xml:space="preserve">iljevi koji vode ka </w:t>
      </w:r>
      <w:r w:rsidR="00A64DB6">
        <w:rPr>
          <w:rFonts w:eastAsia="Calibri" w:cs="Calibri"/>
          <w:b/>
          <w:bCs/>
          <w:lang w:val="en-GB"/>
        </w:rPr>
        <w:t xml:space="preserve">napretku u </w:t>
      </w:r>
      <w:r w:rsidRPr="005A1C76">
        <w:rPr>
          <w:rFonts w:eastAsia="Calibri" w:cs="Calibri"/>
          <w:b/>
          <w:bCs/>
          <w:lang w:val="en-GB"/>
        </w:rPr>
        <w:t xml:space="preserve">postizanju </w:t>
      </w:r>
      <w:r w:rsidR="00A64DB6">
        <w:rPr>
          <w:rFonts w:eastAsia="Calibri" w:cs="Calibri"/>
          <w:b/>
          <w:bCs/>
          <w:lang w:val="en-GB"/>
        </w:rPr>
        <w:t>GES-a z</w:t>
      </w:r>
      <w:r w:rsidRPr="005A1C76">
        <w:rPr>
          <w:rFonts w:eastAsia="Calibri" w:cs="Calibri"/>
          <w:b/>
          <w:bCs/>
          <w:lang w:val="en-GB"/>
        </w:rPr>
        <w:t>a Descriptor 9.</w:t>
      </w:r>
      <w:bookmarkEnd w:id="262"/>
    </w:p>
    <w:tbl>
      <w:tblPr>
        <w:tblStyle w:val="TableGrid"/>
        <w:tblW w:w="0" w:type="auto"/>
        <w:tblLook w:val="04A0" w:firstRow="1" w:lastRow="0" w:firstColumn="1" w:lastColumn="0" w:noHBand="0" w:noVBand="1"/>
      </w:tblPr>
      <w:tblGrid>
        <w:gridCol w:w="1705"/>
        <w:gridCol w:w="6087"/>
        <w:gridCol w:w="1229"/>
      </w:tblGrid>
      <w:tr w:rsidR="00C44CA3" w:rsidRPr="005A1C76" w14:paraId="01FC8CFD" w14:textId="77777777" w:rsidTr="00A72DBB">
        <w:trPr>
          <w:tblHeader/>
        </w:trPr>
        <w:tc>
          <w:tcPr>
            <w:tcW w:w="902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2F0265C" w14:textId="30BE838D" w:rsidR="00C44CA3" w:rsidRPr="00387195" w:rsidRDefault="00C44CA3" w:rsidP="00C44CA3">
            <w:pPr>
              <w:autoSpaceDE w:val="0"/>
              <w:autoSpaceDN w:val="0"/>
              <w:adjustRightInd w:val="0"/>
              <w:jc w:val="center"/>
              <w:rPr>
                <w:rFonts w:cs="Calibri"/>
                <w:b/>
                <w:color w:val="FFFFFF" w:themeColor="background1"/>
              </w:rPr>
            </w:pPr>
            <w:r>
              <w:rPr>
                <w:rFonts w:cs="Calibri"/>
                <w:b/>
                <w:color w:val="FFFFFF" w:themeColor="background1"/>
              </w:rPr>
              <w:t>Područje procjene: nacionalni nivo – crnogorski dio Jadrana</w:t>
            </w:r>
          </w:p>
        </w:tc>
      </w:tr>
      <w:tr w:rsidR="00DA6B61" w:rsidRPr="005A1C76" w14:paraId="59A0859E" w14:textId="77777777" w:rsidTr="00A72DBB">
        <w:trPr>
          <w:tblHeader/>
        </w:trPr>
        <w:tc>
          <w:tcPr>
            <w:tcW w:w="1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21150F29" w14:textId="77777777" w:rsidR="00DA6B61" w:rsidRPr="00387195" w:rsidRDefault="00DA6B61" w:rsidP="00DA6B61">
            <w:pPr>
              <w:autoSpaceDE w:val="0"/>
              <w:autoSpaceDN w:val="0"/>
              <w:adjustRightInd w:val="0"/>
              <w:rPr>
                <w:rFonts w:cs="Calibri"/>
                <w:b/>
                <w:color w:val="FFFFFF" w:themeColor="background1"/>
              </w:rPr>
            </w:pPr>
            <w:r w:rsidRPr="00387195">
              <w:rPr>
                <w:rFonts w:cs="Calibri"/>
                <w:b/>
                <w:color w:val="FFFFFF" w:themeColor="background1"/>
              </w:rPr>
              <w:t>Kriterijum</w:t>
            </w:r>
          </w:p>
        </w:tc>
        <w:tc>
          <w:tcPr>
            <w:tcW w:w="60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5E6D2ED" w14:textId="7EBF0090" w:rsidR="00DA6B61" w:rsidRPr="00387195" w:rsidRDefault="00DA6B61" w:rsidP="00387195">
            <w:pPr>
              <w:autoSpaceDE w:val="0"/>
              <w:autoSpaceDN w:val="0"/>
              <w:adjustRightInd w:val="0"/>
              <w:jc w:val="center"/>
              <w:rPr>
                <w:rFonts w:cs="Calibri"/>
                <w:b/>
                <w:color w:val="FFFFFF" w:themeColor="background1"/>
              </w:rPr>
            </w:pPr>
            <w:r w:rsidRPr="00387195">
              <w:rPr>
                <w:rFonts w:cs="Calibri"/>
                <w:b/>
                <w:color w:val="FFFFFF" w:themeColor="background1"/>
              </w:rPr>
              <w:t>Cilj</w:t>
            </w:r>
          </w:p>
        </w:tc>
        <w:tc>
          <w:tcPr>
            <w:tcW w:w="12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3336D545" w14:textId="77777777" w:rsidR="00DA6B61" w:rsidRPr="00387195" w:rsidRDefault="00DA6B61" w:rsidP="00DA6B61">
            <w:pPr>
              <w:autoSpaceDE w:val="0"/>
              <w:autoSpaceDN w:val="0"/>
              <w:adjustRightInd w:val="0"/>
              <w:rPr>
                <w:rFonts w:cs="Calibri"/>
                <w:b/>
                <w:color w:val="FFFFFF" w:themeColor="background1"/>
              </w:rPr>
            </w:pPr>
            <w:r w:rsidRPr="00387195">
              <w:rPr>
                <w:rFonts w:cs="Calibri"/>
                <w:b/>
                <w:color w:val="FFFFFF" w:themeColor="background1"/>
              </w:rPr>
              <w:t>Kod Cilja</w:t>
            </w:r>
          </w:p>
        </w:tc>
      </w:tr>
      <w:tr w:rsidR="00DA6B61" w:rsidRPr="005A1C76" w14:paraId="1918AC89" w14:textId="77777777" w:rsidTr="00C42B0B">
        <w:tc>
          <w:tcPr>
            <w:tcW w:w="1705" w:type="dxa"/>
            <w:tcBorders>
              <w:top w:val="single" w:sz="4" w:space="0" w:color="FFFFFF" w:themeColor="background1"/>
            </w:tcBorders>
          </w:tcPr>
          <w:p w14:paraId="7E32D829" w14:textId="6E1708D1" w:rsidR="00DA6B61" w:rsidRPr="005A1C76" w:rsidRDefault="00DA6B61" w:rsidP="00DA6B61">
            <w:pPr>
              <w:autoSpaceDE w:val="0"/>
              <w:autoSpaceDN w:val="0"/>
              <w:adjustRightInd w:val="0"/>
              <w:rPr>
                <w:rFonts w:cs="Calibri"/>
                <w:b/>
                <w:color w:val="000000"/>
                <w:sz w:val="20"/>
                <w:szCs w:val="20"/>
              </w:rPr>
            </w:pPr>
            <w:r w:rsidRPr="005A1C76">
              <w:rPr>
                <w:rFonts w:cs="Calibri"/>
                <w:b/>
                <w:color w:val="000000"/>
                <w:sz w:val="20"/>
                <w:szCs w:val="20"/>
              </w:rPr>
              <w:t>Criteri</w:t>
            </w:r>
            <w:r w:rsidR="005F1FBD">
              <w:rPr>
                <w:rFonts w:cs="Calibri"/>
                <w:b/>
                <w:color w:val="000000"/>
                <w:sz w:val="20"/>
                <w:szCs w:val="20"/>
              </w:rPr>
              <w:t>jum</w:t>
            </w:r>
            <w:r w:rsidRPr="005A1C76">
              <w:rPr>
                <w:rFonts w:cs="Calibri"/>
                <w:b/>
                <w:color w:val="000000"/>
                <w:sz w:val="20"/>
                <w:szCs w:val="20"/>
              </w:rPr>
              <w:t xml:space="preserve"> D9C1</w:t>
            </w:r>
          </w:p>
        </w:tc>
        <w:tc>
          <w:tcPr>
            <w:tcW w:w="6087" w:type="dxa"/>
            <w:tcBorders>
              <w:top w:val="single" w:sz="4" w:space="0" w:color="FFFFFF" w:themeColor="background1"/>
            </w:tcBorders>
          </w:tcPr>
          <w:p w14:paraId="7F9B8DF5" w14:textId="27F5DBDC" w:rsidR="005F1FBD" w:rsidRPr="005A1C76" w:rsidRDefault="00DA6B61" w:rsidP="00DA6B61">
            <w:pPr>
              <w:autoSpaceDE w:val="0"/>
              <w:autoSpaceDN w:val="0"/>
              <w:adjustRightInd w:val="0"/>
              <w:rPr>
                <w:rFonts w:cs="Calibri"/>
                <w:color w:val="000000"/>
                <w:sz w:val="20"/>
                <w:szCs w:val="20"/>
              </w:rPr>
            </w:pPr>
            <w:r w:rsidRPr="005A1C76">
              <w:rPr>
                <w:rFonts w:cs="Calibri"/>
                <w:color w:val="000000"/>
                <w:sz w:val="20"/>
                <w:szCs w:val="20"/>
              </w:rPr>
              <w:t>Koncentracije kontaminanata u ribama i školjkama ulovljenim ili uzgajanim u divljini u crnogorskom dijelu Jadranskog mora za ishranu ljudi pokazuju visoku stopu usklađenosti sa graničnim vrijednostima navedenim u Commission Regulation (EC) No. 1881/2006  i nacionalnom zakonodavstvu.</w:t>
            </w:r>
          </w:p>
        </w:tc>
        <w:tc>
          <w:tcPr>
            <w:tcW w:w="1229" w:type="dxa"/>
            <w:tcBorders>
              <w:top w:val="single" w:sz="4" w:space="0" w:color="FFFFFF" w:themeColor="background1"/>
            </w:tcBorders>
          </w:tcPr>
          <w:p w14:paraId="0DA1F3F5" w14:textId="77777777" w:rsidR="00DA6B61" w:rsidRPr="005A1C76" w:rsidRDefault="00DA6B61" w:rsidP="00DA6B61">
            <w:pPr>
              <w:autoSpaceDE w:val="0"/>
              <w:autoSpaceDN w:val="0"/>
              <w:adjustRightInd w:val="0"/>
              <w:rPr>
                <w:rFonts w:cs="Calibri"/>
                <w:b/>
                <w:color w:val="000000"/>
                <w:sz w:val="20"/>
                <w:szCs w:val="20"/>
              </w:rPr>
            </w:pPr>
            <w:r w:rsidRPr="005A1C76">
              <w:rPr>
                <w:rFonts w:cs="Calibri"/>
                <w:b/>
                <w:color w:val="000000"/>
                <w:sz w:val="20"/>
                <w:szCs w:val="20"/>
              </w:rPr>
              <w:t>D9T1</w:t>
            </w:r>
          </w:p>
        </w:tc>
      </w:tr>
      <w:tr w:rsidR="00DA6B61" w:rsidRPr="005A1C76" w14:paraId="51051D9F" w14:textId="77777777" w:rsidTr="00DA6B61">
        <w:tc>
          <w:tcPr>
            <w:tcW w:w="1705" w:type="dxa"/>
          </w:tcPr>
          <w:p w14:paraId="629FD5E4" w14:textId="77777777" w:rsidR="00DA6B61" w:rsidRPr="005A1C76" w:rsidRDefault="00DA6B61" w:rsidP="00DA6B61">
            <w:pPr>
              <w:autoSpaceDE w:val="0"/>
              <w:autoSpaceDN w:val="0"/>
              <w:adjustRightInd w:val="0"/>
              <w:rPr>
                <w:rFonts w:cs="Calibri"/>
                <w:b/>
                <w:color w:val="000000"/>
                <w:sz w:val="20"/>
                <w:szCs w:val="20"/>
              </w:rPr>
            </w:pPr>
            <w:r w:rsidRPr="005A1C76">
              <w:rPr>
                <w:rFonts w:cs="Calibri"/>
                <w:b/>
                <w:color w:val="000000"/>
                <w:sz w:val="20"/>
                <w:szCs w:val="20"/>
              </w:rPr>
              <w:t>Operativni cilj</w:t>
            </w:r>
          </w:p>
        </w:tc>
        <w:tc>
          <w:tcPr>
            <w:tcW w:w="7316" w:type="dxa"/>
            <w:gridSpan w:val="2"/>
          </w:tcPr>
          <w:p w14:paraId="28DD68AB" w14:textId="661504FB" w:rsidR="00DA6B61" w:rsidRPr="005A1C76" w:rsidRDefault="00DA6B61" w:rsidP="00DA6B61">
            <w:pPr>
              <w:autoSpaceDE w:val="0"/>
              <w:autoSpaceDN w:val="0"/>
              <w:adjustRightInd w:val="0"/>
              <w:rPr>
                <w:rFonts w:cs="Calibri"/>
                <w:color w:val="000000"/>
                <w:sz w:val="20"/>
                <w:szCs w:val="20"/>
              </w:rPr>
            </w:pPr>
            <w:r w:rsidRPr="005A1C76">
              <w:rPr>
                <w:rFonts w:cs="Calibri"/>
                <w:color w:val="000000"/>
                <w:sz w:val="20"/>
                <w:szCs w:val="20"/>
              </w:rPr>
              <w:t>Saradnja sa drugim Jadranskim zemljama kako bi se utvrdil</w:t>
            </w:r>
            <w:r w:rsidR="00A64DB6">
              <w:rPr>
                <w:rFonts w:cs="Calibri"/>
                <w:color w:val="000000"/>
                <w:sz w:val="20"/>
                <w:szCs w:val="20"/>
              </w:rPr>
              <w:t xml:space="preserve">o jesu li </w:t>
            </w:r>
            <w:r w:rsidRPr="005A1C76">
              <w:rPr>
                <w:rFonts w:cs="Calibri"/>
                <w:color w:val="000000"/>
                <w:sz w:val="20"/>
                <w:szCs w:val="20"/>
              </w:rPr>
              <w:t>rizici od dodatnih kontaminanata, koji nisu obuhvaćeni Commission Regulation (EC) No. 1881/2006</w:t>
            </w:r>
            <w:r w:rsidR="00A64DB6">
              <w:rPr>
                <w:rFonts w:cs="Calibri"/>
                <w:color w:val="000000"/>
                <w:sz w:val="20"/>
                <w:szCs w:val="20"/>
              </w:rPr>
              <w:t>,</w:t>
            </w:r>
            <w:r w:rsidRPr="005A1C76">
              <w:rPr>
                <w:rFonts w:cs="Calibri"/>
                <w:color w:val="000000"/>
                <w:sz w:val="20"/>
                <w:szCs w:val="20"/>
              </w:rPr>
              <w:t xml:space="preserve">  dovoljni za njihovo uključivanje u monitoring koji sprovodi Crna Gora.</w:t>
            </w:r>
          </w:p>
        </w:tc>
      </w:tr>
      <w:tr w:rsidR="00DA6B61" w:rsidRPr="005A1C76" w14:paraId="1E311CA6" w14:textId="77777777" w:rsidTr="00DA6B61">
        <w:tc>
          <w:tcPr>
            <w:tcW w:w="1705" w:type="dxa"/>
          </w:tcPr>
          <w:p w14:paraId="4C4E2AC3" w14:textId="77777777" w:rsidR="00DA6B61" w:rsidRPr="005A1C76" w:rsidRDefault="00DA6B61" w:rsidP="00DA6B61">
            <w:pPr>
              <w:autoSpaceDE w:val="0"/>
              <w:autoSpaceDN w:val="0"/>
              <w:adjustRightInd w:val="0"/>
              <w:rPr>
                <w:rFonts w:cs="Calibri"/>
                <w:b/>
                <w:color w:val="000000"/>
                <w:sz w:val="20"/>
                <w:szCs w:val="20"/>
              </w:rPr>
            </w:pPr>
            <w:r w:rsidRPr="005A1C76">
              <w:rPr>
                <w:rFonts w:cs="Calibri"/>
                <w:b/>
                <w:color w:val="000000"/>
                <w:sz w:val="20"/>
                <w:szCs w:val="20"/>
              </w:rPr>
              <w:t>Indikatori koji se koriste za procjenu statusa</w:t>
            </w:r>
          </w:p>
        </w:tc>
        <w:tc>
          <w:tcPr>
            <w:tcW w:w="7316" w:type="dxa"/>
            <w:gridSpan w:val="2"/>
          </w:tcPr>
          <w:p w14:paraId="6DCB580C" w14:textId="7BE6F67C" w:rsidR="00DA6B61" w:rsidRPr="005A1C76" w:rsidRDefault="00D7379B" w:rsidP="00DA6B61">
            <w:pPr>
              <w:autoSpaceDE w:val="0"/>
              <w:autoSpaceDN w:val="0"/>
              <w:adjustRightInd w:val="0"/>
              <w:rPr>
                <w:rFonts w:cs="Calibri"/>
                <w:color w:val="000000"/>
                <w:sz w:val="20"/>
                <w:szCs w:val="20"/>
              </w:rPr>
            </w:pPr>
            <w:r w:rsidRPr="00D7379B">
              <w:rPr>
                <w:rFonts w:cs="Calibri"/>
                <w:b/>
                <w:color w:val="000000"/>
                <w:sz w:val="20"/>
                <w:szCs w:val="20"/>
              </w:rPr>
              <w:t>D9C1.1</w:t>
            </w:r>
            <w:r>
              <w:rPr>
                <w:rFonts w:cs="Calibri"/>
                <w:color w:val="000000"/>
                <w:sz w:val="20"/>
                <w:szCs w:val="20"/>
              </w:rPr>
              <w:t xml:space="preserve">: </w:t>
            </w:r>
            <w:r w:rsidR="00DA6B61" w:rsidRPr="005A1C76">
              <w:rPr>
                <w:rFonts w:cs="Calibri"/>
                <w:color w:val="000000"/>
                <w:sz w:val="20"/>
                <w:szCs w:val="20"/>
              </w:rPr>
              <w:t>Koncentracije zagađivača u morsk</w:t>
            </w:r>
            <w:r w:rsidR="00A64DB6">
              <w:rPr>
                <w:rFonts w:cs="Calibri"/>
                <w:color w:val="000000"/>
                <w:sz w:val="20"/>
                <w:szCs w:val="20"/>
              </w:rPr>
              <w:t xml:space="preserve">oj hrani </w:t>
            </w:r>
            <w:r w:rsidR="00DA6B61" w:rsidRPr="005A1C76">
              <w:rPr>
                <w:rFonts w:cs="Calibri"/>
                <w:color w:val="000000"/>
                <w:sz w:val="20"/>
                <w:szCs w:val="20"/>
              </w:rPr>
              <w:t xml:space="preserve"> naveden</w:t>
            </w:r>
            <w:r w:rsidR="00A64DB6">
              <w:rPr>
                <w:rFonts w:cs="Calibri"/>
                <w:color w:val="000000"/>
                <w:sz w:val="20"/>
                <w:szCs w:val="20"/>
              </w:rPr>
              <w:t>ih</w:t>
            </w:r>
            <w:r w:rsidR="00DA6B61" w:rsidRPr="005A1C76">
              <w:rPr>
                <w:rFonts w:cs="Calibri"/>
                <w:color w:val="000000"/>
                <w:sz w:val="20"/>
                <w:szCs w:val="20"/>
              </w:rPr>
              <w:t xml:space="preserve"> u Commission Regulation (EC) No. 1881/2006.</w:t>
            </w:r>
          </w:p>
          <w:p w14:paraId="2CFDC311" w14:textId="77777777" w:rsidR="00DA6B61" w:rsidRPr="005A1C76" w:rsidRDefault="00DA6B61" w:rsidP="00DA6B61">
            <w:pPr>
              <w:autoSpaceDE w:val="0"/>
              <w:autoSpaceDN w:val="0"/>
              <w:adjustRightInd w:val="0"/>
              <w:rPr>
                <w:rFonts w:cs="Calibri"/>
                <w:color w:val="000000"/>
                <w:sz w:val="20"/>
                <w:szCs w:val="20"/>
              </w:rPr>
            </w:pPr>
          </w:p>
        </w:tc>
      </w:tr>
    </w:tbl>
    <w:p w14:paraId="5D24CBFE" w14:textId="77777777" w:rsidR="00DA6B61" w:rsidRPr="005A1C76" w:rsidRDefault="00DA6B61" w:rsidP="00DA6B61">
      <w:pPr>
        <w:spacing w:after="0" w:line="240" w:lineRule="auto"/>
        <w:rPr>
          <w:rFonts w:eastAsia="Calibri"/>
          <w:b/>
          <w:sz w:val="20"/>
          <w:szCs w:val="20"/>
          <w:lang w:val="en-GB"/>
        </w:rPr>
      </w:pPr>
    </w:p>
    <w:p w14:paraId="5BA28FBA" w14:textId="77777777" w:rsidR="000B3022" w:rsidRPr="001C6CCA" w:rsidRDefault="000B3022" w:rsidP="00F65CFF">
      <w:pPr>
        <w:spacing w:before="0" w:after="0" w:line="240" w:lineRule="auto"/>
        <w:rPr>
          <w:rFonts w:eastAsia="Calibri"/>
          <w:b/>
          <w:sz w:val="20"/>
          <w:szCs w:val="20"/>
          <w:lang w:val="en-GB" w:eastAsia="en-US"/>
        </w:rPr>
      </w:pPr>
    </w:p>
    <w:p w14:paraId="015A9BF5" w14:textId="3D21F2F1" w:rsidR="00DA6B61" w:rsidRPr="00DA6B61" w:rsidRDefault="00DA6B61" w:rsidP="00DA6B61">
      <w:pPr>
        <w:pStyle w:val="Heading3"/>
        <w:rPr>
          <w:rFonts w:eastAsia="Calibri"/>
          <w:lang w:val="en-GB" w:eastAsia="en-US"/>
        </w:rPr>
      </w:pPr>
      <w:bookmarkStart w:id="263" w:name="_Toc83630948"/>
      <w:r w:rsidRPr="00DA6B61">
        <w:rPr>
          <w:rFonts w:eastAsia="Calibri"/>
          <w:color w:val="365F91"/>
          <w:lang w:val="en-GB"/>
        </w:rPr>
        <w:t>Veza sa drugim Deskriptorima</w:t>
      </w:r>
      <w:bookmarkEnd w:id="263"/>
    </w:p>
    <w:p w14:paraId="31C086F3" w14:textId="77777777" w:rsidR="00DA6B61" w:rsidRPr="005A1C76" w:rsidRDefault="00DA6B61" w:rsidP="00DA6B61">
      <w:pPr>
        <w:tabs>
          <w:tab w:val="left" w:pos="7328"/>
        </w:tabs>
        <w:spacing w:after="0"/>
        <w:rPr>
          <w:rFonts w:eastAsia="Calibri"/>
          <w:lang w:val="en-GB"/>
        </w:rPr>
      </w:pPr>
      <w:r w:rsidRPr="005A1C76">
        <w:rPr>
          <w:rFonts w:eastAsia="Calibri"/>
          <w:lang w:val="en-GB"/>
        </w:rPr>
        <w:t>Deskriptor 9 je usko povezan sa Deskriptorima 8, 4, 5 i 10. Kontaminanti koji ulaze u morsku sredinu mogu se akumulirati u morskim organizmima namijenjenim za ishranu ljudi.</w:t>
      </w:r>
    </w:p>
    <w:p w14:paraId="4205F663" w14:textId="77777777" w:rsidR="00DA6B61" w:rsidRPr="005A1C76" w:rsidRDefault="00DA6B61" w:rsidP="00DA6B61">
      <w:pPr>
        <w:tabs>
          <w:tab w:val="left" w:pos="7328"/>
        </w:tabs>
        <w:spacing w:after="0"/>
        <w:rPr>
          <w:rFonts w:eastAsia="Calibri"/>
          <w:lang w:val="en-GB"/>
        </w:rPr>
      </w:pPr>
      <w:r w:rsidRPr="005A1C76">
        <w:rPr>
          <w:rFonts w:eastAsia="Calibri"/>
          <w:lang w:val="en-GB"/>
        </w:rPr>
        <w:t>Da bi se zaštitilo ljudsko zdravlje, neophodno je da se unos kontaminanata hranom održava na nivoima koji čine hranu sigurnom za potrošnju.</w:t>
      </w:r>
    </w:p>
    <w:p w14:paraId="127D8B8F" w14:textId="77777777" w:rsidR="00530233" w:rsidRPr="001C6CCA" w:rsidRDefault="00530233" w:rsidP="004C3A51">
      <w:pPr>
        <w:tabs>
          <w:tab w:val="left" w:pos="7328"/>
        </w:tabs>
        <w:spacing w:before="0" w:after="0"/>
        <w:rPr>
          <w:rFonts w:eastAsia="Calibri" w:cs="Calibri"/>
          <w:szCs w:val="22"/>
          <w:highlight w:val="yellow"/>
          <w:lang w:val="en-GB" w:eastAsia="en-US"/>
        </w:rPr>
      </w:pPr>
    </w:p>
    <w:p w14:paraId="782A41E4" w14:textId="33CCF92A" w:rsidR="00DA6B61" w:rsidRPr="00DA6B61" w:rsidRDefault="00DA6B61" w:rsidP="00DA6B61">
      <w:pPr>
        <w:pStyle w:val="Heading3"/>
        <w:rPr>
          <w:rFonts w:eastAsia="Calibri"/>
          <w:lang w:val="en-GB" w:eastAsia="en-US"/>
        </w:rPr>
      </w:pPr>
      <w:bookmarkStart w:id="264" w:name="_Toc83630949"/>
      <w:r w:rsidRPr="00DA6B61">
        <w:rPr>
          <w:rFonts w:eastAsia="Calibri"/>
          <w:color w:val="365F91"/>
          <w:lang w:val="en-GB"/>
        </w:rPr>
        <w:t>Nedostaci i potrebe</w:t>
      </w:r>
      <w:r w:rsidR="00E24841">
        <w:rPr>
          <w:rFonts w:eastAsia="Calibri"/>
          <w:color w:val="365F91"/>
          <w:lang w:val="en-GB"/>
        </w:rPr>
        <w:t xml:space="preserve"> za unapređenjem</w:t>
      </w:r>
      <w:bookmarkEnd w:id="264"/>
      <w:r w:rsidR="00E24841">
        <w:rPr>
          <w:rFonts w:eastAsia="Calibri"/>
          <w:color w:val="365F91"/>
          <w:lang w:val="en-GB"/>
        </w:rPr>
        <w:t xml:space="preserve"> </w:t>
      </w:r>
    </w:p>
    <w:p w14:paraId="7A795FD4" w14:textId="77777777" w:rsidR="00DA6B61" w:rsidRPr="005A1C76" w:rsidRDefault="00DA6B61" w:rsidP="00DA6B61">
      <w:pPr>
        <w:rPr>
          <w:lang w:val="en-GB"/>
        </w:rPr>
      </w:pPr>
      <w:r w:rsidRPr="005A1C76">
        <w:rPr>
          <w:lang w:val="en-GB"/>
        </w:rPr>
        <w:t>Sl</w:t>
      </w:r>
      <w:r>
        <w:rPr>
          <w:lang w:val="en-GB"/>
        </w:rPr>
        <w:t>j</w:t>
      </w:r>
      <w:r w:rsidRPr="005A1C76">
        <w:rPr>
          <w:lang w:val="en-GB"/>
        </w:rPr>
        <w:t>edeća lista uključuje neke nedostatke i razvojne potrebe za procjenu Deskriptora 9:</w:t>
      </w:r>
    </w:p>
    <w:p w14:paraId="1D5E3916" w14:textId="4589D478" w:rsidR="00DA6B61" w:rsidRPr="005A1C76" w:rsidRDefault="00DA6B61" w:rsidP="00C52E6F">
      <w:pPr>
        <w:numPr>
          <w:ilvl w:val="0"/>
          <w:numId w:val="72"/>
        </w:numPr>
        <w:contextualSpacing/>
        <w:rPr>
          <w:lang w:val="en-GB"/>
        </w:rPr>
      </w:pPr>
      <w:r w:rsidRPr="005A1C76">
        <w:rPr>
          <w:lang w:val="en-GB"/>
        </w:rPr>
        <w:t xml:space="preserve">Trenutni program praćenja morske sredine uključuje samo lokacije u Bokokotorskom zalivu. Postojeći nacionalni program monitoringa morskih </w:t>
      </w:r>
      <w:r w:rsidR="00A64DB6">
        <w:rPr>
          <w:lang w:val="en-GB"/>
        </w:rPr>
        <w:t xml:space="preserve">organizama za ljudsku </w:t>
      </w:r>
      <w:r w:rsidR="00B66F95">
        <w:rPr>
          <w:lang w:val="en-GB"/>
        </w:rPr>
        <w:t xml:space="preserve">ishranu </w:t>
      </w:r>
      <w:r w:rsidRPr="005A1C76">
        <w:rPr>
          <w:lang w:val="en-GB"/>
        </w:rPr>
        <w:t>treba poboljšati širenjem monitoring</w:t>
      </w:r>
      <w:r w:rsidR="00B66F95">
        <w:rPr>
          <w:lang w:val="en-GB"/>
        </w:rPr>
        <w:t>a</w:t>
      </w:r>
      <w:r w:rsidRPr="005A1C76">
        <w:rPr>
          <w:lang w:val="en-GB"/>
        </w:rPr>
        <w:t xml:space="preserve"> </w:t>
      </w:r>
      <w:r w:rsidR="00B66F95">
        <w:rPr>
          <w:lang w:val="en-GB"/>
        </w:rPr>
        <w:t>na područja i</w:t>
      </w:r>
      <w:r w:rsidRPr="005A1C76">
        <w:rPr>
          <w:lang w:val="en-GB"/>
        </w:rPr>
        <w:t xml:space="preserve"> lokacij</w:t>
      </w:r>
      <w:r w:rsidR="00B66F95">
        <w:rPr>
          <w:lang w:val="en-GB"/>
        </w:rPr>
        <w:t>e</w:t>
      </w:r>
      <w:r w:rsidRPr="005A1C76">
        <w:rPr>
          <w:lang w:val="en-GB"/>
        </w:rPr>
        <w:t xml:space="preserve"> izvan Bokokotorskog zaliva;</w:t>
      </w:r>
    </w:p>
    <w:p w14:paraId="42C0B837" w14:textId="77777777" w:rsidR="00DA6B61" w:rsidRPr="005A1C76" w:rsidRDefault="00DA6B61" w:rsidP="00C52E6F">
      <w:pPr>
        <w:numPr>
          <w:ilvl w:val="0"/>
          <w:numId w:val="72"/>
        </w:numPr>
        <w:contextualSpacing/>
        <w:rPr>
          <w:lang w:val="en-GB"/>
        </w:rPr>
      </w:pPr>
      <w:r w:rsidRPr="005A1C76">
        <w:rPr>
          <w:lang w:val="en-GB"/>
        </w:rPr>
        <w:t>Uključiti druge morske organizme za praćenje, posebno ribe;</w:t>
      </w:r>
    </w:p>
    <w:p w14:paraId="7667EACC" w14:textId="77777777" w:rsidR="00DA6B61" w:rsidRPr="005A1C76" w:rsidRDefault="00DA6B61" w:rsidP="00C52E6F">
      <w:pPr>
        <w:numPr>
          <w:ilvl w:val="0"/>
          <w:numId w:val="72"/>
        </w:numPr>
        <w:contextualSpacing/>
        <w:rPr>
          <w:lang w:val="en-GB"/>
        </w:rPr>
      </w:pPr>
      <w:r w:rsidRPr="005A1C76">
        <w:rPr>
          <w:lang w:val="en-GB"/>
        </w:rPr>
        <w:t>Da bi se poboljšao budući monitoring, u skladu sa Commission Regulation (EC) No. 1881/2006, postojeću listu zagađivača za kontrolu morskih plodova treba proširiti;</w:t>
      </w:r>
    </w:p>
    <w:p w14:paraId="0BA785A1" w14:textId="77777777" w:rsidR="00DA6B61" w:rsidRPr="005A1C76" w:rsidRDefault="00DA6B61" w:rsidP="00C52E6F">
      <w:pPr>
        <w:numPr>
          <w:ilvl w:val="0"/>
          <w:numId w:val="72"/>
        </w:numPr>
        <w:contextualSpacing/>
        <w:rPr>
          <w:lang w:val="en-GB"/>
        </w:rPr>
      </w:pPr>
      <w:r w:rsidRPr="005A1C76">
        <w:rPr>
          <w:lang w:val="en-GB"/>
        </w:rPr>
        <w:t>Utvrdite kako definisati GES ako neki od pokazatelja ne ispunjavaju zahtjeve propisa i direktiva EU.</w:t>
      </w:r>
    </w:p>
    <w:p w14:paraId="432D0290" w14:textId="77777777" w:rsidR="00EB0091" w:rsidRPr="001C6CCA" w:rsidRDefault="00EB0091" w:rsidP="00F65CFF">
      <w:pPr>
        <w:spacing w:before="0" w:after="0" w:line="259" w:lineRule="auto"/>
        <w:jc w:val="left"/>
        <w:rPr>
          <w:b/>
          <w:sz w:val="20"/>
          <w:szCs w:val="20"/>
          <w:lang w:val="en-GB" w:eastAsia="en-US"/>
        </w:rPr>
      </w:pPr>
    </w:p>
    <w:p w14:paraId="588FBE0A" w14:textId="3A7BC4DE" w:rsidR="004C1B16" w:rsidRPr="004C1B16" w:rsidRDefault="004C1B16" w:rsidP="004C1B16">
      <w:pPr>
        <w:pStyle w:val="Heading2"/>
        <w:rPr>
          <w:lang w:val="sr-Latn-RS" w:eastAsia="en-US"/>
        </w:rPr>
      </w:pPr>
      <w:bookmarkStart w:id="265" w:name="_Toc83630950"/>
      <w:bookmarkStart w:id="266" w:name="_Hlk66728278"/>
      <w:r w:rsidRPr="004C1B16">
        <w:rPr>
          <w:lang w:val="sr-Latn-RS" w:eastAsia="en-US"/>
        </w:rPr>
        <w:t>SVOJSTVA I KOLIČINE OTPADA U MORU (</w:t>
      </w:r>
      <w:r w:rsidR="00CF7E4B">
        <w:rPr>
          <w:lang w:val="sr-Latn-RS" w:eastAsia="en-US"/>
        </w:rPr>
        <w:t>DESKRIPTOR</w:t>
      </w:r>
      <w:r w:rsidRPr="004C1B16">
        <w:rPr>
          <w:lang w:val="sr-Latn-RS" w:eastAsia="en-US"/>
        </w:rPr>
        <w:t xml:space="preserve"> 10)</w:t>
      </w:r>
      <w:bookmarkEnd w:id="265"/>
      <w:r w:rsidRPr="004C1B16">
        <w:rPr>
          <w:lang w:val="sr-Latn-RS" w:eastAsia="en-US"/>
        </w:rPr>
        <w:tab/>
      </w:r>
    </w:p>
    <w:p w14:paraId="7EEC05BD" w14:textId="34BE2C28" w:rsidR="004C1B16" w:rsidRPr="004C1B16" w:rsidRDefault="00DA6B61" w:rsidP="004C1B16">
      <w:pPr>
        <w:spacing w:before="0" w:after="160"/>
        <w:rPr>
          <w:rFonts w:cs="Calibri"/>
          <w:b/>
          <w:szCs w:val="22"/>
          <w:lang w:val="sr-Latn-RS" w:eastAsia="hr-HR"/>
        </w:rPr>
      </w:pPr>
      <w:r>
        <w:rPr>
          <w:rFonts w:cs="Calibri"/>
          <w:b/>
          <w:szCs w:val="22"/>
          <w:lang w:val="sr-Latn-RS" w:eastAsia="hr-HR"/>
        </w:rPr>
        <w:t>Uvod</w:t>
      </w:r>
    </w:p>
    <w:p w14:paraId="3FA5328C" w14:textId="77777777" w:rsidR="004C1B16" w:rsidRPr="004C1B16" w:rsidRDefault="004C1B16" w:rsidP="004C1B16">
      <w:pPr>
        <w:spacing w:before="0" w:after="160"/>
        <w:rPr>
          <w:rFonts w:cs="Calibri"/>
          <w:bCs/>
          <w:szCs w:val="22"/>
          <w:lang w:val="sr-Latn-RS" w:eastAsia="en-US"/>
        </w:rPr>
      </w:pPr>
      <w:r w:rsidRPr="004C1B16">
        <w:rPr>
          <w:rFonts w:cs="Calibri"/>
          <w:bCs/>
          <w:szCs w:val="22"/>
          <w:lang w:val="sr-Latn-RS" w:eastAsia="en-US"/>
        </w:rPr>
        <w:t>Ovo poglavlje se bavi podacima o stanju morskog ekosistema u Crnoj Gori u odnosu na pritisak zagađenja otpadom u moru. Metodologija procjene dobrog stanja sredine (GES) je objašnjena, kao i izvori podataka koji su detaljno predstavljeni u „Početnoj procjeni stanja morske sredine Crne Gore“.</w:t>
      </w:r>
    </w:p>
    <w:p w14:paraId="3F910DAF" w14:textId="77777777" w:rsidR="004C1B16" w:rsidRPr="004C1B16" w:rsidRDefault="004C1B16" w:rsidP="004C1B16">
      <w:pPr>
        <w:spacing w:before="0" w:after="160"/>
        <w:rPr>
          <w:rFonts w:cs="Calibri"/>
          <w:bCs/>
          <w:szCs w:val="22"/>
          <w:lang w:val="sr-Latn-RS" w:eastAsia="en-US"/>
        </w:rPr>
      </w:pPr>
      <w:r w:rsidRPr="004C1B16">
        <w:rPr>
          <w:rFonts w:cs="Calibri"/>
          <w:bCs/>
          <w:szCs w:val="22"/>
          <w:lang w:val="sr-Latn-RS" w:eastAsia="en-US"/>
        </w:rPr>
        <w:t>Dokument je dio IPA projekta „Podrška sprovođenju i praćenju upravljanja vodama u Crnoj Gori“. Zaključke koji su predstavljeni u ovom dokumentu treba koristiti za sprečavanje daljeg zagađenja otpadom u moru, smanjenje njegove ukupne količine i postizanje GES-a.</w:t>
      </w:r>
    </w:p>
    <w:p w14:paraId="3AC6D0D6" w14:textId="77777777" w:rsidR="004C1B16" w:rsidRPr="004C1B16" w:rsidRDefault="004C1B16" w:rsidP="004C1B16">
      <w:pPr>
        <w:spacing w:before="0" w:after="0"/>
        <w:rPr>
          <w:rFonts w:eastAsia="Calibri" w:cs="Calibri"/>
          <w:b/>
          <w:szCs w:val="22"/>
          <w:lang w:val="sr-Latn-RS" w:eastAsia="en-US"/>
        </w:rPr>
      </w:pPr>
      <w:r w:rsidRPr="004C1B16">
        <w:rPr>
          <w:rFonts w:cs="Calibri"/>
          <w:b/>
          <w:bCs/>
          <w:noProof/>
          <w:color w:val="000000"/>
          <w:szCs w:val="22"/>
          <w:lang w:eastAsia="en-US"/>
        </w:rPr>
        <mc:AlternateContent>
          <mc:Choice Requires="wps">
            <w:drawing>
              <wp:anchor distT="0" distB="0" distL="114300" distR="114300" simplePos="0" relativeHeight="251804672" behindDoc="0" locked="0" layoutInCell="1" allowOverlap="1" wp14:anchorId="14644F1B" wp14:editId="673B6C23">
                <wp:simplePos x="0" y="0"/>
                <wp:positionH relativeFrom="column">
                  <wp:posOffset>0</wp:posOffset>
                </wp:positionH>
                <wp:positionV relativeFrom="paragraph">
                  <wp:posOffset>90805</wp:posOffset>
                </wp:positionV>
                <wp:extent cx="5760720" cy="541020"/>
                <wp:effectExtent l="0" t="0" r="0" b="0"/>
                <wp:wrapNone/>
                <wp:docPr id="412" name="Rectangle: Rounded Corners 412"/>
                <wp:cNvGraphicFramePr/>
                <a:graphic xmlns:a="http://schemas.openxmlformats.org/drawingml/2006/main">
                  <a:graphicData uri="http://schemas.microsoft.com/office/word/2010/wordprocessingShape">
                    <wps:wsp>
                      <wps:cNvSpPr/>
                      <wps:spPr>
                        <a:xfrm>
                          <a:off x="0" y="0"/>
                          <a:ext cx="5760720" cy="541020"/>
                        </a:xfrm>
                        <a:prstGeom prst="roundRect">
                          <a:avLst/>
                        </a:prstGeom>
                        <a:solidFill>
                          <a:srgbClr val="4F81BD">
                            <a:lumMod val="20000"/>
                            <a:lumOff val="80000"/>
                            <a:alpha val="84000"/>
                          </a:srgbClr>
                        </a:solidFill>
                        <a:ln w="25400" cap="flat" cmpd="sng" algn="ctr">
                          <a:noFill/>
                          <a:prstDash val="solid"/>
                        </a:ln>
                        <a:effectLst/>
                      </wps:spPr>
                      <wps:txbx>
                        <w:txbxContent>
                          <w:p w14:paraId="7C82F74F" w14:textId="77777777" w:rsidR="00515997" w:rsidRPr="00771DF4" w:rsidRDefault="00515997" w:rsidP="004C1B16">
                            <w:pPr>
                              <w:spacing w:before="0" w:after="0"/>
                              <w:jc w:val="left"/>
                              <w:rPr>
                                <w:rFonts w:eastAsia="Calibri"/>
                                <w:b/>
                                <w:i/>
                                <w:szCs w:val="22"/>
                                <w:lang w:val="hr-HR" w:eastAsia="en-US"/>
                              </w:rPr>
                            </w:pPr>
                            <w:r w:rsidRPr="004C1B16">
                              <w:rPr>
                                <w:b/>
                                <w:color w:val="000000"/>
                                <w:lang w:val="hr-HR"/>
                                <w14:textOutline w14:w="9525" w14:cap="rnd" w14:cmpd="sng" w14:algn="ctr">
                                  <w14:noFill/>
                                  <w14:prstDash w14:val="solid"/>
                                  <w14:bevel/>
                                </w14:textOutline>
                              </w:rPr>
                              <w:t xml:space="preserve">GES definicija za Deskriptor 10:  Svojstva i količine otpada u moru ne izazivaju štetno dejstvo obalnoj i morskoj sredini. </w:t>
                            </w:r>
                          </w:p>
                          <w:p w14:paraId="47567C06" w14:textId="77777777" w:rsidR="00515997" w:rsidRPr="00837141" w:rsidRDefault="00515997" w:rsidP="004C1B16">
                            <w:pPr>
                              <w:autoSpaceDE w:val="0"/>
                              <w:autoSpaceDN w:val="0"/>
                              <w:adjustRightInd w:val="0"/>
                              <w:spacing w:before="0" w:after="240"/>
                              <w:rPr>
                                <w:rFonts w:eastAsia="Calibri" w:cs="Calibri"/>
                                <w:i/>
                                <w:color w:val="000000"/>
                                <w:szCs w:val="22"/>
                                <w:lang w:val="hr-HR" w:eastAsia="en-US"/>
                              </w:rPr>
                            </w:pPr>
                          </w:p>
                          <w:p w14:paraId="5BE0C26D" w14:textId="77777777" w:rsidR="00515997" w:rsidRPr="004C1B16" w:rsidRDefault="00515997" w:rsidP="004C1B16">
                            <w:pPr>
                              <w:rPr>
                                <w:i/>
                                <w:color w:val="000000"/>
                                <w:lang w:val="hr-H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644F1B" id="Rectangle: Rounded Corners 412" o:spid="_x0000_s1060" style="position:absolute;left:0;text-align:left;margin-left:0;margin-top:7.15pt;width:453.6pt;height:42.6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" fillcolor="#dce6f2" stroked="f" strokeweight="2pt">
                <v:fill opacity="54998f"/>
                <v:textbox>
                  <w:txbxContent>
                    <w:p w14:paraId="7C82F74F" w14:textId="77777777" w:rsidR="00515997" w:rsidRPr="00771DF4" w:rsidRDefault="00515997" w:rsidP="004C1B16">
                      <w:pPr>
                        <w:spacing w:before="0" w:after="0"/>
                        <w:jc w:val="left"/>
                        <w:rPr>
                          <w:rFonts w:eastAsia="Calibri"/>
                          <w:b/>
                          <w:i/>
                          <w:szCs w:val="22"/>
                          <w:lang w:val="hr-HR" w:eastAsia="en-US"/>
                        </w:rPr>
                      </w:pPr>
                      <w:r w:rsidRPr="004C1B16">
                        <w:rPr>
                          <w:b/>
                          <w:color w:val="000000"/>
                          <w:lang w:val="hr-HR"/>
                          <w14:textOutline w14:w="9525" w14:cap="rnd" w14:cmpd="sng" w14:algn="ctr">
                            <w14:noFill/>
                            <w14:prstDash w14:val="solid"/>
                            <w14:bevel/>
                          </w14:textOutline>
                        </w:rPr>
                        <w:t xml:space="preserve">GES definicija za Deskriptor 10:  Svojstva i količine otpada u moru ne izazivaju štetno dejstvo obalnoj i morskoj sredini. </w:t>
                      </w:r>
                    </w:p>
                    <w:p w14:paraId="47567C06" w14:textId="77777777" w:rsidR="00515997" w:rsidRPr="00837141" w:rsidRDefault="00515997" w:rsidP="004C1B16">
                      <w:pPr>
                        <w:autoSpaceDE w:val="0"/>
                        <w:autoSpaceDN w:val="0"/>
                        <w:adjustRightInd w:val="0"/>
                        <w:spacing w:before="0" w:after="240"/>
                        <w:rPr>
                          <w:rFonts w:eastAsia="Calibri" w:cs="Calibri"/>
                          <w:i/>
                          <w:color w:val="000000"/>
                          <w:szCs w:val="22"/>
                          <w:lang w:val="hr-HR" w:eastAsia="en-US"/>
                        </w:rPr>
                      </w:pPr>
                    </w:p>
                    <w:p w14:paraId="5BE0C26D" w14:textId="77777777" w:rsidR="00515997" w:rsidRPr="004C1B16" w:rsidRDefault="00515997" w:rsidP="004C1B16">
                      <w:pPr>
                        <w:rPr>
                          <w:i/>
                          <w:color w:val="000000"/>
                          <w:lang w:val="hr-HR"/>
                          <w14:textOutline w14:w="9525" w14:cap="rnd" w14:cmpd="sng" w14:algn="ctr">
                            <w14:noFill/>
                            <w14:prstDash w14:val="solid"/>
                            <w14:bevel/>
                          </w14:textOutline>
                        </w:rPr>
                      </w:pPr>
                    </w:p>
                  </w:txbxContent>
                </v:textbox>
              </v:roundrect>
            </w:pict>
          </mc:Fallback>
        </mc:AlternateContent>
      </w:r>
    </w:p>
    <w:p w14:paraId="7846688C" w14:textId="77777777" w:rsidR="004C1B16" w:rsidRPr="004C1B16" w:rsidRDefault="004C1B16" w:rsidP="004C1B16">
      <w:pPr>
        <w:spacing w:before="0" w:after="0"/>
        <w:rPr>
          <w:rFonts w:eastAsia="Calibri" w:cs="Calibri"/>
          <w:b/>
          <w:szCs w:val="22"/>
          <w:lang w:val="sr-Latn-RS" w:eastAsia="en-US"/>
        </w:rPr>
      </w:pPr>
    </w:p>
    <w:p w14:paraId="52317A02" w14:textId="77777777" w:rsidR="004C1B16" w:rsidRPr="004C1B16" w:rsidRDefault="004C1B16" w:rsidP="004C1B16">
      <w:pPr>
        <w:rPr>
          <w:rFonts w:cs="Calibri"/>
          <w:szCs w:val="22"/>
          <w:lang w:val="sr-Latn-RS" w:eastAsia="en-US"/>
        </w:rPr>
      </w:pPr>
      <w:bookmarkStart w:id="267" w:name="_Toc69678401"/>
    </w:p>
    <w:p w14:paraId="782D7EB6" w14:textId="1324C6A5" w:rsidR="004C1B16" w:rsidRPr="00965760" w:rsidRDefault="004C1B16" w:rsidP="004C1B16">
      <w:pPr>
        <w:pStyle w:val="Heading3"/>
        <w:rPr>
          <w:lang w:val="sr-Latn-RS" w:eastAsia="en-US"/>
        </w:rPr>
      </w:pPr>
      <w:bookmarkStart w:id="268" w:name="_Toc83630951"/>
      <w:r w:rsidRPr="004C1B16">
        <w:rPr>
          <w:lang w:val="sr-Latn-RS" w:eastAsia="en-US"/>
        </w:rPr>
        <w:t>Relevantni pritisci i uticaji</w:t>
      </w:r>
      <w:bookmarkEnd w:id="268"/>
      <w:r w:rsidRPr="004C1B16">
        <w:rPr>
          <w:lang w:val="sr-Latn-RS" w:eastAsia="en-US"/>
        </w:rPr>
        <w:t xml:space="preserve"> </w:t>
      </w:r>
      <w:bookmarkEnd w:id="267"/>
    </w:p>
    <w:p w14:paraId="0462FADD" w14:textId="77777777" w:rsidR="004C1B16" w:rsidRPr="004C1B16" w:rsidRDefault="004C1B16" w:rsidP="004C1B16">
      <w:pPr>
        <w:rPr>
          <w:rFonts w:eastAsia="Calibri" w:cs="Calibri"/>
          <w:szCs w:val="22"/>
          <w:lang w:val="sr-Latn-RS" w:eastAsia="en-US"/>
        </w:rPr>
      </w:pPr>
      <w:r w:rsidRPr="004C1B16">
        <w:rPr>
          <w:rFonts w:eastAsia="Calibri" w:cs="Calibri"/>
          <w:szCs w:val="22"/>
          <w:lang w:val="sr-Latn-RS" w:eastAsia="en-US"/>
        </w:rPr>
        <w:t xml:space="preserve">Pitanje otpada u moru prepoznato je kao jedna od glavnih prijetnji i pritisaka na morske ekosisteme u Sredozemnom moru. Jambeck </w:t>
      </w:r>
      <w:r w:rsidRPr="004C1B16">
        <w:rPr>
          <w:rFonts w:eastAsia="Calibri" w:cs="Calibri"/>
          <w:i/>
          <w:iCs/>
          <w:szCs w:val="22"/>
          <w:lang w:val="sr-Latn-RS" w:eastAsia="en-US"/>
        </w:rPr>
        <w:t>et al.</w:t>
      </w:r>
      <w:r w:rsidRPr="004C1B16">
        <w:rPr>
          <w:rFonts w:eastAsia="Calibri" w:cs="Calibri"/>
          <w:szCs w:val="22"/>
          <w:lang w:val="sr-Latn-RS" w:eastAsia="en-US"/>
        </w:rPr>
        <w:t xml:space="preserve"> (2015) procjenjuju da je između 4,8 i 12,7 miliona tona (MT) otpada dospjelo u okeane tokom 2010. godine. U 2017. godini ukupno je proizvedeno 348 miliona tona plastike na globalnom nivou (Plastics Europe, 2018), a u sledeće dvije decenije očekuje se da će se količina proizvedene plastike udvostručiti (Geyer </w:t>
      </w:r>
      <w:r w:rsidRPr="004C1B16">
        <w:rPr>
          <w:rFonts w:eastAsia="Calibri" w:cs="Calibri"/>
          <w:i/>
          <w:iCs/>
          <w:szCs w:val="22"/>
          <w:lang w:val="sr-Latn-RS" w:eastAsia="en-US"/>
        </w:rPr>
        <w:t>et al</w:t>
      </w:r>
      <w:r w:rsidRPr="004C1B16">
        <w:rPr>
          <w:rFonts w:eastAsia="Calibri" w:cs="Calibri"/>
          <w:szCs w:val="22"/>
          <w:lang w:val="sr-Latn-RS" w:eastAsia="en-US"/>
        </w:rPr>
        <w:t>., 2017.).</w:t>
      </w:r>
    </w:p>
    <w:p w14:paraId="643EB5BE" w14:textId="77777777" w:rsidR="004C1B16" w:rsidRPr="004C1B16" w:rsidRDefault="004C1B16" w:rsidP="004C1B16">
      <w:pPr>
        <w:rPr>
          <w:rFonts w:eastAsia="Calibri" w:cs="Calibri"/>
          <w:szCs w:val="22"/>
          <w:lang w:val="sr-Latn-RS" w:eastAsia="en-US"/>
        </w:rPr>
      </w:pPr>
      <w:r w:rsidRPr="004C1B16">
        <w:rPr>
          <w:rFonts w:cs="Calibri"/>
          <w:szCs w:val="22"/>
          <w:lang w:val="sr-Latn-RS" w:eastAsia="en-US"/>
        </w:rPr>
        <w:t xml:space="preserve">Nedavna istraživanja o količini plastike u Sredozemnom moru pokazala su da je Crna Gora među prvih 10 zemalja koje doprinose ukupnoj količini plastike koja dospijeva u Sredozemno more, sa 8,7 kg plastike po stanovniku godišnje, koje je najvećim dijelom posljedica lošeg upravljanja </w:t>
      </w:r>
      <w:r w:rsidRPr="004C1B16">
        <w:rPr>
          <w:rFonts w:eastAsia="Calibri" w:cs="Calibri"/>
          <w:szCs w:val="22"/>
          <w:lang w:val="sr-Latn-RS" w:eastAsia="en-US"/>
        </w:rPr>
        <w:t>otpadom (Boucher i Billard, 2020).</w:t>
      </w:r>
    </w:p>
    <w:p w14:paraId="54CF2279" w14:textId="77777777" w:rsidR="004C1B16" w:rsidRPr="004C1B16" w:rsidRDefault="004C1B16" w:rsidP="004C1B16">
      <w:pPr>
        <w:rPr>
          <w:rFonts w:eastAsia="Calibri" w:cs="Calibri"/>
          <w:szCs w:val="22"/>
          <w:lang w:val="sr-Latn-RS" w:eastAsia="en-US"/>
        </w:rPr>
      </w:pPr>
      <w:r w:rsidRPr="004C1B16">
        <w:rPr>
          <w:rFonts w:eastAsia="Calibri" w:cs="Calibri"/>
          <w:szCs w:val="22"/>
          <w:lang w:val="sr-Latn-RS" w:eastAsia="en-US"/>
        </w:rPr>
        <w:t>Glavni pritisci koji utiču na stvaranje otpada u moru su: povećane turističkih i rekreacijskih aktivnosti; pomorski saobraćaj; gradnja u blizini obale; dinamična hidrografija i jake morske struje koje uzrokuju nakupljanje otpada na različitim područjima; riječni unosi otpada u more, posebno u riječnim slivovima stvaraju dodatni pritisak na morski ekosisitem i zdravlje živog svijeta podmorja; sve veće iskorišćavanje prirodnih resursa; loše upravljanje otpadom; sektori akvakulture i ribarstva. Procijena postojećih pritisaka i pritisaka predviđenih do 2030. godine za otpad u moru na području crnogorskih voda dati su u tabeli 2.42.</w:t>
      </w:r>
    </w:p>
    <w:p w14:paraId="296A5DBD" w14:textId="77777777" w:rsidR="004C1B16" w:rsidRPr="004C1B16" w:rsidRDefault="004C1B16" w:rsidP="004C1B16">
      <w:pPr>
        <w:spacing w:before="0" w:after="0"/>
        <w:rPr>
          <w:rFonts w:cs="Calibri"/>
          <w:szCs w:val="22"/>
          <w:lang w:val="sr-Latn-RS" w:eastAsia="en-US"/>
        </w:rPr>
      </w:pPr>
    </w:p>
    <w:p w14:paraId="709AF712" w14:textId="77777777" w:rsidR="004C1B16" w:rsidRPr="004C1B16" w:rsidRDefault="004C1B16" w:rsidP="004C1B16">
      <w:pPr>
        <w:spacing w:before="0" w:line="240" w:lineRule="auto"/>
        <w:rPr>
          <w:rFonts w:cs="Calibri"/>
          <w:b/>
          <w:szCs w:val="22"/>
          <w:lang w:val="sr-Latn-RS" w:eastAsia="en-US"/>
        </w:rPr>
      </w:pPr>
      <w:bookmarkStart w:id="269" w:name="_Toc83643188"/>
      <w:r w:rsidRPr="004C1B16">
        <w:rPr>
          <w:rFonts w:eastAsia="Calibri" w:cs="Calibri"/>
          <w:b/>
          <w:szCs w:val="22"/>
          <w:lang w:val="sr-Latn-RS" w:eastAsia="en-US"/>
        </w:rPr>
        <w:t xml:space="preserve">Tabela </w:t>
      </w:r>
      <w:r w:rsidRPr="004C1B16">
        <w:rPr>
          <w:rFonts w:cs="Calibri"/>
          <w:b/>
          <w:szCs w:val="22"/>
          <w:lang w:val="sr-Latn-RS"/>
        </w:rPr>
        <w:fldChar w:fldCharType="begin"/>
      </w:r>
      <w:r w:rsidRPr="004C1B16">
        <w:rPr>
          <w:rFonts w:cs="Calibri"/>
          <w:b/>
          <w:szCs w:val="22"/>
          <w:lang w:val="sr-Latn-RS"/>
        </w:rPr>
        <w:instrText xml:space="preserve"> STYLEREF 1 \s </w:instrText>
      </w:r>
      <w:r w:rsidRPr="004C1B16">
        <w:rPr>
          <w:rFonts w:cs="Calibri"/>
          <w:b/>
          <w:szCs w:val="22"/>
          <w:lang w:val="sr-Latn-RS"/>
        </w:rPr>
        <w:fldChar w:fldCharType="separate"/>
      </w:r>
      <w:r w:rsidR="000D1E20">
        <w:rPr>
          <w:rFonts w:cs="Calibri"/>
          <w:b/>
          <w:noProof/>
          <w:szCs w:val="22"/>
          <w:lang w:val="sr-Latn-RS"/>
        </w:rPr>
        <w:t>2</w:t>
      </w:r>
      <w:r w:rsidRPr="004C1B16">
        <w:rPr>
          <w:rFonts w:cs="Calibri"/>
          <w:b/>
          <w:szCs w:val="22"/>
          <w:lang w:val="sr-Latn-RS"/>
        </w:rPr>
        <w:fldChar w:fldCharType="end"/>
      </w:r>
      <w:r w:rsidRPr="004C1B16">
        <w:rPr>
          <w:rFonts w:cs="Calibri"/>
          <w:b/>
          <w:szCs w:val="22"/>
          <w:lang w:val="sr-Latn-RS"/>
        </w:rPr>
        <w:t>.</w:t>
      </w:r>
      <w:r w:rsidRPr="004C1B16">
        <w:rPr>
          <w:rFonts w:cs="Calibri"/>
          <w:b/>
          <w:szCs w:val="22"/>
          <w:lang w:val="sr-Latn-RS"/>
        </w:rPr>
        <w:fldChar w:fldCharType="begin"/>
      </w:r>
      <w:r w:rsidRPr="004C1B16">
        <w:rPr>
          <w:rFonts w:cs="Calibri"/>
          <w:b/>
          <w:szCs w:val="22"/>
          <w:lang w:val="sr-Latn-RS"/>
        </w:rPr>
        <w:instrText xml:space="preserve"> SEQ Table \* ARABIC \s 1 </w:instrText>
      </w:r>
      <w:r w:rsidRPr="004C1B16">
        <w:rPr>
          <w:rFonts w:cs="Calibri"/>
          <w:b/>
          <w:szCs w:val="22"/>
          <w:lang w:val="sr-Latn-RS"/>
        </w:rPr>
        <w:fldChar w:fldCharType="separate"/>
      </w:r>
      <w:r w:rsidR="000D1E20">
        <w:rPr>
          <w:rFonts w:cs="Calibri"/>
          <w:b/>
          <w:noProof/>
          <w:szCs w:val="22"/>
          <w:lang w:val="sr-Latn-RS"/>
        </w:rPr>
        <w:t>30</w:t>
      </w:r>
      <w:r w:rsidRPr="004C1B16">
        <w:rPr>
          <w:rFonts w:cs="Calibri"/>
          <w:b/>
          <w:szCs w:val="22"/>
          <w:lang w:val="sr-Latn-RS"/>
        </w:rPr>
        <w:fldChar w:fldCharType="end"/>
      </w:r>
      <w:r w:rsidRPr="004C1B16">
        <w:rPr>
          <w:rFonts w:cs="Calibri"/>
          <w:b/>
          <w:szCs w:val="22"/>
          <w:lang w:val="sr-Latn-RS"/>
        </w:rPr>
        <w:t>.</w:t>
      </w:r>
      <w:r w:rsidRPr="004C1B16">
        <w:rPr>
          <w:rFonts w:eastAsia="Calibri" w:cs="Calibri"/>
          <w:b/>
          <w:szCs w:val="22"/>
          <w:lang w:val="sr-Latn-RS" w:eastAsia="en-US"/>
        </w:rPr>
        <w:t xml:space="preserve"> Postojeći i projektovani pritisci za Deskriptor 10 u crnogorskom dijelu Jadranskog mora, u skladu sa podacima predstavljenim u Inicijalnoj procjeni stanja</w:t>
      </w:r>
      <w:r w:rsidRPr="004C1B16">
        <w:rPr>
          <w:rFonts w:cs="Calibri"/>
          <w:b/>
          <w:szCs w:val="22"/>
          <w:vertAlign w:val="superscript"/>
          <w:lang w:val="sr-Latn-RS" w:eastAsia="en-US"/>
        </w:rPr>
        <w:footnoteReference w:id="48"/>
      </w:r>
      <w:bookmarkEnd w:id="269"/>
      <w:r w:rsidRPr="004C1B16">
        <w:rPr>
          <w:rFonts w:eastAsia="Calibri" w:cs="Calibri"/>
          <w:b/>
          <w:szCs w:val="22"/>
          <w:lang w:val="sr-Latn-RS" w:eastAsia="en-US"/>
        </w:rPr>
        <w:t xml:space="preserve"> </w:t>
      </w:r>
    </w:p>
    <w:tbl>
      <w:tblPr>
        <w:tblStyle w:val="GolderTable141"/>
        <w:tblW w:w="0" w:type="auto"/>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663"/>
        <w:gridCol w:w="3012"/>
        <w:gridCol w:w="2081"/>
        <w:gridCol w:w="2260"/>
      </w:tblGrid>
      <w:tr w:rsidR="004C1B16" w:rsidRPr="004C1B16" w14:paraId="39CB09BE" w14:textId="77777777" w:rsidTr="00C42B0B">
        <w:trPr>
          <w:tblHeader/>
        </w:trPr>
        <w:tc>
          <w:tcPr>
            <w:tcW w:w="16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04055E76" w14:textId="77777777" w:rsidR="004C1B16" w:rsidRPr="00EA7353" w:rsidRDefault="004C1B16" w:rsidP="004C1B16">
            <w:pPr>
              <w:spacing w:before="0" w:after="0" w:line="240" w:lineRule="auto"/>
              <w:jc w:val="left"/>
              <w:rPr>
                <w:rFonts w:cs="Calibri"/>
                <w:b/>
                <w:color w:val="FFFFFF" w:themeColor="background1"/>
                <w:sz w:val="20"/>
                <w:szCs w:val="20"/>
                <w:lang w:val="sr-Latn-RS" w:eastAsia="en-US"/>
              </w:rPr>
            </w:pPr>
            <w:r w:rsidRPr="00EA7353">
              <w:rPr>
                <w:rFonts w:cs="Calibri"/>
                <w:b/>
                <w:color w:val="FFFFFF" w:themeColor="background1"/>
                <w:sz w:val="20"/>
                <w:szCs w:val="20"/>
                <w:lang w:val="sr-Latn-RS" w:eastAsia="en-US"/>
              </w:rPr>
              <w:t>Postojeće korišćenje voda</w:t>
            </w:r>
          </w:p>
        </w:tc>
        <w:tc>
          <w:tcPr>
            <w:tcW w:w="30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5D057E27" w14:textId="77777777" w:rsidR="004C1B16" w:rsidRPr="00EA7353" w:rsidRDefault="004C1B16" w:rsidP="004C1B16">
            <w:pPr>
              <w:spacing w:before="0" w:after="0" w:line="240" w:lineRule="auto"/>
              <w:jc w:val="center"/>
              <w:rPr>
                <w:rFonts w:cs="Calibri"/>
                <w:b/>
                <w:color w:val="FFFFFF" w:themeColor="background1"/>
                <w:sz w:val="20"/>
                <w:szCs w:val="20"/>
                <w:lang w:val="sr-Latn-RS" w:eastAsia="en-US"/>
              </w:rPr>
            </w:pPr>
            <w:r w:rsidRPr="00EA7353">
              <w:rPr>
                <w:rFonts w:cs="Calibri"/>
                <w:b/>
                <w:color w:val="FFFFFF" w:themeColor="background1"/>
                <w:sz w:val="20"/>
                <w:szCs w:val="20"/>
                <w:lang w:val="sr-Latn-RS" w:eastAsia="en-US"/>
              </w:rPr>
              <w:t>Postojeći pritisci</w:t>
            </w:r>
          </w:p>
        </w:tc>
        <w:tc>
          <w:tcPr>
            <w:tcW w:w="20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36C57B3B" w14:textId="77777777" w:rsidR="004C1B16" w:rsidRPr="00EA7353" w:rsidRDefault="004C1B16" w:rsidP="004C1B16">
            <w:pPr>
              <w:spacing w:before="0" w:after="0" w:line="240" w:lineRule="auto"/>
              <w:jc w:val="left"/>
              <w:rPr>
                <w:rFonts w:cs="Calibri"/>
                <w:b/>
                <w:color w:val="FFFFFF" w:themeColor="background1"/>
                <w:sz w:val="20"/>
                <w:szCs w:val="20"/>
                <w:lang w:val="sr-Latn-RS" w:eastAsia="en-US"/>
              </w:rPr>
            </w:pPr>
            <w:r w:rsidRPr="00EA7353">
              <w:rPr>
                <w:rFonts w:cs="Calibri"/>
                <w:b/>
                <w:color w:val="FFFFFF" w:themeColor="background1"/>
                <w:sz w:val="20"/>
                <w:szCs w:val="20"/>
                <w:lang w:val="sr-Latn-RS" w:eastAsia="en-US"/>
              </w:rPr>
              <w:t>Projektovani pritisci do 2030</w:t>
            </w:r>
          </w:p>
        </w:tc>
        <w:tc>
          <w:tcPr>
            <w:tcW w:w="2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511550D6" w14:textId="77777777" w:rsidR="004C1B16" w:rsidRPr="00EA7353" w:rsidRDefault="004C1B16" w:rsidP="004C1B16">
            <w:pPr>
              <w:spacing w:before="0" w:after="0" w:line="240" w:lineRule="auto"/>
              <w:jc w:val="left"/>
              <w:rPr>
                <w:rFonts w:cs="Calibri"/>
                <w:b/>
                <w:color w:val="FFFFFF" w:themeColor="background1"/>
                <w:sz w:val="20"/>
                <w:szCs w:val="20"/>
                <w:lang w:val="sr-Latn-RS" w:eastAsia="en-US"/>
              </w:rPr>
            </w:pPr>
            <w:r w:rsidRPr="00EA7353">
              <w:rPr>
                <w:rFonts w:cs="Calibri"/>
                <w:b/>
                <w:color w:val="FFFFFF" w:themeColor="background1"/>
                <w:sz w:val="20"/>
                <w:szCs w:val="20"/>
                <w:lang w:val="sr-Latn-RS" w:eastAsia="en-US"/>
              </w:rPr>
              <w:t>Projektovano stanje morske sredine</w:t>
            </w:r>
            <w:r w:rsidRPr="00EA7353">
              <w:rPr>
                <w:rFonts w:cs="Calibri"/>
                <w:b/>
                <w:color w:val="FFFFFF" w:themeColor="background1"/>
                <w:sz w:val="20"/>
                <w:szCs w:val="20"/>
                <w:vertAlign w:val="superscript"/>
                <w:lang w:val="sr-Latn-RS" w:eastAsia="en-US"/>
              </w:rPr>
              <w:footnoteReference w:id="49"/>
            </w:r>
          </w:p>
        </w:tc>
      </w:tr>
      <w:tr w:rsidR="004C1B16" w:rsidRPr="004C1B16" w14:paraId="4D4C7618" w14:textId="77777777" w:rsidTr="00C42B0B">
        <w:tc>
          <w:tcPr>
            <w:tcW w:w="1663" w:type="dxa"/>
            <w:tcBorders>
              <w:top w:val="single" w:sz="4" w:space="0" w:color="FFFFFF" w:themeColor="background1"/>
            </w:tcBorders>
          </w:tcPr>
          <w:p w14:paraId="3D419C5C" w14:textId="77777777" w:rsidR="004C1B16" w:rsidRPr="004C1B16" w:rsidRDefault="004C1B16" w:rsidP="004C1B16">
            <w:pPr>
              <w:spacing w:before="0" w:after="0" w:line="240" w:lineRule="auto"/>
              <w:rPr>
                <w:rFonts w:cs="Calibri"/>
                <w:sz w:val="20"/>
                <w:szCs w:val="20"/>
                <w:lang w:val="sr-Latn-RS" w:eastAsia="en-US"/>
              </w:rPr>
            </w:pPr>
            <w:r w:rsidRPr="004C1B16">
              <w:rPr>
                <w:rFonts w:cs="Calibri"/>
                <w:sz w:val="20"/>
                <w:szCs w:val="20"/>
                <w:lang w:val="sr-Latn-RS" w:eastAsia="en-US"/>
              </w:rPr>
              <w:t>Obalni turizam i rekreacijske aktivnosti</w:t>
            </w:r>
          </w:p>
        </w:tc>
        <w:tc>
          <w:tcPr>
            <w:tcW w:w="3012" w:type="dxa"/>
            <w:tcBorders>
              <w:top w:val="single" w:sz="4" w:space="0" w:color="FFFFFF" w:themeColor="background1"/>
            </w:tcBorders>
          </w:tcPr>
          <w:p w14:paraId="19184333"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r w:rsidRPr="004C1B16">
              <w:rPr>
                <w:rFonts w:cs="Calibri"/>
                <w:sz w:val="20"/>
                <w:szCs w:val="20"/>
                <w:lang w:val="sr-Latn-RS" w:eastAsia="en-US"/>
              </w:rPr>
              <w:t>Procjenjena generacija otpada oko 25,000 t godišnje</w:t>
            </w:r>
          </w:p>
        </w:tc>
        <w:tc>
          <w:tcPr>
            <w:tcW w:w="2081" w:type="dxa"/>
            <w:tcBorders>
              <w:top w:val="single" w:sz="4" w:space="0" w:color="FFFFFF" w:themeColor="background1"/>
            </w:tcBorders>
          </w:tcPr>
          <w:p w14:paraId="52D6C3D5"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r w:rsidRPr="004C1B16">
              <w:rPr>
                <w:rFonts w:cs="Calibri"/>
                <w:sz w:val="20"/>
                <w:szCs w:val="20"/>
                <w:lang w:val="sr-Latn-RS" w:eastAsia="en-US"/>
              </w:rPr>
              <w:t xml:space="preserve">Trend pritiska: </w:t>
            </w:r>
          </w:p>
          <w:p w14:paraId="1423A716" w14:textId="77777777" w:rsidR="004C1B16" w:rsidRPr="004C1B16" w:rsidRDefault="004C1B16" w:rsidP="004C1B16">
            <w:pPr>
              <w:autoSpaceDE w:val="0"/>
              <w:autoSpaceDN w:val="0"/>
              <w:adjustRightInd w:val="0"/>
              <w:spacing w:after="0" w:line="240" w:lineRule="auto"/>
              <w:contextualSpacing/>
              <w:jc w:val="left"/>
              <w:rPr>
                <w:rFonts w:cs="Calibri"/>
                <w:sz w:val="20"/>
                <w:szCs w:val="20"/>
                <w:lang w:val="sr-Latn-RS" w:eastAsia="en-US"/>
              </w:rPr>
            </w:pPr>
            <w:r w:rsidRPr="004C1B16">
              <w:rPr>
                <w:rFonts w:cs="Calibri"/>
                <w:sz w:val="20"/>
                <w:szCs w:val="20"/>
                <w:lang w:val="sr-Latn-RS" w:eastAsia="en-US"/>
              </w:rPr>
              <w:t>Stvaranje otpada, otpad u moru (++)</w:t>
            </w:r>
          </w:p>
        </w:tc>
        <w:tc>
          <w:tcPr>
            <w:tcW w:w="2260" w:type="dxa"/>
            <w:tcBorders>
              <w:top w:val="single" w:sz="4" w:space="0" w:color="FFFFFF" w:themeColor="background1"/>
            </w:tcBorders>
          </w:tcPr>
          <w:p w14:paraId="36CDAF44"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r w:rsidRPr="004C1B16">
              <w:rPr>
                <w:rFonts w:cs="Calibri"/>
                <w:sz w:val="20"/>
                <w:szCs w:val="20"/>
                <w:lang w:val="sr-Latn-RS" w:eastAsia="en-US"/>
              </w:rPr>
              <w:t>Pogoršanje</w:t>
            </w:r>
          </w:p>
          <w:p w14:paraId="0BC986FE" w14:textId="77777777" w:rsidR="004C1B16" w:rsidRPr="004C1B16" w:rsidRDefault="004C1B16" w:rsidP="004C1B16">
            <w:pPr>
              <w:spacing w:before="0" w:after="0" w:line="240" w:lineRule="auto"/>
              <w:rPr>
                <w:rFonts w:cs="Calibri"/>
                <w:sz w:val="20"/>
                <w:szCs w:val="20"/>
                <w:lang w:val="sr-Latn-RS" w:eastAsia="en-US"/>
              </w:rPr>
            </w:pPr>
          </w:p>
        </w:tc>
      </w:tr>
      <w:tr w:rsidR="004C1B16" w:rsidRPr="004C1B16" w14:paraId="5BE45E72" w14:textId="77777777" w:rsidTr="004C1B16">
        <w:tc>
          <w:tcPr>
            <w:tcW w:w="1663" w:type="dxa"/>
          </w:tcPr>
          <w:p w14:paraId="095B5CED" w14:textId="77777777" w:rsidR="004C1B16" w:rsidRPr="004C1B16" w:rsidRDefault="004C1B16" w:rsidP="004C1B16">
            <w:pPr>
              <w:spacing w:before="0" w:after="0" w:line="240" w:lineRule="auto"/>
              <w:rPr>
                <w:rFonts w:cs="Calibri"/>
                <w:sz w:val="20"/>
                <w:szCs w:val="20"/>
                <w:lang w:val="sr-Latn-RS" w:eastAsia="en-US"/>
              </w:rPr>
            </w:pPr>
            <w:r w:rsidRPr="004C1B16">
              <w:rPr>
                <w:rFonts w:cs="Calibri"/>
                <w:sz w:val="20"/>
                <w:szCs w:val="20"/>
                <w:lang w:val="sr-Latn-RS" w:eastAsia="en-US"/>
              </w:rPr>
              <w:t>Nautički turizam</w:t>
            </w:r>
          </w:p>
        </w:tc>
        <w:tc>
          <w:tcPr>
            <w:tcW w:w="3012" w:type="dxa"/>
          </w:tcPr>
          <w:p w14:paraId="11089A49"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r w:rsidRPr="004C1B16">
              <w:rPr>
                <w:rFonts w:cs="Calibri"/>
                <w:sz w:val="20"/>
                <w:szCs w:val="20"/>
                <w:lang w:val="sr-Latn-RS" w:eastAsia="en-US"/>
              </w:rPr>
              <w:t>Unos otpada u more</w:t>
            </w:r>
          </w:p>
          <w:p w14:paraId="1213A01D" w14:textId="77777777" w:rsidR="004C1B16" w:rsidRPr="004C1B16" w:rsidRDefault="004C1B16" w:rsidP="004C1B16">
            <w:pPr>
              <w:spacing w:before="0" w:after="0" w:line="240" w:lineRule="auto"/>
              <w:rPr>
                <w:rFonts w:cs="Calibri"/>
                <w:sz w:val="20"/>
                <w:szCs w:val="20"/>
                <w:lang w:val="sr-Latn-RS" w:eastAsia="en-US"/>
              </w:rPr>
            </w:pPr>
          </w:p>
        </w:tc>
        <w:tc>
          <w:tcPr>
            <w:tcW w:w="2081" w:type="dxa"/>
          </w:tcPr>
          <w:p w14:paraId="15F237DA" w14:textId="77777777" w:rsidR="004C1B16" w:rsidRPr="004C1B16" w:rsidRDefault="004C1B16" w:rsidP="004C1B16">
            <w:pPr>
              <w:autoSpaceDE w:val="0"/>
              <w:autoSpaceDN w:val="0"/>
              <w:adjustRightInd w:val="0"/>
              <w:spacing w:after="0" w:line="240" w:lineRule="auto"/>
              <w:contextualSpacing/>
              <w:rPr>
                <w:rFonts w:cs="Calibri"/>
                <w:sz w:val="20"/>
                <w:szCs w:val="20"/>
                <w:lang w:val="sr-Latn-RS" w:eastAsia="en-US"/>
              </w:rPr>
            </w:pPr>
            <w:r w:rsidRPr="004C1B16">
              <w:rPr>
                <w:rFonts w:cs="Calibri"/>
                <w:sz w:val="20"/>
                <w:szCs w:val="20"/>
                <w:lang w:val="sr-Latn-RS" w:eastAsia="en-US"/>
              </w:rPr>
              <w:t>Trend pritiska: unos otpada (+)</w:t>
            </w:r>
          </w:p>
        </w:tc>
        <w:tc>
          <w:tcPr>
            <w:tcW w:w="2260" w:type="dxa"/>
          </w:tcPr>
          <w:p w14:paraId="08556C55" w14:textId="77777777" w:rsidR="004C1B16" w:rsidRPr="004C1B16" w:rsidRDefault="004C1B16" w:rsidP="004C1B16">
            <w:pPr>
              <w:spacing w:before="0" w:after="0" w:line="240" w:lineRule="auto"/>
              <w:rPr>
                <w:rFonts w:cs="Calibri"/>
                <w:sz w:val="20"/>
                <w:szCs w:val="20"/>
                <w:lang w:val="sr-Latn-RS" w:eastAsia="en-US"/>
              </w:rPr>
            </w:pPr>
          </w:p>
          <w:p w14:paraId="5029ACF4"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r w:rsidRPr="004C1B16">
              <w:rPr>
                <w:rFonts w:cs="Calibri"/>
                <w:sz w:val="20"/>
                <w:szCs w:val="20"/>
                <w:lang w:val="sr-Latn-RS" w:eastAsia="en-US"/>
              </w:rPr>
              <w:t>Pogoršanje</w:t>
            </w:r>
          </w:p>
          <w:p w14:paraId="69DCEFB2" w14:textId="77777777" w:rsidR="004C1B16" w:rsidRPr="004C1B16" w:rsidRDefault="004C1B16" w:rsidP="004C1B16">
            <w:pPr>
              <w:spacing w:before="0" w:after="0" w:line="240" w:lineRule="auto"/>
              <w:rPr>
                <w:rFonts w:cs="Calibri"/>
                <w:sz w:val="20"/>
                <w:szCs w:val="20"/>
                <w:lang w:val="sr-Latn-RS" w:eastAsia="en-US"/>
              </w:rPr>
            </w:pPr>
          </w:p>
        </w:tc>
      </w:tr>
      <w:tr w:rsidR="004C1B16" w:rsidRPr="004C1B16" w14:paraId="68F82535" w14:textId="77777777" w:rsidTr="004C1B16">
        <w:tc>
          <w:tcPr>
            <w:tcW w:w="1663" w:type="dxa"/>
          </w:tcPr>
          <w:p w14:paraId="630832FF" w14:textId="77777777" w:rsidR="004C1B16" w:rsidRPr="004C1B16" w:rsidRDefault="004C1B16" w:rsidP="004C1B16">
            <w:pPr>
              <w:spacing w:before="0" w:after="0" w:line="240" w:lineRule="auto"/>
              <w:jc w:val="left"/>
              <w:rPr>
                <w:rFonts w:cs="Calibri"/>
                <w:sz w:val="20"/>
                <w:szCs w:val="20"/>
                <w:lang w:val="sr-Latn-RS" w:eastAsia="en-US"/>
              </w:rPr>
            </w:pPr>
            <w:r w:rsidRPr="004C1B16">
              <w:rPr>
                <w:rFonts w:cs="Calibri"/>
                <w:sz w:val="20"/>
                <w:szCs w:val="20"/>
                <w:lang w:val="sr-Latn-RS" w:eastAsia="en-US"/>
              </w:rPr>
              <w:t xml:space="preserve">Pomorski saobraćaj: luke i marine, brodarstvo, brodogradnja i popravka brodova. </w:t>
            </w:r>
          </w:p>
        </w:tc>
        <w:tc>
          <w:tcPr>
            <w:tcW w:w="3012" w:type="dxa"/>
          </w:tcPr>
          <w:p w14:paraId="4C995CF1"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r w:rsidRPr="004C1B16">
              <w:rPr>
                <w:rFonts w:cs="Calibri"/>
                <w:sz w:val="20"/>
                <w:szCs w:val="20"/>
                <w:lang w:val="sr-Latn-RS" w:eastAsia="en-US"/>
              </w:rPr>
              <w:t>Generalno niski pritisci zbog niskog intenziteta uticaja (osim za nautičke luke)</w:t>
            </w:r>
          </w:p>
          <w:p w14:paraId="328F7081"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p>
        </w:tc>
        <w:tc>
          <w:tcPr>
            <w:tcW w:w="2081" w:type="dxa"/>
          </w:tcPr>
          <w:p w14:paraId="43DBCE5E" w14:textId="77777777" w:rsidR="004C1B16" w:rsidRPr="004C1B16" w:rsidRDefault="004C1B16" w:rsidP="004C1B16">
            <w:pPr>
              <w:spacing w:before="0" w:after="0" w:line="240" w:lineRule="auto"/>
              <w:rPr>
                <w:rFonts w:cs="Calibri"/>
                <w:sz w:val="20"/>
                <w:szCs w:val="20"/>
                <w:lang w:val="sr-Latn-RS" w:eastAsia="en-US"/>
              </w:rPr>
            </w:pPr>
            <w:r w:rsidRPr="004C1B16">
              <w:rPr>
                <w:rFonts w:cs="Calibri"/>
                <w:sz w:val="20"/>
                <w:szCs w:val="20"/>
                <w:lang w:val="sr-Latn-RS" w:eastAsia="en-US"/>
              </w:rPr>
              <w:t>Trend pritiska: unos otpada (+)</w:t>
            </w:r>
          </w:p>
        </w:tc>
        <w:tc>
          <w:tcPr>
            <w:tcW w:w="2260" w:type="dxa"/>
          </w:tcPr>
          <w:p w14:paraId="6288CD41" w14:textId="77777777" w:rsidR="004C1B16" w:rsidRPr="004C1B16" w:rsidRDefault="004C1B16" w:rsidP="004C1B16">
            <w:pPr>
              <w:spacing w:before="0" w:after="0" w:line="240" w:lineRule="auto"/>
              <w:rPr>
                <w:rFonts w:cs="Calibri"/>
                <w:sz w:val="20"/>
                <w:szCs w:val="20"/>
                <w:lang w:val="sr-Latn-RS" w:eastAsia="en-US"/>
              </w:rPr>
            </w:pPr>
          </w:p>
          <w:p w14:paraId="3537200A"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r w:rsidRPr="004C1B16">
              <w:rPr>
                <w:rFonts w:cs="Calibri"/>
                <w:sz w:val="20"/>
                <w:szCs w:val="20"/>
                <w:lang w:val="sr-Latn-RS" w:eastAsia="en-US"/>
              </w:rPr>
              <w:t>Pogoršanje</w:t>
            </w:r>
          </w:p>
          <w:p w14:paraId="1ED4E8EA" w14:textId="77777777" w:rsidR="004C1B16" w:rsidRPr="004C1B16" w:rsidRDefault="004C1B16" w:rsidP="004C1B16">
            <w:pPr>
              <w:spacing w:before="0" w:after="0" w:line="240" w:lineRule="auto"/>
              <w:rPr>
                <w:rFonts w:cs="Calibri"/>
                <w:sz w:val="20"/>
                <w:szCs w:val="20"/>
                <w:lang w:val="sr-Latn-RS" w:eastAsia="en-US"/>
              </w:rPr>
            </w:pPr>
          </w:p>
        </w:tc>
      </w:tr>
      <w:tr w:rsidR="004C1B16" w:rsidRPr="004C1B16" w14:paraId="5E586034" w14:textId="77777777" w:rsidTr="004C1B16">
        <w:tc>
          <w:tcPr>
            <w:tcW w:w="1663" w:type="dxa"/>
          </w:tcPr>
          <w:p w14:paraId="12B8580B" w14:textId="77777777" w:rsidR="004C1B16" w:rsidRPr="004C1B16" w:rsidRDefault="004C1B16" w:rsidP="004C1B16">
            <w:pPr>
              <w:spacing w:before="0" w:after="0" w:line="240" w:lineRule="auto"/>
              <w:jc w:val="left"/>
              <w:rPr>
                <w:rFonts w:cs="Calibri"/>
                <w:sz w:val="20"/>
                <w:szCs w:val="20"/>
                <w:lang w:val="sr-Latn-RS" w:eastAsia="en-US"/>
              </w:rPr>
            </w:pPr>
            <w:r w:rsidRPr="004C1B16">
              <w:rPr>
                <w:rFonts w:cs="Calibri"/>
                <w:sz w:val="20"/>
                <w:szCs w:val="20"/>
                <w:lang w:val="sr-Latn-RS" w:eastAsia="en-US"/>
              </w:rPr>
              <w:t>Izgradnja blizu obale</w:t>
            </w:r>
          </w:p>
        </w:tc>
        <w:tc>
          <w:tcPr>
            <w:tcW w:w="3012" w:type="dxa"/>
          </w:tcPr>
          <w:p w14:paraId="45166627" w14:textId="77777777" w:rsidR="004C1B16" w:rsidRPr="004C1B16" w:rsidRDefault="004C1B16" w:rsidP="004C1B16">
            <w:pPr>
              <w:autoSpaceDE w:val="0"/>
              <w:autoSpaceDN w:val="0"/>
              <w:adjustRightInd w:val="0"/>
              <w:spacing w:before="0" w:after="0" w:line="240" w:lineRule="auto"/>
              <w:jc w:val="left"/>
              <w:rPr>
                <w:rFonts w:cs="Calibri"/>
                <w:sz w:val="20"/>
                <w:szCs w:val="20"/>
                <w:lang w:val="sr-Latn-RS" w:eastAsia="en-US"/>
              </w:rPr>
            </w:pPr>
            <w:r w:rsidRPr="004C1B16">
              <w:rPr>
                <w:rFonts w:cs="Calibri"/>
                <w:sz w:val="20"/>
                <w:szCs w:val="20"/>
                <w:lang w:val="sr-Latn-RS" w:eastAsia="en-US"/>
              </w:rPr>
              <w:t>Unos otpada u more zbog visoke koncentracije stanovništva u obalnim zonama.</w:t>
            </w:r>
          </w:p>
        </w:tc>
        <w:tc>
          <w:tcPr>
            <w:tcW w:w="2081" w:type="dxa"/>
          </w:tcPr>
          <w:p w14:paraId="0759BCF0" w14:textId="77777777" w:rsidR="004C1B16" w:rsidRPr="004C1B16" w:rsidRDefault="004C1B16" w:rsidP="004C1B16">
            <w:pPr>
              <w:autoSpaceDE w:val="0"/>
              <w:autoSpaceDN w:val="0"/>
              <w:adjustRightInd w:val="0"/>
              <w:spacing w:after="0" w:line="240" w:lineRule="auto"/>
              <w:ind w:left="32"/>
              <w:contextualSpacing/>
              <w:rPr>
                <w:rFonts w:cs="Calibri"/>
                <w:sz w:val="20"/>
                <w:szCs w:val="20"/>
                <w:lang w:val="sr-Latn-RS" w:eastAsia="en-US"/>
              </w:rPr>
            </w:pPr>
            <w:r w:rsidRPr="004C1B16">
              <w:rPr>
                <w:rFonts w:cs="Calibri"/>
                <w:sz w:val="20"/>
                <w:szCs w:val="20"/>
                <w:lang w:val="sr-Latn-RS" w:eastAsia="en-US"/>
              </w:rPr>
              <w:t>Trend pritiska: unos otpada (++)</w:t>
            </w:r>
          </w:p>
          <w:p w14:paraId="18B203B4"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p>
        </w:tc>
        <w:tc>
          <w:tcPr>
            <w:tcW w:w="2260" w:type="dxa"/>
          </w:tcPr>
          <w:p w14:paraId="0044D2EE"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r w:rsidRPr="004C1B16">
              <w:rPr>
                <w:rFonts w:cs="Calibri"/>
                <w:sz w:val="20"/>
                <w:szCs w:val="20"/>
                <w:lang w:val="sr-Latn-RS" w:eastAsia="en-US"/>
              </w:rPr>
              <w:t>Pogoršanje</w:t>
            </w:r>
          </w:p>
          <w:p w14:paraId="6B5CB353" w14:textId="77777777" w:rsidR="004C1B16" w:rsidRPr="004C1B16" w:rsidRDefault="004C1B16" w:rsidP="004C1B16">
            <w:pPr>
              <w:spacing w:before="0" w:after="0" w:line="240" w:lineRule="auto"/>
              <w:rPr>
                <w:rFonts w:cs="Calibri"/>
                <w:sz w:val="20"/>
                <w:szCs w:val="20"/>
                <w:lang w:val="sr-Latn-RS" w:eastAsia="en-US"/>
              </w:rPr>
            </w:pPr>
          </w:p>
        </w:tc>
      </w:tr>
      <w:tr w:rsidR="004C1B16" w:rsidRPr="004C1B16" w14:paraId="5649A5AD" w14:textId="77777777" w:rsidTr="004C1B16">
        <w:tc>
          <w:tcPr>
            <w:tcW w:w="1663" w:type="dxa"/>
          </w:tcPr>
          <w:p w14:paraId="7F6F8613" w14:textId="77777777" w:rsidR="004C1B16" w:rsidRPr="004C1B16" w:rsidRDefault="004C1B16" w:rsidP="004C1B16">
            <w:pPr>
              <w:spacing w:before="0" w:after="0" w:line="240" w:lineRule="auto"/>
              <w:rPr>
                <w:rFonts w:cs="Calibri"/>
                <w:sz w:val="20"/>
                <w:szCs w:val="20"/>
                <w:lang w:val="sr-Latn-RS" w:eastAsia="en-US"/>
              </w:rPr>
            </w:pPr>
            <w:r w:rsidRPr="004C1B16">
              <w:rPr>
                <w:rFonts w:cs="Calibri"/>
                <w:sz w:val="20"/>
                <w:szCs w:val="20"/>
                <w:lang w:val="sr-Latn-RS" w:eastAsia="en-US"/>
              </w:rPr>
              <w:t>Ribarstvo i akvakultura, povećana eksploatacija prirodnih resursa.</w:t>
            </w:r>
          </w:p>
        </w:tc>
        <w:tc>
          <w:tcPr>
            <w:tcW w:w="3012" w:type="dxa"/>
          </w:tcPr>
          <w:p w14:paraId="74778946" w14:textId="77777777" w:rsidR="004C1B16" w:rsidRPr="004C1B16" w:rsidRDefault="004C1B16" w:rsidP="005E3835">
            <w:pPr>
              <w:numPr>
                <w:ilvl w:val="0"/>
                <w:numId w:val="32"/>
              </w:numPr>
              <w:autoSpaceDE w:val="0"/>
              <w:autoSpaceDN w:val="0"/>
              <w:adjustRightInd w:val="0"/>
              <w:spacing w:before="0" w:after="0" w:line="240" w:lineRule="auto"/>
              <w:ind w:left="209" w:hanging="209"/>
              <w:contextualSpacing/>
              <w:jc w:val="left"/>
              <w:rPr>
                <w:rFonts w:cs="Calibri"/>
                <w:sz w:val="20"/>
                <w:szCs w:val="20"/>
                <w:lang w:val="sr-Latn-RS" w:eastAsia="en-US"/>
              </w:rPr>
            </w:pPr>
            <w:r w:rsidRPr="004C1B16">
              <w:rPr>
                <w:rFonts w:cs="Calibri"/>
                <w:sz w:val="20"/>
                <w:szCs w:val="20"/>
                <w:lang w:val="sr-Latn-RS" w:eastAsia="en-US"/>
              </w:rPr>
              <w:t>Izbubljene ili napuštene ribarske mreže („ghost nets“)</w:t>
            </w:r>
          </w:p>
          <w:p w14:paraId="28DA44BB" w14:textId="77777777" w:rsidR="004C1B16" w:rsidRPr="004C1B16" w:rsidRDefault="004C1B16" w:rsidP="005E3835">
            <w:pPr>
              <w:numPr>
                <w:ilvl w:val="0"/>
                <w:numId w:val="32"/>
              </w:numPr>
              <w:autoSpaceDE w:val="0"/>
              <w:autoSpaceDN w:val="0"/>
              <w:adjustRightInd w:val="0"/>
              <w:spacing w:before="0" w:after="0" w:line="240" w:lineRule="auto"/>
              <w:ind w:left="209" w:hanging="209"/>
              <w:contextualSpacing/>
              <w:jc w:val="left"/>
              <w:rPr>
                <w:rFonts w:cs="Calibri"/>
                <w:sz w:val="20"/>
                <w:szCs w:val="20"/>
                <w:lang w:val="sr-Latn-RS" w:eastAsia="en-US"/>
              </w:rPr>
            </w:pPr>
            <w:r w:rsidRPr="004C1B16">
              <w:rPr>
                <w:rFonts w:cs="Calibri"/>
                <w:bCs/>
                <w:sz w:val="20"/>
                <w:szCs w:val="20"/>
                <w:lang w:val="sr-Latn-RS" w:eastAsia="en-US"/>
              </w:rPr>
              <w:t>Pretjerana potrošnja prirodnoh morskih resursa.</w:t>
            </w:r>
          </w:p>
        </w:tc>
        <w:tc>
          <w:tcPr>
            <w:tcW w:w="2081" w:type="dxa"/>
          </w:tcPr>
          <w:p w14:paraId="588B8EFA" w14:textId="77777777" w:rsidR="004C1B16" w:rsidRPr="004C1B16" w:rsidRDefault="004C1B16" w:rsidP="004C1B16">
            <w:pPr>
              <w:autoSpaceDE w:val="0"/>
              <w:autoSpaceDN w:val="0"/>
              <w:adjustRightInd w:val="0"/>
              <w:spacing w:after="0" w:line="240" w:lineRule="auto"/>
              <w:contextualSpacing/>
              <w:rPr>
                <w:rFonts w:cs="Calibri"/>
                <w:sz w:val="20"/>
                <w:szCs w:val="20"/>
                <w:lang w:val="sr-Latn-RS" w:eastAsia="en-US"/>
              </w:rPr>
            </w:pPr>
            <w:r w:rsidRPr="004C1B16">
              <w:rPr>
                <w:rFonts w:cs="Calibri"/>
                <w:sz w:val="20"/>
                <w:szCs w:val="20"/>
                <w:lang w:val="sr-Latn-RS" w:eastAsia="en-US"/>
              </w:rPr>
              <w:t>Trend pritiska: otpad u moru (+)</w:t>
            </w:r>
          </w:p>
          <w:p w14:paraId="7CF8ECE0"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p>
        </w:tc>
        <w:tc>
          <w:tcPr>
            <w:tcW w:w="2260" w:type="dxa"/>
          </w:tcPr>
          <w:p w14:paraId="74A44854"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r w:rsidRPr="004C1B16">
              <w:rPr>
                <w:rFonts w:cs="Calibri"/>
                <w:sz w:val="20"/>
                <w:szCs w:val="20"/>
                <w:lang w:val="sr-Latn-RS" w:eastAsia="en-US"/>
              </w:rPr>
              <w:t>Pogoršanje</w:t>
            </w:r>
          </w:p>
          <w:p w14:paraId="5D77C190" w14:textId="77777777" w:rsidR="004C1B16" w:rsidRPr="004C1B16" w:rsidRDefault="004C1B16" w:rsidP="004C1B16">
            <w:pPr>
              <w:spacing w:before="0" w:after="0" w:line="240" w:lineRule="auto"/>
              <w:rPr>
                <w:rFonts w:cs="Calibri"/>
                <w:sz w:val="20"/>
                <w:szCs w:val="20"/>
                <w:lang w:val="sr-Latn-RS" w:eastAsia="en-US"/>
              </w:rPr>
            </w:pPr>
          </w:p>
        </w:tc>
      </w:tr>
      <w:tr w:rsidR="004C1B16" w:rsidRPr="004C1B16" w14:paraId="738776E6" w14:textId="77777777" w:rsidTr="004C1B16">
        <w:tc>
          <w:tcPr>
            <w:tcW w:w="1663" w:type="dxa"/>
          </w:tcPr>
          <w:p w14:paraId="6265BB0F" w14:textId="77777777" w:rsidR="004C1B16" w:rsidRPr="004C1B16" w:rsidRDefault="004C1B16" w:rsidP="004C1B16">
            <w:pPr>
              <w:spacing w:before="0" w:after="0" w:line="240" w:lineRule="auto"/>
              <w:rPr>
                <w:rFonts w:cs="Calibri"/>
                <w:sz w:val="20"/>
                <w:szCs w:val="20"/>
                <w:lang w:val="sr-Latn-RS" w:eastAsia="en-US"/>
              </w:rPr>
            </w:pPr>
            <w:r w:rsidRPr="004C1B16">
              <w:rPr>
                <w:rFonts w:cs="Calibri"/>
                <w:sz w:val="20"/>
                <w:szCs w:val="20"/>
                <w:lang w:val="sr-Latn-RS" w:eastAsia="en-US"/>
              </w:rPr>
              <w:t>Otpad</w:t>
            </w:r>
          </w:p>
        </w:tc>
        <w:tc>
          <w:tcPr>
            <w:tcW w:w="3012" w:type="dxa"/>
          </w:tcPr>
          <w:p w14:paraId="73C606C9" w14:textId="77777777" w:rsidR="004C1B16" w:rsidRPr="004C1B16" w:rsidRDefault="004C1B16" w:rsidP="00C52E6F">
            <w:pPr>
              <w:numPr>
                <w:ilvl w:val="0"/>
                <w:numId w:val="43"/>
              </w:numPr>
              <w:spacing w:before="0" w:after="0" w:line="240" w:lineRule="auto"/>
              <w:ind w:left="209" w:hanging="209"/>
              <w:contextualSpacing/>
              <w:rPr>
                <w:rFonts w:cs="Calibri"/>
                <w:sz w:val="20"/>
                <w:szCs w:val="20"/>
                <w:lang w:val="sr-Latn-RS" w:eastAsia="en-US"/>
              </w:rPr>
            </w:pPr>
            <w:r w:rsidRPr="004C1B16">
              <w:rPr>
                <w:rFonts w:cs="Calibri"/>
                <w:sz w:val="20"/>
                <w:szCs w:val="20"/>
                <w:lang w:val="sr-Latn-RS" w:eastAsia="en-US"/>
              </w:rPr>
              <w:t>Unos otpada (zbog neadekvatnog odlaganja otpada)</w:t>
            </w:r>
          </w:p>
          <w:p w14:paraId="0EFF5325" w14:textId="77777777" w:rsidR="004C1B16" w:rsidRPr="004C1B16" w:rsidRDefault="004C1B16" w:rsidP="00C52E6F">
            <w:pPr>
              <w:numPr>
                <w:ilvl w:val="0"/>
                <w:numId w:val="43"/>
              </w:numPr>
              <w:spacing w:before="0" w:after="0" w:line="240" w:lineRule="auto"/>
              <w:ind w:left="209" w:hanging="209"/>
              <w:contextualSpacing/>
              <w:rPr>
                <w:rFonts w:cs="Calibri"/>
                <w:sz w:val="20"/>
                <w:szCs w:val="20"/>
                <w:lang w:val="sr-Latn-RS" w:eastAsia="en-US"/>
              </w:rPr>
            </w:pPr>
            <w:r w:rsidRPr="004C1B16">
              <w:rPr>
                <w:rFonts w:cs="Calibri"/>
                <w:sz w:val="20"/>
                <w:szCs w:val="20"/>
                <w:lang w:val="sr-Latn-RS" w:eastAsia="en-US"/>
              </w:rPr>
              <w:t>Visok udio lošeg upravljanja otpadom</w:t>
            </w:r>
          </w:p>
          <w:p w14:paraId="74256B4F" w14:textId="77777777" w:rsidR="004C1B16" w:rsidRPr="004C1B16" w:rsidRDefault="004C1B16" w:rsidP="00C52E6F">
            <w:pPr>
              <w:numPr>
                <w:ilvl w:val="0"/>
                <w:numId w:val="43"/>
              </w:numPr>
              <w:spacing w:before="0" w:after="0" w:line="240" w:lineRule="auto"/>
              <w:ind w:left="209" w:hanging="209"/>
              <w:contextualSpacing/>
              <w:rPr>
                <w:rFonts w:cs="Calibri"/>
                <w:sz w:val="20"/>
                <w:szCs w:val="20"/>
                <w:lang w:val="sr-Latn-RS" w:eastAsia="en-US"/>
              </w:rPr>
            </w:pPr>
            <w:r w:rsidRPr="004C1B16">
              <w:rPr>
                <w:rFonts w:cs="Calibri"/>
                <w:sz w:val="20"/>
                <w:szCs w:val="20"/>
                <w:lang w:val="sr-Latn-RS" w:eastAsia="en-US"/>
              </w:rPr>
              <w:t xml:space="preserve">Ukupan unos otpada u more je 2,146 tona godišnje u Crnoj Gori </w:t>
            </w:r>
            <w:r w:rsidRPr="004C1B16">
              <w:rPr>
                <w:rFonts w:cs="Calibri"/>
                <w:color w:val="000000"/>
                <w:sz w:val="20"/>
                <w:szCs w:val="20"/>
                <w:lang w:val="sr-Latn-RS" w:eastAsia="en-US"/>
              </w:rPr>
              <w:t>(</w:t>
            </w:r>
            <w:r w:rsidRPr="004C1B16">
              <w:rPr>
                <w:rFonts w:cs="Calibri"/>
                <w:sz w:val="20"/>
                <w:szCs w:val="20"/>
                <w:lang w:val="sr-Latn-RS" w:eastAsia="en-US"/>
              </w:rPr>
              <w:t>Boucher i Billard, 2020)</w:t>
            </w:r>
          </w:p>
        </w:tc>
        <w:tc>
          <w:tcPr>
            <w:tcW w:w="2081" w:type="dxa"/>
          </w:tcPr>
          <w:p w14:paraId="5A92B0BB" w14:textId="77777777" w:rsidR="004C1B16" w:rsidRPr="004C1B16" w:rsidRDefault="004C1B16" w:rsidP="004C1B16">
            <w:pPr>
              <w:spacing w:before="0" w:after="0" w:line="240" w:lineRule="auto"/>
              <w:rPr>
                <w:rFonts w:cs="Calibri"/>
                <w:sz w:val="20"/>
                <w:szCs w:val="20"/>
                <w:lang w:val="sr-Latn-RS" w:eastAsia="en-US"/>
              </w:rPr>
            </w:pPr>
            <w:r w:rsidRPr="004C1B16">
              <w:rPr>
                <w:rFonts w:cs="Calibri"/>
                <w:sz w:val="20"/>
                <w:szCs w:val="20"/>
                <w:lang w:val="sr-Latn-RS" w:eastAsia="en-US"/>
              </w:rPr>
              <w:t>Trend pritiska: otpad u moru (++)</w:t>
            </w:r>
          </w:p>
        </w:tc>
        <w:tc>
          <w:tcPr>
            <w:tcW w:w="2260" w:type="dxa"/>
          </w:tcPr>
          <w:p w14:paraId="4892D9AA"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r w:rsidRPr="004C1B16">
              <w:rPr>
                <w:rFonts w:cs="Calibri"/>
                <w:sz w:val="20"/>
                <w:szCs w:val="20"/>
                <w:lang w:val="sr-Latn-RS" w:eastAsia="en-US"/>
              </w:rPr>
              <w:t>Pogoršanje</w:t>
            </w:r>
          </w:p>
          <w:p w14:paraId="44B51F88" w14:textId="77777777" w:rsidR="004C1B16" w:rsidRPr="004C1B16" w:rsidRDefault="004C1B16" w:rsidP="004C1B16">
            <w:pPr>
              <w:spacing w:before="0" w:after="0" w:line="240" w:lineRule="auto"/>
              <w:rPr>
                <w:rFonts w:cs="Calibri"/>
                <w:sz w:val="20"/>
                <w:szCs w:val="20"/>
                <w:lang w:val="sr-Latn-RS" w:eastAsia="en-US"/>
              </w:rPr>
            </w:pPr>
          </w:p>
        </w:tc>
      </w:tr>
      <w:tr w:rsidR="004C1B16" w:rsidRPr="004C1B16" w14:paraId="1E82C71D" w14:textId="77777777" w:rsidTr="004C1B16">
        <w:tc>
          <w:tcPr>
            <w:tcW w:w="1663" w:type="dxa"/>
          </w:tcPr>
          <w:p w14:paraId="2EE9553C" w14:textId="77777777" w:rsidR="004C1B16" w:rsidRPr="004C1B16" w:rsidRDefault="004C1B16" w:rsidP="004C1B16">
            <w:pPr>
              <w:spacing w:before="0" w:after="0" w:line="240" w:lineRule="auto"/>
              <w:rPr>
                <w:rFonts w:cs="Calibri"/>
                <w:sz w:val="20"/>
                <w:szCs w:val="20"/>
                <w:lang w:val="sr-Latn-RS" w:eastAsia="en-US"/>
              </w:rPr>
            </w:pPr>
            <w:r w:rsidRPr="004C1B16">
              <w:rPr>
                <w:rFonts w:cs="Calibri"/>
                <w:sz w:val="20"/>
                <w:szCs w:val="20"/>
                <w:lang w:val="sr-Latn-RS" w:eastAsia="en-US"/>
              </w:rPr>
              <w:t>Otpadne vode</w:t>
            </w:r>
          </w:p>
        </w:tc>
        <w:tc>
          <w:tcPr>
            <w:tcW w:w="3012" w:type="dxa"/>
          </w:tcPr>
          <w:p w14:paraId="4877A60E" w14:textId="77777777" w:rsidR="004C1B16" w:rsidRPr="004C1B16" w:rsidRDefault="004C1B16" w:rsidP="00C52E6F">
            <w:pPr>
              <w:numPr>
                <w:ilvl w:val="0"/>
                <w:numId w:val="44"/>
              </w:numPr>
              <w:autoSpaceDE w:val="0"/>
              <w:autoSpaceDN w:val="0"/>
              <w:adjustRightInd w:val="0"/>
              <w:spacing w:before="0" w:after="0" w:line="240" w:lineRule="auto"/>
              <w:ind w:left="209" w:hanging="209"/>
              <w:contextualSpacing/>
              <w:rPr>
                <w:rFonts w:cs="Calibri"/>
                <w:sz w:val="20"/>
                <w:szCs w:val="20"/>
                <w:lang w:val="sr-Latn-RS" w:eastAsia="en-US"/>
              </w:rPr>
            </w:pPr>
            <w:r w:rsidRPr="004C1B16">
              <w:rPr>
                <w:rFonts w:cs="Calibri"/>
                <w:sz w:val="20"/>
                <w:szCs w:val="20"/>
                <w:lang w:val="sr-Latn-RS" w:eastAsia="en-US"/>
              </w:rPr>
              <w:t xml:space="preserve">Unos otpada u more putem kanalizacijskih ispusta </w:t>
            </w:r>
          </w:p>
          <w:p w14:paraId="312A36F6" w14:textId="77777777" w:rsidR="004C1B16" w:rsidRPr="004C1B16" w:rsidRDefault="004C1B16" w:rsidP="00C52E6F">
            <w:pPr>
              <w:numPr>
                <w:ilvl w:val="0"/>
                <w:numId w:val="44"/>
              </w:numPr>
              <w:autoSpaceDE w:val="0"/>
              <w:autoSpaceDN w:val="0"/>
              <w:adjustRightInd w:val="0"/>
              <w:spacing w:before="0" w:after="0" w:line="240" w:lineRule="auto"/>
              <w:ind w:left="209" w:hanging="209"/>
              <w:contextualSpacing/>
              <w:rPr>
                <w:rFonts w:cs="Calibri"/>
                <w:sz w:val="20"/>
                <w:szCs w:val="20"/>
                <w:lang w:val="sr-Latn-RS" w:eastAsia="en-US"/>
              </w:rPr>
            </w:pPr>
            <w:r w:rsidRPr="004C1B16">
              <w:rPr>
                <w:rFonts w:cs="Calibri"/>
                <w:sz w:val="20"/>
                <w:szCs w:val="20"/>
                <w:lang w:val="sr-Latn-RS" w:eastAsia="en-US"/>
              </w:rPr>
              <w:t>Mogući izvor mikroplastike</w:t>
            </w:r>
          </w:p>
        </w:tc>
        <w:tc>
          <w:tcPr>
            <w:tcW w:w="2081" w:type="dxa"/>
          </w:tcPr>
          <w:p w14:paraId="3B8B46F8" w14:textId="77777777" w:rsidR="004C1B16" w:rsidRPr="004C1B16" w:rsidRDefault="004C1B16" w:rsidP="004C1B16">
            <w:pPr>
              <w:autoSpaceDE w:val="0"/>
              <w:autoSpaceDN w:val="0"/>
              <w:adjustRightInd w:val="0"/>
              <w:spacing w:after="0" w:line="240" w:lineRule="auto"/>
              <w:contextualSpacing/>
              <w:rPr>
                <w:rFonts w:cs="Calibri"/>
                <w:sz w:val="20"/>
                <w:szCs w:val="20"/>
                <w:lang w:val="sr-Latn-RS" w:eastAsia="en-US"/>
              </w:rPr>
            </w:pPr>
            <w:r w:rsidRPr="004C1B16">
              <w:rPr>
                <w:rFonts w:cs="Calibri"/>
                <w:sz w:val="20"/>
                <w:szCs w:val="20"/>
                <w:lang w:val="sr-Latn-RS" w:eastAsia="en-US"/>
              </w:rPr>
              <w:t>Trend pritiska: otpad u moru (0)</w:t>
            </w:r>
          </w:p>
          <w:p w14:paraId="692E7C7F" w14:textId="77777777" w:rsidR="004C1B16" w:rsidRPr="004C1B16" w:rsidRDefault="004C1B16" w:rsidP="004C1B16">
            <w:pPr>
              <w:spacing w:before="0" w:after="0" w:line="240" w:lineRule="auto"/>
              <w:rPr>
                <w:rFonts w:cs="Calibri"/>
                <w:sz w:val="20"/>
                <w:szCs w:val="20"/>
                <w:lang w:val="sr-Latn-RS" w:eastAsia="en-US"/>
              </w:rPr>
            </w:pPr>
          </w:p>
        </w:tc>
        <w:tc>
          <w:tcPr>
            <w:tcW w:w="2260" w:type="dxa"/>
          </w:tcPr>
          <w:p w14:paraId="376AFD43" w14:textId="77777777" w:rsidR="004C1B16" w:rsidRPr="004C1B16" w:rsidRDefault="004C1B16" w:rsidP="004C1B16">
            <w:pPr>
              <w:spacing w:before="0" w:after="0" w:line="240" w:lineRule="auto"/>
              <w:rPr>
                <w:rFonts w:cs="Calibri"/>
                <w:sz w:val="20"/>
                <w:szCs w:val="20"/>
                <w:lang w:val="sr-Latn-RS" w:eastAsia="en-US"/>
              </w:rPr>
            </w:pPr>
            <w:r w:rsidRPr="004C1B16">
              <w:rPr>
                <w:rFonts w:cs="Calibri"/>
                <w:sz w:val="20"/>
                <w:szCs w:val="20"/>
                <w:lang w:val="sr-Latn-RS" w:eastAsia="en-US"/>
              </w:rPr>
              <w:t>Bez promjena</w:t>
            </w:r>
          </w:p>
        </w:tc>
      </w:tr>
      <w:tr w:rsidR="004C1B16" w:rsidRPr="004C1B16" w14:paraId="33A6C01A" w14:textId="77777777" w:rsidTr="004C1B16">
        <w:tc>
          <w:tcPr>
            <w:tcW w:w="1663" w:type="dxa"/>
          </w:tcPr>
          <w:p w14:paraId="1A1D59DC" w14:textId="77777777" w:rsidR="004C1B16" w:rsidRPr="004C1B16" w:rsidRDefault="004C1B16" w:rsidP="004C1B16">
            <w:pPr>
              <w:spacing w:before="0" w:after="0" w:line="240" w:lineRule="auto"/>
              <w:rPr>
                <w:rFonts w:cs="Calibri"/>
                <w:sz w:val="20"/>
                <w:szCs w:val="20"/>
                <w:lang w:val="sr-Latn-RS" w:eastAsia="en-US"/>
              </w:rPr>
            </w:pPr>
            <w:r w:rsidRPr="004C1B16">
              <w:rPr>
                <w:rFonts w:cs="Calibri"/>
                <w:sz w:val="20"/>
                <w:szCs w:val="20"/>
                <w:lang w:val="sr-Latn-RS" w:eastAsia="en-US"/>
              </w:rPr>
              <w:t>Unos otpada u more rijekama</w:t>
            </w:r>
          </w:p>
        </w:tc>
        <w:tc>
          <w:tcPr>
            <w:tcW w:w="3012" w:type="dxa"/>
          </w:tcPr>
          <w:p w14:paraId="730D1AD8" w14:textId="77777777" w:rsidR="004C1B16" w:rsidRPr="004C1B16" w:rsidRDefault="004C1B16" w:rsidP="004C1B16">
            <w:pPr>
              <w:autoSpaceDE w:val="0"/>
              <w:autoSpaceDN w:val="0"/>
              <w:adjustRightInd w:val="0"/>
              <w:spacing w:before="0" w:after="0" w:line="240" w:lineRule="auto"/>
              <w:ind w:left="209" w:hanging="142"/>
              <w:rPr>
                <w:rFonts w:cs="Calibri"/>
                <w:sz w:val="20"/>
                <w:szCs w:val="20"/>
                <w:lang w:val="sr-Latn-RS" w:eastAsia="en-US"/>
              </w:rPr>
            </w:pPr>
            <w:r w:rsidRPr="004C1B16">
              <w:rPr>
                <w:rFonts w:cs="Calibri"/>
                <w:sz w:val="20"/>
                <w:szCs w:val="20"/>
                <w:lang w:val="sr-Latn-RS" w:eastAsia="en-US"/>
              </w:rPr>
              <w:t xml:space="preserve">- Unos otpada u more iz riječnih basena </w:t>
            </w:r>
          </w:p>
          <w:p w14:paraId="58CBCD13" w14:textId="77777777" w:rsidR="004C1B16" w:rsidRPr="004C1B16" w:rsidRDefault="004C1B16" w:rsidP="004C1B16">
            <w:pPr>
              <w:autoSpaceDE w:val="0"/>
              <w:autoSpaceDN w:val="0"/>
              <w:adjustRightInd w:val="0"/>
              <w:spacing w:before="0" w:after="0" w:line="240" w:lineRule="auto"/>
              <w:rPr>
                <w:rFonts w:cs="Calibri"/>
                <w:color w:val="000000"/>
                <w:sz w:val="20"/>
                <w:szCs w:val="20"/>
                <w:lang w:val="sr-Latn-RS" w:eastAsia="en-US"/>
              </w:rPr>
            </w:pPr>
            <w:r w:rsidRPr="004C1B16">
              <w:rPr>
                <w:rFonts w:cs="Calibri"/>
                <w:sz w:val="20"/>
                <w:szCs w:val="20"/>
                <w:lang w:val="sr-Latn-RS" w:eastAsia="en-US"/>
              </w:rPr>
              <w:t xml:space="preserve">-   Unos otpada u more slivovima </w:t>
            </w:r>
            <w:r w:rsidRPr="004C1B16">
              <w:rPr>
                <w:rFonts w:cs="Calibri"/>
                <w:color w:val="000000"/>
                <w:sz w:val="20"/>
                <w:szCs w:val="20"/>
                <w:lang w:val="sr-Latn-RS" w:eastAsia="en-US"/>
              </w:rPr>
              <w:t>rijeka</w:t>
            </w:r>
          </w:p>
          <w:p w14:paraId="1D872E71" w14:textId="77777777" w:rsidR="004C1B16" w:rsidRPr="004C1B16" w:rsidRDefault="004C1B16" w:rsidP="004C1B16">
            <w:pPr>
              <w:autoSpaceDE w:val="0"/>
              <w:autoSpaceDN w:val="0"/>
              <w:adjustRightInd w:val="0"/>
              <w:spacing w:before="0" w:after="0" w:line="240" w:lineRule="auto"/>
              <w:ind w:left="209" w:hanging="209"/>
              <w:jc w:val="left"/>
              <w:rPr>
                <w:rFonts w:cs="Calibri"/>
                <w:color w:val="383A3B"/>
                <w:sz w:val="20"/>
                <w:szCs w:val="20"/>
                <w:lang w:val="sr-Latn-RS" w:eastAsia="en-US"/>
              </w:rPr>
            </w:pPr>
            <w:r w:rsidRPr="004C1B16">
              <w:rPr>
                <w:rFonts w:cs="Calibri"/>
                <w:color w:val="000000"/>
                <w:sz w:val="20"/>
                <w:szCs w:val="20"/>
                <w:lang w:val="sr-Latn-RS" w:eastAsia="en-US"/>
              </w:rPr>
              <w:t xml:space="preserve">-   mogući glavni izvor zagađenja otpadom </w:t>
            </w:r>
          </w:p>
        </w:tc>
        <w:tc>
          <w:tcPr>
            <w:tcW w:w="2081" w:type="dxa"/>
          </w:tcPr>
          <w:p w14:paraId="660D650A" w14:textId="77777777" w:rsidR="004C1B16" w:rsidRPr="004C1B16" w:rsidRDefault="004C1B16" w:rsidP="004C1B16">
            <w:pPr>
              <w:autoSpaceDE w:val="0"/>
              <w:autoSpaceDN w:val="0"/>
              <w:adjustRightInd w:val="0"/>
              <w:spacing w:after="0" w:line="240" w:lineRule="auto"/>
              <w:contextualSpacing/>
              <w:rPr>
                <w:rFonts w:cs="Calibri"/>
                <w:sz w:val="20"/>
                <w:szCs w:val="20"/>
                <w:lang w:val="sr-Latn-RS" w:eastAsia="en-US"/>
              </w:rPr>
            </w:pPr>
            <w:r w:rsidRPr="004C1B16">
              <w:rPr>
                <w:rFonts w:cs="Calibri"/>
                <w:sz w:val="20"/>
                <w:szCs w:val="20"/>
                <w:lang w:val="sr-Latn-RS" w:eastAsia="en-US"/>
              </w:rPr>
              <w:t>Trend pritiska: otpad u moru (+)</w:t>
            </w:r>
          </w:p>
        </w:tc>
        <w:tc>
          <w:tcPr>
            <w:tcW w:w="2260" w:type="dxa"/>
          </w:tcPr>
          <w:p w14:paraId="2AEA0F1E"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r w:rsidRPr="004C1B16">
              <w:rPr>
                <w:rFonts w:cs="Calibri"/>
                <w:sz w:val="20"/>
                <w:szCs w:val="20"/>
                <w:lang w:val="sr-Latn-RS" w:eastAsia="en-US"/>
              </w:rPr>
              <w:t>Pogoršanje</w:t>
            </w:r>
          </w:p>
          <w:p w14:paraId="7052CD9C" w14:textId="77777777" w:rsidR="004C1B16" w:rsidRPr="004C1B16" w:rsidRDefault="004C1B16" w:rsidP="004C1B16">
            <w:pPr>
              <w:spacing w:before="0" w:after="0" w:line="240" w:lineRule="auto"/>
              <w:rPr>
                <w:rFonts w:cs="Calibri"/>
                <w:sz w:val="20"/>
                <w:szCs w:val="20"/>
                <w:lang w:val="sr-Latn-RS" w:eastAsia="en-US"/>
              </w:rPr>
            </w:pPr>
          </w:p>
        </w:tc>
      </w:tr>
    </w:tbl>
    <w:p w14:paraId="1F24649D" w14:textId="77777777" w:rsidR="004C1B16" w:rsidRPr="004C1B16" w:rsidRDefault="004C1B16" w:rsidP="004C1B16">
      <w:pPr>
        <w:spacing w:before="0" w:after="0" w:line="259" w:lineRule="auto"/>
        <w:rPr>
          <w:rFonts w:cs="Calibri"/>
          <w:b/>
          <w:sz w:val="20"/>
          <w:szCs w:val="20"/>
          <w:lang w:val="sr-Latn-RS" w:eastAsia="en-US"/>
        </w:rPr>
      </w:pPr>
    </w:p>
    <w:p w14:paraId="4601211D" w14:textId="77777777" w:rsidR="004C1B16" w:rsidRPr="004C1B16" w:rsidRDefault="004C1B16" w:rsidP="004C1B16">
      <w:pPr>
        <w:rPr>
          <w:rFonts w:cs="Calibri"/>
          <w:b/>
          <w:sz w:val="20"/>
          <w:szCs w:val="20"/>
          <w:lang w:val="sr-Latn-RS" w:eastAsia="en-US"/>
        </w:rPr>
      </w:pPr>
    </w:p>
    <w:p w14:paraId="6A4B18EE" w14:textId="04E55ECB" w:rsidR="004C1B16" w:rsidRPr="004C1B16" w:rsidRDefault="004C1B16" w:rsidP="004C1B16">
      <w:pPr>
        <w:rPr>
          <w:rFonts w:cs="Calibri"/>
          <w:b/>
          <w:szCs w:val="22"/>
          <w:lang w:val="sr-Latn-RS" w:eastAsia="en-US"/>
        </w:rPr>
      </w:pPr>
      <w:r w:rsidRPr="004C1B16">
        <w:rPr>
          <w:rFonts w:cs="Calibri"/>
          <w:b/>
          <w:szCs w:val="22"/>
          <w:lang w:val="sr-Latn-RS" w:eastAsia="en-US"/>
        </w:rPr>
        <w:t>Uticaji (direktni i indirektni)</w:t>
      </w:r>
    </w:p>
    <w:p w14:paraId="5E085CE4" w14:textId="77777777" w:rsidR="004C1B16" w:rsidRPr="004C1B16" w:rsidRDefault="004C1B16" w:rsidP="004C1B16">
      <w:pPr>
        <w:rPr>
          <w:rFonts w:cs="Calibri"/>
          <w:bCs/>
          <w:szCs w:val="22"/>
          <w:lang w:val="sr-Latn-RS" w:eastAsia="en-US"/>
        </w:rPr>
      </w:pPr>
      <w:r w:rsidRPr="004C1B16">
        <w:rPr>
          <w:rFonts w:cs="Calibri"/>
          <w:bCs/>
          <w:szCs w:val="22"/>
          <w:lang w:val="sr-Latn-RS" w:eastAsia="en-US"/>
        </w:rPr>
        <w:t>Život u morskoj sredini je pod direktnim i indirektnim uticajima. Uticaj otpada u moru je višedimenzionalan i može se podijeliti u tri glavne kategorije: ekološku, sociološku i ekonomsku.</w:t>
      </w:r>
    </w:p>
    <w:p w14:paraId="01E08F64" w14:textId="77777777" w:rsidR="004C1B16" w:rsidRPr="004C1B16" w:rsidRDefault="004C1B16" w:rsidP="004C1B16">
      <w:pPr>
        <w:rPr>
          <w:rFonts w:cs="Calibri"/>
          <w:bCs/>
          <w:szCs w:val="22"/>
          <w:lang w:val="sr-Latn-RS" w:eastAsia="en-US"/>
        </w:rPr>
      </w:pPr>
      <w:r w:rsidRPr="004C1B16">
        <w:rPr>
          <w:rFonts w:cs="Calibri"/>
          <w:b/>
          <w:szCs w:val="22"/>
          <w:lang w:val="sr-Latn-RS" w:eastAsia="en-US"/>
        </w:rPr>
        <w:t>Sredinski</w:t>
      </w:r>
      <w:r w:rsidRPr="004C1B16">
        <w:rPr>
          <w:rFonts w:cs="Calibri"/>
          <w:bCs/>
          <w:szCs w:val="22"/>
          <w:lang w:val="sr-Latn-RS" w:eastAsia="en-US"/>
        </w:rPr>
        <w:t xml:space="preserve"> </w:t>
      </w:r>
      <w:r w:rsidRPr="004C1B16">
        <w:rPr>
          <w:rFonts w:cs="Calibri"/>
          <w:b/>
          <w:szCs w:val="22"/>
          <w:lang w:val="sr-Latn-RS" w:eastAsia="en-US"/>
        </w:rPr>
        <w:t>uticaj</w:t>
      </w:r>
      <w:r w:rsidRPr="004C1B16">
        <w:rPr>
          <w:rFonts w:cs="Calibri"/>
          <w:bCs/>
          <w:szCs w:val="22"/>
          <w:lang w:val="sr-Latn-RS" w:eastAsia="en-US"/>
        </w:rPr>
        <w:t xml:space="preserve">  ogleda se u mortalitetu ili sub-letalnim efektima na organizme uslijed zaplitanja ili gutanja komada otpada, nenamjernim intervencijama u napuštenim ribolovnim alatima i fizičkoj šteti u bentoskim zajednicama. Sredinski uticaj na morski ekosistem ogleda se i u mogućoj akumulaciji manjih čestica u prehrambenim lancima, mogućim eko-toksikološkim uticajima na vrste, bioakumulaciji i prenosu plastike u prehrambene mreže; razgradnji plastike na mikročestice, uticajima na obalna staništa degradacijom ili potpunim gubitkom staništa; otpad u moru može poslužiti i kao vještačko stanište za naseljavanje stranih vrsta.</w:t>
      </w:r>
    </w:p>
    <w:p w14:paraId="1EE9ACC6" w14:textId="77777777" w:rsidR="004C1B16" w:rsidRPr="004C1B16" w:rsidRDefault="004C1B16" w:rsidP="004C1B16">
      <w:pPr>
        <w:rPr>
          <w:rFonts w:cs="Calibri"/>
          <w:bCs/>
          <w:szCs w:val="22"/>
          <w:lang w:val="sr-Latn-RS" w:eastAsia="en-US"/>
        </w:rPr>
      </w:pPr>
      <w:r w:rsidRPr="004C1B16">
        <w:rPr>
          <w:rFonts w:cs="Calibri"/>
          <w:b/>
          <w:szCs w:val="22"/>
          <w:lang w:val="sr-Latn-RS" w:eastAsia="en-US"/>
        </w:rPr>
        <w:t>Sociološki uticaj</w:t>
      </w:r>
      <w:r w:rsidRPr="004C1B16">
        <w:rPr>
          <w:rFonts w:cs="Calibri"/>
          <w:bCs/>
          <w:szCs w:val="22"/>
          <w:lang w:val="sr-Latn-RS" w:eastAsia="en-US"/>
        </w:rPr>
        <w:t xml:space="preserve"> uključuje smanjenje rekreacijske i estetske vrijednosti područja kao što su plaže, zbog rizika po ljudsko zdravlje, kao i negativnog uticaja na navigaciju tokom  plovidbe.</w:t>
      </w:r>
    </w:p>
    <w:p w14:paraId="0595D950" w14:textId="77777777" w:rsidR="004C1B16" w:rsidRPr="004C1B16" w:rsidRDefault="004C1B16" w:rsidP="004C1B16">
      <w:pPr>
        <w:rPr>
          <w:rFonts w:cs="Calibri"/>
          <w:bCs/>
          <w:szCs w:val="22"/>
          <w:lang w:val="sr-Latn-RS" w:eastAsia="en-US"/>
        </w:rPr>
      </w:pPr>
      <w:r w:rsidRPr="004C1B16">
        <w:rPr>
          <w:rFonts w:cs="Calibri"/>
          <w:b/>
          <w:szCs w:val="22"/>
          <w:lang w:val="sr-Latn-RS" w:eastAsia="en-US"/>
        </w:rPr>
        <w:t>Ekonomski uticaj</w:t>
      </w:r>
      <w:r w:rsidRPr="004C1B16">
        <w:rPr>
          <w:rFonts w:cs="Calibri"/>
          <w:bCs/>
          <w:szCs w:val="22"/>
          <w:lang w:val="sr-Latn-RS" w:eastAsia="en-US"/>
        </w:rPr>
        <w:t xml:space="preserve"> ogleda se u smanjenju stokova komercijalnih vrsta riba i školjaka, ekonomskim uticajima na turizam kroz zagađene obale i gubicima u turističkom sektoru, direktnim troškovima i gubitkom prihoda, što zauzvrat utiče na veliki broj morskih aktivnosti poput akvakulture, ribarstva, pomorskog saobraćaja, turizma i moguće oštećenje brodova.</w:t>
      </w:r>
    </w:p>
    <w:p w14:paraId="6C554D0C" w14:textId="77777777" w:rsidR="00965760" w:rsidRPr="004C1B16" w:rsidRDefault="00965760" w:rsidP="004C1B16">
      <w:pPr>
        <w:spacing w:before="0" w:after="0"/>
        <w:rPr>
          <w:rFonts w:cs="Calibri"/>
          <w:b/>
          <w:color w:val="1F3763"/>
          <w:szCs w:val="22"/>
          <w:lang w:val="sr-Latn-RS" w:eastAsia="en-US"/>
        </w:rPr>
      </w:pPr>
    </w:p>
    <w:p w14:paraId="16DFE686" w14:textId="023450A7" w:rsidR="004C1B16" w:rsidRPr="00332A46" w:rsidRDefault="004C1B16" w:rsidP="00332A46">
      <w:pPr>
        <w:pStyle w:val="Heading3"/>
        <w:rPr>
          <w:lang w:val="sr-Latn-RS" w:eastAsia="en-US"/>
        </w:rPr>
      </w:pPr>
      <w:r w:rsidRPr="004C1B16">
        <w:rPr>
          <w:lang w:val="sr-Latn-RS" w:eastAsia="en-US"/>
        </w:rPr>
        <w:t xml:space="preserve"> </w:t>
      </w:r>
      <w:bookmarkStart w:id="270" w:name="_Toc83630952"/>
      <w:r w:rsidRPr="004C1B16">
        <w:rPr>
          <w:lang w:val="sr-Latn-RS" w:eastAsia="en-US"/>
        </w:rPr>
        <w:t>Zakonodavni okvir – nacionalni i međunarodni</w:t>
      </w:r>
      <w:bookmarkEnd w:id="270"/>
    </w:p>
    <w:p w14:paraId="331F2D5B" w14:textId="2C06D04A" w:rsidR="004C1B16" w:rsidRPr="004C1B16" w:rsidRDefault="004C1B16" w:rsidP="004C1B16">
      <w:pPr>
        <w:spacing w:before="0" w:after="160"/>
        <w:rPr>
          <w:rFonts w:cs="Calibri"/>
          <w:b/>
          <w:szCs w:val="22"/>
          <w:lang w:val="sr-Latn-RS" w:eastAsia="en-US"/>
        </w:rPr>
      </w:pPr>
      <w:r w:rsidRPr="004C1B16">
        <w:rPr>
          <w:rFonts w:cs="Calibri"/>
          <w:b/>
          <w:szCs w:val="22"/>
          <w:lang w:val="sr-Latn-RS" w:eastAsia="en-US"/>
        </w:rPr>
        <w:t>Nacionalni nivo</w:t>
      </w:r>
    </w:p>
    <w:p w14:paraId="4E1BCA82" w14:textId="77777777" w:rsid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U Crnoj Gori postoji značajan broj zakona koji se odnose na očuvanje životne sredine, prirode, upravljanje priobaljem i morem i upravljanje otpadom. Najvažniji su:</w:t>
      </w:r>
    </w:p>
    <w:p w14:paraId="7ED330D0" w14:textId="77777777" w:rsidR="00E27862" w:rsidRPr="004C1B16" w:rsidRDefault="00E27862" w:rsidP="004C1B16">
      <w:pPr>
        <w:spacing w:before="0" w:after="160"/>
        <w:rPr>
          <w:rFonts w:eastAsia="Calibri" w:cs="Calibri"/>
          <w:szCs w:val="22"/>
          <w:lang w:val="sr-Latn-RS" w:eastAsia="en-US"/>
        </w:rPr>
      </w:pPr>
    </w:p>
    <w:p w14:paraId="1B34BDE3" w14:textId="2AC5383A" w:rsidR="004C1B16" w:rsidRPr="00E27862" w:rsidRDefault="004C1B16" w:rsidP="00E27862">
      <w:pPr>
        <w:pStyle w:val="ListParagraph"/>
        <w:numPr>
          <w:ilvl w:val="0"/>
          <w:numId w:val="68"/>
        </w:numPr>
        <w:spacing w:before="0" w:after="0"/>
        <w:rPr>
          <w:rFonts w:eastAsia="Calibri" w:cs="Calibri"/>
          <w:szCs w:val="22"/>
          <w:lang w:val="sr-Latn-RS" w:eastAsia="en-US"/>
        </w:rPr>
      </w:pPr>
      <w:r w:rsidRPr="00E27862">
        <w:rPr>
          <w:rFonts w:eastAsia="Calibri" w:cs="Calibri"/>
          <w:szCs w:val="22"/>
          <w:lang w:val="sr-Latn-RS" w:eastAsia="en-US"/>
        </w:rPr>
        <w:t>Zakon o zaštiti prirode (Službeni list Crne Gore br. 54/16);</w:t>
      </w:r>
    </w:p>
    <w:p w14:paraId="51656D14" w14:textId="7AF26EDC" w:rsidR="004C1B16" w:rsidRPr="00E27862" w:rsidRDefault="004C1B16" w:rsidP="00E27862">
      <w:pPr>
        <w:pStyle w:val="ListParagraph"/>
        <w:numPr>
          <w:ilvl w:val="0"/>
          <w:numId w:val="68"/>
        </w:numPr>
        <w:spacing w:before="0" w:after="0"/>
        <w:rPr>
          <w:rFonts w:eastAsia="Calibri" w:cs="Calibri"/>
          <w:szCs w:val="22"/>
          <w:lang w:val="sr-Latn-RS" w:eastAsia="en-US"/>
        </w:rPr>
      </w:pPr>
      <w:r w:rsidRPr="00E27862">
        <w:rPr>
          <w:rFonts w:eastAsia="Calibri" w:cs="Calibri"/>
          <w:szCs w:val="22"/>
          <w:lang w:val="sr-Latn-RS" w:eastAsia="en-US"/>
        </w:rPr>
        <w:t>Zakon o zaštiti životne sredine (Službeni list Crne Gore br. 52/16);</w:t>
      </w:r>
    </w:p>
    <w:p w14:paraId="3B167A46" w14:textId="5B7111D8" w:rsidR="004C1B16" w:rsidRPr="00E27862" w:rsidRDefault="004C1B16" w:rsidP="00E27862">
      <w:pPr>
        <w:pStyle w:val="ListParagraph"/>
        <w:numPr>
          <w:ilvl w:val="0"/>
          <w:numId w:val="68"/>
        </w:numPr>
        <w:spacing w:before="0" w:after="0"/>
        <w:rPr>
          <w:rFonts w:eastAsia="Calibri" w:cs="Calibri"/>
          <w:szCs w:val="22"/>
          <w:lang w:val="sr-Latn-RS" w:eastAsia="en-US"/>
        </w:rPr>
      </w:pPr>
      <w:r w:rsidRPr="00E27862">
        <w:rPr>
          <w:rFonts w:eastAsia="Calibri" w:cs="Calibri"/>
          <w:szCs w:val="22"/>
          <w:lang w:val="sr-Latn-RS" w:eastAsia="en-US"/>
        </w:rPr>
        <w:t>Zakon o zaštiti morske sredine (Službeni list Crne Gore br. 73/19)</w:t>
      </w:r>
    </w:p>
    <w:p w14:paraId="685D9962" w14:textId="7F01F406" w:rsidR="004C1B16" w:rsidRPr="00E27862" w:rsidRDefault="004C1B16" w:rsidP="00E27862">
      <w:pPr>
        <w:pStyle w:val="ListParagraph"/>
        <w:numPr>
          <w:ilvl w:val="0"/>
          <w:numId w:val="68"/>
        </w:numPr>
        <w:spacing w:before="0" w:after="0"/>
        <w:rPr>
          <w:rFonts w:eastAsia="Calibri" w:cs="Calibri"/>
          <w:szCs w:val="22"/>
          <w:lang w:val="sr-Latn-RS" w:eastAsia="en-US"/>
        </w:rPr>
      </w:pPr>
      <w:r w:rsidRPr="00E27862">
        <w:rPr>
          <w:rFonts w:eastAsia="Calibri" w:cs="Calibri"/>
          <w:szCs w:val="22"/>
          <w:lang w:val="sr-Latn-RS" w:eastAsia="en-US"/>
        </w:rPr>
        <w:t>Zakon o upravljanju otpadom (Službeni list Crne Gore br. 64/11, 39/16);</w:t>
      </w:r>
    </w:p>
    <w:p w14:paraId="69D22927" w14:textId="3F5A6FFB" w:rsidR="004C1B16" w:rsidRPr="00E27862" w:rsidRDefault="004C1B16" w:rsidP="00E27862">
      <w:pPr>
        <w:pStyle w:val="ListParagraph"/>
        <w:numPr>
          <w:ilvl w:val="0"/>
          <w:numId w:val="68"/>
        </w:numPr>
        <w:spacing w:before="0" w:after="0"/>
        <w:rPr>
          <w:rFonts w:eastAsia="Calibri" w:cs="Calibri"/>
          <w:szCs w:val="22"/>
          <w:lang w:val="sr-Latn-RS" w:eastAsia="en-US"/>
        </w:rPr>
      </w:pPr>
      <w:r w:rsidRPr="00E27862">
        <w:rPr>
          <w:rFonts w:eastAsia="Calibri" w:cs="Calibri"/>
          <w:szCs w:val="22"/>
          <w:lang w:val="sr-Latn-RS" w:eastAsia="en-US"/>
        </w:rPr>
        <w:t>Zakon o strateškoj procjeni uticaja na životnu sredinu (Službeni list Crne Gore br. 80/05, 59/11, 52/16);</w:t>
      </w:r>
    </w:p>
    <w:p w14:paraId="3E81B43B" w14:textId="618572CC" w:rsidR="004C1B16" w:rsidRPr="00E27862" w:rsidRDefault="004C1B16" w:rsidP="00E27862">
      <w:pPr>
        <w:pStyle w:val="ListParagraph"/>
        <w:numPr>
          <w:ilvl w:val="0"/>
          <w:numId w:val="68"/>
        </w:numPr>
        <w:spacing w:before="0" w:after="0"/>
        <w:rPr>
          <w:rFonts w:eastAsia="Calibri" w:cs="Calibri"/>
          <w:szCs w:val="22"/>
          <w:lang w:val="sr-Latn-RS" w:eastAsia="en-US"/>
        </w:rPr>
      </w:pPr>
      <w:r w:rsidRPr="00E27862">
        <w:rPr>
          <w:rFonts w:eastAsia="Calibri" w:cs="Calibri"/>
          <w:szCs w:val="22"/>
          <w:lang w:val="sr-Latn-RS" w:eastAsia="en-US"/>
        </w:rPr>
        <w:t>Zakon o integrisanom očuvanju i kontroli zaštite životne sredine (Službeni list Crne Gore br. 80/05, 54/09, 40/11, 42/15, 54/16);</w:t>
      </w:r>
    </w:p>
    <w:p w14:paraId="10EC06F7" w14:textId="52085FB4" w:rsidR="004C1B16" w:rsidRPr="00E27862" w:rsidRDefault="004C1B16" w:rsidP="00E27862">
      <w:pPr>
        <w:pStyle w:val="ListParagraph"/>
        <w:numPr>
          <w:ilvl w:val="0"/>
          <w:numId w:val="68"/>
        </w:numPr>
        <w:spacing w:before="0" w:after="0"/>
        <w:rPr>
          <w:rFonts w:eastAsia="Calibri" w:cs="Calibri"/>
          <w:szCs w:val="22"/>
          <w:lang w:val="sr-Latn-RS" w:eastAsia="en-US"/>
        </w:rPr>
      </w:pPr>
      <w:r w:rsidRPr="00E27862">
        <w:rPr>
          <w:rFonts w:eastAsia="Calibri" w:cs="Calibri"/>
          <w:szCs w:val="22"/>
          <w:lang w:val="sr-Latn-RS" w:eastAsia="en-US"/>
        </w:rPr>
        <w:t>Zakon o moru (Službeni list Crne Gore br. 17 / 07,06 / 08, 40/11);</w:t>
      </w:r>
    </w:p>
    <w:p w14:paraId="49D3E8CD" w14:textId="5003C33C" w:rsidR="004C1B16" w:rsidRPr="00E27862" w:rsidRDefault="004C1B16" w:rsidP="00E27862">
      <w:pPr>
        <w:pStyle w:val="ListParagraph"/>
        <w:numPr>
          <w:ilvl w:val="0"/>
          <w:numId w:val="68"/>
        </w:numPr>
        <w:spacing w:before="0" w:after="0"/>
        <w:rPr>
          <w:rFonts w:eastAsia="Calibri" w:cs="Calibri"/>
          <w:szCs w:val="22"/>
          <w:lang w:val="sr-Latn-RS" w:eastAsia="en-US"/>
        </w:rPr>
      </w:pPr>
      <w:r w:rsidRPr="00E27862">
        <w:rPr>
          <w:rFonts w:eastAsia="Calibri" w:cs="Calibri"/>
          <w:szCs w:val="22"/>
          <w:lang w:val="sr-Latn-RS" w:eastAsia="en-US"/>
        </w:rPr>
        <w:t>Zakon o morskom ribarstvu i marikulturi (Službeni list Crne Gore, br. 56/09, 47/15);</w:t>
      </w:r>
    </w:p>
    <w:p w14:paraId="6196EDB7" w14:textId="0CEBD2F2" w:rsidR="004C1B16" w:rsidRPr="00E27862" w:rsidRDefault="004C1B16" w:rsidP="00E27862">
      <w:pPr>
        <w:pStyle w:val="ListParagraph"/>
        <w:numPr>
          <w:ilvl w:val="0"/>
          <w:numId w:val="68"/>
        </w:numPr>
        <w:spacing w:before="0" w:after="0"/>
        <w:rPr>
          <w:rFonts w:eastAsia="Calibri" w:cs="Calibri"/>
          <w:szCs w:val="22"/>
          <w:lang w:val="sr-Latn-RS" w:eastAsia="en-US"/>
        </w:rPr>
      </w:pPr>
      <w:r w:rsidRPr="00E27862">
        <w:rPr>
          <w:rFonts w:eastAsia="Calibri" w:cs="Calibri"/>
          <w:szCs w:val="22"/>
          <w:lang w:val="sr-Latn-RS" w:eastAsia="en-US"/>
        </w:rPr>
        <w:t>Zakon o zaštiti mora od zagađenja sa plovila (Službeni list Crne Gore br. 20/11, 26/11, 27/14).</w:t>
      </w:r>
    </w:p>
    <w:p w14:paraId="0704855D" w14:textId="77777777" w:rsidR="00E27862" w:rsidRDefault="00E27862" w:rsidP="004C1B16">
      <w:pPr>
        <w:spacing w:before="0" w:after="160"/>
        <w:rPr>
          <w:rFonts w:eastAsia="Calibri" w:cs="Calibri"/>
          <w:szCs w:val="22"/>
          <w:lang w:val="sr-Latn-RS" w:eastAsia="en-US"/>
        </w:rPr>
      </w:pPr>
    </w:p>
    <w:p w14:paraId="762A7F3C"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Pored zakonskih propisa, postoji nekoliko važnih strategija i akcionih planova koji bi se trebali baviti problemom otpada u moru i pružiti popis mjera i metodologija za rješavanje problema. Najvažniji je „Nacionalni akcioni plan (NAP) za sprovođenje LBS protokola i njegovih regionalnih planova u okviru SAP-MED-a koje imaju za cilj postizanje dobrog sredinskog stanja za ekološke ciljeve EcAp-a povezane sa zagađenjem“. Ovaj dokument detaljno opisuje sve zahtjeve međunarodnih konvencija i propisa koji bi se trebali sprovoditi u Crnoj Gori u vezi sa pitanjem otpada u moru. Dokument daje predlog vremenskog okvira za sprovođenje preventivnih mjera i aktivnosti za prevenciju, očuvanje i poboljšanje stanja morske sredine. Određeni dio aktivnosti predviđenih NAP-om započeo je sa realizacijom tokom 2019. godine, ali sa značajnim zakašnjenjem u odnosu na predloženi vremenski okvir.</w:t>
      </w:r>
    </w:p>
    <w:p w14:paraId="5760275E" w14:textId="77777777" w:rsidR="004C1B16" w:rsidRPr="004C1B16" w:rsidRDefault="004C1B16" w:rsidP="004C1B16">
      <w:pPr>
        <w:spacing w:before="0" w:after="0"/>
        <w:rPr>
          <w:rFonts w:eastAsia="Calibri" w:cs="Calibri"/>
          <w:szCs w:val="22"/>
          <w:lang w:val="sr-Latn-RS" w:eastAsia="en-US"/>
        </w:rPr>
      </w:pPr>
    </w:p>
    <w:p w14:paraId="250C9E95" w14:textId="1F79C677" w:rsidR="004C1B16" w:rsidRPr="004C1B16" w:rsidRDefault="004C1B16" w:rsidP="004C1B16">
      <w:pPr>
        <w:spacing w:before="0" w:after="160"/>
        <w:rPr>
          <w:rFonts w:cs="Calibri"/>
          <w:b/>
          <w:szCs w:val="22"/>
          <w:lang w:val="sr-Latn-RS" w:eastAsia="en-US"/>
        </w:rPr>
      </w:pPr>
      <w:r w:rsidRPr="004C1B16">
        <w:rPr>
          <w:rFonts w:cs="Calibri"/>
          <w:b/>
          <w:szCs w:val="22"/>
          <w:lang w:val="sr-Latn-RS" w:eastAsia="en-US"/>
        </w:rPr>
        <w:t>Međunarodni nivo</w:t>
      </w:r>
    </w:p>
    <w:p w14:paraId="702C81D5" w14:textId="77777777" w:rsidR="004C1B16" w:rsidRPr="004C1B16" w:rsidRDefault="004C1B16" w:rsidP="004C1B16">
      <w:pPr>
        <w:spacing w:before="0" w:after="160"/>
        <w:rPr>
          <w:rFonts w:cs="Calibri"/>
          <w:bCs/>
          <w:szCs w:val="22"/>
          <w:lang w:val="sr-Latn-RS" w:eastAsia="en-US"/>
        </w:rPr>
      </w:pPr>
      <w:r w:rsidRPr="004C1B16">
        <w:rPr>
          <w:rFonts w:cs="Calibri"/>
          <w:bCs/>
          <w:szCs w:val="22"/>
          <w:lang w:val="sr-Latn-RS" w:eastAsia="en-US"/>
        </w:rPr>
        <w:t>Glavni zakonodavni okvir povezan sa otpadom u moru u Evropi je Okvirna direktiva o morskoj strategiji (MSFD) EU (2017/845/EC) i Kriterijumi i metodološki standardi o dobrom sredinskom stanju morskih voda kao i specifikacije i standardizovane metode za praćenje i procjenu (2017/848/EZ). Uz MSFD, koji predstavlja krovni evropski dokument za procjenu GES-a, na međunarodnom nivou postoje dva dodatna strateška dokumenta:</w:t>
      </w:r>
    </w:p>
    <w:p w14:paraId="767DC20F" w14:textId="77777777" w:rsidR="004C1B16" w:rsidRPr="004C1B16" w:rsidRDefault="004C1B16" w:rsidP="004C1B16">
      <w:pPr>
        <w:spacing w:before="0" w:after="160"/>
        <w:rPr>
          <w:rFonts w:cs="Calibri"/>
          <w:bCs/>
          <w:szCs w:val="22"/>
          <w:lang w:val="sr-Latn-RS" w:eastAsia="en-US"/>
        </w:rPr>
      </w:pPr>
      <w:r w:rsidRPr="004C1B16">
        <w:rPr>
          <w:rFonts w:cs="Calibri"/>
          <w:bCs/>
          <w:szCs w:val="22"/>
          <w:lang w:val="sr-Latn-RS" w:eastAsia="en-US"/>
        </w:rPr>
        <w:t>1. Konvencija o zaštiti morske sredine i obalnog područja Sredozemlja – Barselonska Konvencija.</w:t>
      </w:r>
    </w:p>
    <w:p w14:paraId="518AB90D" w14:textId="77777777" w:rsidR="004C1B16" w:rsidRPr="004C1B16" w:rsidRDefault="004C1B16" w:rsidP="004C1B16">
      <w:pPr>
        <w:spacing w:before="0" w:after="160"/>
        <w:rPr>
          <w:rFonts w:cs="Calibri"/>
          <w:bCs/>
          <w:szCs w:val="22"/>
          <w:lang w:val="sr-Latn-RS" w:eastAsia="en-US"/>
        </w:rPr>
      </w:pPr>
      <w:r w:rsidRPr="004C1B16">
        <w:rPr>
          <w:rFonts w:cs="Calibri"/>
          <w:bCs/>
          <w:szCs w:val="22"/>
          <w:lang w:val="sr-Latn-RS" w:eastAsia="en-US"/>
        </w:rPr>
        <w:t>2. Regionalni plan za upravljanje otpadom u moru u Sredozemlju (RPML)</w:t>
      </w:r>
    </w:p>
    <w:p w14:paraId="51EA0E73" w14:textId="77777777" w:rsidR="004C1B16" w:rsidRPr="004C1B16" w:rsidRDefault="004C1B16" w:rsidP="004C1B16">
      <w:pPr>
        <w:spacing w:before="0" w:after="160"/>
        <w:rPr>
          <w:rFonts w:cs="Calibri"/>
          <w:bCs/>
          <w:szCs w:val="22"/>
          <w:lang w:val="sr-Latn-RS" w:eastAsia="en-US"/>
        </w:rPr>
      </w:pPr>
      <w:r w:rsidRPr="004C1B16">
        <w:rPr>
          <w:rFonts w:cs="Calibri"/>
          <w:bCs/>
          <w:szCs w:val="22"/>
          <w:lang w:val="sr-Latn-RS" w:eastAsia="en-US"/>
        </w:rPr>
        <w:t xml:space="preserve">Važno je napomenuti da na nivou Evropske unije postoji značajan broj političkih odgovora na problem zagađenja plastikom. Evropska komisija (EK) usvojila je Akcioni plan EU za cirkularnu ekonomiju u decembru 2015. godine, kako bi riješila izazove koje predstavlja plastika. Istraživanje izvora zagađenja otpadom i povećana svijest o ovoj vrsti zagađenja doveli su do razmatranja otpada u moru kao relevantne teme brojnih politika EU. Te politike uključuju Evropsku strategiju za plastiku u cirkularnoj ekonomiji (COM (2018) 28 finalna verzija), sa povezanom Direktivom (EU) 2019/904 o smanjenju uticaja određenih proizvoda od plastike na životnu sredinu, kao i Okvirna Direktiva o vodama (2000/60/EZ), Okvirna direktiva o otpadu (2018/851/EZ o izmjeni Direktive 2008/98/EZ o otpadu), Direktiva o deponijama (1999/31/EZ), Direktiva o prečišćavanju komunalnih otpadnih voda (91/271 /EZ), Direktiva o lučkim prihvatnim objektima (2000/59/EZ), Direktiva o ekološkom dizajnu (2005/32/EZ), Direktiva o vodi za piće (98/83/EZ) i politike EU o ponovnoj upotrebi vode/zaštiti hrane i bezbjedonosne politike (Werner </w:t>
      </w:r>
      <w:r w:rsidRPr="004C1B16">
        <w:rPr>
          <w:rFonts w:cs="Calibri"/>
          <w:bCs/>
          <w:i/>
          <w:iCs/>
          <w:szCs w:val="22"/>
          <w:lang w:val="sr-Latn-RS" w:eastAsia="en-US"/>
        </w:rPr>
        <w:t>et al..,</w:t>
      </w:r>
      <w:r w:rsidRPr="004C1B16">
        <w:rPr>
          <w:rFonts w:cs="Calibri"/>
          <w:bCs/>
          <w:szCs w:val="22"/>
          <w:lang w:val="sr-Latn-RS" w:eastAsia="en-US"/>
        </w:rPr>
        <w:t xml:space="preserve"> 2020).</w:t>
      </w:r>
    </w:p>
    <w:p w14:paraId="7B763C21" w14:textId="1DBF7583" w:rsidR="004C1B16" w:rsidRPr="00965760" w:rsidRDefault="004C1B16" w:rsidP="00965760">
      <w:pPr>
        <w:spacing w:before="0" w:after="160"/>
        <w:rPr>
          <w:rFonts w:cs="Calibri"/>
          <w:bCs/>
          <w:szCs w:val="22"/>
          <w:lang w:val="sr-Latn-RS" w:eastAsia="en-US"/>
        </w:rPr>
      </w:pPr>
      <w:r w:rsidRPr="004C1B16">
        <w:rPr>
          <w:rFonts w:cs="Calibri"/>
          <w:bCs/>
          <w:szCs w:val="22"/>
          <w:lang w:val="sr-Latn-RS" w:eastAsia="en-US"/>
        </w:rPr>
        <w:t>Nakon postavljanja ciljeva za sprečavanje zagađenja mora (uključujući otpad u moru) u okviru ciljeva održivog razvoja do 2030. godine, Evropska komisija predložila je aspiracijski cilj "smanjenje otpada u moru za 30% do 2020. godine za deset najčešćih vrsta otpada pronađenih na plažama, kao i za ribolovne alate nađene u moru". Evropska strategija za plastiku takođe će preduzeti mjere kako bi ispunila cilj značajnog smanjenja otpada u moru. Takođe, u tom kontekstu, Direktiva EU 94/62/EC o ambalaži i ambalažnom otpadu ima za cilj da uskladi nacionalne mjere koje se odnose na upravljanje ambalažom i ambalažnim otpadom kako bi se spriječio ili smanjio njegov uticaj na životnu sredinu, dok njena izmjena i dopuna iz 2015 (2015/720) uključuje mjere za smanjenje potrošnje laganih plastičnih kesa.</w:t>
      </w:r>
    </w:p>
    <w:p w14:paraId="01EDA64B" w14:textId="77777777" w:rsidR="004C1B16" w:rsidRPr="004C1B16" w:rsidRDefault="004C1B16" w:rsidP="004C1B16">
      <w:pPr>
        <w:pStyle w:val="Heading3"/>
        <w:rPr>
          <w:lang w:val="sr-Latn-RS" w:eastAsia="en-US"/>
        </w:rPr>
      </w:pPr>
      <w:r w:rsidRPr="004C1B16">
        <w:rPr>
          <w:lang w:val="sr-Latn-RS" w:eastAsia="en-US"/>
        </w:rPr>
        <w:t xml:space="preserve"> </w:t>
      </w:r>
      <w:bookmarkStart w:id="271" w:name="_Toc83630953"/>
      <w:r w:rsidRPr="004C1B16">
        <w:rPr>
          <w:lang w:val="sr-Latn-RS" w:eastAsia="en-US"/>
        </w:rPr>
        <w:t>Odabir kriterijuma za procjenu GES-a</w:t>
      </w:r>
      <w:bookmarkEnd w:id="271"/>
      <w:r w:rsidRPr="004C1B16">
        <w:rPr>
          <w:lang w:val="sr-Latn-RS" w:eastAsia="en-US"/>
        </w:rPr>
        <w:t xml:space="preserve"> </w:t>
      </w:r>
    </w:p>
    <w:p w14:paraId="151138BB" w14:textId="77777777" w:rsidR="004C1B16" w:rsidRPr="004C1B16" w:rsidRDefault="004C1B16" w:rsidP="004C1B16">
      <w:pPr>
        <w:autoSpaceDE w:val="0"/>
        <w:autoSpaceDN w:val="0"/>
        <w:adjustRightInd w:val="0"/>
        <w:spacing w:before="0" w:after="160"/>
        <w:rPr>
          <w:rFonts w:eastAsia="Calibri" w:cs="Calibri"/>
          <w:color w:val="000000"/>
          <w:szCs w:val="22"/>
          <w:lang w:val="sr-Latn-RS" w:eastAsia="en-US"/>
        </w:rPr>
      </w:pPr>
      <w:r w:rsidRPr="004C1B16">
        <w:rPr>
          <w:rFonts w:eastAsia="Calibri" w:cs="Calibri"/>
          <w:color w:val="000000"/>
          <w:szCs w:val="22"/>
          <w:lang w:val="sr-Latn-RS" w:eastAsia="en-US"/>
        </w:rPr>
        <w:t>Određivanje karakteristika GES-a bazira se na kriterijima utvrđenim Odlukom Komisije 2017/848/EU i vodeći se indikativnim popisom elemenata iz Priloga III. Direktiva Komisije 2017/845 o izmjeni Direktive 2008/56/EZ (Tabela 2.43).</w:t>
      </w:r>
    </w:p>
    <w:p w14:paraId="50BA1B3A" w14:textId="77777777" w:rsidR="004C1B16" w:rsidRPr="004C1B16" w:rsidRDefault="004C1B16" w:rsidP="004C1B16">
      <w:pPr>
        <w:autoSpaceDE w:val="0"/>
        <w:autoSpaceDN w:val="0"/>
        <w:adjustRightInd w:val="0"/>
        <w:spacing w:before="0" w:after="160"/>
        <w:rPr>
          <w:rFonts w:cs="Calibri"/>
          <w:b/>
          <w:szCs w:val="22"/>
          <w:lang w:val="sr-Latn-RS" w:eastAsia="en-US"/>
        </w:rPr>
      </w:pPr>
      <w:bookmarkStart w:id="272" w:name="_Toc83643189"/>
      <w:r w:rsidRPr="004C1B16">
        <w:rPr>
          <w:rFonts w:eastAsia="Calibri" w:cs="Calibri"/>
          <w:b/>
          <w:iCs/>
          <w:szCs w:val="22"/>
          <w:lang w:val="sr-Latn-RS" w:eastAsia="en-US"/>
        </w:rPr>
        <w:t xml:space="preserve">Tabela </w:t>
      </w:r>
      <w:r w:rsidRPr="004C1B16">
        <w:rPr>
          <w:rFonts w:cs="Calibri"/>
          <w:b/>
          <w:szCs w:val="22"/>
          <w:lang w:val="sr-Latn-RS"/>
        </w:rPr>
        <w:fldChar w:fldCharType="begin"/>
      </w:r>
      <w:r w:rsidRPr="004C1B16">
        <w:rPr>
          <w:rFonts w:cs="Calibri"/>
          <w:b/>
          <w:szCs w:val="22"/>
          <w:lang w:val="sr-Latn-RS"/>
        </w:rPr>
        <w:instrText xml:space="preserve"> STYLEREF 1 \s </w:instrText>
      </w:r>
      <w:r w:rsidRPr="004C1B16">
        <w:rPr>
          <w:rFonts w:cs="Calibri"/>
          <w:b/>
          <w:szCs w:val="22"/>
          <w:lang w:val="sr-Latn-RS"/>
        </w:rPr>
        <w:fldChar w:fldCharType="separate"/>
      </w:r>
      <w:r w:rsidR="000D1E20">
        <w:rPr>
          <w:rFonts w:cs="Calibri"/>
          <w:b/>
          <w:noProof/>
          <w:szCs w:val="22"/>
          <w:lang w:val="sr-Latn-RS"/>
        </w:rPr>
        <w:t>2</w:t>
      </w:r>
      <w:r w:rsidRPr="004C1B16">
        <w:rPr>
          <w:rFonts w:cs="Calibri"/>
          <w:b/>
          <w:szCs w:val="22"/>
          <w:lang w:val="sr-Latn-RS"/>
        </w:rPr>
        <w:fldChar w:fldCharType="end"/>
      </w:r>
      <w:r w:rsidRPr="004C1B16">
        <w:rPr>
          <w:rFonts w:cs="Calibri"/>
          <w:b/>
          <w:szCs w:val="22"/>
          <w:lang w:val="sr-Latn-RS"/>
        </w:rPr>
        <w:t>.</w:t>
      </w:r>
      <w:r w:rsidRPr="004C1B16">
        <w:rPr>
          <w:rFonts w:cs="Calibri"/>
          <w:b/>
          <w:szCs w:val="22"/>
          <w:lang w:val="sr-Latn-RS"/>
        </w:rPr>
        <w:fldChar w:fldCharType="begin"/>
      </w:r>
      <w:r w:rsidRPr="004C1B16">
        <w:rPr>
          <w:rFonts w:cs="Calibri"/>
          <w:b/>
          <w:szCs w:val="22"/>
          <w:lang w:val="sr-Latn-RS"/>
        </w:rPr>
        <w:instrText xml:space="preserve"> SEQ Table \* ARABIC \s 1 </w:instrText>
      </w:r>
      <w:r w:rsidRPr="004C1B16">
        <w:rPr>
          <w:rFonts w:cs="Calibri"/>
          <w:b/>
          <w:szCs w:val="22"/>
          <w:lang w:val="sr-Latn-RS"/>
        </w:rPr>
        <w:fldChar w:fldCharType="separate"/>
      </w:r>
      <w:r w:rsidR="000D1E20">
        <w:rPr>
          <w:rFonts w:cs="Calibri"/>
          <w:b/>
          <w:noProof/>
          <w:szCs w:val="22"/>
          <w:lang w:val="sr-Latn-RS"/>
        </w:rPr>
        <w:t>31</w:t>
      </w:r>
      <w:r w:rsidRPr="004C1B16">
        <w:rPr>
          <w:rFonts w:cs="Calibri"/>
          <w:b/>
          <w:szCs w:val="22"/>
          <w:lang w:val="sr-Latn-RS"/>
        </w:rPr>
        <w:fldChar w:fldCharType="end"/>
      </w:r>
      <w:r w:rsidRPr="004C1B16">
        <w:rPr>
          <w:rFonts w:cs="Calibri"/>
          <w:b/>
          <w:szCs w:val="22"/>
          <w:lang w:val="sr-Latn-RS"/>
        </w:rPr>
        <w:t>.</w:t>
      </w:r>
      <w:r w:rsidRPr="004C1B16">
        <w:rPr>
          <w:rFonts w:eastAsia="Calibri" w:cs="Calibri"/>
          <w:b/>
          <w:szCs w:val="22"/>
          <w:lang w:val="sr-Latn-RS" w:eastAsia="en-US"/>
        </w:rPr>
        <w:t xml:space="preserve"> Kriterijumi, elementi kriterijuma i metodološki standardi  za procjenu GES-a za D10.</w:t>
      </w:r>
      <w:bookmarkEnd w:id="272"/>
      <w:r w:rsidRPr="004C1B16">
        <w:rPr>
          <w:rFonts w:eastAsia="Calibri" w:cs="Calibri"/>
          <w:b/>
          <w:szCs w:val="22"/>
          <w:lang w:val="sr-Latn-RS" w:eastAsia="en-US"/>
        </w:rPr>
        <w:t xml:space="preserve"> </w:t>
      </w:r>
    </w:p>
    <w:tbl>
      <w:tblPr>
        <w:tblStyle w:val="GolderTable211"/>
        <w:tblpPr w:leftFromText="180" w:rightFromText="180" w:vertAnchor="text" w:tblpX="-5" w:tblpY="1"/>
        <w:tblOverlap w:val="never"/>
        <w:tblW w:w="0" w:type="auto"/>
        <w:tblBorders>
          <w:bottom w:val="none" w:sz="0" w:space="0" w:color="auto"/>
        </w:tblBorders>
        <w:tblLook w:val="04A0" w:firstRow="1" w:lastRow="0" w:firstColumn="1" w:lastColumn="0" w:noHBand="0" w:noVBand="1"/>
      </w:tblPr>
      <w:tblGrid>
        <w:gridCol w:w="2689"/>
        <w:gridCol w:w="4993"/>
        <w:gridCol w:w="1339"/>
      </w:tblGrid>
      <w:tr w:rsidR="004C1B16" w:rsidRPr="004C1B16" w14:paraId="3BFBB250" w14:textId="77777777" w:rsidTr="00432CCB">
        <w:tc>
          <w:tcPr>
            <w:tcW w:w="2689" w:type="dxa"/>
            <w:tcBorders>
              <w:bottom w:val="single" w:sz="4" w:space="0" w:color="auto"/>
            </w:tcBorders>
            <w:shd w:val="clear" w:color="auto" w:fill="365F91"/>
          </w:tcPr>
          <w:p w14:paraId="0EB360E2" w14:textId="77777777" w:rsidR="004C1B16" w:rsidRPr="00965760" w:rsidRDefault="004C1B16" w:rsidP="004C1B16">
            <w:pPr>
              <w:spacing w:before="0" w:after="0" w:line="240" w:lineRule="auto"/>
              <w:rPr>
                <w:rFonts w:cs="Calibri"/>
                <w:b/>
                <w:color w:val="FFFFFF" w:themeColor="background1"/>
                <w:sz w:val="20"/>
                <w:szCs w:val="20"/>
                <w:lang w:val="sr-Latn-RS" w:eastAsia="en-US"/>
              </w:rPr>
            </w:pPr>
            <w:r w:rsidRPr="00965760">
              <w:rPr>
                <w:rFonts w:cs="Calibri"/>
                <w:b/>
                <w:color w:val="FFFFFF" w:themeColor="background1"/>
                <w:sz w:val="20"/>
                <w:szCs w:val="20"/>
                <w:lang w:val="sr-Latn-RS" w:eastAsia="en-US"/>
              </w:rPr>
              <w:t>Elementi kriterijuma</w:t>
            </w:r>
          </w:p>
        </w:tc>
        <w:tc>
          <w:tcPr>
            <w:tcW w:w="4993" w:type="dxa"/>
            <w:tcBorders>
              <w:bottom w:val="single" w:sz="4" w:space="0" w:color="auto"/>
            </w:tcBorders>
            <w:shd w:val="clear" w:color="auto" w:fill="365F91"/>
          </w:tcPr>
          <w:p w14:paraId="1298654B" w14:textId="77777777" w:rsidR="004C1B16" w:rsidRPr="00965760" w:rsidRDefault="004C1B16" w:rsidP="004C1B16">
            <w:pPr>
              <w:autoSpaceDE w:val="0"/>
              <w:autoSpaceDN w:val="0"/>
              <w:adjustRightInd w:val="0"/>
              <w:spacing w:before="0" w:after="0" w:line="240" w:lineRule="auto"/>
              <w:jc w:val="left"/>
              <w:rPr>
                <w:rFonts w:cs="Calibri"/>
                <w:b/>
                <w:color w:val="FFFFFF" w:themeColor="background1"/>
                <w:sz w:val="20"/>
                <w:szCs w:val="20"/>
                <w:lang w:val="sr-Latn-RS" w:eastAsia="en-US"/>
              </w:rPr>
            </w:pPr>
            <w:r w:rsidRPr="00965760">
              <w:rPr>
                <w:rFonts w:cs="Calibri"/>
                <w:b/>
                <w:color w:val="FFFFFF" w:themeColor="background1"/>
                <w:sz w:val="20"/>
                <w:szCs w:val="20"/>
                <w:lang w:val="sr-Latn-RS" w:eastAsia="en-US"/>
              </w:rPr>
              <w:t>Kriterijum</w:t>
            </w:r>
          </w:p>
          <w:p w14:paraId="7B72A1A5" w14:textId="77777777" w:rsidR="004C1B16" w:rsidRPr="00965760" w:rsidRDefault="004C1B16" w:rsidP="004C1B16">
            <w:pPr>
              <w:autoSpaceDE w:val="0"/>
              <w:autoSpaceDN w:val="0"/>
              <w:adjustRightInd w:val="0"/>
              <w:spacing w:before="0" w:after="0" w:line="240" w:lineRule="auto"/>
              <w:jc w:val="left"/>
              <w:rPr>
                <w:rFonts w:cs="Calibri"/>
                <w:b/>
                <w:color w:val="FFFFFF" w:themeColor="background1"/>
                <w:sz w:val="20"/>
                <w:szCs w:val="20"/>
                <w:lang w:val="sr-Latn-RS" w:eastAsia="en-US"/>
              </w:rPr>
            </w:pPr>
          </w:p>
        </w:tc>
        <w:tc>
          <w:tcPr>
            <w:tcW w:w="1339" w:type="dxa"/>
            <w:tcBorders>
              <w:bottom w:val="single" w:sz="4" w:space="0" w:color="auto"/>
            </w:tcBorders>
            <w:shd w:val="clear" w:color="auto" w:fill="365F91"/>
          </w:tcPr>
          <w:p w14:paraId="77B02801" w14:textId="77777777" w:rsidR="004C1B16" w:rsidRPr="00965760" w:rsidRDefault="004C1B16" w:rsidP="004C1B16">
            <w:pPr>
              <w:autoSpaceDE w:val="0"/>
              <w:autoSpaceDN w:val="0"/>
              <w:adjustRightInd w:val="0"/>
              <w:spacing w:before="0" w:after="0" w:line="240" w:lineRule="auto"/>
              <w:jc w:val="left"/>
              <w:rPr>
                <w:rFonts w:cs="Calibri"/>
                <w:b/>
                <w:color w:val="FFFFFF" w:themeColor="background1"/>
                <w:sz w:val="20"/>
                <w:szCs w:val="20"/>
                <w:lang w:val="sr-Latn-RS" w:eastAsia="en-US"/>
              </w:rPr>
            </w:pPr>
            <w:r w:rsidRPr="00965760">
              <w:rPr>
                <w:rFonts w:cs="Calibri"/>
                <w:b/>
                <w:color w:val="FFFFFF" w:themeColor="background1"/>
                <w:sz w:val="20"/>
                <w:szCs w:val="20"/>
                <w:lang w:val="sr-Latn-RS" w:eastAsia="en-US"/>
              </w:rPr>
              <w:t>CG GES pokrivenost</w:t>
            </w:r>
            <w:r w:rsidRPr="00965760">
              <w:rPr>
                <w:rFonts w:cs="Calibri"/>
                <w:b/>
                <w:color w:val="FFFFFF" w:themeColor="background1"/>
                <w:sz w:val="20"/>
                <w:szCs w:val="20"/>
                <w:vertAlign w:val="superscript"/>
                <w:lang w:val="sr-Latn-RS" w:eastAsia="en-US"/>
              </w:rPr>
              <w:footnoteReference w:id="50"/>
            </w:r>
          </w:p>
        </w:tc>
      </w:tr>
      <w:tr w:rsidR="004C1B16" w:rsidRPr="004C1B16" w14:paraId="4F3B746E" w14:textId="77777777" w:rsidTr="00432CCB">
        <w:tc>
          <w:tcPr>
            <w:tcW w:w="2689" w:type="dxa"/>
            <w:tcBorders>
              <w:bottom w:val="single" w:sz="4" w:space="0" w:color="auto"/>
            </w:tcBorders>
          </w:tcPr>
          <w:p w14:paraId="41F47BF5" w14:textId="77777777" w:rsidR="004C1B16" w:rsidRPr="004C1B16" w:rsidRDefault="004C1B16" w:rsidP="00ED0415">
            <w:pPr>
              <w:autoSpaceDE w:val="0"/>
              <w:autoSpaceDN w:val="0"/>
              <w:adjustRightInd w:val="0"/>
              <w:spacing w:before="0" w:after="160" w:line="240" w:lineRule="auto"/>
              <w:jc w:val="left"/>
              <w:rPr>
                <w:rFonts w:cs="Calibri"/>
                <w:color w:val="000000"/>
                <w:sz w:val="20"/>
                <w:szCs w:val="20"/>
                <w:lang w:val="sr-Latn-RS" w:eastAsia="en-US"/>
              </w:rPr>
            </w:pPr>
            <w:r w:rsidRPr="004C1B16">
              <w:rPr>
                <w:rFonts w:cs="Calibri"/>
                <w:color w:val="000000"/>
                <w:sz w:val="20"/>
                <w:szCs w:val="20"/>
                <w:lang w:val="sr-Latn-RS" w:eastAsia="en-US"/>
              </w:rPr>
              <w:t>Otpad (isključujući mikro otpad), razvrstan je u sledeće kategorije (1): vještački polimerni materijali, guma, tkanina/tekstil, papir/karton, obrađeno drvo, metal, staklo/keramika, hemikalije, nedefinisani otpad i otpad od hrane.</w:t>
            </w:r>
          </w:p>
        </w:tc>
        <w:tc>
          <w:tcPr>
            <w:tcW w:w="4993" w:type="dxa"/>
            <w:tcBorders>
              <w:bottom w:val="single" w:sz="4" w:space="0" w:color="auto"/>
            </w:tcBorders>
          </w:tcPr>
          <w:p w14:paraId="5B443820" w14:textId="77777777" w:rsidR="004C1B16" w:rsidRPr="004C1B16" w:rsidRDefault="004C1B16" w:rsidP="004C1B16">
            <w:pPr>
              <w:spacing w:before="0" w:after="0" w:line="240" w:lineRule="auto"/>
              <w:rPr>
                <w:rFonts w:cs="Calibri"/>
                <w:b/>
                <w:sz w:val="20"/>
                <w:szCs w:val="20"/>
                <w:lang w:val="sr-Latn-RS" w:eastAsia="en-US"/>
              </w:rPr>
            </w:pPr>
            <w:r w:rsidRPr="004C1B16">
              <w:rPr>
                <w:rFonts w:cs="Calibri"/>
                <w:b/>
                <w:sz w:val="20"/>
                <w:szCs w:val="20"/>
                <w:lang w:val="sr-Latn-RS" w:eastAsia="en-US"/>
              </w:rPr>
              <w:t>D10C1 — Primarni:</w:t>
            </w:r>
          </w:p>
          <w:p w14:paraId="632A0076" w14:textId="77777777" w:rsidR="004C1B16" w:rsidRPr="004C1B16" w:rsidRDefault="004C1B16" w:rsidP="00ED0415">
            <w:pPr>
              <w:autoSpaceDE w:val="0"/>
              <w:autoSpaceDN w:val="0"/>
              <w:adjustRightInd w:val="0"/>
              <w:spacing w:before="0" w:after="160" w:line="240" w:lineRule="auto"/>
              <w:rPr>
                <w:rFonts w:cs="Calibri"/>
                <w:color w:val="000000"/>
                <w:sz w:val="20"/>
                <w:szCs w:val="20"/>
                <w:lang w:val="sr-Latn-RS" w:eastAsia="en-US"/>
              </w:rPr>
            </w:pPr>
            <w:r w:rsidRPr="004C1B16">
              <w:rPr>
                <w:rFonts w:cs="Calibri"/>
                <w:color w:val="000000"/>
                <w:sz w:val="20"/>
                <w:szCs w:val="20"/>
                <w:lang w:val="sr-Latn-RS" w:eastAsia="en-US"/>
              </w:rPr>
              <w:t xml:space="preserve">Sastav, količina i prostorna distribucija otpada duž obale, u površinskom sloju vodenog stuba i na morskom dnu na nivoima su koji ne štete obalnoj i morskoj sredini. </w:t>
            </w:r>
          </w:p>
          <w:p w14:paraId="5D608ABA" w14:textId="77777777" w:rsidR="004C1B16" w:rsidRPr="004C1B16" w:rsidRDefault="004C1B16" w:rsidP="00ED0415">
            <w:pPr>
              <w:autoSpaceDE w:val="0"/>
              <w:autoSpaceDN w:val="0"/>
              <w:adjustRightInd w:val="0"/>
              <w:spacing w:before="0" w:after="160" w:line="240" w:lineRule="auto"/>
              <w:rPr>
                <w:rFonts w:cs="Calibri"/>
                <w:color w:val="000000"/>
                <w:sz w:val="20"/>
                <w:szCs w:val="20"/>
                <w:lang w:val="sr-Latn-RS" w:eastAsia="en-US"/>
              </w:rPr>
            </w:pPr>
            <w:r w:rsidRPr="004C1B16">
              <w:rPr>
                <w:rFonts w:cs="Calibri"/>
                <w:color w:val="000000"/>
                <w:sz w:val="20"/>
                <w:szCs w:val="20"/>
                <w:lang w:val="sr-Latn-RS" w:eastAsia="en-US"/>
              </w:rPr>
              <w:t>Države članice treba da utvrde granične vrijednosti za te nivoe saradnjom na nivou Unije, uzimajući u obzir posebnosti regije ili pod-regije.</w:t>
            </w:r>
          </w:p>
          <w:p w14:paraId="5BB6F5EF" w14:textId="77777777" w:rsidR="004C1B16" w:rsidRPr="004C1B16" w:rsidRDefault="004C1B16" w:rsidP="004C1B16">
            <w:pPr>
              <w:spacing w:before="0" w:after="0" w:line="240" w:lineRule="auto"/>
              <w:rPr>
                <w:rFonts w:cs="Calibri"/>
                <w:sz w:val="20"/>
                <w:szCs w:val="20"/>
                <w:lang w:val="sr-Latn-RS" w:eastAsia="en-US"/>
              </w:rPr>
            </w:pPr>
          </w:p>
        </w:tc>
        <w:tc>
          <w:tcPr>
            <w:tcW w:w="1339" w:type="dxa"/>
            <w:tcBorders>
              <w:bottom w:val="single" w:sz="4" w:space="0" w:color="auto"/>
            </w:tcBorders>
          </w:tcPr>
          <w:p w14:paraId="1505AF0A" w14:textId="77777777" w:rsidR="004C1B16" w:rsidRPr="004C1B16" w:rsidRDefault="004C1B16" w:rsidP="004C1B16">
            <w:pPr>
              <w:spacing w:before="0" w:after="0" w:line="240" w:lineRule="auto"/>
              <w:rPr>
                <w:rFonts w:cs="Calibri"/>
                <w:sz w:val="20"/>
                <w:szCs w:val="20"/>
                <w:lang w:val="sr-Latn-RS" w:eastAsia="en-US"/>
              </w:rPr>
            </w:pPr>
          </w:p>
          <w:p w14:paraId="1618C49D" w14:textId="77777777" w:rsidR="004C1B16" w:rsidRPr="004C1B16" w:rsidRDefault="004C1B16" w:rsidP="004C1B16">
            <w:pPr>
              <w:spacing w:before="0" w:after="0" w:line="240" w:lineRule="auto"/>
              <w:rPr>
                <w:rFonts w:cs="Calibri"/>
                <w:sz w:val="20"/>
                <w:szCs w:val="20"/>
                <w:lang w:val="sr-Latn-RS" w:eastAsia="en-US"/>
              </w:rPr>
            </w:pPr>
            <w:r w:rsidRPr="004C1B16">
              <w:rPr>
                <w:rFonts w:cs="Calibri"/>
                <w:sz w:val="20"/>
                <w:szCs w:val="20"/>
                <w:lang w:val="sr-Latn-RS" w:eastAsia="en-US"/>
              </w:rPr>
              <w:t>Pokriveno</w:t>
            </w:r>
          </w:p>
        </w:tc>
      </w:tr>
      <w:tr w:rsidR="004C1B16" w:rsidRPr="004C1B16" w14:paraId="6A27F921" w14:textId="77777777" w:rsidTr="00432CCB">
        <w:tc>
          <w:tcPr>
            <w:tcW w:w="2689" w:type="dxa"/>
            <w:tcBorders>
              <w:bottom w:val="single" w:sz="4" w:space="0" w:color="auto"/>
            </w:tcBorders>
          </w:tcPr>
          <w:p w14:paraId="36EE7F0C" w14:textId="77777777" w:rsidR="004C1B16" w:rsidRPr="004C1B16" w:rsidRDefault="004C1B16" w:rsidP="00ED0415">
            <w:pPr>
              <w:autoSpaceDE w:val="0"/>
              <w:autoSpaceDN w:val="0"/>
              <w:adjustRightInd w:val="0"/>
              <w:spacing w:before="0" w:after="160" w:line="240" w:lineRule="auto"/>
              <w:jc w:val="left"/>
              <w:rPr>
                <w:rFonts w:cs="Calibri"/>
                <w:bCs/>
                <w:iCs/>
                <w:color w:val="000000"/>
                <w:sz w:val="20"/>
                <w:szCs w:val="20"/>
                <w:lang w:val="sr-Latn-RS" w:eastAsia="en-US"/>
              </w:rPr>
            </w:pPr>
            <w:r w:rsidRPr="004C1B16">
              <w:rPr>
                <w:rFonts w:cs="Calibri"/>
                <w:bCs/>
                <w:iCs/>
                <w:color w:val="000000"/>
                <w:sz w:val="20"/>
                <w:szCs w:val="20"/>
                <w:lang w:val="sr-Latn-RS" w:eastAsia="en-US"/>
              </w:rPr>
              <w:t>Mikro-otpad (čestice &lt; 5 mm), razvrstani u kategorije „vještački polimerni materijali” i „ostalo”.</w:t>
            </w:r>
          </w:p>
        </w:tc>
        <w:tc>
          <w:tcPr>
            <w:tcW w:w="4993" w:type="dxa"/>
            <w:tcBorders>
              <w:bottom w:val="single" w:sz="4" w:space="0" w:color="auto"/>
            </w:tcBorders>
          </w:tcPr>
          <w:p w14:paraId="768CB617" w14:textId="77777777" w:rsidR="004C1B16" w:rsidRPr="004C1B16" w:rsidRDefault="004C1B16" w:rsidP="00ED0415">
            <w:pPr>
              <w:spacing w:before="0" w:after="0" w:line="240" w:lineRule="auto"/>
              <w:rPr>
                <w:rFonts w:cs="Calibri"/>
                <w:b/>
                <w:sz w:val="20"/>
                <w:szCs w:val="20"/>
                <w:lang w:val="sr-Latn-RS" w:eastAsia="en-US"/>
              </w:rPr>
            </w:pPr>
            <w:r w:rsidRPr="004C1B16">
              <w:rPr>
                <w:rFonts w:cs="Calibri"/>
                <w:b/>
                <w:sz w:val="20"/>
                <w:szCs w:val="20"/>
                <w:lang w:val="sr-Latn-RS" w:eastAsia="en-US"/>
              </w:rPr>
              <w:t>D10C2 — Primarni:</w:t>
            </w:r>
          </w:p>
          <w:p w14:paraId="0F327C2E" w14:textId="77777777" w:rsidR="004C1B16" w:rsidRPr="004C1B16" w:rsidRDefault="004C1B16" w:rsidP="00ED0415">
            <w:pPr>
              <w:autoSpaceDE w:val="0"/>
              <w:autoSpaceDN w:val="0"/>
              <w:adjustRightInd w:val="0"/>
              <w:spacing w:before="0" w:after="160" w:line="240" w:lineRule="auto"/>
              <w:rPr>
                <w:rFonts w:cs="Calibri"/>
                <w:iCs/>
                <w:color w:val="000000"/>
                <w:sz w:val="20"/>
                <w:szCs w:val="20"/>
                <w:lang w:val="sr-Latn-RS" w:eastAsia="en-US"/>
              </w:rPr>
            </w:pPr>
            <w:r w:rsidRPr="004C1B16">
              <w:rPr>
                <w:rFonts w:cs="Calibri"/>
                <w:b/>
                <w:sz w:val="20"/>
                <w:szCs w:val="20"/>
                <w:lang w:val="sr-Latn-RS" w:eastAsia="en-US"/>
              </w:rPr>
              <w:t xml:space="preserve"> </w:t>
            </w:r>
            <w:r w:rsidRPr="004C1B16">
              <w:rPr>
                <w:rFonts w:cs="Calibri"/>
                <w:iCs/>
                <w:color w:val="000000"/>
                <w:sz w:val="20"/>
                <w:szCs w:val="20"/>
                <w:lang w:val="sr-Latn-RS" w:eastAsia="en-US"/>
              </w:rPr>
              <w:t xml:space="preserve"> Sastav, količina i prostorna distribucija mikro-otpada duž obale, u površinskom sloju vodenog stuba i u sedimentu morskog dna na nivoima su koji ne štete obalnoj i morskoj sredini. </w:t>
            </w:r>
          </w:p>
          <w:p w14:paraId="1ED2B2E0" w14:textId="77777777" w:rsidR="004C1B16" w:rsidRPr="004C1B16" w:rsidRDefault="004C1B16" w:rsidP="00ED0415">
            <w:pPr>
              <w:autoSpaceDE w:val="0"/>
              <w:autoSpaceDN w:val="0"/>
              <w:adjustRightInd w:val="0"/>
              <w:spacing w:before="0" w:after="160" w:line="240" w:lineRule="auto"/>
              <w:rPr>
                <w:rFonts w:cs="Calibri"/>
                <w:color w:val="000000"/>
                <w:sz w:val="20"/>
                <w:szCs w:val="20"/>
                <w:lang w:val="sr-Latn-RS" w:eastAsia="en-US"/>
              </w:rPr>
            </w:pPr>
            <w:r w:rsidRPr="004C1B16">
              <w:rPr>
                <w:rFonts w:cs="Calibri"/>
                <w:color w:val="000000"/>
                <w:sz w:val="20"/>
                <w:szCs w:val="20"/>
                <w:lang w:val="sr-Latn-RS" w:eastAsia="en-US"/>
              </w:rPr>
              <w:t>Države članice treba da utvrde granične vrijednosti za te nivoe saradnjom na nivou Unije, uzimajući u obzir posebnosti regije ili pod-regije.</w:t>
            </w:r>
          </w:p>
        </w:tc>
        <w:tc>
          <w:tcPr>
            <w:tcW w:w="1339" w:type="dxa"/>
            <w:tcBorders>
              <w:bottom w:val="single" w:sz="4" w:space="0" w:color="auto"/>
            </w:tcBorders>
          </w:tcPr>
          <w:p w14:paraId="1424FDC4" w14:textId="77777777" w:rsidR="004C1B16" w:rsidRPr="004C1B16" w:rsidRDefault="004C1B16" w:rsidP="004C1B16">
            <w:pPr>
              <w:spacing w:before="0" w:after="0" w:line="240" w:lineRule="auto"/>
              <w:rPr>
                <w:rFonts w:cs="Calibri"/>
                <w:sz w:val="20"/>
                <w:szCs w:val="20"/>
                <w:lang w:val="sr-Latn-RS" w:eastAsia="en-US"/>
              </w:rPr>
            </w:pPr>
            <w:r w:rsidRPr="004C1B16">
              <w:rPr>
                <w:rFonts w:cs="Calibri"/>
                <w:sz w:val="20"/>
                <w:szCs w:val="20"/>
                <w:lang w:val="sr-Latn-RS" w:eastAsia="en-US"/>
              </w:rPr>
              <w:t>Nije pokriveno</w:t>
            </w:r>
          </w:p>
        </w:tc>
      </w:tr>
      <w:tr w:rsidR="004C1B16" w:rsidRPr="004C1B16" w14:paraId="16DC76FD" w14:textId="77777777" w:rsidTr="00432CCB">
        <w:tc>
          <w:tcPr>
            <w:tcW w:w="2689" w:type="dxa"/>
            <w:tcBorders>
              <w:bottom w:val="single" w:sz="4" w:space="0" w:color="auto"/>
            </w:tcBorders>
          </w:tcPr>
          <w:p w14:paraId="1A8D5848" w14:textId="77777777" w:rsidR="004C1B16" w:rsidRPr="004C1B16" w:rsidRDefault="004C1B16" w:rsidP="004C1B16">
            <w:pPr>
              <w:rPr>
                <w:sz w:val="20"/>
                <w:szCs w:val="20"/>
                <w:lang w:val="sr-Latn-RS"/>
              </w:rPr>
            </w:pPr>
            <w:r w:rsidRPr="004C1B16">
              <w:rPr>
                <w:sz w:val="20"/>
                <w:szCs w:val="20"/>
                <w:lang w:val="sr-Latn-RS"/>
              </w:rPr>
              <w:t>Otpad i mikro-otpad razvrstani su u kategorije „vještački polimerni materijali” i „ostalo” procijenjeni kod bilo koje vrste iz sljedećih grupa: ptice, sisari, gmizavci, ribe ili beskičmenjaci.</w:t>
            </w:r>
          </w:p>
        </w:tc>
        <w:tc>
          <w:tcPr>
            <w:tcW w:w="4993" w:type="dxa"/>
            <w:tcBorders>
              <w:bottom w:val="single" w:sz="4" w:space="0" w:color="auto"/>
            </w:tcBorders>
          </w:tcPr>
          <w:p w14:paraId="3B808E36"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r w:rsidRPr="004C1B16">
              <w:rPr>
                <w:rFonts w:cs="Calibri"/>
                <w:b/>
                <w:sz w:val="20"/>
                <w:szCs w:val="20"/>
                <w:lang w:val="sr-Latn-RS" w:eastAsia="en-US"/>
              </w:rPr>
              <w:t>D10C3 — Sekundarni:</w:t>
            </w:r>
            <w:r w:rsidRPr="004C1B16">
              <w:rPr>
                <w:rFonts w:cs="Calibri"/>
                <w:sz w:val="20"/>
                <w:szCs w:val="20"/>
                <w:lang w:val="sr-Latn-RS" w:eastAsia="en-US"/>
              </w:rPr>
              <w:t xml:space="preserve"> </w:t>
            </w:r>
          </w:p>
          <w:p w14:paraId="4DDC6F1B" w14:textId="77777777" w:rsidR="004C1B16" w:rsidRPr="004C1B16" w:rsidRDefault="004C1B16" w:rsidP="004C1B16">
            <w:pPr>
              <w:rPr>
                <w:sz w:val="20"/>
                <w:szCs w:val="20"/>
                <w:lang w:val="sr-Latn-RS"/>
              </w:rPr>
            </w:pPr>
            <w:r w:rsidRPr="004C1B16">
              <w:rPr>
                <w:sz w:val="20"/>
                <w:szCs w:val="20"/>
                <w:lang w:val="sr-Latn-RS"/>
              </w:rPr>
              <w:t>Količina otpada i mikro-otpada koje morske životinje unesu u organizam na nivou je koji nema štetan uticaj na zdravlje predmetne vrste. Države članice utvrđuju granične vrijednosti za te nivoe putem saradnje na nivou regije ili pod-regije.</w:t>
            </w:r>
          </w:p>
          <w:p w14:paraId="1C9F2F36" w14:textId="77777777" w:rsidR="004C1B16" w:rsidRPr="004C1B16" w:rsidRDefault="004C1B16" w:rsidP="004C1B16">
            <w:pPr>
              <w:spacing w:before="0" w:after="0" w:line="240" w:lineRule="auto"/>
              <w:rPr>
                <w:rFonts w:cs="Calibri"/>
                <w:b/>
                <w:sz w:val="20"/>
                <w:szCs w:val="20"/>
                <w:lang w:val="sr-Latn-RS" w:eastAsia="en-US"/>
              </w:rPr>
            </w:pPr>
          </w:p>
        </w:tc>
        <w:tc>
          <w:tcPr>
            <w:tcW w:w="1339" w:type="dxa"/>
            <w:tcBorders>
              <w:bottom w:val="single" w:sz="4" w:space="0" w:color="auto"/>
            </w:tcBorders>
          </w:tcPr>
          <w:p w14:paraId="21E2DA46" w14:textId="77777777" w:rsidR="004C1B16" w:rsidRPr="004C1B16" w:rsidRDefault="004C1B16" w:rsidP="004C1B16">
            <w:pPr>
              <w:spacing w:before="0" w:after="0" w:line="240" w:lineRule="auto"/>
              <w:rPr>
                <w:rFonts w:cs="Calibri"/>
                <w:sz w:val="20"/>
                <w:szCs w:val="20"/>
                <w:lang w:val="sr-Latn-RS" w:eastAsia="en-US"/>
              </w:rPr>
            </w:pPr>
            <w:r w:rsidRPr="004C1B16">
              <w:rPr>
                <w:rFonts w:cs="Calibri"/>
                <w:sz w:val="20"/>
                <w:szCs w:val="20"/>
                <w:lang w:val="sr-Latn-RS" w:eastAsia="en-US"/>
              </w:rPr>
              <w:t>Pokriveno djelimično</w:t>
            </w:r>
          </w:p>
        </w:tc>
      </w:tr>
      <w:tr w:rsidR="00432CCB" w:rsidRPr="004C1B16" w14:paraId="02032806" w14:textId="77777777" w:rsidTr="00432CCB">
        <w:tc>
          <w:tcPr>
            <w:tcW w:w="2689" w:type="dxa"/>
            <w:tcBorders>
              <w:bottom w:val="single" w:sz="4" w:space="0" w:color="auto"/>
            </w:tcBorders>
            <w:shd w:val="clear" w:color="auto" w:fill="365F91"/>
          </w:tcPr>
          <w:p w14:paraId="732DF4D6" w14:textId="32B698DC" w:rsidR="00432CCB" w:rsidRPr="004C1B16" w:rsidRDefault="00432CCB" w:rsidP="00432CCB">
            <w:pPr>
              <w:rPr>
                <w:sz w:val="20"/>
                <w:szCs w:val="20"/>
                <w:lang w:val="sr-Latn-RS"/>
              </w:rPr>
            </w:pPr>
            <w:r w:rsidRPr="00965760">
              <w:rPr>
                <w:rFonts w:cs="Calibri"/>
                <w:b/>
                <w:color w:val="FFFFFF" w:themeColor="background1"/>
                <w:sz w:val="20"/>
                <w:szCs w:val="20"/>
                <w:lang w:val="sr-Latn-RS" w:eastAsia="en-US"/>
              </w:rPr>
              <w:t>Elementi kriterijuma</w:t>
            </w:r>
          </w:p>
        </w:tc>
        <w:tc>
          <w:tcPr>
            <w:tcW w:w="4993" w:type="dxa"/>
            <w:tcBorders>
              <w:bottom w:val="single" w:sz="4" w:space="0" w:color="auto"/>
            </w:tcBorders>
            <w:shd w:val="clear" w:color="auto" w:fill="365F91"/>
          </w:tcPr>
          <w:p w14:paraId="2212FF33" w14:textId="77777777" w:rsidR="00432CCB" w:rsidRPr="00965760" w:rsidRDefault="00432CCB" w:rsidP="00432CCB">
            <w:pPr>
              <w:autoSpaceDE w:val="0"/>
              <w:autoSpaceDN w:val="0"/>
              <w:adjustRightInd w:val="0"/>
              <w:spacing w:before="0" w:after="0" w:line="240" w:lineRule="auto"/>
              <w:jc w:val="left"/>
              <w:rPr>
                <w:rFonts w:cs="Calibri"/>
                <w:b/>
                <w:color w:val="FFFFFF" w:themeColor="background1"/>
                <w:sz w:val="20"/>
                <w:szCs w:val="20"/>
                <w:lang w:val="sr-Latn-RS" w:eastAsia="en-US"/>
              </w:rPr>
            </w:pPr>
            <w:r w:rsidRPr="00965760">
              <w:rPr>
                <w:rFonts w:cs="Calibri"/>
                <w:b/>
                <w:color w:val="FFFFFF" w:themeColor="background1"/>
                <w:sz w:val="20"/>
                <w:szCs w:val="20"/>
                <w:lang w:val="sr-Latn-RS" w:eastAsia="en-US"/>
              </w:rPr>
              <w:t>Kriterijum</w:t>
            </w:r>
          </w:p>
          <w:p w14:paraId="4516ADA1" w14:textId="77777777" w:rsidR="00432CCB" w:rsidRPr="004C1B16" w:rsidRDefault="00432CCB" w:rsidP="00432CCB">
            <w:pPr>
              <w:autoSpaceDE w:val="0"/>
              <w:autoSpaceDN w:val="0"/>
              <w:adjustRightInd w:val="0"/>
              <w:spacing w:before="0" w:after="0" w:line="240" w:lineRule="auto"/>
              <w:rPr>
                <w:rFonts w:cs="Calibri"/>
                <w:b/>
                <w:sz w:val="20"/>
                <w:szCs w:val="20"/>
                <w:lang w:val="sr-Latn-RS" w:eastAsia="en-US"/>
              </w:rPr>
            </w:pPr>
          </w:p>
        </w:tc>
        <w:tc>
          <w:tcPr>
            <w:tcW w:w="1339" w:type="dxa"/>
            <w:tcBorders>
              <w:bottom w:val="single" w:sz="4" w:space="0" w:color="auto"/>
            </w:tcBorders>
            <w:shd w:val="clear" w:color="auto" w:fill="365F91"/>
          </w:tcPr>
          <w:p w14:paraId="120FC4F2" w14:textId="1B984AA0" w:rsidR="00432CCB" w:rsidRPr="004C1B16" w:rsidRDefault="00432CCB" w:rsidP="00432CCB">
            <w:pPr>
              <w:spacing w:before="0" w:after="0" w:line="240" w:lineRule="auto"/>
              <w:rPr>
                <w:rFonts w:cs="Calibri"/>
                <w:sz w:val="20"/>
                <w:szCs w:val="20"/>
                <w:lang w:val="sr-Latn-RS" w:eastAsia="en-US"/>
              </w:rPr>
            </w:pPr>
            <w:r w:rsidRPr="00965760">
              <w:rPr>
                <w:rFonts w:cs="Calibri"/>
                <w:b/>
                <w:color w:val="FFFFFF" w:themeColor="background1"/>
                <w:sz w:val="20"/>
                <w:szCs w:val="20"/>
                <w:lang w:val="sr-Latn-RS" w:eastAsia="en-US"/>
              </w:rPr>
              <w:t>CG GES pokrivenost</w:t>
            </w:r>
            <w:r w:rsidRPr="00965760">
              <w:rPr>
                <w:rFonts w:cs="Calibri"/>
                <w:b/>
                <w:color w:val="FFFFFF" w:themeColor="background1"/>
                <w:sz w:val="20"/>
                <w:szCs w:val="20"/>
                <w:vertAlign w:val="superscript"/>
                <w:lang w:val="sr-Latn-RS" w:eastAsia="en-US"/>
              </w:rPr>
              <w:footnoteReference w:id="51"/>
            </w:r>
          </w:p>
        </w:tc>
      </w:tr>
      <w:tr w:rsidR="004C1B16" w:rsidRPr="004C1B16" w14:paraId="13F65A73" w14:textId="77777777" w:rsidTr="00432CCB">
        <w:tc>
          <w:tcPr>
            <w:tcW w:w="2689" w:type="dxa"/>
            <w:tcBorders>
              <w:bottom w:val="single" w:sz="4" w:space="0" w:color="auto"/>
            </w:tcBorders>
          </w:tcPr>
          <w:p w14:paraId="22CD8D4C" w14:textId="77777777" w:rsidR="004C1B16" w:rsidRPr="004C1B16" w:rsidRDefault="004C1B16" w:rsidP="004C1B16">
            <w:pPr>
              <w:rPr>
                <w:sz w:val="20"/>
                <w:szCs w:val="20"/>
                <w:lang w:val="sr-Latn-RS"/>
              </w:rPr>
            </w:pPr>
            <w:r w:rsidRPr="004C1B16">
              <w:rPr>
                <w:sz w:val="20"/>
                <w:szCs w:val="20"/>
                <w:lang w:val="sr-Latn-RS"/>
              </w:rPr>
              <w:t>Vrste ptica, sisara, gmizavaca, riba ili beskičmenjaka koje ugrožava otpad u moru.</w:t>
            </w:r>
          </w:p>
          <w:p w14:paraId="42B257BA" w14:textId="77777777" w:rsidR="004C1B16" w:rsidRPr="004C1B16" w:rsidRDefault="004C1B16" w:rsidP="004C1B16">
            <w:pPr>
              <w:spacing w:before="0" w:after="0" w:line="240" w:lineRule="auto"/>
              <w:rPr>
                <w:rFonts w:cs="Calibri"/>
                <w:sz w:val="20"/>
                <w:szCs w:val="20"/>
                <w:lang w:val="sr-Latn-RS" w:eastAsia="en-US"/>
              </w:rPr>
            </w:pPr>
          </w:p>
        </w:tc>
        <w:tc>
          <w:tcPr>
            <w:tcW w:w="4993" w:type="dxa"/>
            <w:tcBorders>
              <w:bottom w:val="single" w:sz="4" w:space="0" w:color="auto"/>
            </w:tcBorders>
          </w:tcPr>
          <w:p w14:paraId="4EDC6079"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r w:rsidRPr="004C1B16">
              <w:rPr>
                <w:rFonts w:cs="Calibri"/>
                <w:b/>
                <w:sz w:val="20"/>
                <w:szCs w:val="20"/>
                <w:lang w:val="sr-Latn-RS" w:eastAsia="en-US"/>
              </w:rPr>
              <w:t>D10C4 — Sekundarni:</w:t>
            </w:r>
            <w:r w:rsidRPr="004C1B16">
              <w:rPr>
                <w:rFonts w:cs="Calibri"/>
                <w:sz w:val="20"/>
                <w:szCs w:val="20"/>
                <w:lang w:val="sr-Latn-RS" w:eastAsia="en-US"/>
              </w:rPr>
              <w:t xml:space="preserve"> </w:t>
            </w:r>
          </w:p>
          <w:p w14:paraId="776DDCFE" w14:textId="77777777" w:rsidR="004C1B16" w:rsidRPr="004C1B16" w:rsidRDefault="004C1B16" w:rsidP="004C1B16">
            <w:pPr>
              <w:rPr>
                <w:sz w:val="20"/>
                <w:szCs w:val="20"/>
                <w:lang w:val="sr-Latn-RS"/>
              </w:rPr>
            </w:pPr>
            <w:r w:rsidRPr="004C1B16">
              <w:rPr>
                <w:sz w:val="20"/>
                <w:szCs w:val="20"/>
                <w:lang w:val="sr-Latn-RS"/>
              </w:rPr>
              <w:t>Broj jedinki svake vrste koje su pretrpjele štetu zbog otpada, npr. zaplitanje, druge vrste povreda ili smrtnost, ili štetni uticaji otpada na zdravlje. Države članice utvrđuju granične vrijednosti za štetne uticaje otpada putem saradnje na nivou regije ili pod-regije.</w:t>
            </w:r>
          </w:p>
        </w:tc>
        <w:tc>
          <w:tcPr>
            <w:tcW w:w="1339" w:type="dxa"/>
            <w:tcBorders>
              <w:bottom w:val="single" w:sz="4" w:space="0" w:color="auto"/>
            </w:tcBorders>
          </w:tcPr>
          <w:p w14:paraId="4CC3F0B6" w14:textId="77777777" w:rsidR="004C1B16" w:rsidRPr="004C1B16" w:rsidRDefault="004C1B16" w:rsidP="004C1B16">
            <w:pPr>
              <w:spacing w:before="0" w:after="0" w:line="240" w:lineRule="auto"/>
              <w:rPr>
                <w:rFonts w:cs="Calibri"/>
                <w:sz w:val="20"/>
                <w:szCs w:val="20"/>
                <w:lang w:val="sr-Latn-RS" w:eastAsia="en-US"/>
              </w:rPr>
            </w:pPr>
            <w:r w:rsidRPr="004C1B16">
              <w:rPr>
                <w:rFonts w:cs="Calibri"/>
                <w:sz w:val="20"/>
                <w:szCs w:val="20"/>
                <w:lang w:val="sr-Latn-RS" w:eastAsia="en-US"/>
              </w:rPr>
              <w:t>Nije pokriveno</w:t>
            </w:r>
          </w:p>
        </w:tc>
      </w:tr>
    </w:tbl>
    <w:p w14:paraId="6CF8A991" w14:textId="77777777" w:rsidR="004C1B16" w:rsidRPr="004C1B16" w:rsidRDefault="004C1B16" w:rsidP="004C1B16">
      <w:pPr>
        <w:rPr>
          <w:rFonts w:cs="Calibri"/>
          <w:sz w:val="20"/>
          <w:szCs w:val="20"/>
          <w:lang w:val="sr-Latn-RS" w:eastAsia="en-US"/>
        </w:rPr>
      </w:pPr>
      <w:bookmarkStart w:id="273" w:name="_Toc69678404"/>
    </w:p>
    <w:p w14:paraId="1A8E1DEF" w14:textId="31FC5875" w:rsidR="004C1B16" w:rsidRPr="004C1B16" w:rsidRDefault="00CF7E4B" w:rsidP="00965760">
      <w:pPr>
        <w:pStyle w:val="Heading3"/>
        <w:ind w:left="1701" w:hanging="708"/>
        <w:rPr>
          <w:lang w:val="sr-Latn-RS" w:eastAsia="en-US"/>
        </w:rPr>
      </w:pPr>
      <w:bookmarkStart w:id="274" w:name="_Toc83630954"/>
      <w:r>
        <w:rPr>
          <w:lang w:val="sr-Latn-RS" w:eastAsia="en-US"/>
        </w:rPr>
        <w:t xml:space="preserve">Rezime stanja </w:t>
      </w:r>
      <w:r w:rsidR="00C42B0B">
        <w:rPr>
          <w:lang w:val="sr-Latn-RS" w:eastAsia="en-US"/>
        </w:rPr>
        <w:t xml:space="preserve">D10 na osnovu </w:t>
      </w:r>
      <w:r>
        <w:rPr>
          <w:lang w:val="sr-Latn-RS" w:eastAsia="en-US"/>
        </w:rPr>
        <w:t>Početne procjene</w:t>
      </w:r>
      <w:bookmarkEnd w:id="273"/>
      <w:bookmarkEnd w:id="274"/>
    </w:p>
    <w:p w14:paraId="591F0FD9" w14:textId="77777777" w:rsidR="004C1B16" w:rsidRPr="004C1B16" w:rsidRDefault="004C1B16" w:rsidP="004C1B16">
      <w:pPr>
        <w:spacing w:before="0" w:after="0"/>
        <w:jc w:val="left"/>
        <w:rPr>
          <w:rFonts w:eastAsia="Calibri" w:cs="Calibri"/>
          <w:b/>
          <w:szCs w:val="22"/>
          <w:lang w:val="sr-Latn-RS" w:eastAsia="en-US"/>
        </w:rPr>
      </w:pPr>
      <w:r w:rsidRPr="004C1B16">
        <w:rPr>
          <w:rFonts w:eastAsia="Calibri" w:cs="Calibri"/>
          <w:b/>
          <w:szCs w:val="22"/>
          <w:lang w:val="sr-Latn-RS" w:eastAsia="en-US"/>
        </w:rPr>
        <w:t>D10C1 — Primarni kriterijum: Sastav, količina i prostorna distribucija otpada na obalnoj liniji, u površinskom sloju vodenog stuba i na morskom dnu</w:t>
      </w:r>
    </w:p>
    <w:p w14:paraId="17AFD040" w14:textId="77777777" w:rsidR="004C1B16" w:rsidRPr="004C1B16" w:rsidRDefault="004C1B16" w:rsidP="004C1B16">
      <w:pPr>
        <w:spacing w:before="0" w:after="0"/>
        <w:jc w:val="left"/>
        <w:rPr>
          <w:rFonts w:eastAsia="Calibri" w:cs="Calibri"/>
          <w:b/>
          <w:szCs w:val="22"/>
          <w:lang w:val="sr-Latn-RS" w:eastAsia="en-US"/>
        </w:rPr>
      </w:pPr>
    </w:p>
    <w:p w14:paraId="4ED4E79D" w14:textId="77777777" w:rsidR="004C1B16" w:rsidRPr="004C1B16" w:rsidRDefault="004C1B16" w:rsidP="004C1B16">
      <w:pPr>
        <w:spacing w:before="0" w:after="0"/>
        <w:jc w:val="left"/>
        <w:rPr>
          <w:rFonts w:eastAsia="Calibri" w:cs="Calibri"/>
          <w:bCs/>
          <w:szCs w:val="22"/>
          <w:lang w:val="sr-Latn-RS" w:eastAsia="en-US"/>
        </w:rPr>
      </w:pPr>
      <w:r w:rsidRPr="004C1B16">
        <w:rPr>
          <w:rFonts w:eastAsia="Calibri" w:cs="Calibri"/>
          <w:bCs/>
          <w:szCs w:val="22"/>
          <w:lang w:val="sr-Latn-RS" w:eastAsia="en-US"/>
        </w:rPr>
        <w:t>U skladu sa 2017/848/EC za procjenu GES-a morske sredine u crnogorskim vodama korišćeni su sledeći podaci:</w:t>
      </w:r>
    </w:p>
    <w:p w14:paraId="58C64CFF" w14:textId="77777777" w:rsidR="004C1B16" w:rsidRPr="004C1B16" w:rsidRDefault="004C1B16" w:rsidP="004C1B16">
      <w:pPr>
        <w:spacing w:before="0" w:after="0"/>
        <w:jc w:val="left"/>
        <w:rPr>
          <w:rFonts w:eastAsia="Calibri" w:cs="Calibri"/>
          <w:bCs/>
          <w:szCs w:val="22"/>
          <w:lang w:val="sr-Latn-RS" w:eastAsia="en-US"/>
        </w:rPr>
      </w:pPr>
    </w:p>
    <w:p w14:paraId="4A84C01B" w14:textId="41994277" w:rsidR="004C1B16" w:rsidRPr="00432CCB" w:rsidRDefault="004C1B16" w:rsidP="00432CCB">
      <w:pPr>
        <w:pStyle w:val="ListParagraph"/>
        <w:numPr>
          <w:ilvl w:val="0"/>
          <w:numId w:val="79"/>
        </w:numPr>
        <w:spacing w:before="0" w:after="0"/>
        <w:rPr>
          <w:rFonts w:eastAsia="Calibri" w:cs="Calibri"/>
          <w:bCs/>
          <w:szCs w:val="22"/>
          <w:lang w:val="sr-Latn-RS" w:eastAsia="en-US"/>
        </w:rPr>
      </w:pPr>
      <w:r w:rsidRPr="00432CCB">
        <w:rPr>
          <w:rFonts w:eastAsia="Calibri" w:cs="Calibri"/>
          <w:bCs/>
          <w:szCs w:val="22"/>
          <w:lang w:val="sr-Latn-RS" w:eastAsia="en-US"/>
        </w:rPr>
        <w:t>Raspoloživi podaci za otpad na plažama (na području Bokokotorskog zaliva i otvorenog mora crnogorskog primorja), prikupljeni su kroz sledeće projekte: IPA Adriatic DeFishGear projekat, UNEP/MAP projekat „Usvojimo plažu“, IPA Adriatic WELCOME projekta i IPA projekta „Podrška sprovođenju i praćenju upravljanja vodama u Crnoj Gori “.</w:t>
      </w:r>
    </w:p>
    <w:p w14:paraId="61CAB41B" w14:textId="70C89722" w:rsidR="004C1B16" w:rsidRPr="00432CCB" w:rsidRDefault="004C1B16" w:rsidP="00432CCB">
      <w:pPr>
        <w:pStyle w:val="ListParagraph"/>
        <w:numPr>
          <w:ilvl w:val="0"/>
          <w:numId w:val="79"/>
        </w:numPr>
        <w:spacing w:before="0" w:after="0"/>
        <w:rPr>
          <w:rFonts w:eastAsia="Calibri" w:cs="Calibri"/>
          <w:bCs/>
          <w:szCs w:val="22"/>
          <w:lang w:val="sr-Latn-RS" w:eastAsia="en-US"/>
        </w:rPr>
      </w:pPr>
      <w:r w:rsidRPr="00432CCB">
        <w:rPr>
          <w:rFonts w:eastAsia="Calibri" w:cs="Calibri"/>
          <w:bCs/>
          <w:szCs w:val="22"/>
          <w:lang w:val="sr-Latn-RS" w:eastAsia="en-US"/>
        </w:rPr>
        <w:t>Otpad na morskom dnu (za područje Bokokotorskog zaliva i otvorenog mora), podaci su prikupljeni kroz IPA Adriatic DeFishGear projekat, MEDITS istraživanja (kao i nacionalni program praćenja ribarstvenih resursa) i IPA projekat „Podrška sprovođenju i praćenju upravljanja vodama u Crnoj Gori ”.</w:t>
      </w:r>
    </w:p>
    <w:p w14:paraId="386C6A04" w14:textId="2FF23014" w:rsidR="004C1B16" w:rsidRPr="00432CCB" w:rsidRDefault="004C1B16" w:rsidP="00432CCB">
      <w:pPr>
        <w:pStyle w:val="ListParagraph"/>
        <w:numPr>
          <w:ilvl w:val="0"/>
          <w:numId w:val="79"/>
        </w:numPr>
        <w:spacing w:before="0" w:after="0"/>
        <w:rPr>
          <w:rFonts w:eastAsia="Calibri" w:cs="Calibri"/>
          <w:bCs/>
          <w:szCs w:val="22"/>
          <w:lang w:val="sr-Latn-RS" w:eastAsia="en-US"/>
        </w:rPr>
      </w:pPr>
      <w:r w:rsidRPr="00432CCB">
        <w:rPr>
          <w:rFonts w:eastAsia="Calibri" w:cs="Calibri"/>
          <w:bCs/>
          <w:szCs w:val="22"/>
          <w:lang w:val="sr-Latn-RS" w:eastAsia="en-US"/>
        </w:rPr>
        <w:t>Plutajući otpad (za područje Bokokotorskog zaliva), podaci su prikupljeni kroz IPA Adriatic DeFishGear projekat i IPA projekat „Podrška sprovođenju i praćenju upravljanja vodama u Crnoj Gori”.</w:t>
      </w:r>
    </w:p>
    <w:p w14:paraId="322BFF1C" w14:textId="77777777" w:rsidR="004C1B16" w:rsidRPr="004C1B16" w:rsidRDefault="004C1B16" w:rsidP="004C1B16">
      <w:pPr>
        <w:spacing w:before="0" w:after="0"/>
        <w:rPr>
          <w:rFonts w:eastAsia="Calibri" w:cs="Calibri"/>
          <w:b/>
          <w:szCs w:val="22"/>
          <w:lang w:val="sr-Latn-RS" w:eastAsia="en-US"/>
        </w:rPr>
      </w:pPr>
    </w:p>
    <w:p w14:paraId="5CE69EFA" w14:textId="77777777" w:rsidR="004C1B16" w:rsidRPr="004C1B16" w:rsidRDefault="004C1B16" w:rsidP="00432CCB">
      <w:pPr>
        <w:spacing w:before="0" w:after="120"/>
        <w:rPr>
          <w:rFonts w:eastAsia="Calibri" w:cs="Calibri"/>
          <w:bCs/>
          <w:szCs w:val="22"/>
          <w:lang w:val="sr-Latn-RS" w:eastAsia="en-US"/>
        </w:rPr>
      </w:pPr>
      <w:r w:rsidRPr="004C1B16">
        <w:rPr>
          <w:rFonts w:eastAsia="Calibri" w:cs="Calibri"/>
          <w:bCs/>
          <w:szCs w:val="22"/>
          <w:lang w:val="sr-Latn-RS" w:eastAsia="en-US"/>
        </w:rPr>
        <w:t>Nivo zagađenja otpadom u moru može se smatrati problematičnim u svim područjima gdje postoje sistemska istraživanja količine otpada na plažama i na morskom dnu. Postoji samo ograničeno istraživanje makro-otpada u bioti (želudcima riba) koje je sprovedeno jednokratno, dok nema podataka o mikro-otpadu u vodenom stubu.</w:t>
      </w:r>
    </w:p>
    <w:p w14:paraId="166DB371" w14:textId="77777777" w:rsidR="004C1B16" w:rsidRPr="004C1B16" w:rsidRDefault="004C1B16" w:rsidP="00432CCB">
      <w:pPr>
        <w:spacing w:before="0" w:after="120"/>
        <w:rPr>
          <w:rFonts w:eastAsia="Calibri" w:cs="Calibri"/>
          <w:bCs/>
          <w:szCs w:val="22"/>
          <w:lang w:val="sr-Latn-RS" w:eastAsia="en-US"/>
        </w:rPr>
      </w:pPr>
      <w:r w:rsidRPr="004C1B16">
        <w:rPr>
          <w:rFonts w:eastAsia="Calibri" w:cs="Calibri"/>
          <w:bCs/>
          <w:szCs w:val="22"/>
          <w:lang w:val="sr-Latn-RS" w:eastAsia="en-US"/>
        </w:rPr>
        <w:t>Rezultati su pokazali da se otpad akumulira u određenim područjima kao rezultat dejstva vjetrova i morskih strujanja, posebno na otvorenom moru.</w:t>
      </w:r>
    </w:p>
    <w:p w14:paraId="0989A8A2" w14:textId="77777777" w:rsidR="004C1B16" w:rsidRPr="004C1B16" w:rsidRDefault="004C1B16" w:rsidP="00432CCB">
      <w:pPr>
        <w:spacing w:before="0" w:after="120"/>
        <w:rPr>
          <w:rFonts w:eastAsia="Calibri" w:cs="Calibri"/>
          <w:bCs/>
          <w:szCs w:val="22"/>
          <w:lang w:val="sr-Latn-RS" w:eastAsia="en-US"/>
        </w:rPr>
      </w:pPr>
      <w:r w:rsidRPr="004C1B16">
        <w:rPr>
          <w:rFonts w:eastAsia="Calibri" w:cs="Calibri"/>
          <w:bCs/>
          <w:szCs w:val="22"/>
          <w:lang w:val="sr-Latn-RS" w:eastAsia="en-US"/>
        </w:rPr>
        <w:t xml:space="preserve">Rezultati količine otpada na plažama pokazali su veće zagađenje na plažama na području Bokokotorskog zaliva, koje nije pod uticajem otvorenog mora. Prosječna vrijednost otpada na plažama za sve ispitivane sezone i godine pokazala je abundancu od </w:t>
      </w:r>
      <w:r w:rsidRPr="004C1B16">
        <w:rPr>
          <w:rFonts w:eastAsia="Calibri" w:cs="Calibri"/>
          <w:b/>
          <w:szCs w:val="22"/>
          <w:lang w:val="sr-Latn-RS" w:eastAsia="en-US"/>
        </w:rPr>
        <w:t>492,22 komada na 100 m transekta plaže</w:t>
      </w:r>
      <w:r w:rsidRPr="004C1B16">
        <w:rPr>
          <w:rFonts w:eastAsia="Calibri" w:cs="Calibri"/>
          <w:bCs/>
          <w:szCs w:val="22"/>
          <w:lang w:val="sr-Latn-RS" w:eastAsia="en-US"/>
        </w:rPr>
        <w:t>. Najdominantnija kategorija otpada na plažama su vještački polimerni materijali, sa udjelom između 62,83-90,6% za sve ispitivane plaže i sve analizirane sezone.</w:t>
      </w:r>
    </w:p>
    <w:p w14:paraId="687F5C2E" w14:textId="3BC0137B" w:rsidR="004C1B16" w:rsidRPr="004C1B16" w:rsidRDefault="004C1B16" w:rsidP="00432CCB">
      <w:pPr>
        <w:spacing w:before="0" w:after="120"/>
        <w:rPr>
          <w:rFonts w:eastAsia="Calibri" w:cs="Calibri"/>
          <w:bCs/>
          <w:szCs w:val="22"/>
          <w:lang w:val="sr-Latn-RS" w:eastAsia="en-US"/>
        </w:rPr>
      </w:pPr>
      <w:r w:rsidRPr="004C1B16">
        <w:rPr>
          <w:rFonts w:eastAsia="Calibri" w:cs="Calibri"/>
          <w:bCs/>
          <w:szCs w:val="22"/>
          <w:lang w:val="sr-Latn-RS" w:eastAsia="en-US"/>
        </w:rPr>
        <w:t>Rezultati su takođe pokazali rastući trend brojnosti otpada na području Bokokotorskog zaliva tokom godina, dok na otvorenom dijelu crnogorske obale količina otpada ima opadajući trend.</w:t>
      </w:r>
    </w:p>
    <w:p w14:paraId="790040CD" w14:textId="77777777" w:rsidR="004C1B16" w:rsidRPr="004C1B16" w:rsidRDefault="004C1B16" w:rsidP="00432CCB">
      <w:pPr>
        <w:spacing w:before="0" w:after="120"/>
        <w:rPr>
          <w:rFonts w:eastAsia="Calibri" w:cs="Calibri"/>
          <w:bCs/>
          <w:szCs w:val="22"/>
          <w:lang w:val="sr-Latn-RS" w:eastAsia="en-US"/>
        </w:rPr>
      </w:pPr>
      <w:r w:rsidRPr="004C1B16">
        <w:rPr>
          <w:rFonts w:eastAsia="Calibri" w:cs="Calibri"/>
          <w:bCs/>
          <w:szCs w:val="22"/>
          <w:lang w:val="sr-Latn-RS" w:eastAsia="en-US"/>
        </w:rPr>
        <w:t xml:space="preserve">Rezultati monitoringa plutajućeg otpada pokazali su da je prosječna vrijednost za sve istraživane sezone </w:t>
      </w:r>
      <w:r w:rsidRPr="004C1B16">
        <w:rPr>
          <w:rFonts w:eastAsia="Calibri" w:cs="Calibri"/>
          <w:b/>
          <w:szCs w:val="22"/>
          <w:lang w:val="sr-Latn-RS" w:eastAsia="en-US"/>
        </w:rPr>
        <w:t>122,65 komada/km</w:t>
      </w:r>
      <w:r w:rsidRPr="004C1B16">
        <w:rPr>
          <w:rFonts w:eastAsia="Calibri" w:cs="Calibri"/>
          <w:b/>
          <w:szCs w:val="22"/>
          <w:vertAlign w:val="superscript"/>
          <w:lang w:val="sr-Latn-RS" w:eastAsia="en-US"/>
        </w:rPr>
        <w:t>2</w:t>
      </w:r>
      <w:r w:rsidRPr="004C1B16">
        <w:rPr>
          <w:rFonts w:eastAsia="Calibri" w:cs="Calibri"/>
          <w:bCs/>
          <w:szCs w:val="22"/>
          <w:lang w:val="sr-Latn-RS" w:eastAsia="en-US"/>
        </w:rPr>
        <w:t>. Vještački polimerni materijali predstavljali su dominantnu kategoriju plutajućeg otpada, sa udjelom većim od 80% na svim istraživanim transektima.</w:t>
      </w:r>
    </w:p>
    <w:p w14:paraId="19C2F9F4" w14:textId="77777777" w:rsidR="004C1B16" w:rsidRPr="004C1B16" w:rsidRDefault="004C1B16" w:rsidP="00432CCB">
      <w:pPr>
        <w:spacing w:before="0" w:after="120"/>
        <w:rPr>
          <w:rFonts w:eastAsia="Calibri" w:cs="Calibri"/>
          <w:bCs/>
          <w:szCs w:val="22"/>
          <w:lang w:val="sr-Latn-RS" w:eastAsia="en-US"/>
        </w:rPr>
      </w:pPr>
      <w:r w:rsidRPr="004C1B16">
        <w:rPr>
          <w:rFonts w:eastAsia="Calibri" w:cs="Calibri"/>
          <w:bCs/>
          <w:szCs w:val="22"/>
          <w:lang w:val="sr-Latn-RS" w:eastAsia="en-US"/>
        </w:rPr>
        <w:t xml:space="preserve">Zagađenje morskog dna otpadom na području Bokokotorskog zaliva i otvorenog mora pokazalo je zabrinjavajuću situaciju. Prosječna abundanca otpada procjenjena metodologijom autonomnog ronjenja pokazala je brojnost od </w:t>
      </w:r>
      <w:r w:rsidRPr="004C1B16">
        <w:rPr>
          <w:rFonts w:eastAsia="Calibri" w:cs="Calibri"/>
          <w:b/>
          <w:szCs w:val="22"/>
          <w:lang w:val="sr-Latn-RS" w:eastAsia="en-US"/>
        </w:rPr>
        <w:t>21,42 komada/100 m</w:t>
      </w:r>
      <w:r w:rsidRPr="004C1B16">
        <w:rPr>
          <w:rFonts w:eastAsia="Calibri" w:cs="Calibri"/>
          <w:bCs/>
          <w:szCs w:val="22"/>
          <w:lang w:val="sr-Latn-RS" w:eastAsia="en-US"/>
        </w:rPr>
        <w:t xml:space="preserve">, dok je prosječna abundanca otpada na morskom dnu procjenjena tokom MEDITS istraživanja iznosila </w:t>
      </w:r>
      <w:r w:rsidRPr="004C1B16">
        <w:rPr>
          <w:rFonts w:eastAsia="Calibri" w:cs="Calibri"/>
          <w:b/>
          <w:szCs w:val="22"/>
          <w:lang w:val="sr-Latn-RS" w:eastAsia="en-US"/>
        </w:rPr>
        <w:t>260,67 komada/km</w:t>
      </w:r>
      <w:r w:rsidRPr="004C1B16">
        <w:rPr>
          <w:rFonts w:eastAsia="Calibri" w:cs="Calibri"/>
          <w:b/>
          <w:szCs w:val="22"/>
          <w:vertAlign w:val="superscript"/>
          <w:lang w:val="sr-Latn-RS" w:eastAsia="en-US"/>
        </w:rPr>
        <w:t>2</w:t>
      </w:r>
      <w:r w:rsidRPr="004C1B16">
        <w:rPr>
          <w:rFonts w:eastAsia="Calibri" w:cs="Calibri"/>
          <w:bCs/>
          <w:szCs w:val="22"/>
          <w:lang w:val="sr-Latn-RS" w:eastAsia="en-US"/>
        </w:rPr>
        <w:t>. Procentualni udio po kategorijama otpada ukazuje na najveće zagađenje vještačkim polimernim materijalima (plastikom), čiji je prosječni procentualni udio iznosio 82,92%.</w:t>
      </w:r>
    </w:p>
    <w:p w14:paraId="67FBB452" w14:textId="77777777" w:rsidR="004C1B16" w:rsidRPr="004C1B16" w:rsidRDefault="004C1B16" w:rsidP="00432CCB">
      <w:pPr>
        <w:spacing w:before="0" w:after="120"/>
        <w:rPr>
          <w:rFonts w:eastAsia="Calibri" w:cs="Calibri"/>
          <w:bCs/>
          <w:szCs w:val="22"/>
          <w:lang w:val="sr-Latn-RS" w:eastAsia="en-US"/>
        </w:rPr>
      </w:pPr>
      <w:r w:rsidRPr="004C1B16">
        <w:rPr>
          <w:rFonts w:eastAsia="Calibri" w:cs="Calibri"/>
          <w:bCs/>
          <w:szCs w:val="22"/>
          <w:lang w:val="sr-Latn-RS" w:eastAsia="en-US"/>
        </w:rPr>
        <w:t xml:space="preserve">S obzirom na to da podaci o makroplastici u bioti postoje samo za jedan period istraživanja (2014/2015), nije moguće procijeniti pravo stanje ribljih populacija u odnosu na zagađenje makro-plastikom, jer je neophodna serija podataka kako bi se utvrdila srednja vrijednost i stepen zagađenja. Međutim, postojeći podaci pokazuju da su sve analizirane vrste riba imale otpad u crijevima; posebno pelagične i mezopelagične vrste - S. </w:t>
      </w:r>
      <w:r w:rsidRPr="004C1B16">
        <w:rPr>
          <w:rFonts w:eastAsia="Calibri" w:cs="Calibri"/>
          <w:bCs/>
          <w:i/>
          <w:iCs/>
          <w:szCs w:val="22"/>
          <w:lang w:val="sr-Latn-RS" w:eastAsia="en-US"/>
        </w:rPr>
        <w:t>pilchardus</w:t>
      </w:r>
      <w:r w:rsidRPr="004C1B16">
        <w:rPr>
          <w:rFonts w:eastAsia="Calibri" w:cs="Calibri"/>
          <w:bCs/>
          <w:szCs w:val="22"/>
          <w:lang w:val="sr-Latn-RS" w:eastAsia="en-US"/>
        </w:rPr>
        <w:t xml:space="preserve">, </w:t>
      </w:r>
      <w:r w:rsidRPr="004C1B16">
        <w:rPr>
          <w:rFonts w:eastAsia="Calibri" w:cs="Calibri"/>
          <w:bCs/>
          <w:i/>
          <w:iCs/>
          <w:szCs w:val="22"/>
          <w:lang w:val="sr-Latn-RS" w:eastAsia="en-US"/>
        </w:rPr>
        <w:t>S. japonicus</w:t>
      </w:r>
      <w:r w:rsidRPr="004C1B16">
        <w:rPr>
          <w:rFonts w:eastAsia="Calibri" w:cs="Calibri"/>
          <w:bCs/>
          <w:szCs w:val="22"/>
          <w:lang w:val="sr-Latn-RS" w:eastAsia="en-US"/>
        </w:rPr>
        <w:t xml:space="preserve"> i </w:t>
      </w:r>
      <w:r w:rsidRPr="004C1B16">
        <w:rPr>
          <w:rFonts w:eastAsia="Calibri" w:cs="Calibri"/>
          <w:bCs/>
          <w:i/>
          <w:iCs/>
          <w:szCs w:val="22"/>
          <w:lang w:val="sr-Latn-RS" w:eastAsia="en-US"/>
        </w:rPr>
        <w:t>T. trachurus</w:t>
      </w:r>
      <w:r w:rsidRPr="004C1B16">
        <w:rPr>
          <w:rFonts w:eastAsia="Calibri" w:cs="Calibri"/>
          <w:bCs/>
          <w:szCs w:val="22"/>
          <w:lang w:val="sr-Latn-RS" w:eastAsia="en-US"/>
        </w:rPr>
        <w:t xml:space="preserve"> sa prilično velikom zastupljenošću otpada (50%, 43% i 24%, respektivno), što ukazuje na prilično zabrinjavajuće stanje.</w:t>
      </w:r>
    </w:p>
    <w:p w14:paraId="3E418DD9" w14:textId="77777777" w:rsidR="004C1B16" w:rsidRPr="004C1B16" w:rsidRDefault="004C1B16" w:rsidP="00432CCB">
      <w:pPr>
        <w:spacing w:before="0" w:after="120"/>
        <w:rPr>
          <w:rFonts w:eastAsia="Calibri" w:cs="Calibri"/>
          <w:bCs/>
          <w:szCs w:val="22"/>
          <w:lang w:val="sr-Latn-RS" w:eastAsia="en-US"/>
        </w:rPr>
      </w:pPr>
      <w:r w:rsidRPr="004C1B16">
        <w:rPr>
          <w:rFonts w:eastAsia="Calibri" w:cs="Calibri"/>
          <w:bCs/>
          <w:szCs w:val="22"/>
          <w:lang w:val="sr-Latn-RS" w:eastAsia="en-US"/>
        </w:rPr>
        <w:t>Rezimiranjem svih dostupnih podataka o količini otpada u moru za različite dijelove morskog ekosistema, koji su prikupljeni tokom različitih sezona i programa praćenja, dobijene su prosječne vrijednosti količine otpada u moru koje su prikazane u sledećoj tabeli (Tabela 2.44)</w:t>
      </w:r>
    </w:p>
    <w:p w14:paraId="26DBAA93" w14:textId="77777777" w:rsidR="004C1B16" w:rsidRPr="004C1B16" w:rsidRDefault="004C1B16" w:rsidP="004C1B16">
      <w:pPr>
        <w:spacing w:before="0" w:after="0"/>
        <w:rPr>
          <w:rFonts w:cs="Calibri"/>
          <w:color w:val="000000"/>
          <w:szCs w:val="22"/>
          <w:shd w:val="clear" w:color="auto" w:fill="FFFFFF"/>
          <w:lang w:val="sr-Latn-RS" w:eastAsia="en-GB"/>
        </w:rPr>
      </w:pPr>
    </w:p>
    <w:p w14:paraId="542BA3C4" w14:textId="77777777" w:rsidR="004C1B16" w:rsidRPr="004C1B16" w:rsidRDefault="004C1B16" w:rsidP="004C1B16">
      <w:pPr>
        <w:spacing w:before="0" w:after="0"/>
        <w:jc w:val="center"/>
        <w:rPr>
          <w:rFonts w:eastAsia="Calibri" w:cs="Calibri"/>
          <w:b/>
          <w:szCs w:val="22"/>
          <w:lang w:val="sr-Latn-RS" w:eastAsia="en-US"/>
        </w:rPr>
      </w:pPr>
      <w:bookmarkStart w:id="275" w:name="_Toc83643190"/>
      <w:r w:rsidRPr="004C1B16">
        <w:rPr>
          <w:rFonts w:cs="Calibri"/>
          <w:b/>
          <w:szCs w:val="22"/>
          <w:lang w:val="sr-Latn-RS" w:eastAsia="en-US"/>
        </w:rPr>
        <w:t xml:space="preserve">Tabela </w:t>
      </w:r>
      <w:r w:rsidRPr="004C1B16">
        <w:rPr>
          <w:rFonts w:cs="Calibri"/>
          <w:b/>
          <w:szCs w:val="22"/>
          <w:lang w:val="sr-Latn-RS"/>
        </w:rPr>
        <w:fldChar w:fldCharType="begin"/>
      </w:r>
      <w:r w:rsidRPr="004C1B16">
        <w:rPr>
          <w:rFonts w:cs="Calibri"/>
          <w:b/>
          <w:szCs w:val="22"/>
          <w:lang w:val="sr-Latn-RS"/>
        </w:rPr>
        <w:instrText xml:space="preserve"> STYLEREF 1 \s </w:instrText>
      </w:r>
      <w:r w:rsidRPr="004C1B16">
        <w:rPr>
          <w:rFonts w:cs="Calibri"/>
          <w:b/>
          <w:szCs w:val="22"/>
          <w:lang w:val="sr-Latn-RS"/>
        </w:rPr>
        <w:fldChar w:fldCharType="separate"/>
      </w:r>
      <w:r w:rsidR="000D1E20">
        <w:rPr>
          <w:rFonts w:cs="Calibri"/>
          <w:b/>
          <w:noProof/>
          <w:szCs w:val="22"/>
          <w:lang w:val="sr-Latn-RS"/>
        </w:rPr>
        <w:t>2</w:t>
      </w:r>
      <w:r w:rsidRPr="004C1B16">
        <w:rPr>
          <w:rFonts w:cs="Calibri"/>
          <w:b/>
          <w:szCs w:val="22"/>
          <w:lang w:val="sr-Latn-RS"/>
        </w:rPr>
        <w:fldChar w:fldCharType="end"/>
      </w:r>
      <w:r w:rsidRPr="004C1B16">
        <w:rPr>
          <w:rFonts w:cs="Calibri"/>
          <w:b/>
          <w:szCs w:val="22"/>
          <w:lang w:val="sr-Latn-RS"/>
        </w:rPr>
        <w:t>.</w:t>
      </w:r>
      <w:r w:rsidRPr="004C1B16">
        <w:rPr>
          <w:rFonts w:cs="Calibri"/>
          <w:b/>
          <w:szCs w:val="22"/>
          <w:lang w:val="sr-Latn-RS"/>
        </w:rPr>
        <w:fldChar w:fldCharType="begin"/>
      </w:r>
      <w:r w:rsidRPr="004C1B16">
        <w:rPr>
          <w:rFonts w:cs="Calibri"/>
          <w:b/>
          <w:szCs w:val="22"/>
          <w:lang w:val="sr-Latn-RS"/>
        </w:rPr>
        <w:instrText xml:space="preserve"> SEQ Table \* ARABIC \s 1 </w:instrText>
      </w:r>
      <w:r w:rsidRPr="004C1B16">
        <w:rPr>
          <w:rFonts w:cs="Calibri"/>
          <w:b/>
          <w:szCs w:val="22"/>
          <w:lang w:val="sr-Latn-RS"/>
        </w:rPr>
        <w:fldChar w:fldCharType="separate"/>
      </w:r>
      <w:r w:rsidR="000D1E20">
        <w:rPr>
          <w:rFonts w:cs="Calibri"/>
          <w:b/>
          <w:noProof/>
          <w:szCs w:val="22"/>
          <w:lang w:val="sr-Latn-RS"/>
        </w:rPr>
        <w:t>32</w:t>
      </w:r>
      <w:r w:rsidRPr="004C1B16">
        <w:rPr>
          <w:rFonts w:cs="Calibri"/>
          <w:b/>
          <w:szCs w:val="22"/>
          <w:lang w:val="sr-Latn-RS"/>
        </w:rPr>
        <w:fldChar w:fldCharType="end"/>
      </w:r>
      <w:r w:rsidRPr="004C1B16">
        <w:rPr>
          <w:rFonts w:cs="Calibri"/>
          <w:b/>
          <w:szCs w:val="22"/>
          <w:lang w:val="sr-Latn-RS"/>
        </w:rPr>
        <w:t>.</w:t>
      </w:r>
      <w:r w:rsidRPr="004C1B16">
        <w:rPr>
          <w:rFonts w:eastAsia="Calibri" w:cs="Calibri"/>
          <w:b/>
          <w:szCs w:val="22"/>
          <w:lang w:val="sr-Latn-RS" w:eastAsia="en-US"/>
        </w:rPr>
        <w:t xml:space="preserve"> Srednje vrijednosti otpada u moru u različitim odjeljcima morskog ekosistema</w:t>
      </w:r>
      <w:bookmarkEnd w:id="275"/>
    </w:p>
    <w:tbl>
      <w:tblPr>
        <w:tblStyle w:val="TableGrid27"/>
        <w:tblW w:w="0" w:type="auto"/>
        <w:jc w:val="center"/>
        <w:tblLook w:val="04A0" w:firstRow="1" w:lastRow="0" w:firstColumn="1" w:lastColumn="0" w:noHBand="0" w:noVBand="1"/>
      </w:tblPr>
      <w:tblGrid>
        <w:gridCol w:w="3005"/>
        <w:gridCol w:w="2660"/>
        <w:gridCol w:w="2127"/>
      </w:tblGrid>
      <w:tr w:rsidR="004C1B16" w:rsidRPr="004C1B16" w14:paraId="029371C1" w14:textId="77777777" w:rsidTr="00C42B0B">
        <w:trPr>
          <w:jc w:val="center"/>
        </w:trPr>
        <w:tc>
          <w:tcPr>
            <w:tcW w:w="3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2936724B" w14:textId="77777777" w:rsidR="004C1B16" w:rsidRPr="00EA7353" w:rsidRDefault="004C1B16" w:rsidP="004C1B16">
            <w:pPr>
              <w:spacing w:before="0" w:after="0"/>
              <w:rPr>
                <w:rFonts w:cs="Calibri"/>
                <w:b/>
                <w:color w:val="FFFFFF" w:themeColor="background1"/>
                <w:sz w:val="20"/>
                <w:szCs w:val="20"/>
                <w:lang w:val="sr-Latn-RS" w:eastAsia="en-US"/>
              </w:rPr>
            </w:pPr>
            <w:r w:rsidRPr="00EA7353">
              <w:rPr>
                <w:rFonts w:cs="Calibri"/>
                <w:b/>
                <w:color w:val="FFFFFF" w:themeColor="background1"/>
                <w:sz w:val="20"/>
                <w:szCs w:val="20"/>
                <w:lang w:val="sr-Latn-RS" w:eastAsia="en-US"/>
              </w:rPr>
              <w:t>Morski odjeljak</w:t>
            </w:r>
          </w:p>
          <w:p w14:paraId="28CB63CA" w14:textId="77777777" w:rsidR="004C1B16" w:rsidRPr="00EA7353" w:rsidRDefault="004C1B16" w:rsidP="004C1B16">
            <w:pPr>
              <w:spacing w:before="0" w:after="0"/>
              <w:rPr>
                <w:rFonts w:cs="Calibri"/>
                <w:b/>
                <w:color w:val="FFFFFF" w:themeColor="background1"/>
                <w:sz w:val="20"/>
                <w:szCs w:val="20"/>
                <w:lang w:val="sr-Latn-RS" w:eastAsia="en-US"/>
              </w:rPr>
            </w:pPr>
          </w:p>
        </w:tc>
        <w:tc>
          <w:tcPr>
            <w:tcW w:w="26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1DC00D3C" w14:textId="77777777" w:rsidR="004C1B16" w:rsidRPr="00EA7353" w:rsidRDefault="004C1B16" w:rsidP="004C1B16">
            <w:pPr>
              <w:spacing w:before="0" w:after="0"/>
              <w:jc w:val="left"/>
              <w:rPr>
                <w:rFonts w:cs="Calibri"/>
                <w:b/>
                <w:color w:val="FFFFFF" w:themeColor="background1"/>
                <w:sz w:val="20"/>
                <w:szCs w:val="20"/>
                <w:lang w:val="sr-Latn-RS" w:eastAsia="en-US"/>
              </w:rPr>
            </w:pPr>
            <w:r w:rsidRPr="00EA7353">
              <w:rPr>
                <w:rFonts w:cs="Calibri"/>
                <w:b/>
                <w:color w:val="FFFFFF" w:themeColor="background1"/>
                <w:sz w:val="20"/>
                <w:szCs w:val="20"/>
                <w:lang w:val="sr-Latn-RS" w:eastAsia="en-US"/>
              </w:rPr>
              <w:t>Jedinica</w:t>
            </w:r>
          </w:p>
        </w:tc>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6BC869E5" w14:textId="77777777" w:rsidR="004C1B16" w:rsidRPr="00EA7353" w:rsidRDefault="004C1B16" w:rsidP="004C1B16">
            <w:pPr>
              <w:spacing w:before="0" w:after="0"/>
              <w:rPr>
                <w:rFonts w:cs="Calibri"/>
                <w:b/>
                <w:color w:val="FFFFFF" w:themeColor="background1"/>
                <w:sz w:val="20"/>
                <w:szCs w:val="20"/>
                <w:lang w:val="sr-Latn-RS" w:eastAsia="en-US"/>
              </w:rPr>
            </w:pPr>
            <w:r w:rsidRPr="00EA7353">
              <w:rPr>
                <w:rFonts w:cs="Calibri"/>
                <w:b/>
                <w:color w:val="FFFFFF" w:themeColor="background1"/>
                <w:sz w:val="20"/>
                <w:szCs w:val="20"/>
                <w:lang w:val="sr-Latn-RS" w:eastAsia="en-US"/>
              </w:rPr>
              <w:t>Srednja vrijednost</w:t>
            </w:r>
          </w:p>
        </w:tc>
      </w:tr>
      <w:tr w:rsidR="004C1B16" w:rsidRPr="004C1B16" w14:paraId="724819A5" w14:textId="77777777" w:rsidTr="00C42B0B">
        <w:trPr>
          <w:jc w:val="center"/>
        </w:trPr>
        <w:tc>
          <w:tcPr>
            <w:tcW w:w="3005" w:type="dxa"/>
            <w:tcBorders>
              <w:top w:val="single" w:sz="4" w:space="0" w:color="FFFFFF" w:themeColor="background1"/>
            </w:tcBorders>
          </w:tcPr>
          <w:p w14:paraId="6D7F9A74" w14:textId="77777777" w:rsidR="004C1B16" w:rsidRPr="004C1B16" w:rsidRDefault="004C1B16" w:rsidP="004C1B16">
            <w:pPr>
              <w:spacing w:before="0" w:after="0" w:line="360" w:lineRule="auto"/>
              <w:rPr>
                <w:rFonts w:cs="Calibri"/>
                <w:bCs/>
                <w:sz w:val="20"/>
                <w:szCs w:val="20"/>
                <w:lang w:val="sr-Latn-RS" w:eastAsia="en-US"/>
              </w:rPr>
            </w:pPr>
            <w:r w:rsidRPr="004C1B16">
              <w:rPr>
                <w:rFonts w:cs="Calibri"/>
                <w:bCs/>
                <w:sz w:val="20"/>
                <w:szCs w:val="20"/>
                <w:lang w:val="sr-Latn-RS" w:eastAsia="en-US"/>
              </w:rPr>
              <w:t>Otpad na plažama</w:t>
            </w:r>
          </w:p>
        </w:tc>
        <w:tc>
          <w:tcPr>
            <w:tcW w:w="2660" w:type="dxa"/>
            <w:tcBorders>
              <w:top w:val="single" w:sz="4" w:space="0" w:color="FFFFFF" w:themeColor="background1"/>
            </w:tcBorders>
          </w:tcPr>
          <w:p w14:paraId="53554DD3" w14:textId="77777777" w:rsidR="004C1B16" w:rsidRPr="004C1B16" w:rsidRDefault="004C1B16" w:rsidP="004C1B16">
            <w:pPr>
              <w:spacing w:before="0" w:after="0" w:line="360" w:lineRule="auto"/>
              <w:rPr>
                <w:rFonts w:cs="Calibri"/>
                <w:color w:val="000000"/>
                <w:sz w:val="20"/>
                <w:szCs w:val="20"/>
                <w:lang w:val="sr-Latn-RS" w:eastAsia="en-GB"/>
              </w:rPr>
            </w:pPr>
            <w:r w:rsidRPr="004C1B16">
              <w:rPr>
                <w:rFonts w:cs="Calibri"/>
                <w:color w:val="000000"/>
                <w:sz w:val="20"/>
                <w:szCs w:val="20"/>
                <w:lang w:val="sr-Latn-RS" w:eastAsia="en-GB"/>
              </w:rPr>
              <w:t>Broj komada/100 m transekta</w:t>
            </w:r>
          </w:p>
        </w:tc>
        <w:tc>
          <w:tcPr>
            <w:tcW w:w="2127" w:type="dxa"/>
            <w:tcBorders>
              <w:top w:val="single" w:sz="4" w:space="0" w:color="FFFFFF" w:themeColor="background1"/>
            </w:tcBorders>
          </w:tcPr>
          <w:p w14:paraId="0A9787F9" w14:textId="77777777" w:rsidR="004C1B16" w:rsidRPr="004C1B16" w:rsidRDefault="004C1B16" w:rsidP="004C1B16">
            <w:pPr>
              <w:spacing w:before="0" w:after="0" w:line="360" w:lineRule="auto"/>
              <w:rPr>
                <w:rFonts w:cs="Calibri"/>
                <w:sz w:val="20"/>
                <w:szCs w:val="20"/>
                <w:lang w:val="sr-Latn-RS" w:eastAsia="en-US"/>
              </w:rPr>
            </w:pPr>
            <w:r w:rsidRPr="004C1B16">
              <w:rPr>
                <w:rFonts w:cs="Calibri"/>
                <w:color w:val="000000"/>
                <w:sz w:val="20"/>
                <w:szCs w:val="20"/>
                <w:lang w:val="sr-Latn-RS" w:eastAsia="en-GB"/>
              </w:rPr>
              <w:t>492.22</w:t>
            </w:r>
          </w:p>
        </w:tc>
      </w:tr>
      <w:tr w:rsidR="004C1B16" w:rsidRPr="004C1B16" w14:paraId="4AA9607A" w14:textId="77777777" w:rsidTr="004C1B16">
        <w:trPr>
          <w:jc w:val="center"/>
        </w:trPr>
        <w:tc>
          <w:tcPr>
            <w:tcW w:w="3005" w:type="dxa"/>
          </w:tcPr>
          <w:p w14:paraId="530CC600" w14:textId="77777777" w:rsidR="004C1B16" w:rsidRPr="004C1B16" w:rsidRDefault="004C1B16" w:rsidP="004C1B16">
            <w:pPr>
              <w:spacing w:before="0" w:after="0" w:line="360" w:lineRule="auto"/>
              <w:rPr>
                <w:rFonts w:cs="Calibri"/>
                <w:bCs/>
                <w:sz w:val="20"/>
                <w:szCs w:val="20"/>
                <w:lang w:val="sr-Latn-RS" w:eastAsia="en-US"/>
              </w:rPr>
            </w:pPr>
            <w:r w:rsidRPr="004C1B16">
              <w:rPr>
                <w:rFonts w:cs="Calibri"/>
                <w:bCs/>
                <w:sz w:val="20"/>
                <w:szCs w:val="20"/>
                <w:lang w:val="sr-Latn-RS" w:eastAsia="en-US"/>
              </w:rPr>
              <w:t>Plutajući otpad</w:t>
            </w:r>
          </w:p>
        </w:tc>
        <w:tc>
          <w:tcPr>
            <w:tcW w:w="2660" w:type="dxa"/>
          </w:tcPr>
          <w:p w14:paraId="2C14DFF8" w14:textId="77777777" w:rsidR="004C1B16" w:rsidRPr="004C1B16" w:rsidRDefault="004C1B16" w:rsidP="004C1B16">
            <w:pPr>
              <w:spacing w:before="0" w:after="0" w:line="360" w:lineRule="auto"/>
              <w:rPr>
                <w:rFonts w:cs="Calibri"/>
                <w:bCs/>
                <w:sz w:val="20"/>
                <w:szCs w:val="20"/>
                <w:lang w:val="sr-Latn-RS" w:eastAsia="en-US"/>
              </w:rPr>
            </w:pPr>
            <w:r w:rsidRPr="004C1B16">
              <w:rPr>
                <w:rFonts w:cs="Calibri"/>
                <w:color w:val="000000"/>
                <w:sz w:val="20"/>
                <w:szCs w:val="20"/>
                <w:lang w:val="sr-Latn-RS" w:eastAsia="en-GB"/>
              </w:rPr>
              <w:t>Broj komada/km</w:t>
            </w:r>
            <w:r w:rsidRPr="004C1B16">
              <w:rPr>
                <w:rFonts w:cs="Calibri"/>
                <w:color w:val="000000"/>
                <w:sz w:val="20"/>
                <w:szCs w:val="20"/>
                <w:vertAlign w:val="superscript"/>
                <w:lang w:val="sr-Latn-RS" w:eastAsia="en-GB"/>
              </w:rPr>
              <w:t>2</w:t>
            </w:r>
          </w:p>
        </w:tc>
        <w:tc>
          <w:tcPr>
            <w:tcW w:w="2127" w:type="dxa"/>
          </w:tcPr>
          <w:p w14:paraId="37E0EB23" w14:textId="77777777" w:rsidR="004C1B16" w:rsidRPr="004C1B16" w:rsidRDefault="004C1B16" w:rsidP="004C1B16">
            <w:pPr>
              <w:spacing w:before="0" w:after="0" w:line="360" w:lineRule="auto"/>
              <w:rPr>
                <w:rFonts w:cs="Calibri"/>
                <w:bCs/>
                <w:sz w:val="20"/>
                <w:szCs w:val="20"/>
                <w:lang w:val="sr-Latn-RS" w:eastAsia="en-US"/>
              </w:rPr>
            </w:pPr>
            <w:r w:rsidRPr="004C1B16">
              <w:rPr>
                <w:rFonts w:cs="Calibri"/>
                <w:bCs/>
                <w:sz w:val="20"/>
                <w:szCs w:val="20"/>
                <w:lang w:val="sr-Latn-RS" w:eastAsia="en-US"/>
              </w:rPr>
              <w:t>122.65</w:t>
            </w:r>
          </w:p>
        </w:tc>
      </w:tr>
      <w:tr w:rsidR="004C1B16" w:rsidRPr="004C1B16" w14:paraId="5305EDFA" w14:textId="77777777" w:rsidTr="004C1B16">
        <w:trPr>
          <w:jc w:val="center"/>
        </w:trPr>
        <w:tc>
          <w:tcPr>
            <w:tcW w:w="3005" w:type="dxa"/>
          </w:tcPr>
          <w:p w14:paraId="5EE6FC17" w14:textId="77777777" w:rsidR="004C1B16" w:rsidRPr="004C1B16" w:rsidRDefault="004C1B16" w:rsidP="004C1B16">
            <w:pPr>
              <w:spacing w:before="0" w:after="0" w:line="360" w:lineRule="auto"/>
              <w:rPr>
                <w:rFonts w:cs="Calibri"/>
                <w:bCs/>
                <w:sz w:val="20"/>
                <w:szCs w:val="20"/>
                <w:lang w:val="sr-Latn-RS" w:eastAsia="en-US"/>
              </w:rPr>
            </w:pPr>
            <w:r w:rsidRPr="004C1B16">
              <w:rPr>
                <w:rFonts w:cs="Calibri"/>
                <w:bCs/>
                <w:sz w:val="20"/>
                <w:szCs w:val="20"/>
                <w:lang w:val="sr-Latn-RS" w:eastAsia="en-US"/>
              </w:rPr>
              <w:t xml:space="preserve">Otpad na dnu (metodologijom ronjenja) </w:t>
            </w:r>
          </w:p>
        </w:tc>
        <w:tc>
          <w:tcPr>
            <w:tcW w:w="2660" w:type="dxa"/>
          </w:tcPr>
          <w:p w14:paraId="5E61DB0A" w14:textId="77777777" w:rsidR="004C1B16" w:rsidRPr="004C1B16" w:rsidRDefault="004C1B16" w:rsidP="004C1B16">
            <w:pPr>
              <w:spacing w:before="0" w:after="0" w:line="360" w:lineRule="auto"/>
              <w:rPr>
                <w:rFonts w:cs="Calibri"/>
                <w:bCs/>
                <w:sz w:val="20"/>
                <w:szCs w:val="20"/>
                <w:lang w:val="sr-Latn-RS" w:eastAsia="en-US"/>
              </w:rPr>
            </w:pPr>
            <w:r w:rsidRPr="004C1B16">
              <w:rPr>
                <w:rFonts w:cs="Calibri"/>
                <w:bCs/>
                <w:sz w:val="20"/>
                <w:szCs w:val="20"/>
                <w:lang w:val="sr-Latn-RS" w:eastAsia="en-US"/>
              </w:rPr>
              <w:t>Broj komada/100 m</w:t>
            </w:r>
          </w:p>
        </w:tc>
        <w:tc>
          <w:tcPr>
            <w:tcW w:w="2127" w:type="dxa"/>
          </w:tcPr>
          <w:p w14:paraId="6B1D02EB" w14:textId="77777777" w:rsidR="004C1B16" w:rsidRPr="004C1B16" w:rsidRDefault="004C1B16" w:rsidP="004C1B16">
            <w:pPr>
              <w:spacing w:before="0" w:after="0" w:line="360" w:lineRule="auto"/>
              <w:rPr>
                <w:rFonts w:cs="Calibri"/>
                <w:bCs/>
                <w:sz w:val="20"/>
                <w:szCs w:val="20"/>
                <w:lang w:val="sr-Latn-RS" w:eastAsia="en-US"/>
              </w:rPr>
            </w:pPr>
            <w:r w:rsidRPr="004C1B16">
              <w:rPr>
                <w:rFonts w:cs="Calibri"/>
                <w:bCs/>
                <w:sz w:val="20"/>
                <w:szCs w:val="20"/>
                <w:lang w:val="sr-Latn-RS" w:eastAsia="en-US"/>
              </w:rPr>
              <w:t>21.42</w:t>
            </w:r>
          </w:p>
        </w:tc>
      </w:tr>
      <w:tr w:rsidR="004C1B16" w:rsidRPr="004C1B16" w14:paraId="55649B33" w14:textId="77777777" w:rsidTr="004C1B16">
        <w:trPr>
          <w:jc w:val="center"/>
        </w:trPr>
        <w:tc>
          <w:tcPr>
            <w:tcW w:w="3005" w:type="dxa"/>
          </w:tcPr>
          <w:p w14:paraId="25876C5C" w14:textId="77777777" w:rsidR="004C1B16" w:rsidRPr="004C1B16" w:rsidRDefault="004C1B16" w:rsidP="004C1B16">
            <w:pPr>
              <w:spacing w:before="0" w:after="0" w:line="360" w:lineRule="auto"/>
              <w:rPr>
                <w:rFonts w:cs="Calibri"/>
                <w:bCs/>
                <w:sz w:val="20"/>
                <w:szCs w:val="20"/>
                <w:lang w:val="sr-Latn-RS" w:eastAsia="en-US"/>
              </w:rPr>
            </w:pPr>
            <w:r w:rsidRPr="004C1B16">
              <w:rPr>
                <w:rFonts w:cs="Calibri"/>
                <w:bCs/>
                <w:sz w:val="20"/>
                <w:szCs w:val="20"/>
                <w:lang w:val="sr-Latn-RS" w:eastAsia="en-US"/>
              </w:rPr>
              <w:t xml:space="preserve">Otpad na dnu (kočarenje) </w:t>
            </w:r>
          </w:p>
        </w:tc>
        <w:tc>
          <w:tcPr>
            <w:tcW w:w="2660" w:type="dxa"/>
          </w:tcPr>
          <w:p w14:paraId="5754C569" w14:textId="77777777" w:rsidR="004C1B16" w:rsidRPr="004C1B16" w:rsidRDefault="004C1B16" w:rsidP="004C1B16">
            <w:pPr>
              <w:spacing w:before="0" w:after="0" w:line="360" w:lineRule="auto"/>
              <w:rPr>
                <w:rFonts w:cs="Calibri"/>
                <w:bCs/>
                <w:sz w:val="20"/>
                <w:szCs w:val="20"/>
                <w:lang w:val="sr-Latn-RS" w:eastAsia="en-US"/>
              </w:rPr>
            </w:pPr>
            <w:r w:rsidRPr="004C1B16">
              <w:rPr>
                <w:rFonts w:cs="Calibri"/>
                <w:color w:val="000000"/>
                <w:sz w:val="20"/>
                <w:szCs w:val="20"/>
                <w:lang w:val="sr-Latn-RS" w:eastAsia="en-GB"/>
              </w:rPr>
              <w:t>Broj komada/km</w:t>
            </w:r>
            <w:r w:rsidRPr="004C1B16">
              <w:rPr>
                <w:rFonts w:cs="Calibri"/>
                <w:color w:val="000000"/>
                <w:sz w:val="20"/>
                <w:szCs w:val="20"/>
                <w:vertAlign w:val="superscript"/>
                <w:lang w:val="sr-Latn-RS" w:eastAsia="en-GB"/>
              </w:rPr>
              <w:t>2</w:t>
            </w:r>
          </w:p>
        </w:tc>
        <w:tc>
          <w:tcPr>
            <w:tcW w:w="2127" w:type="dxa"/>
          </w:tcPr>
          <w:p w14:paraId="6A262BA0" w14:textId="77777777" w:rsidR="004C1B16" w:rsidRPr="004C1B16" w:rsidRDefault="004C1B16" w:rsidP="004C1B16">
            <w:pPr>
              <w:spacing w:before="0" w:after="0" w:line="360" w:lineRule="auto"/>
              <w:rPr>
                <w:rFonts w:cs="Calibri"/>
                <w:bCs/>
                <w:sz w:val="20"/>
                <w:szCs w:val="20"/>
                <w:lang w:val="sr-Latn-RS" w:eastAsia="en-US"/>
              </w:rPr>
            </w:pPr>
            <w:r w:rsidRPr="004C1B16">
              <w:rPr>
                <w:rFonts w:cs="Calibri"/>
                <w:bCs/>
                <w:sz w:val="20"/>
                <w:szCs w:val="20"/>
                <w:lang w:val="sr-Latn-RS" w:eastAsia="en-US"/>
              </w:rPr>
              <w:t>260.67</w:t>
            </w:r>
          </w:p>
        </w:tc>
      </w:tr>
    </w:tbl>
    <w:p w14:paraId="7A4A3298" w14:textId="77777777" w:rsidR="00332A46" w:rsidRPr="004C1B16" w:rsidRDefault="00332A46" w:rsidP="004C1B16">
      <w:pPr>
        <w:keepNext/>
        <w:spacing w:before="240" w:after="240"/>
        <w:ind w:left="2138"/>
        <w:jc w:val="left"/>
        <w:outlineLvl w:val="2"/>
        <w:rPr>
          <w:rFonts w:cs="Calibri"/>
          <w:b/>
          <w:bCs/>
          <w:color w:val="2F5496"/>
          <w:sz w:val="20"/>
          <w:szCs w:val="20"/>
          <w:lang w:val="sr-Latn-RS"/>
        </w:rPr>
      </w:pPr>
    </w:p>
    <w:p w14:paraId="3B9DAF4F" w14:textId="752E4981" w:rsidR="004C1B16" w:rsidRPr="00CF7E4B" w:rsidRDefault="004C1B16" w:rsidP="00CF7E4B">
      <w:pPr>
        <w:pStyle w:val="Heading3"/>
        <w:rPr>
          <w:lang w:val="sr-Latn-RS" w:eastAsia="en-US"/>
        </w:rPr>
      </w:pPr>
      <w:bookmarkStart w:id="276" w:name="_Toc83630955"/>
      <w:bookmarkStart w:id="277" w:name="_Toc69678405"/>
      <w:r w:rsidRPr="00CF7E4B">
        <w:rPr>
          <w:lang w:val="sr-Latn-RS" w:eastAsia="en-US"/>
        </w:rPr>
        <w:t>Pristup procjeni GES-a (granične vrijednosti)</w:t>
      </w:r>
      <w:bookmarkEnd w:id="276"/>
      <w:r w:rsidRPr="00CF7E4B">
        <w:rPr>
          <w:lang w:val="sr-Latn-RS" w:eastAsia="en-US"/>
        </w:rPr>
        <w:t xml:space="preserve"> </w:t>
      </w:r>
      <w:bookmarkEnd w:id="277"/>
    </w:p>
    <w:p w14:paraId="2B5B5094"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Procjena da li je GES postignut mogla bi se bazirati na rezultatima nacionalnih, sub-regionalnih ili regionalnih programa praćenja otpada u moru u različitim morskim i obalnim odjeljcima. Definicije bazičnih i vrijednosti praga su obavezne kako bi se doprinjelo određivanju skupa karakteristika dobrog stanja životne sredine i omogućila njihova procjena u kojoj se mjeri postiže dobro stanje životne sredine.</w:t>
      </w:r>
    </w:p>
    <w:p w14:paraId="692F004D"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Revidirana odluka (2017/848) zahtijeva upotrebu kvantifikovanih vrijednosti praga za kriterijume otpada u moru umjesto trendova za procjenu postizanja ciljeva MSFD-a.</w:t>
      </w:r>
    </w:p>
    <w:p w14:paraId="4B2B6F33"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Nova odluka o GES-u (2017/848) Evropske komisije (EK) daje definiciju vrijednosti praga za otpad u moru: „</w:t>
      </w:r>
      <w:r w:rsidRPr="004C1B16">
        <w:rPr>
          <w:rFonts w:eastAsia="Calibri" w:cs="Calibri"/>
          <w:i/>
          <w:iCs/>
          <w:szCs w:val="22"/>
          <w:lang w:val="sr-Latn-RS" w:eastAsia="en-US"/>
        </w:rPr>
        <w:t>Vrijednost praga znači vrijednost ili raspon vrijednosti koji omogućava procjenu nivoa kvaliteta postignutog za određeni kriterijum, čime se doprinosi procjeni u kojoj se mjeri postiže dobar ekološki status</w:t>
      </w:r>
      <w:r w:rsidRPr="004C1B16">
        <w:rPr>
          <w:rFonts w:eastAsia="Calibri" w:cs="Calibri"/>
          <w:szCs w:val="22"/>
          <w:lang w:val="sr-Latn-RS" w:eastAsia="en-US"/>
        </w:rPr>
        <w:t>. "</w:t>
      </w:r>
    </w:p>
    <w:p w14:paraId="5C55E093"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Iako su određene bazične i vrijednosti praga već definisane na nivou EU, potrebno je imati bazu podataka koja uključuje prikupljanje podataka od najmanje šest godina kako bi se na adekvatan način procijenili trendovi i eventualno ispravile bazične i vrijednosti praga. Iz tog razloga bazične vrijednosti i vrijednosti praga još nisu definisane za značajan dio indikatora.</w:t>
      </w:r>
    </w:p>
    <w:p w14:paraId="65955A91"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Iz pomenutog razloga će se procjena GES-a u ovom dokumentu sprovesti u skladu sa već definisanim i prihvaćenim bazičnim i vrijednostima praga, dok za one indikatore za koje vrijednosti još nisu definisane i prihvaćene, GES neće biti procijenjen.</w:t>
      </w:r>
    </w:p>
    <w:p w14:paraId="2DC04D7C"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 xml:space="preserve">Bazične vrijednosti otpada u moru na plažama utvrđene su na nivou EU (Hanke, G. </w:t>
      </w:r>
      <w:r w:rsidRPr="004C1B16">
        <w:rPr>
          <w:rFonts w:eastAsia="Calibri" w:cs="Calibri"/>
          <w:i/>
          <w:iCs/>
          <w:szCs w:val="22"/>
          <w:lang w:val="sr-Latn-RS" w:eastAsia="en-US"/>
        </w:rPr>
        <w:t>et al</w:t>
      </w:r>
      <w:r w:rsidRPr="004C1B16">
        <w:rPr>
          <w:rFonts w:eastAsia="Calibri" w:cs="Calibri"/>
          <w:szCs w:val="22"/>
          <w:lang w:val="sr-Latn-RS" w:eastAsia="en-US"/>
        </w:rPr>
        <w:t>., 2019.) (Tabela 2.45).</w:t>
      </w:r>
    </w:p>
    <w:p w14:paraId="45695B99" w14:textId="77777777" w:rsidR="004C1B16" w:rsidRPr="004C1B16" w:rsidRDefault="004C1B16" w:rsidP="004C1B16">
      <w:pPr>
        <w:spacing w:before="120" w:line="240" w:lineRule="auto"/>
        <w:rPr>
          <w:rFonts w:eastAsia="Arial" w:cs="Calibri"/>
          <w:b/>
          <w:bCs/>
          <w:szCs w:val="22"/>
          <w:lang w:val="sr-Latn-RS" w:eastAsia="en-US"/>
        </w:rPr>
      </w:pPr>
      <w:bookmarkStart w:id="278" w:name="_Toc83643191"/>
      <w:r w:rsidRPr="004C1B16">
        <w:rPr>
          <w:rFonts w:eastAsia="Arial" w:cs="Calibri"/>
          <w:b/>
          <w:szCs w:val="22"/>
          <w:lang w:val="sr-Latn-RS" w:eastAsia="en-US"/>
        </w:rPr>
        <w:t xml:space="preserve">Tabela </w:t>
      </w:r>
      <w:r w:rsidRPr="004C1B16">
        <w:rPr>
          <w:rFonts w:cs="Calibri"/>
          <w:b/>
          <w:szCs w:val="22"/>
          <w:lang w:val="sr-Latn-RS"/>
        </w:rPr>
        <w:fldChar w:fldCharType="begin"/>
      </w:r>
      <w:r w:rsidRPr="004C1B16">
        <w:rPr>
          <w:rFonts w:cs="Calibri"/>
          <w:b/>
          <w:szCs w:val="22"/>
          <w:lang w:val="sr-Latn-RS"/>
        </w:rPr>
        <w:instrText xml:space="preserve"> STYLEREF 1 \s </w:instrText>
      </w:r>
      <w:r w:rsidRPr="004C1B16">
        <w:rPr>
          <w:rFonts w:cs="Calibri"/>
          <w:b/>
          <w:szCs w:val="22"/>
          <w:lang w:val="sr-Latn-RS"/>
        </w:rPr>
        <w:fldChar w:fldCharType="separate"/>
      </w:r>
      <w:r w:rsidR="000D1E20">
        <w:rPr>
          <w:rFonts w:cs="Calibri"/>
          <w:b/>
          <w:noProof/>
          <w:szCs w:val="22"/>
          <w:lang w:val="sr-Latn-RS"/>
        </w:rPr>
        <w:t>2</w:t>
      </w:r>
      <w:r w:rsidRPr="004C1B16">
        <w:rPr>
          <w:rFonts w:cs="Calibri"/>
          <w:b/>
          <w:szCs w:val="22"/>
          <w:lang w:val="sr-Latn-RS"/>
        </w:rPr>
        <w:fldChar w:fldCharType="end"/>
      </w:r>
      <w:r w:rsidRPr="004C1B16">
        <w:rPr>
          <w:rFonts w:cs="Calibri"/>
          <w:b/>
          <w:szCs w:val="22"/>
          <w:lang w:val="sr-Latn-RS"/>
        </w:rPr>
        <w:t>.</w:t>
      </w:r>
      <w:r w:rsidRPr="004C1B16">
        <w:rPr>
          <w:rFonts w:cs="Calibri"/>
          <w:b/>
          <w:szCs w:val="22"/>
          <w:lang w:val="sr-Latn-RS"/>
        </w:rPr>
        <w:fldChar w:fldCharType="begin"/>
      </w:r>
      <w:r w:rsidRPr="004C1B16">
        <w:rPr>
          <w:rFonts w:cs="Calibri"/>
          <w:b/>
          <w:szCs w:val="22"/>
          <w:lang w:val="sr-Latn-RS"/>
        </w:rPr>
        <w:instrText xml:space="preserve"> SEQ Table \* ARABIC \s 1 </w:instrText>
      </w:r>
      <w:r w:rsidRPr="004C1B16">
        <w:rPr>
          <w:rFonts w:cs="Calibri"/>
          <w:b/>
          <w:szCs w:val="22"/>
          <w:lang w:val="sr-Latn-RS"/>
        </w:rPr>
        <w:fldChar w:fldCharType="separate"/>
      </w:r>
      <w:r w:rsidR="000D1E20">
        <w:rPr>
          <w:rFonts w:cs="Calibri"/>
          <w:b/>
          <w:noProof/>
          <w:szCs w:val="22"/>
          <w:lang w:val="sr-Latn-RS"/>
        </w:rPr>
        <w:t>33</w:t>
      </w:r>
      <w:r w:rsidRPr="004C1B16">
        <w:rPr>
          <w:rFonts w:cs="Calibri"/>
          <w:b/>
          <w:szCs w:val="22"/>
          <w:lang w:val="sr-Latn-RS"/>
        </w:rPr>
        <w:fldChar w:fldCharType="end"/>
      </w:r>
      <w:r w:rsidRPr="004C1B16">
        <w:rPr>
          <w:rFonts w:cs="Calibri"/>
          <w:b/>
          <w:szCs w:val="22"/>
          <w:lang w:val="sr-Latn-RS"/>
        </w:rPr>
        <w:t>.</w:t>
      </w:r>
      <w:r w:rsidRPr="004C1B16">
        <w:rPr>
          <w:rFonts w:eastAsia="Calibri" w:cs="Calibri"/>
          <w:b/>
          <w:szCs w:val="22"/>
          <w:lang w:val="sr-Latn-RS" w:eastAsia="en-US"/>
        </w:rPr>
        <w:t xml:space="preserve"> </w:t>
      </w:r>
      <w:r w:rsidRPr="004C1B16">
        <w:rPr>
          <w:rFonts w:eastAsia="Arial" w:cs="Calibri"/>
          <w:b/>
          <w:bCs/>
          <w:szCs w:val="22"/>
          <w:lang w:val="sr-Latn-RS" w:eastAsia="en-US"/>
        </w:rPr>
        <w:t xml:space="preserve">Medijana, srednja vrijednost i Triprosjek objedinjenih rezultata na nivou EU. Bazične vrijednosti za FISH – otpad iz sektora ribarstva, SUP – plastika za jednokratnu upotrebu, TA – Ukupna abundanca (u skladu sa Hanke G. </w:t>
      </w:r>
      <w:r w:rsidRPr="004C1B16">
        <w:rPr>
          <w:rFonts w:eastAsia="Arial" w:cs="Calibri"/>
          <w:b/>
          <w:bCs/>
          <w:i/>
          <w:iCs/>
          <w:szCs w:val="22"/>
          <w:lang w:val="sr-Latn-RS" w:eastAsia="en-US"/>
        </w:rPr>
        <w:t>et al</w:t>
      </w:r>
      <w:r w:rsidRPr="004C1B16">
        <w:rPr>
          <w:rFonts w:eastAsia="Arial" w:cs="Calibri"/>
          <w:b/>
          <w:bCs/>
          <w:szCs w:val="22"/>
          <w:lang w:val="sr-Latn-RS" w:eastAsia="en-US"/>
        </w:rPr>
        <w:t>., 2019).</w:t>
      </w:r>
      <w:bookmarkEnd w:id="278"/>
    </w:p>
    <w:tbl>
      <w:tblPr>
        <w:tblW w:w="9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60"/>
        <w:gridCol w:w="2200"/>
        <w:gridCol w:w="1680"/>
        <w:gridCol w:w="1500"/>
        <w:gridCol w:w="1540"/>
      </w:tblGrid>
      <w:tr w:rsidR="004C1B16" w:rsidRPr="004C1B16" w14:paraId="544C4343" w14:textId="77777777" w:rsidTr="00C42B0B">
        <w:trPr>
          <w:trHeight w:val="497"/>
          <w:jc w:val="center"/>
        </w:trPr>
        <w:tc>
          <w:tcPr>
            <w:tcW w:w="21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vAlign w:val="bottom"/>
          </w:tcPr>
          <w:p w14:paraId="75EBD658" w14:textId="77777777" w:rsidR="004C1B16" w:rsidRPr="00332A46" w:rsidRDefault="004C1B16" w:rsidP="004C1B16">
            <w:pPr>
              <w:spacing w:before="0" w:after="0" w:line="240" w:lineRule="auto"/>
              <w:jc w:val="center"/>
              <w:rPr>
                <w:rFonts w:cs="Calibri"/>
                <w:b/>
                <w:color w:val="FFFFFF" w:themeColor="background1"/>
                <w:sz w:val="20"/>
                <w:szCs w:val="20"/>
                <w:lang w:val="sr-Latn-RS" w:eastAsia="en-US"/>
              </w:rPr>
            </w:pPr>
            <w:r w:rsidRPr="00332A46">
              <w:rPr>
                <w:rFonts w:cs="Calibri"/>
                <w:b/>
                <w:color w:val="FFFFFF" w:themeColor="background1"/>
                <w:sz w:val="20"/>
                <w:szCs w:val="20"/>
                <w:lang w:val="sr-Latn-RS" w:eastAsia="en-US"/>
              </w:rPr>
              <w:t>Godina</w:t>
            </w:r>
          </w:p>
        </w:tc>
        <w:tc>
          <w:tcPr>
            <w:tcW w:w="22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vAlign w:val="bottom"/>
          </w:tcPr>
          <w:p w14:paraId="738ADF08" w14:textId="77777777" w:rsidR="004C1B16" w:rsidRPr="00332A46" w:rsidRDefault="004C1B16" w:rsidP="004C1B16">
            <w:pPr>
              <w:spacing w:before="0" w:after="0" w:line="240" w:lineRule="auto"/>
              <w:jc w:val="center"/>
              <w:rPr>
                <w:rFonts w:cs="Calibri"/>
                <w:b/>
                <w:color w:val="FFFFFF" w:themeColor="background1"/>
                <w:sz w:val="20"/>
                <w:szCs w:val="20"/>
                <w:lang w:val="sr-Latn-RS" w:eastAsia="en-US"/>
              </w:rPr>
            </w:pPr>
            <w:r w:rsidRPr="00332A46">
              <w:rPr>
                <w:rFonts w:cs="Calibri"/>
                <w:b/>
                <w:color w:val="FFFFFF" w:themeColor="background1"/>
                <w:sz w:val="20"/>
                <w:szCs w:val="20"/>
                <w:lang w:val="sr-Latn-RS" w:eastAsia="en-US"/>
              </w:rPr>
              <w:t>Grupa</w:t>
            </w:r>
          </w:p>
        </w:tc>
        <w:tc>
          <w:tcPr>
            <w:tcW w:w="472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vAlign w:val="bottom"/>
          </w:tcPr>
          <w:p w14:paraId="319B39DB" w14:textId="77777777" w:rsidR="004C1B16" w:rsidRPr="00332A46" w:rsidRDefault="004C1B16" w:rsidP="004C1B16">
            <w:pPr>
              <w:spacing w:before="0" w:after="0" w:line="240" w:lineRule="auto"/>
              <w:jc w:val="center"/>
              <w:rPr>
                <w:rFonts w:eastAsia="Arial" w:cs="Calibri"/>
                <w:b/>
                <w:color w:val="FFFFFF" w:themeColor="background1"/>
                <w:sz w:val="20"/>
                <w:szCs w:val="20"/>
                <w:lang w:val="sr-Latn-RS" w:eastAsia="en-US"/>
              </w:rPr>
            </w:pPr>
            <w:r w:rsidRPr="00332A46">
              <w:rPr>
                <w:rFonts w:eastAsia="Arial" w:cs="Calibri"/>
                <w:b/>
                <w:color w:val="FFFFFF" w:themeColor="background1"/>
                <w:sz w:val="20"/>
                <w:szCs w:val="20"/>
                <w:lang w:val="sr-Latn-RS" w:eastAsia="en-US"/>
              </w:rPr>
              <w:t>N komada otpada /100 m obalne linije</w:t>
            </w:r>
          </w:p>
          <w:p w14:paraId="2B075B74" w14:textId="77777777" w:rsidR="004C1B16" w:rsidRPr="00332A46" w:rsidRDefault="004C1B16" w:rsidP="004C1B16">
            <w:pPr>
              <w:spacing w:before="0" w:after="0" w:line="240" w:lineRule="auto"/>
              <w:jc w:val="center"/>
              <w:rPr>
                <w:rFonts w:eastAsia="Arial" w:cs="Calibri"/>
                <w:b/>
                <w:color w:val="FFFFFF" w:themeColor="background1"/>
                <w:sz w:val="20"/>
                <w:szCs w:val="20"/>
                <w:lang w:val="sr-Latn-RS" w:eastAsia="en-US"/>
              </w:rPr>
            </w:pPr>
          </w:p>
        </w:tc>
      </w:tr>
      <w:tr w:rsidR="004C1B16" w:rsidRPr="004C1B16" w14:paraId="573FFAD9" w14:textId="77777777" w:rsidTr="00C42B0B">
        <w:trPr>
          <w:trHeight w:val="58"/>
          <w:jc w:val="center"/>
        </w:trPr>
        <w:tc>
          <w:tcPr>
            <w:tcW w:w="2160" w:type="dxa"/>
            <w:tcBorders>
              <w:top w:val="single" w:sz="4" w:space="0" w:color="FFFFFF" w:themeColor="background1"/>
            </w:tcBorders>
            <w:shd w:val="clear" w:color="auto" w:fill="auto"/>
            <w:vAlign w:val="bottom"/>
          </w:tcPr>
          <w:p w14:paraId="0CBD3E2E" w14:textId="77777777" w:rsidR="004C1B16" w:rsidRPr="004C1B16" w:rsidRDefault="004C1B16" w:rsidP="004C1B16">
            <w:pPr>
              <w:spacing w:before="0" w:after="0" w:line="240" w:lineRule="auto"/>
              <w:jc w:val="center"/>
              <w:rPr>
                <w:rFonts w:eastAsia="Arial" w:cs="Calibri"/>
                <w:b/>
                <w:sz w:val="20"/>
                <w:szCs w:val="20"/>
                <w:lang w:val="sr-Latn-RS" w:eastAsia="en-US"/>
              </w:rPr>
            </w:pPr>
          </w:p>
        </w:tc>
        <w:tc>
          <w:tcPr>
            <w:tcW w:w="2200" w:type="dxa"/>
            <w:tcBorders>
              <w:top w:val="single" w:sz="4" w:space="0" w:color="FFFFFF" w:themeColor="background1"/>
            </w:tcBorders>
            <w:shd w:val="clear" w:color="auto" w:fill="auto"/>
            <w:vAlign w:val="bottom"/>
          </w:tcPr>
          <w:p w14:paraId="53072035" w14:textId="77777777" w:rsidR="004C1B16" w:rsidRPr="004C1B16" w:rsidRDefault="004C1B16" w:rsidP="004C1B16">
            <w:pPr>
              <w:spacing w:before="0" w:after="0" w:line="240" w:lineRule="auto"/>
              <w:jc w:val="center"/>
              <w:rPr>
                <w:rFonts w:eastAsia="Arial" w:cs="Calibri"/>
                <w:b/>
                <w:sz w:val="20"/>
                <w:szCs w:val="20"/>
                <w:lang w:val="sr-Latn-RS" w:eastAsia="en-US"/>
              </w:rPr>
            </w:pPr>
          </w:p>
        </w:tc>
        <w:tc>
          <w:tcPr>
            <w:tcW w:w="1680" w:type="dxa"/>
            <w:tcBorders>
              <w:top w:val="single" w:sz="4" w:space="0" w:color="FFFFFF" w:themeColor="background1"/>
            </w:tcBorders>
            <w:shd w:val="clear" w:color="auto" w:fill="8DB3E2" w:themeFill="text2" w:themeFillTint="66"/>
            <w:vAlign w:val="bottom"/>
          </w:tcPr>
          <w:p w14:paraId="536B859E" w14:textId="77777777" w:rsidR="004C1B16" w:rsidRPr="004C1B16" w:rsidRDefault="004C1B16" w:rsidP="004C1B16">
            <w:pPr>
              <w:spacing w:before="0" w:after="0" w:line="240" w:lineRule="auto"/>
              <w:jc w:val="center"/>
              <w:rPr>
                <w:rFonts w:eastAsia="Arial" w:cs="Calibri"/>
                <w:b/>
                <w:sz w:val="20"/>
                <w:szCs w:val="20"/>
                <w:lang w:val="sr-Latn-RS" w:eastAsia="en-US"/>
              </w:rPr>
            </w:pPr>
            <w:r w:rsidRPr="004C1B16">
              <w:rPr>
                <w:rFonts w:eastAsia="Arial" w:cs="Calibri"/>
                <w:b/>
                <w:sz w:val="20"/>
                <w:szCs w:val="20"/>
                <w:lang w:val="sr-Latn-RS" w:eastAsia="en-US"/>
              </w:rPr>
              <w:t>Srednja vrijednost</w:t>
            </w:r>
          </w:p>
        </w:tc>
        <w:tc>
          <w:tcPr>
            <w:tcW w:w="1500" w:type="dxa"/>
            <w:tcBorders>
              <w:top w:val="single" w:sz="4" w:space="0" w:color="FFFFFF" w:themeColor="background1"/>
            </w:tcBorders>
            <w:shd w:val="clear" w:color="auto" w:fill="8DB3E2" w:themeFill="text2" w:themeFillTint="66"/>
            <w:vAlign w:val="bottom"/>
          </w:tcPr>
          <w:p w14:paraId="5EF1DB9C" w14:textId="77777777" w:rsidR="004C1B16" w:rsidRPr="004C1B16" w:rsidRDefault="004C1B16" w:rsidP="004C1B16">
            <w:pPr>
              <w:spacing w:before="0" w:after="0" w:line="240" w:lineRule="auto"/>
              <w:jc w:val="center"/>
              <w:rPr>
                <w:rFonts w:eastAsia="Arial" w:cs="Calibri"/>
                <w:b/>
                <w:sz w:val="20"/>
                <w:szCs w:val="20"/>
                <w:lang w:val="sr-Latn-RS" w:eastAsia="en-US"/>
              </w:rPr>
            </w:pPr>
            <w:r w:rsidRPr="004C1B16">
              <w:rPr>
                <w:rFonts w:eastAsia="Arial" w:cs="Calibri"/>
                <w:b/>
                <w:sz w:val="20"/>
                <w:szCs w:val="20"/>
                <w:lang w:val="sr-Latn-RS" w:eastAsia="en-US"/>
              </w:rPr>
              <w:t>Medijana</w:t>
            </w:r>
          </w:p>
        </w:tc>
        <w:tc>
          <w:tcPr>
            <w:tcW w:w="1540" w:type="dxa"/>
            <w:tcBorders>
              <w:top w:val="single" w:sz="4" w:space="0" w:color="FFFFFF" w:themeColor="background1"/>
            </w:tcBorders>
            <w:shd w:val="clear" w:color="auto" w:fill="8DB3E2" w:themeFill="text2" w:themeFillTint="66"/>
            <w:vAlign w:val="bottom"/>
          </w:tcPr>
          <w:p w14:paraId="7F82C802" w14:textId="77777777" w:rsidR="004C1B16" w:rsidRPr="004C1B16" w:rsidRDefault="004C1B16" w:rsidP="004C1B16">
            <w:pPr>
              <w:spacing w:before="0" w:after="0" w:line="240" w:lineRule="auto"/>
              <w:jc w:val="center"/>
              <w:rPr>
                <w:rFonts w:eastAsia="Arial" w:cs="Calibri"/>
                <w:b/>
                <w:sz w:val="20"/>
                <w:szCs w:val="20"/>
                <w:lang w:val="sr-Latn-RS" w:eastAsia="en-US"/>
              </w:rPr>
            </w:pPr>
            <w:r w:rsidRPr="004C1B16">
              <w:rPr>
                <w:rFonts w:eastAsia="Arial" w:cs="Calibri"/>
                <w:b/>
                <w:sz w:val="20"/>
                <w:szCs w:val="20"/>
                <w:lang w:val="sr-Latn-RS" w:eastAsia="en-US"/>
              </w:rPr>
              <w:t>Triprosjek</w:t>
            </w:r>
          </w:p>
        </w:tc>
      </w:tr>
      <w:tr w:rsidR="004C1B16" w:rsidRPr="004C1B16" w14:paraId="0A366F45" w14:textId="77777777" w:rsidTr="004C1B16">
        <w:trPr>
          <w:trHeight w:val="350"/>
          <w:jc w:val="center"/>
        </w:trPr>
        <w:tc>
          <w:tcPr>
            <w:tcW w:w="2160" w:type="dxa"/>
            <w:shd w:val="clear" w:color="auto" w:fill="auto"/>
            <w:vAlign w:val="bottom"/>
          </w:tcPr>
          <w:p w14:paraId="4C873611"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2015</w:t>
            </w:r>
          </w:p>
        </w:tc>
        <w:tc>
          <w:tcPr>
            <w:tcW w:w="2200" w:type="dxa"/>
            <w:shd w:val="clear" w:color="auto" w:fill="auto"/>
            <w:vAlign w:val="bottom"/>
          </w:tcPr>
          <w:p w14:paraId="7A31FED7" w14:textId="77777777" w:rsidR="004C1B16" w:rsidRPr="004C1B16" w:rsidRDefault="004C1B16" w:rsidP="004C1B16">
            <w:pPr>
              <w:spacing w:before="0" w:after="0" w:line="240" w:lineRule="auto"/>
              <w:jc w:val="center"/>
              <w:rPr>
                <w:rFonts w:eastAsia="Arial" w:cs="Calibri"/>
                <w:b/>
                <w:sz w:val="20"/>
                <w:szCs w:val="20"/>
                <w:lang w:val="sr-Latn-RS" w:eastAsia="en-US"/>
              </w:rPr>
            </w:pPr>
            <w:r w:rsidRPr="004C1B16">
              <w:rPr>
                <w:rFonts w:eastAsia="Arial" w:cs="Calibri"/>
                <w:b/>
                <w:sz w:val="20"/>
                <w:szCs w:val="20"/>
                <w:lang w:val="sr-Latn-RS" w:eastAsia="en-US"/>
              </w:rPr>
              <w:t>TA</w:t>
            </w:r>
          </w:p>
        </w:tc>
        <w:tc>
          <w:tcPr>
            <w:tcW w:w="1680" w:type="dxa"/>
            <w:shd w:val="clear" w:color="auto" w:fill="auto"/>
            <w:vAlign w:val="bottom"/>
          </w:tcPr>
          <w:p w14:paraId="6B0A880C"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545</w:t>
            </w:r>
          </w:p>
        </w:tc>
        <w:tc>
          <w:tcPr>
            <w:tcW w:w="1500" w:type="dxa"/>
            <w:shd w:val="clear" w:color="auto" w:fill="auto"/>
            <w:vAlign w:val="bottom"/>
          </w:tcPr>
          <w:p w14:paraId="0E121DA3" w14:textId="77777777" w:rsidR="004C1B16" w:rsidRPr="004C1B16" w:rsidRDefault="004C1B16" w:rsidP="004C1B16">
            <w:pPr>
              <w:spacing w:before="0" w:after="0" w:line="240" w:lineRule="auto"/>
              <w:jc w:val="center"/>
              <w:rPr>
                <w:rFonts w:eastAsia="Arial" w:cs="Calibri"/>
                <w:b/>
                <w:sz w:val="20"/>
                <w:szCs w:val="20"/>
                <w:lang w:val="sr-Latn-RS" w:eastAsia="en-US"/>
              </w:rPr>
            </w:pPr>
            <w:r w:rsidRPr="004C1B16">
              <w:rPr>
                <w:rFonts w:eastAsia="Arial" w:cs="Calibri"/>
                <w:b/>
                <w:sz w:val="20"/>
                <w:szCs w:val="20"/>
                <w:lang w:val="sr-Latn-RS" w:eastAsia="en-US"/>
              </w:rPr>
              <w:t>154</w:t>
            </w:r>
          </w:p>
        </w:tc>
        <w:tc>
          <w:tcPr>
            <w:tcW w:w="1540" w:type="dxa"/>
            <w:shd w:val="clear" w:color="auto" w:fill="auto"/>
            <w:vAlign w:val="bottom"/>
          </w:tcPr>
          <w:p w14:paraId="6807B1A2"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231</w:t>
            </w:r>
          </w:p>
        </w:tc>
      </w:tr>
      <w:tr w:rsidR="004C1B16" w:rsidRPr="004C1B16" w14:paraId="05EC51C7" w14:textId="77777777" w:rsidTr="004C1B16">
        <w:trPr>
          <w:trHeight w:val="350"/>
          <w:jc w:val="center"/>
        </w:trPr>
        <w:tc>
          <w:tcPr>
            <w:tcW w:w="2160" w:type="dxa"/>
            <w:shd w:val="clear" w:color="auto" w:fill="auto"/>
            <w:vAlign w:val="bottom"/>
          </w:tcPr>
          <w:p w14:paraId="65574E41"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2015</w:t>
            </w:r>
          </w:p>
        </w:tc>
        <w:tc>
          <w:tcPr>
            <w:tcW w:w="2200" w:type="dxa"/>
            <w:shd w:val="clear" w:color="auto" w:fill="auto"/>
            <w:vAlign w:val="bottom"/>
          </w:tcPr>
          <w:p w14:paraId="6162098C"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FISH</w:t>
            </w:r>
          </w:p>
        </w:tc>
        <w:tc>
          <w:tcPr>
            <w:tcW w:w="1680" w:type="dxa"/>
            <w:shd w:val="clear" w:color="auto" w:fill="auto"/>
            <w:vAlign w:val="bottom"/>
          </w:tcPr>
          <w:p w14:paraId="09153C52"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101</w:t>
            </w:r>
          </w:p>
        </w:tc>
        <w:tc>
          <w:tcPr>
            <w:tcW w:w="1500" w:type="dxa"/>
            <w:shd w:val="clear" w:color="auto" w:fill="auto"/>
            <w:vAlign w:val="bottom"/>
          </w:tcPr>
          <w:p w14:paraId="0EB7BDF4"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16</w:t>
            </w:r>
          </w:p>
        </w:tc>
        <w:tc>
          <w:tcPr>
            <w:tcW w:w="1540" w:type="dxa"/>
            <w:shd w:val="clear" w:color="auto" w:fill="auto"/>
            <w:vAlign w:val="bottom"/>
          </w:tcPr>
          <w:p w14:paraId="39FEFAE7"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30</w:t>
            </w:r>
          </w:p>
        </w:tc>
      </w:tr>
      <w:tr w:rsidR="004C1B16" w:rsidRPr="004C1B16" w14:paraId="174A2CB8" w14:textId="77777777" w:rsidTr="004C1B16">
        <w:trPr>
          <w:trHeight w:val="350"/>
          <w:jc w:val="center"/>
        </w:trPr>
        <w:tc>
          <w:tcPr>
            <w:tcW w:w="2160" w:type="dxa"/>
            <w:shd w:val="clear" w:color="auto" w:fill="auto"/>
            <w:vAlign w:val="bottom"/>
          </w:tcPr>
          <w:p w14:paraId="5609FB4F"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2015</w:t>
            </w:r>
          </w:p>
        </w:tc>
        <w:tc>
          <w:tcPr>
            <w:tcW w:w="2200" w:type="dxa"/>
            <w:shd w:val="clear" w:color="auto" w:fill="auto"/>
            <w:vAlign w:val="bottom"/>
          </w:tcPr>
          <w:p w14:paraId="57FAF27E"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SUP</w:t>
            </w:r>
          </w:p>
        </w:tc>
        <w:tc>
          <w:tcPr>
            <w:tcW w:w="1680" w:type="dxa"/>
            <w:shd w:val="clear" w:color="auto" w:fill="auto"/>
            <w:vAlign w:val="bottom"/>
          </w:tcPr>
          <w:p w14:paraId="5135C216"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202</w:t>
            </w:r>
          </w:p>
        </w:tc>
        <w:tc>
          <w:tcPr>
            <w:tcW w:w="1500" w:type="dxa"/>
            <w:shd w:val="clear" w:color="auto" w:fill="auto"/>
            <w:vAlign w:val="bottom"/>
          </w:tcPr>
          <w:p w14:paraId="16639891"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53</w:t>
            </w:r>
          </w:p>
        </w:tc>
        <w:tc>
          <w:tcPr>
            <w:tcW w:w="1540" w:type="dxa"/>
            <w:shd w:val="clear" w:color="auto" w:fill="auto"/>
            <w:vAlign w:val="bottom"/>
          </w:tcPr>
          <w:p w14:paraId="05E0AC99"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87</w:t>
            </w:r>
          </w:p>
        </w:tc>
      </w:tr>
      <w:tr w:rsidR="004C1B16" w:rsidRPr="004C1B16" w14:paraId="3267EF11" w14:textId="77777777" w:rsidTr="004C1B16">
        <w:trPr>
          <w:trHeight w:val="350"/>
          <w:jc w:val="center"/>
        </w:trPr>
        <w:tc>
          <w:tcPr>
            <w:tcW w:w="2160" w:type="dxa"/>
            <w:shd w:val="clear" w:color="auto" w:fill="auto"/>
            <w:vAlign w:val="bottom"/>
          </w:tcPr>
          <w:p w14:paraId="13A25F18"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2016</w:t>
            </w:r>
          </w:p>
        </w:tc>
        <w:tc>
          <w:tcPr>
            <w:tcW w:w="2200" w:type="dxa"/>
            <w:shd w:val="clear" w:color="auto" w:fill="auto"/>
            <w:vAlign w:val="bottom"/>
          </w:tcPr>
          <w:p w14:paraId="5726E3CC" w14:textId="77777777" w:rsidR="004C1B16" w:rsidRPr="004C1B16" w:rsidRDefault="004C1B16" w:rsidP="004C1B16">
            <w:pPr>
              <w:spacing w:before="0" w:after="0" w:line="240" w:lineRule="auto"/>
              <w:jc w:val="center"/>
              <w:rPr>
                <w:rFonts w:eastAsia="Arial" w:cs="Calibri"/>
                <w:b/>
                <w:sz w:val="20"/>
                <w:szCs w:val="20"/>
                <w:lang w:val="sr-Latn-RS" w:eastAsia="en-US"/>
              </w:rPr>
            </w:pPr>
            <w:r w:rsidRPr="004C1B16">
              <w:rPr>
                <w:rFonts w:eastAsia="Arial" w:cs="Calibri"/>
                <w:b/>
                <w:sz w:val="20"/>
                <w:szCs w:val="20"/>
                <w:lang w:val="sr-Latn-RS" w:eastAsia="en-US"/>
              </w:rPr>
              <w:t>TA</w:t>
            </w:r>
          </w:p>
        </w:tc>
        <w:tc>
          <w:tcPr>
            <w:tcW w:w="1680" w:type="dxa"/>
            <w:shd w:val="clear" w:color="auto" w:fill="auto"/>
            <w:vAlign w:val="bottom"/>
          </w:tcPr>
          <w:p w14:paraId="09FDFF46"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532</w:t>
            </w:r>
          </w:p>
        </w:tc>
        <w:tc>
          <w:tcPr>
            <w:tcW w:w="1500" w:type="dxa"/>
            <w:shd w:val="clear" w:color="auto" w:fill="auto"/>
            <w:vAlign w:val="bottom"/>
          </w:tcPr>
          <w:p w14:paraId="7036E510" w14:textId="77777777" w:rsidR="004C1B16" w:rsidRPr="004C1B16" w:rsidRDefault="004C1B16" w:rsidP="004C1B16">
            <w:pPr>
              <w:spacing w:before="0" w:after="0" w:line="240" w:lineRule="auto"/>
              <w:jc w:val="center"/>
              <w:rPr>
                <w:rFonts w:eastAsia="Arial" w:cs="Calibri"/>
                <w:b/>
                <w:sz w:val="20"/>
                <w:szCs w:val="20"/>
                <w:lang w:val="sr-Latn-RS" w:eastAsia="en-US"/>
              </w:rPr>
            </w:pPr>
            <w:r w:rsidRPr="004C1B16">
              <w:rPr>
                <w:rFonts w:eastAsia="Arial" w:cs="Calibri"/>
                <w:b/>
                <w:sz w:val="20"/>
                <w:szCs w:val="20"/>
                <w:lang w:val="sr-Latn-RS" w:eastAsia="en-US"/>
              </w:rPr>
              <w:t>148</w:t>
            </w:r>
          </w:p>
        </w:tc>
        <w:tc>
          <w:tcPr>
            <w:tcW w:w="1540" w:type="dxa"/>
            <w:shd w:val="clear" w:color="auto" w:fill="auto"/>
            <w:vAlign w:val="bottom"/>
          </w:tcPr>
          <w:p w14:paraId="04FE7F57" w14:textId="77777777" w:rsidR="004C1B16" w:rsidRPr="004C1B16" w:rsidRDefault="004C1B16" w:rsidP="004C1B16">
            <w:pPr>
              <w:spacing w:before="0" w:after="0" w:line="240" w:lineRule="auto"/>
              <w:jc w:val="center"/>
              <w:rPr>
                <w:rFonts w:eastAsia="Arial" w:cs="Calibri"/>
                <w:sz w:val="20"/>
                <w:szCs w:val="20"/>
                <w:lang w:val="sr-Latn-RS" w:eastAsia="en-US"/>
              </w:rPr>
            </w:pPr>
            <w:r w:rsidRPr="004C1B16">
              <w:rPr>
                <w:rFonts w:eastAsia="Arial" w:cs="Calibri"/>
                <w:sz w:val="20"/>
                <w:szCs w:val="20"/>
                <w:lang w:val="sr-Latn-RS" w:eastAsia="en-US"/>
              </w:rPr>
              <w:t>206</w:t>
            </w:r>
          </w:p>
        </w:tc>
      </w:tr>
      <w:tr w:rsidR="004C1B16" w:rsidRPr="004C1B16" w14:paraId="4D281930" w14:textId="77777777" w:rsidTr="004C1B16">
        <w:trPr>
          <w:trHeight w:val="118"/>
          <w:jc w:val="center"/>
        </w:trPr>
        <w:tc>
          <w:tcPr>
            <w:tcW w:w="2160" w:type="dxa"/>
            <w:shd w:val="clear" w:color="auto" w:fill="auto"/>
            <w:vAlign w:val="bottom"/>
          </w:tcPr>
          <w:p w14:paraId="584B3D6F"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2016</w:t>
            </w:r>
          </w:p>
        </w:tc>
        <w:tc>
          <w:tcPr>
            <w:tcW w:w="2200" w:type="dxa"/>
            <w:shd w:val="clear" w:color="auto" w:fill="auto"/>
            <w:vAlign w:val="bottom"/>
          </w:tcPr>
          <w:p w14:paraId="5980B87E"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FISH</w:t>
            </w:r>
          </w:p>
        </w:tc>
        <w:tc>
          <w:tcPr>
            <w:tcW w:w="1680" w:type="dxa"/>
            <w:shd w:val="clear" w:color="auto" w:fill="auto"/>
            <w:vAlign w:val="bottom"/>
          </w:tcPr>
          <w:p w14:paraId="3A32AC90"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111</w:t>
            </w:r>
          </w:p>
        </w:tc>
        <w:tc>
          <w:tcPr>
            <w:tcW w:w="1500" w:type="dxa"/>
            <w:shd w:val="clear" w:color="auto" w:fill="auto"/>
            <w:vAlign w:val="bottom"/>
          </w:tcPr>
          <w:p w14:paraId="4512F4A4"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20</w:t>
            </w:r>
          </w:p>
        </w:tc>
        <w:tc>
          <w:tcPr>
            <w:tcW w:w="1540" w:type="dxa"/>
            <w:shd w:val="clear" w:color="auto" w:fill="auto"/>
            <w:vAlign w:val="bottom"/>
          </w:tcPr>
          <w:p w14:paraId="034019BD"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31</w:t>
            </w:r>
          </w:p>
        </w:tc>
      </w:tr>
      <w:tr w:rsidR="004C1B16" w:rsidRPr="004C1B16" w14:paraId="3ABFE0EE" w14:textId="77777777" w:rsidTr="004C1B16">
        <w:trPr>
          <w:trHeight w:val="118"/>
          <w:jc w:val="center"/>
        </w:trPr>
        <w:tc>
          <w:tcPr>
            <w:tcW w:w="2160" w:type="dxa"/>
            <w:shd w:val="clear" w:color="auto" w:fill="auto"/>
            <w:vAlign w:val="bottom"/>
          </w:tcPr>
          <w:p w14:paraId="165B22C1"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2016</w:t>
            </w:r>
          </w:p>
        </w:tc>
        <w:tc>
          <w:tcPr>
            <w:tcW w:w="2200" w:type="dxa"/>
            <w:shd w:val="clear" w:color="auto" w:fill="auto"/>
            <w:vAlign w:val="bottom"/>
          </w:tcPr>
          <w:p w14:paraId="41510833"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SUP</w:t>
            </w:r>
          </w:p>
        </w:tc>
        <w:tc>
          <w:tcPr>
            <w:tcW w:w="1680" w:type="dxa"/>
            <w:shd w:val="clear" w:color="auto" w:fill="auto"/>
            <w:vAlign w:val="bottom"/>
          </w:tcPr>
          <w:p w14:paraId="5CB46E4F"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157</w:t>
            </w:r>
          </w:p>
        </w:tc>
        <w:tc>
          <w:tcPr>
            <w:tcW w:w="1500" w:type="dxa"/>
            <w:shd w:val="clear" w:color="auto" w:fill="auto"/>
            <w:vAlign w:val="bottom"/>
          </w:tcPr>
          <w:p w14:paraId="10F8A81D"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58</w:t>
            </w:r>
          </w:p>
        </w:tc>
        <w:tc>
          <w:tcPr>
            <w:tcW w:w="1540" w:type="dxa"/>
            <w:shd w:val="clear" w:color="auto" w:fill="auto"/>
            <w:vAlign w:val="bottom"/>
          </w:tcPr>
          <w:p w14:paraId="2E562B17"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74</w:t>
            </w:r>
          </w:p>
        </w:tc>
      </w:tr>
      <w:tr w:rsidR="004C1B16" w:rsidRPr="004C1B16" w14:paraId="0288CB0C" w14:textId="77777777" w:rsidTr="004C1B16">
        <w:trPr>
          <w:trHeight w:val="118"/>
          <w:jc w:val="center"/>
        </w:trPr>
        <w:tc>
          <w:tcPr>
            <w:tcW w:w="2160" w:type="dxa"/>
            <w:shd w:val="clear" w:color="auto" w:fill="auto"/>
            <w:vAlign w:val="bottom"/>
          </w:tcPr>
          <w:p w14:paraId="6E24E08D"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2015-2016</w:t>
            </w:r>
          </w:p>
        </w:tc>
        <w:tc>
          <w:tcPr>
            <w:tcW w:w="2200" w:type="dxa"/>
            <w:shd w:val="clear" w:color="auto" w:fill="auto"/>
            <w:vAlign w:val="bottom"/>
          </w:tcPr>
          <w:p w14:paraId="17C7761D" w14:textId="77777777" w:rsidR="004C1B16" w:rsidRPr="004C1B16" w:rsidRDefault="004C1B16" w:rsidP="004C1B16">
            <w:pPr>
              <w:spacing w:before="0" w:after="0" w:line="240" w:lineRule="auto"/>
              <w:jc w:val="center"/>
              <w:rPr>
                <w:rFonts w:cs="Calibri"/>
                <w:b/>
                <w:sz w:val="20"/>
                <w:szCs w:val="20"/>
                <w:lang w:val="sr-Latn-RS" w:eastAsia="en-US"/>
              </w:rPr>
            </w:pPr>
            <w:r w:rsidRPr="004C1B16">
              <w:rPr>
                <w:rFonts w:cs="Calibri"/>
                <w:b/>
                <w:sz w:val="20"/>
                <w:szCs w:val="20"/>
                <w:lang w:val="sr-Latn-RS" w:eastAsia="en-US"/>
              </w:rPr>
              <w:t>TA</w:t>
            </w:r>
          </w:p>
        </w:tc>
        <w:tc>
          <w:tcPr>
            <w:tcW w:w="1680" w:type="dxa"/>
            <w:shd w:val="clear" w:color="auto" w:fill="auto"/>
            <w:vAlign w:val="bottom"/>
          </w:tcPr>
          <w:p w14:paraId="5A0AF7CC"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575</w:t>
            </w:r>
          </w:p>
        </w:tc>
        <w:tc>
          <w:tcPr>
            <w:tcW w:w="1500" w:type="dxa"/>
            <w:shd w:val="clear" w:color="auto" w:fill="auto"/>
            <w:vAlign w:val="bottom"/>
          </w:tcPr>
          <w:p w14:paraId="71D12EF7" w14:textId="77777777" w:rsidR="004C1B16" w:rsidRPr="004C1B16" w:rsidRDefault="004C1B16" w:rsidP="004C1B16">
            <w:pPr>
              <w:spacing w:before="0" w:after="0" w:line="240" w:lineRule="auto"/>
              <w:jc w:val="center"/>
              <w:rPr>
                <w:rFonts w:cs="Calibri"/>
                <w:b/>
                <w:sz w:val="20"/>
                <w:szCs w:val="20"/>
                <w:lang w:val="sr-Latn-RS" w:eastAsia="en-US"/>
              </w:rPr>
            </w:pPr>
            <w:r w:rsidRPr="004C1B16">
              <w:rPr>
                <w:rFonts w:cs="Calibri"/>
                <w:b/>
                <w:sz w:val="20"/>
                <w:szCs w:val="20"/>
                <w:lang w:val="sr-Latn-RS" w:eastAsia="en-US"/>
              </w:rPr>
              <w:t>149</w:t>
            </w:r>
          </w:p>
        </w:tc>
        <w:tc>
          <w:tcPr>
            <w:tcW w:w="1540" w:type="dxa"/>
            <w:shd w:val="clear" w:color="auto" w:fill="auto"/>
            <w:vAlign w:val="bottom"/>
          </w:tcPr>
          <w:p w14:paraId="01039C1E"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256</w:t>
            </w:r>
          </w:p>
        </w:tc>
      </w:tr>
      <w:tr w:rsidR="004C1B16" w:rsidRPr="004C1B16" w14:paraId="636834C3" w14:textId="77777777" w:rsidTr="004C1B16">
        <w:trPr>
          <w:trHeight w:val="118"/>
          <w:jc w:val="center"/>
        </w:trPr>
        <w:tc>
          <w:tcPr>
            <w:tcW w:w="2160" w:type="dxa"/>
            <w:shd w:val="clear" w:color="auto" w:fill="auto"/>
            <w:vAlign w:val="bottom"/>
          </w:tcPr>
          <w:p w14:paraId="54E23BEA"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2015-2016</w:t>
            </w:r>
          </w:p>
        </w:tc>
        <w:tc>
          <w:tcPr>
            <w:tcW w:w="2200" w:type="dxa"/>
            <w:shd w:val="clear" w:color="auto" w:fill="auto"/>
            <w:vAlign w:val="bottom"/>
          </w:tcPr>
          <w:p w14:paraId="062159F6"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FISH</w:t>
            </w:r>
          </w:p>
        </w:tc>
        <w:tc>
          <w:tcPr>
            <w:tcW w:w="1680" w:type="dxa"/>
            <w:shd w:val="clear" w:color="auto" w:fill="auto"/>
            <w:vAlign w:val="bottom"/>
          </w:tcPr>
          <w:p w14:paraId="4884E458"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107</w:t>
            </w:r>
          </w:p>
        </w:tc>
        <w:tc>
          <w:tcPr>
            <w:tcW w:w="1500" w:type="dxa"/>
            <w:shd w:val="clear" w:color="auto" w:fill="auto"/>
            <w:vAlign w:val="bottom"/>
          </w:tcPr>
          <w:p w14:paraId="2D38E3BB"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22</w:t>
            </w:r>
          </w:p>
        </w:tc>
        <w:tc>
          <w:tcPr>
            <w:tcW w:w="1540" w:type="dxa"/>
            <w:shd w:val="clear" w:color="auto" w:fill="auto"/>
            <w:vAlign w:val="bottom"/>
          </w:tcPr>
          <w:p w14:paraId="7A8535A7"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31</w:t>
            </w:r>
          </w:p>
        </w:tc>
      </w:tr>
      <w:tr w:rsidR="004C1B16" w:rsidRPr="004C1B16" w14:paraId="10094E16" w14:textId="77777777" w:rsidTr="004C1B16">
        <w:trPr>
          <w:trHeight w:val="118"/>
          <w:jc w:val="center"/>
        </w:trPr>
        <w:tc>
          <w:tcPr>
            <w:tcW w:w="2160" w:type="dxa"/>
            <w:shd w:val="clear" w:color="auto" w:fill="auto"/>
            <w:vAlign w:val="bottom"/>
          </w:tcPr>
          <w:p w14:paraId="2FBD08AA"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2015-2016</w:t>
            </w:r>
          </w:p>
        </w:tc>
        <w:tc>
          <w:tcPr>
            <w:tcW w:w="2200" w:type="dxa"/>
            <w:shd w:val="clear" w:color="auto" w:fill="auto"/>
            <w:vAlign w:val="bottom"/>
          </w:tcPr>
          <w:p w14:paraId="020223D9"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SUP</w:t>
            </w:r>
          </w:p>
        </w:tc>
        <w:tc>
          <w:tcPr>
            <w:tcW w:w="1680" w:type="dxa"/>
            <w:shd w:val="clear" w:color="auto" w:fill="auto"/>
            <w:vAlign w:val="bottom"/>
          </w:tcPr>
          <w:p w14:paraId="2725F741"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201</w:t>
            </w:r>
          </w:p>
        </w:tc>
        <w:tc>
          <w:tcPr>
            <w:tcW w:w="1500" w:type="dxa"/>
            <w:shd w:val="clear" w:color="auto" w:fill="auto"/>
            <w:vAlign w:val="bottom"/>
          </w:tcPr>
          <w:p w14:paraId="768B2DA9"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58</w:t>
            </w:r>
          </w:p>
        </w:tc>
        <w:tc>
          <w:tcPr>
            <w:tcW w:w="1540" w:type="dxa"/>
            <w:shd w:val="clear" w:color="auto" w:fill="auto"/>
            <w:vAlign w:val="bottom"/>
          </w:tcPr>
          <w:p w14:paraId="5463B450" w14:textId="77777777" w:rsidR="004C1B16" w:rsidRPr="004C1B16" w:rsidRDefault="004C1B16" w:rsidP="004C1B16">
            <w:pPr>
              <w:spacing w:before="0" w:after="0" w:line="240" w:lineRule="auto"/>
              <w:jc w:val="center"/>
              <w:rPr>
                <w:rFonts w:cs="Calibri"/>
                <w:sz w:val="20"/>
                <w:szCs w:val="20"/>
                <w:lang w:val="sr-Latn-RS" w:eastAsia="en-US"/>
              </w:rPr>
            </w:pPr>
            <w:r w:rsidRPr="004C1B16">
              <w:rPr>
                <w:rFonts w:cs="Calibri"/>
                <w:sz w:val="20"/>
                <w:szCs w:val="20"/>
                <w:lang w:val="sr-Latn-RS" w:eastAsia="en-US"/>
              </w:rPr>
              <w:t>89</w:t>
            </w:r>
          </w:p>
        </w:tc>
      </w:tr>
    </w:tbl>
    <w:p w14:paraId="5005607B" w14:textId="77777777" w:rsidR="004C1B16" w:rsidRPr="004C1B16" w:rsidRDefault="004C1B16" w:rsidP="004C1B16">
      <w:pPr>
        <w:spacing w:before="120" w:after="0" w:line="240" w:lineRule="auto"/>
        <w:rPr>
          <w:rFonts w:eastAsia="Calibri" w:cs="Calibri"/>
          <w:sz w:val="20"/>
          <w:szCs w:val="20"/>
          <w:lang w:val="sr-Latn-RS" w:eastAsia="en-US"/>
        </w:rPr>
      </w:pPr>
    </w:p>
    <w:p w14:paraId="79533B40"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b/>
          <w:bCs/>
          <w:szCs w:val="22"/>
          <w:lang w:val="sr-Latn-RS" w:eastAsia="en-US"/>
        </w:rPr>
        <w:t xml:space="preserve">Važno je napomenuti da su opušci/filteri od cigareta, parafin/vosak i vrste otpada &lt;2,5 cm izostavljeni iz kalkulacija za procjenu bazičnih vrijednosti (i vrijednosti praga) </w:t>
      </w:r>
      <w:r w:rsidRPr="004C1B16">
        <w:rPr>
          <w:rFonts w:eastAsia="Calibri" w:cs="Calibri"/>
          <w:szCs w:val="22"/>
          <w:lang w:val="sr-Latn-RS" w:eastAsia="en-US"/>
        </w:rPr>
        <w:t>zbog ekstremno visokih vrijednosti pomenutih pod-kategorija u većini praćenih plaža koje su korišćene za definiciju bazičnih vrijednosti.</w:t>
      </w:r>
      <w:r w:rsidRPr="004C1B16">
        <w:rPr>
          <w:rFonts w:eastAsia="Calibri" w:cs="Calibri"/>
          <w:b/>
          <w:bCs/>
          <w:szCs w:val="22"/>
          <w:lang w:val="sr-Latn-RS" w:eastAsia="en-US"/>
        </w:rPr>
        <w:t xml:space="preserve"> </w:t>
      </w:r>
      <w:r w:rsidRPr="004C1B16">
        <w:rPr>
          <w:rFonts w:eastAsia="Calibri" w:cs="Calibri"/>
          <w:szCs w:val="22"/>
          <w:lang w:val="sr-Latn-RS" w:eastAsia="en-US"/>
        </w:rPr>
        <w:t>Te su stavke izuzete kako bi se postigle snažnije vrijednosti ukupne abundance (TA) otpada na plažama. Nadalje, opušci od cigareta nisu uvršteni u grupu plastike za jednokratnu upotrebu (SUP). Kalkulacija ekstrapolacije na 100 m transekta plaže pokazala je da jako obilne vrste otpada (poput opušaka) mogu biti pogrešne i da nisu uporedive u evropskim razmjerama, te su iz tog razloga izostavljene iz kalkulacija bazičnih vrijednosti i vrijednosti praga.</w:t>
      </w:r>
    </w:p>
    <w:p w14:paraId="09150E06"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 xml:space="preserve">Uzimajući u obzir implikacije različitih faktora, poput robusnosti metode prema ekstremnim vrijednostima, ali i transparentnosti metode proračuna, TG ML (MSFD tehnička grupa za otpad u moru) složila se da koristi vrijednosti medijane kao metodu proračuna za prosječne vrijednosti otpada na plažama tokom svih istraživanja (Hanke, G. </w:t>
      </w:r>
      <w:r w:rsidRPr="004C1B16">
        <w:rPr>
          <w:rFonts w:eastAsia="Calibri" w:cs="Calibri"/>
          <w:i/>
          <w:iCs/>
          <w:szCs w:val="22"/>
          <w:lang w:val="sr-Latn-RS" w:eastAsia="en-US"/>
        </w:rPr>
        <w:t>et al</w:t>
      </w:r>
      <w:r w:rsidRPr="004C1B16">
        <w:rPr>
          <w:rFonts w:eastAsia="Calibri" w:cs="Calibri"/>
          <w:szCs w:val="22"/>
          <w:lang w:val="sr-Latn-RS" w:eastAsia="en-US"/>
        </w:rPr>
        <w:t>., 2019).</w:t>
      </w:r>
    </w:p>
    <w:p w14:paraId="07C7B4C1"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 xml:space="preserve">Osnovni skup podataka razvijen je unutar TG ML grupe. Proračun 10-og percentila baze podataka koja je korišćčena na nivou EU rezultirao je vrijednošću od 13 komada otpada na 100 m dužine obalne linije. Dalje razmatranje 95% intervala pouzdanosti TV-a (vrijednosti praga), odnosno vrijednosti procjene, dovelo je do </w:t>
      </w:r>
      <w:r w:rsidRPr="004C1B16">
        <w:rPr>
          <w:rFonts w:eastAsia="Calibri" w:cs="Calibri"/>
          <w:szCs w:val="22"/>
          <w:u w:val="single"/>
          <w:lang w:val="sr-Latn-RS" w:eastAsia="en-US"/>
        </w:rPr>
        <w:t>konačne vrijednosti praga od 20 komada otpada/100 m dužine plaže</w:t>
      </w:r>
      <w:r w:rsidRPr="004C1B16">
        <w:rPr>
          <w:rFonts w:eastAsia="Calibri" w:cs="Calibri"/>
          <w:szCs w:val="22"/>
          <w:lang w:val="sr-Latn-RS" w:eastAsia="en-US"/>
        </w:rPr>
        <w:t>, što odgovara 15-om percentilu vrijednosti osnovnog skupa podataka na nivou EU.</w:t>
      </w:r>
    </w:p>
    <w:p w14:paraId="136E08E9"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 xml:space="preserve">Vrijednosti praga, koje su sada obvezne u novim odredbama revidirane Odluke Komisije (2017/848/EU), trebali bi doprinjeti utvrđivanju niza karakteristika GES-a od strane država članica i omogućiti procjenu do koje mjere je GES postignut (Werner </w:t>
      </w:r>
      <w:r w:rsidRPr="004C1B16">
        <w:rPr>
          <w:rFonts w:eastAsia="Calibri" w:cs="Calibri"/>
          <w:i/>
          <w:iCs/>
          <w:szCs w:val="22"/>
          <w:lang w:val="sr-Latn-RS" w:eastAsia="en-US"/>
        </w:rPr>
        <w:t>et al</w:t>
      </w:r>
      <w:r w:rsidRPr="004C1B16">
        <w:rPr>
          <w:rFonts w:eastAsia="Calibri" w:cs="Calibri"/>
          <w:szCs w:val="22"/>
          <w:lang w:val="sr-Latn-RS" w:eastAsia="en-US"/>
        </w:rPr>
        <w:t>., 2020).</w:t>
      </w:r>
    </w:p>
    <w:p w14:paraId="7F58A057"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Postavljanje vrijednosti praga podrazumijeva da svako zagađenje otpadom iznad definisanih vrijednosti označava da GES nije postignut. Te vrijednosti ne mogu biti konačne u nekim aspektima, ali imaju za cilj da konsoliduju diskusiju u cilju definisanja vrijednosti praga za različite kriterijume otpada u moru. D10C1 i D10C2 je neophodno uspostaviti na nivou Evropske unije, D10C3 i D10C4 na regionalnom ili sub-regionalnom niovu.</w:t>
      </w:r>
    </w:p>
    <w:p w14:paraId="060C37AC"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 xml:space="preserve">Definicija numeričkih bazičnih vrijednosti i vrijednosti praga za otpad na morskom dnu i plutajući otpad na nivou EU još nije donesena, tako da se definicija GES-a neće procjenjivati ​​za te pokazatelje (iako se sa sigurnošću može reći da GES nije postignut). Međutim, COM DEC (EU) 2017/848 izričito kaže da bi, u slučajevima kada vrijednosti praga nisu definisane, države članice trebale bi uspostaviti ove vrijednosti unutar EU, regionalne ili sub-regionalne saradnje (Werner </w:t>
      </w:r>
      <w:r w:rsidRPr="004C1B16">
        <w:rPr>
          <w:rFonts w:eastAsia="Calibri" w:cs="Calibri"/>
          <w:i/>
          <w:iCs/>
          <w:szCs w:val="22"/>
          <w:lang w:val="sr-Latn-RS" w:eastAsia="en-US"/>
        </w:rPr>
        <w:t>et al</w:t>
      </w:r>
      <w:r w:rsidRPr="004C1B16">
        <w:rPr>
          <w:rFonts w:eastAsia="Calibri" w:cs="Calibri"/>
          <w:szCs w:val="22"/>
          <w:lang w:val="sr-Latn-RS" w:eastAsia="en-US"/>
        </w:rPr>
        <w:t>., 2020.).</w:t>
      </w:r>
    </w:p>
    <w:p w14:paraId="1DC083F3" w14:textId="77777777" w:rsidR="004C1B16" w:rsidRPr="004C1B16" w:rsidRDefault="004C1B16" w:rsidP="004C1B16">
      <w:pPr>
        <w:spacing w:before="120" w:after="160"/>
        <w:rPr>
          <w:rFonts w:eastAsia="Calibri" w:cs="Calibri"/>
          <w:szCs w:val="22"/>
          <w:lang w:val="sr-Latn-RS" w:eastAsia="en-US"/>
        </w:rPr>
      </w:pPr>
    </w:p>
    <w:p w14:paraId="00D6BA29" w14:textId="0D389B49" w:rsidR="004C1B16" w:rsidRPr="00895BE2" w:rsidRDefault="004C1B16" w:rsidP="00895BE2">
      <w:pPr>
        <w:pStyle w:val="Heading3"/>
        <w:rPr>
          <w:lang w:val="sr-Latn-RS" w:eastAsia="en-US"/>
        </w:rPr>
      </w:pPr>
      <w:r w:rsidRPr="004C1B16">
        <w:rPr>
          <w:lang w:val="sr-Latn-RS" w:eastAsia="en-US"/>
        </w:rPr>
        <w:t xml:space="preserve"> </w:t>
      </w:r>
      <w:bookmarkStart w:id="279" w:name="_Toc83630956"/>
      <w:r w:rsidRPr="004C1B16">
        <w:rPr>
          <w:lang w:val="sr-Latn-RS"/>
        </w:rPr>
        <w:t>Postizanje GES-a</w:t>
      </w:r>
      <w:bookmarkEnd w:id="279"/>
      <w:r w:rsidRPr="004C1B16">
        <w:rPr>
          <w:lang w:val="sr-Latn-RS" w:eastAsia="en-US"/>
        </w:rPr>
        <w:t xml:space="preserve"> </w:t>
      </w:r>
    </w:p>
    <w:p w14:paraId="48B05D08" w14:textId="77777777" w:rsidR="004C1B16" w:rsidRPr="004C1B16" w:rsidRDefault="004C1B16" w:rsidP="00C6266F">
      <w:pPr>
        <w:spacing w:before="0" w:after="120"/>
        <w:rPr>
          <w:rFonts w:eastAsia="Calibri" w:cs="Calibri"/>
          <w:szCs w:val="22"/>
          <w:lang w:val="sr-Latn-RS" w:eastAsia="en-US"/>
        </w:rPr>
      </w:pPr>
      <w:r w:rsidRPr="004C1B16">
        <w:rPr>
          <w:rFonts w:eastAsia="Calibri" w:cs="Calibri"/>
          <w:szCs w:val="22"/>
          <w:lang w:val="sr-Latn-RS" w:eastAsia="en-US"/>
        </w:rPr>
        <w:t>Iako je otpad u moru problem koji se u većini slučajeva ne može posmatrati samo na nacionalnom nivou, jer ne poznaje granice, dostupni podaci su predstavljeni samo za teritorijalno more i obalu Crne Gore (Tabela 2.46). Ono što se pojavljuje kao problem za adekvatnu procjenu GES-a je nedostatak niza podataka (barem šestogodišnjeg ciklusa) na osnovu kojih bi se utvrdili trendovi. Ipak, za sve indikatore obuhvaćene ovim dokumentom, GES je procjenjen na osnovu dostupnih podataka i dostupnih bazičnih i vrijednosti praga za:</w:t>
      </w:r>
    </w:p>
    <w:p w14:paraId="30EDE735" w14:textId="77777777" w:rsidR="004C1B16" w:rsidRPr="004C1B16" w:rsidRDefault="004C1B16" w:rsidP="00C6266F">
      <w:pPr>
        <w:spacing w:before="0" w:after="120"/>
        <w:rPr>
          <w:rFonts w:eastAsia="Calibri" w:cs="Calibri"/>
          <w:szCs w:val="22"/>
          <w:lang w:val="sr-Latn-RS" w:eastAsia="en-US"/>
        </w:rPr>
      </w:pPr>
      <w:r w:rsidRPr="004C1B16">
        <w:rPr>
          <w:rFonts w:eastAsia="Calibri" w:cs="Calibri"/>
          <w:szCs w:val="22"/>
          <w:lang w:val="sr-Latn-RS" w:eastAsia="en-US"/>
        </w:rPr>
        <w:t>Primarni kriterijum - D10C1: Sastav, količina i prostorna distribucija otpada na obalnoj liniji, u površinskom sloju vodenog stuba i na morskom dnu, nalaze se na nivoima koji ne nanose štetu obalnom i morskom ekosistemu;</w:t>
      </w:r>
    </w:p>
    <w:p w14:paraId="31CB9F64" w14:textId="77777777" w:rsidR="004C1B16" w:rsidRPr="004C1B16" w:rsidRDefault="004C1B16" w:rsidP="00C6266F">
      <w:pPr>
        <w:spacing w:before="0" w:after="120"/>
        <w:rPr>
          <w:rFonts w:eastAsia="Calibri" w:cs="Calibri"/>
          <w:szCs w:val="22"/>
          <w:lang w:val="sr-Latn-RS" w:eastAsia="en-US"/>
        </w:rPr>
      </w:pPr>
      <w:r w:rsidRPr="004C1B16">
        <w:rPr>
          <w:rFonts w:eastAsia="Calibri" w:cs="Calibri"/>
          <w:szCs w:val="22"/>
          <w:lang w:val="sr-Latn-RS" w:eastAsia="en-US"/>
        </w:rPr>
        <w:t>djelimično za sekundarni kriterijum - D10C3: Količina otpada i mikro-otpada koji progutaju morske životinje na nivou je koji ne utiče štetno na zdravlje dotične vrste.</w:t>
      </w:r>
    </w:p>
    <w:p w14:paraId="6BAE8F93" w14:textId="77777777" w:rsidR="004C1B16" w:rsidRPr="004C1B16" w:rsidRDefault="004C1B16" w:rsidP="00C6266F">
      <w:pPr>
        <w:spacing w:before="0" w:after="120"/>
        <w:rPr>
          <w:rFonts w:eastAsia="Calibri" w:cs="Calibri"/>
          <w:szCs w:val="22"/>
          <w:lang w:val="sr-Latn-RS" w:eastAsia="en-US"/>
        </w:rPr>
      </w:pPr>
      <w:r w:rsidRPr="004C1B16">
        <w:rPr>
          <w:rFonts w:eastAsia="Calibri" w:cs="Calibri"/>
          <w:szCs w:val="22"/>
          <w:lang w:val="sr-Latn-RS" w:eastAsia="en-US"/>
        </w:rPr>
        <w:t>Razlika u indikatorima i kriterijumima je u tome što Odluka 2017/848 definiše obvezu država članica da utvrde vrijednosti praga za primarne kriterijume saradnjom na nivou Unije, uzimajući u obzir regionalne ili sub-regionalne specifičnosti. Glavna razlika između primarnih i sekundarnih kriterijuma je u tome što država članica ne mora pružiti obrazloženje u slučaju primjene sekundarnih kriterijuma. Na osnovu regionalne ili sub-regionalne saradnje, države članice trebale bi uspostaviti nacionalne vrijednosti pragova, trendove smjera ili vrijednosti praga za pritiske, kao zamjenske.</w:t>
      </w:r>
    </w:p>
    <w:p w14:paraId="22C6E8D9" w14:textId="77777777" w:rsidR="004C1B16" w:rsidRPr="004C1B16" w:rsidRDefault="004C1B16" w:rsidP="004C1B16">
      <w:pPr>
        <w:tabs>
          <w:tab w:val="left" w:pos="7328"/>
        </w:tabs>
        <w:spacing w:before="0" w:after="0"/>
        <w:rPr>
          <w:rFonts w:cs="Calibri"/>
          <w:b/>
          <w:bCs/>
          <w:szCs w:val="22"/>
          <w:lang w:val="sr-Latn-RS" w:eastAsia="en-US"/>
        </w:rPr>
      </w:pPr>
    </w:p>
    <w:p w14:paraId="50F0B27A" w14:textId="77777777" w:rsidR="00C6266F" w:rsidRDefault="00C6266F" w:rsidP="004C1B16">
      <w:pPr>
        <w:tabs>
          <w:tab w:val="left" w:pos="7328"/>
        </w:tabs>
        <w:spacing w:before="0"/>
        <w:rPr>
          <w:rFonts w:cs="Calibri"/>
          <w:b/>
          <w:bCs/>
          <w:szCs w:val="22"/>
          <w:lang w:val="sr-Latn-RS" w:eastAsia="en-US"/>
        </w:rPr>
      </w:pPr>
    </w:p>
    <w:p w14:paraId="43DF9CC8" w14:textId="77777777" w:rsidR="004C1B16" w:rsidRPr="004C1B16" w:rsidRDefault="004C1B16" w:rsidP="004C1B16">
      <w:pPr>
        <w:tabs>
          <w:tab w:val="left" w:pos="7328"/>
        </w:tabs>
        <w:spacing w:before="0"/>
        <w:rPr>
          <w:rFonts w:eastAsia="Calibri" w:cs="Calibri"/>
          <w:szCs w:val="22"/>
          <w:lang w:val="sr-Latn-RS" w:eastAsia="en-US"/>
        </w:rPr>
      </w:pPr>
      <w:bookmarkStart w:id="280" w:name="_Toc83643192"/>
      <w:r w:rsidRPr="004C1B16">
        <w:rPr>
          <w:rFonts w:cs="Calibri"/>
          <w:b/>
          <w:bCs/>
          <w:szCs w:val="22"/>
          <w:lang w:val="sr-Latn-RS" w:eastAsia="en-US"/>
        </w:rPr>
        <w:t xml:space="preserve">Tabela </w:t>
      </w:r>
      <w:r w:rsidRPr="004C1B16">
        <w:rPr>
          <w:rFonts w:cs="Calibri"/>
          <w:b/>
          <w:szCs w:val="22"/>
          <w:lang w:val="sr-Latn-RS"/>
        </w:rPr>
        <w:fldChar w:fldCharType="begin"/>
      </w:r>
      <w:r w:rsidRPr="004C1B16">
        <w:rPr>
          <w:rFonts w:cs="Calibri"/>
          <w:b/>
          <w:szCs w:val="22"/>
          <w:lang w:val="sr-Latn-RS"/>
        </w:rPr>
        <w:instrText xml:space="preserve"> STYLEREF 1 \s </w:instrText>
      </w:r>
      <w:r w:rsidRPr="004C1B16">
        <w:rPr>
          <w:rFonts w:cs="Calibri"/>
          <w:b/>
          <w:szCs w:val="22"/>
          <w:lang w:val="sr-Latn-RS"/>
        </w:rPr>
        <w:fldChar w:fldCharType="separate"/>
      </w:r>
      <w:r w:rsidR="000D1E20">
        <w:rPr>
          <w:rFonts w:cs="Calibri"/>
          <w:b/>
          <w:noProof/>
          <w:szCs w:val="22"/>
          <w:lang w:val="sr-Latn-RS"/>
        </w:rPr>
        <w:t>2</w:t>
      </w:r>
      <w:r w:rsidRPr="004C1B16">
        <w:rPr>
          <w:rFonts w:cs="Calibri"/>
          <w:b/>
          <w:szCs w:val="22"/>
          <w:lang w:val="sr-Latn-RS"/>
        </w:rPr>
        <w:fldChar w:fldCharType="end"/>
      </w:r>
      <w:r w:rsidRPr="004C1B16">
        <w:rPr>
          <w:rFonts w:cs="Calibri"/>
          <w:b/>
          <w:szCs w:val="22"/>
          <w:lang w:val="sr-Latn-RS"/>
        </w:rPr>
        <w:t>.</w:t>
      </w:r>
      <w:r w:rsidRPr="004C1B16">
        <w:rPr>
          <w:rFonts w:cs="Calibri"/>
          <w:b/>
          <w:szCs w:val="22"/>
          <w:lang w:val="sr-Latn-RS"/>
        </w:rPr>
        <w:fldChar w:fldCharType="begin"/>
      </w:r>
      <w:r w:rsidRPr="004C1B16">
        <w:rPr>
          <w:rFonts w:cs="Calibri"/>
          <w:b/>
          <w:szCs w:val="22"/>
          <w:lang w:val="sr-Latn-RS"/>
        </w:rPr>
        <w:instrText xml:space="preserve"> SEQ Table \* ARABIC \s 1 </w:instrText>
      </w:r>
      <w:r w:rsidRPr="004C1B16">
        <w:rPr>
          <w:rFonts w:cs="Calibri"/>
          <w:b/>
          <w:szCs w:val="22"/>
          <w:lang w:val="sr-Latn-RS"/>
        </w:rPr>
        <w:fldChar w:fldCharType="separate"/>
      </w:r>
      <w:r w:rsidR="000D1E20">
        <w:rPr>
          <w:rFonts w:cs="Calibri"/>
          <w:b/>
          <w:noProof/>
          <w:szCs w:val="22"/>
          <w:lang w:val="sr-Latn-RS"/>
        </w:rPr>
        <w:t>34</w:t>
      </w:r>
      <w:r w:rsidRPr="004C1B16">
        <w:rPr>
          <w:rFonts w:cs="Calibri"/>
          <w:b/>
          <w:szCs w:val="22"/>
          <w:lang w:val="sr-Latn-RS"/>
        </w:rPr>
        <w:fldChar w:fldCharType="end"/>
      </w:r>
      <w:r w:rsidRPr="004C1B16">
        <w:rPr>
          <w:rFonts w:cs="Calibri"/>
          <w:b/>
          <w:szCs w:val="22"/>
          <w:lang w:val="sr-Latn-RS"/>
        </w:rPr>
        <w:t>.</w:t>
      </w:r>
      <w:r w:rsidRPr="004C1B16">
        <w:rPr>
          <w:rFonts w:eastAsia="Calibri" w:cs="Calibri"/>
          <w:b/>
          <w:szCs w:val="22"/>
          <w:lang w:val="sr-Latn-RS" w:eastAsia="en-US"/>
        </w:rPr>
        <w:t xml:space="preserve"> </w:t>
      </w:r>
      <w:r w:rsidRPr="004C1B16">
        <w:rPr>
          <w:rFonts w:cs="Calibri"/>
          <w:b/>
          <w:bCs/>
          <w:szCs w:val="22"/>
          <w:lang w:val="sr-Latn-RS" w:eastAsia="en-US"/>
        </w:rPr>
        <w:t xml:space="preserve"> </w:t>
      </w:r>
      <w:r w:rsidRPr="004C1B16">
        <w:rPr>
          <w:rFonts w:eastAsia="Calibri" w:cs="Calibri"/>
          <w:b/>
          <w:szCs w:val="22"/>
          <w:lang w:val="sr-Latn-RS" w:eastAsia="en-US"/>
        </w:rPr>
        <w:t>GES procjena po kriterijumima u skladu sa odlukom Komisije 2017/845/EU</w:t>
      </w:r>
      <w:bookmarkEnd w:id="280"/>
      <w:r w:rsidRPr="004C1B16">
        <w:rPr>
          <w:rFonts w:eastAsia="Calibri" w:cs="Calibri"/>
          <w:b/>
          <w:bCs/>
          <w:szCs w:val="22"/>
          <w:lang w:val="sr-Latn-RS" w:eastAsia="en-US"/>
        </w:rPr>
        <w:t xml:space="preserve"> </w:t>
      </w:r>
    </w:p>
    <w:tbl>
      <w:tblPr>
        <w:tblStyle w:val="GolderTable31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387"/>
        <w:gridCol w:w="7629"/>
      </w:tblGrid>
      <w:tr w:rsidR="005E5218" w:rsidRPr="004C1B16" w14:paraId="40A73AC8" w14:textId="77777777" w:rsidTr="00C44CA3">
        <w:trPr>
          <w:trHeight w:val="391"/>
          <w:tblHeader/>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4D107903" w14:textId="77777777" w:rsidR="005E5218" w:rsidRDefault="005E5218" w:rsidP="005E5218">
            <w:pPr>
              <w:spacing w:before="0" w:after="0" w:line="240" w:lineRule="auto"/>
              <w:jc w:val="center"/>
              <w:rPr>
                <w:rFonts w:cs="Calibri"/>
                <w:b/>
                <w:color w:val="FFFFFF" w:themeColor="background1"/>
                <w:lang w:val="sr-Latn-RS" w:eastAsia="en-US"/>
              </w:rPr>
            </w:pPr>
            <w:r w:rsidRPr="005E5218">
              <w:rPr>
                <w:rFonts w:cs="Calibri"/>
                <w:b/>
                <w:color w:val="FFFFFF" w:themeColor="background1"/>
                <w:lang w:val="sr-Latn-RS" w:eastAsia="en-US"/>
              </w:rPr>
              <w:t>Područje procjene: nacionalni nivo – crnogorski dio Jadrana</w:t>
            </w:r>
          </w:p>
          <w:p w14:paraId="66B81FC2" w14:textId="407E6C60" w:rsidR="005E5218" w:rsidRPr="005E5218" w:rsidRDefault="005E5218" w:rsidP="005E5218">
            <w:pPr>
              <w:spacing w:before="0" w:after="0" w:line="240" w:lineRule="auto"/>
              <w:jc w:val="center"/>
              <w:rPr>
                <w:rFonts w:cs="Calibri"/>
                <w:b/>
                <w:color w:val="FFFFFF" w:themeColor="background1"/>
                <w:lang w:val="sr-Latn-RS" w:eastAsia="en-US"/>
              </w:rPr>
            </w:pPr>
          </w:p>
        </w:tc>
      </w:tr>
      <w:tr w:rsidR="004C1B16" w:rsidRPr="004C1B16" w14:paraId="668E6848" w14:textId="77777777" w:rsidTr="00C44CA3">
        <w:trPr>
          <w:tblHeader/>
        </w:trPr>
        <w:tc>
          <w:tcPr>
            <w:tcW w:w="13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48E7739" w14:textId="77777777" w:rsidR="004C1B16" w:rsidRPr="00895BE2" w:rsidRDefault="004C1B16" w:rsidP="004C1B16">
            <w:pPr>
              <w:spacing w:before="0" w:after="0" w:line="240" w:lineRule="auto"/>
              <w:rPr>
                <w:rFonts w:cs="Calibri"/>
                <w:b/>
                <w:color w:val="FFFFFF" w:themeColor="background1"/>
                <w:sz w:val="20"/>
                <w:szCs w:val="20"/>
                <w:lang w:val="sr-Latn-RS" w:eastAsia="en-US"/>
              </w:rPr>
            </w:pPr>
            <w:r w:rsidRPr="00895BE2">
              <w:rPr>
                <w:rFonts w:cs="Calibri"/>
                <w:b/>
                <w:color w:val="FFFFFF" w:themeColor="background1"/>
                <w:sz w:val="20"/>
                <w:szCs w:val="20"/>
                <w:lang w:val="sr-Latn-RS" w:eastAsia="en-US"/>
              </w:rPr>
              <w:t>Kriterijum</w:t>
            </w:r>
          </w:p>
        </w:tc>
        <w:tc>
          <w:tcPr>
            <w:tcW w:w="76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1880CC5B" w14:textId="5635C102" w:rsidR="004C1B16" w:rsidRPr="00895BE2" w:rsidRDefault="00895BE2" w:rsidP="004C1B16">
            <w:pPr>
              <w:spacing w:before="0" w:after="0" w:line="240" w:lineRule="auto"/>
              <w:rPr>
                <w:rFonts w:cs="Calibri"/>
                <w:b/>
                <w:color w:val="FFFFFF" w:themeColor="background1"/>
                <w:sz w:val="20"/>
                <w:szCs w:val="20"/>
                <w:lang w:val="sr-Latn-RS" w:eastAsia="en-US"/>
              </w:rPr>
            </w:pPr>
            <w:r>
              <w:rPr>
                <w:rFonts w:cs="Calibri"/>
                <w:b/>
                <w:color w:val="FFFFFF" w:themeColor="background1"/>
                <w:sz w:val="20"/>
                <w:szCs w:val="20"/>
                <w:lang w:val="sr-Latn-RS" w:eastAsia="en-US"/>
              </w:rPr>
              <w:t>GES</w:t>
            </w:r>
          </w:p>
          <w:p w14:paraId="202C8246" w14:textId="77777777" w:rsidR="004C1B16" w:rsidRPr="00895BE2" w:rsidRDefault="004C1B16" w:rsidP="004C1B16">
            <w:pPr>
              <w:spacing w:before="0" w:after="0" w:line="240" w:lineRule="auto"/>
              <w:rPr>
                <w:rFonts w:cs="Calibri"/>
                <w:b/>
                <w:color w:val="FFFFFF" w:themeColor="background1"/>
                <w:sz w:val="20"/>
                <w:szCs w:val="20"/>
                <w:lang w:val="sr-Latn-RS" w:eastAsia="en-US"/>
              </w:rPr>
            </w:pPr>
          </w:p>
        </w:tc>
      </w:tr>
      <w:tr w:rsidR="004C1B16" w:rsidRPr="004C1B16" w14:paraId="32191E81" w14:textId="77777777" w:rsidTr="00C44CA3">
        <w:tc>
          <w:tcPr>
            <w:tcW w:w="1387" w:type="dxa"/>
            <w:tcBorders>
              <w:top w:val="single" w:sz="4" w:space="0" w:color="FFFFFF" w:themeColor="background1"/>
            </w:tcBorders>
          </w:tcPr>
          <w:p w14:paraId="00437C7C" w14:textId="77777777" w:rsidR="004C1B16" w:rsidRPr="004C1B16" w:rsidRDefault="004C1B16" w:rsidP="004C1B16">
            <w:pPr>
              <w:spacing w:before="0" w:after="0" w:line="240" w:lineRule="auto"/>
              <w:jc w:val="left"/>
              <w:rPr>
                <w:rFonts w:cs="Calibri"/>
                <w:sz w:val="20"/>
                <w:szCs w:val="20"/>
                <w:lang w:val="sr-Latn-RS" w:eastAsia="en-US"/>
              </w:rPr>
            </w:pPr>
            <w:r w:rsidRPr="004C1B16">
              <w:rPr>
                <w:rFonts w:cs="Calibri"/>
                <w:b/>
                <w:sz w:val="20"/>
                <w:szCs w:val="20"/>
                <w:lang w:val="sr-Latn-RS" w:eastAsia="en-US"/>
              </w:rPr>
              <w:t>D10C1</w:t>
            </w:r>
            <w:r w:rsidRPr="004C1B16">
              <w:rPr>
                <w:rFonts w:cs="Calibri"/>
                <w:sz w:val="20"/>
                <w:szCs w:val="20"/>
                <w:lang w:val="sr-Latn-RS" w:eastAsia="en-US"/>
              </w:rPr>
              <w:t xml:space="preserve"> </w:t>
            </w:r>
          </w:p>
        </w:tc>
        <w:tc>
          <w:tcPr>
            <w:tcW w:w="7629" w:type="dxa"/>
            <w:tcBorders>
              <w:top w:val="single" w:sz="4" w:space="0" w:color="FFFFFF" w:themeColor="background1"/>
            </w:tcBorders>
          </w:tcPr>
          <w:p w14:paraId="380B4ADC" w14:textId="77777777" w:rsidR="004C1B16" w:rsidRPr="004C1B16" w:rsidRDefault="004C1B16" w:rsidP="004C1B16">
            <w:pPr>
              <w:spacing w:before="120" w:line="240" w:lineRule="auto"/>
              <w:rPr>
                <w:rFonts w:cs="Calibri"/>
                <w:sz w:val="20"/>
                <w:szCs w:val="20"/>
                <w:shd w:val="clear" w:color="auto" w:fill="FFFFFF"/>
                <w:lang w:val="sr-Latn-RS" w:eastAsia="en-US"/>
              </w:rPr>
            </w:pPr>
            <w:r w:rsidRPr="004C1B16">
              <w:rPr>
                <w:rFonts w:cs="Calibri"/>
                <w:b/>
                <w:sz w:val="20"/>
                <w:szCs w:val="20"/>
                <w:lang w:val="sr-Latn-RS" w:eastAsia="en-US"/>
              </w:rPr>
              <w:t>Otpad na plažama:</w:t>
            </w:r>
            <w:r w:rsidRPr="004C1B16">
              <w:rPr>
                <w:rFonts w:cs="Calibri"/>
                <w:sz w:val="20"/>
                <w:szCs w:val="20"/>
                <w:lang w:val="sr-Latn-RS" w:eastAsia="en-US"/>
              </w:rPr>
              <w:t xml:space="preserve"> GES nije postignut s obzirom da količina otpada na obali prevazilazi EU vrijednosti praga od 20 komada otpada/100 m dužine transekta koji odgovara 15-om percentilu bazične grupe podataka</w:t>
            </w:r>
            <w:r w:rsidRPr="004C1B16">
              <w:rPr>
                <w:rFonts w:cs="Calibri"/>
                <w:sz w:val="20"/>
                <w:szCs w:val="20"/>
                <w:shd w:val="clear" w:color="auto" w:fill="FFFFFF"/>
                <w:vertAlign w:val="superscript"/>
                <w:lang w:val="sr-Latn-RS" w:eastAsia="en-US"/>
              </w:rPr>
              <w:footnoteReference w:id="52"/>
            </w:r>
            <w:r w:rsidRPr="004C1B16">
              <w:rPr>
                <w:rFonts w:cs="Calibri"/>
                <w:sz w:val="20"/>
                <w:szCs w:val="20"/>
                <w:lang w:val="sr-Latn-RS" w:eastAsia="en-US"/>
              </w:rPr>
              <w:t xml:space="preserve">   </w:t>
            </w:r>
          </w:p>
          <w:p w14:paraId="24439B0A" w14:textId="4FDE02AF" w:rsidR="004C1B16" w:rsidRPr="004C1B16" w:rsidRDefault="004C1B16" w:rsidP="004C1B16">
            <w:pPr>
              <w:spacing w:before="0" w:line="240" w:lineRule="auto"/>
              <w:rPr>
                <w:rFonts w:cs="Calibri"/>
                <w:sz w:val="20"/>
                <w:szCs w:val="20"/>
                <w:lang w:val="sr-Latn-RS" w:eastAsia="en-US"/>
              </w:rPr>
            </w:pPr>
            <w:r w:rsidRPr="004C1B16">
              <w:rPr>
                <w:rFonts w:cs="Calibri"/>
                <w:b/>
                <w:sz w:val="20"/>
                <w:szCs w:val="20"/>
                <w:lang w:val="sr-Latn-RS" w:eastAsia="en-US"/>
              </w:rPr>
              <w:t>Plutajući otpad</w:t>
            </w:r>
            <w:r w:rsidRPr="004C1B16">
              <w:rPr>
                <w:rFonts w:cs="Calibri"/>
                <w:sz w:val="20"/>
                <w:szCs w:val="20"/>
                <w:lang w:val="sr-Latn-RS" w:eastAsia="en-US"/>
              </w:rPr>
              <w:t xml:space="preserve">: Zbog nepostojanja </w:t>
            </w:r>
            <w:r w:rsidR="00EA7353">
              <w:rPr>
                <w:rFonts w:cs="Calibri"/>
                <w:sz w:val="20"/>
                <w:szCs w:val="20"/>
                <w:lang w:val="sr-Latn-RS" w:eastAsia="en-US"/>
              </w:rPr>
              <w:t>graničnih vrijednosti (praga)</w:t>
            </w:r>
            <w:r w:rsidRPr="004C1B16">
              <w:rPr>
                <w:rFonts w:cs="Calibri"/>
                <w:sz w:val="20"/>
                <w:szCs w:val="20"/>
                <w:lang w:val="sr-Latn-RS" w:eastAsia="en-US"/>
              </w:rPr>
              <w:t xml:space="preserve"> nije moguće procjeniti da li je postignut GES. Ipak, može se pretpostaviti da GES nije postignut jer su vrijednosti plutajućeg otpada koje su analizirane u crnogorskim vodama u opsegu od 58.33 – 167.9 komada/km</w:t>
            </w:r>
            <w:r w:rsidRPr="004C1B16">
              <w:rPr>
                <w:rFonts w:cs="Calibri"/>
                <w:sz w:val="20"/>
                <w:szCs w:val="20"/>
                <w:vertAlign w:val="superscript"/>
                <w:lang w:val="sr-Latn-RS" w:eastAsia="en-US"/>
              </w:rPr>
              <w:t>2</w:t>
            </w:r>
            <w:r w:rsidRPr="004C1B16">
              <w:rPr>
                <w:rFonts w:cs="Calibri"/>
                <w:sz w:val="20"/>
                <w:szCs w:val="20"/>
                <w:lang w:val="sr-Latn-RS" w:eastAsia="en-US"/>
              </w:rPr>
              <w:t>, sa prosječnom vrijednošću od 122.65 komada/km</w:t>
            </w:r>
            <w:r w:rsidRPr="004C1B16">
              <w:rPr>
                <w:rFonts w:cs="Calibri"/>
                <w:sz w:val="20"/>
                <w:szCs w:val="20"/>
                <w:vertAlign w:val="superscript"/>
                <w:lang w:val="sr-Latn-RS" w:eastAsia="en-US"/>
              </w:rPr>
              <w:t>2</w:t>
            </w:r>
            <w:r w:rsidRPr="004C1B16">
              <w:rPr>
                <w:rFonts w:cs="Calibri"/>
                <w:sz w:val="20"/>
                <w:szCs w:val="20"/>
                <w:lang w:val="sr-Latn-RS" w:eastAsia="en-US"/>
              </w:rPr>
              <w:t xml:space="preserve">. </w:t>
            </w:r>
          </w:p>
          <w:p w14:paraId="509F8A93" w14:textId="77777777" w:rsidR="004C1B16" w:rsidRPr="004C1B16" w:rsidRDefault="004C1B16" w:rsidP="004C1B16">
            <w:pPr>
              <w:spacing w:before="0" w:line="240" w:lineRule="auto"/>
              <w:rPr>
                <w:rFonts w:cs="Calibri"/>
                <w:sz w:val="20"/>
                <w:szCs w:val="20"/>
                <w:lang w:val="sr-Latn-RS" w:eastAsia="en-US"/>
              </w:rPr>
            </w:pPr>
            <w:r w:rsidRPr="004C1B16">
              <w:rPr>
                <w:rFonts w:cs="Calibri"/>
                <w:b/>
                <w:sz w:val="20"/>
                <w:szCs w:val="20"/>
                <w:lang w:val="sr-Latn-RS" w:eastAsia="en-US"/>
              </w:rPr>
              <w:t>Otpad na morskom dnu</w:t>
            </w:r>
            <w:r w:rsidRPr="004C1B16">
              <w:rPr>
                <w:rFonts w:cs="Calibri"/>
                <w:sz w:val="20"/>
                <w:szCs w:val="20"/>
                <w:lang w:val="sr-Latn-RS" w:eastAsia="en-US"/>
              </w:rPr>
              <w:t>: Zbog nepostojanja vrijednosti praga, nije moguće procjeniti da li je postignut GES. Ipak, može se pretpostaviti da GES nije postignut jer su vrijednosti otpada na morskom dnu koje su analizirane u crnogorskim vodama u opsegu od 10.1 – 1290.3 komada/km</w:t>
            </w:r>
            <w:r w:rsidRPr="004C1B16">
              <w:rPr>
                <w:rFonts w:cs="Calibri"/>
                <w:sz w:val="20"/>
                <w:szCs w:val="20"/>
                <w:vertAlign w:val="superscript"/>
                <w:lang w:val="sr-Latn-RS" w:eastAsia="en-US"/>
              </w:rPr>
              <w:t>2</w:t>
            </w:r>
            <w:r w:rsidRPr="004C1B16">
              <w:rPr>
                <w:rFonts w:cs="Calibri"/>
                <w:sz w:val="20"/>
                <w:szCs w:val="20"/>
                <w:lang w:val="sr-Latn-RS" w:eastAsia="en-US"/>
              </w:rPr>
              <w:t>, sa prosječnom vrijednošću od 260.67 komada/km</w:t>
            </w:r>
            <w:r w:rsidRPr="004C1B16">
              <w:rPr>
                <w:rFonts w:cs="Calibri"/>
                <w:sz w:val="20"/>
                <w:szCs w:val="20"/>
                <w:vertAlign w:val="superscript"/>
                <w:lang w:val="sr-Latn-RS" w:eastAsia="en-US"/>
              </w:rPr>
              <w:t>2</w:t>
            </w:r>
            <w:r w:rsidRPr="004C1B16">
              <w:rPr>
                <w:rFonts w:cs="Calibri"/>
                <w:sz w:val="20"/>
                <w:szCs w:val="20"/>
                <w:lang w:val="sr-Latn-RS" w:eastAsia="en-US"/>
              </w:rPr>
              <w:t>.</w:t>
            </w:r>
          </w:p>
          <w:p w14:paraId="13940F3C" w14:textId="77777777" w:rsidR="004C1B16" w:rsidRPr="004C1B16" w:rsidRDefault="004C1B16" w:rsidP="004C1B16">
            <w:pPr>
              <w:spacing w:before="0" w:line="240" w:lineRule="auto"/>
              <w:rPr>
                <w:rFonts w:cs="Calibri"/>
                <w:sz w:val="20"/>
                <w:szCs w:val="20"/>
                <w:lang w:val="sr-Latn-RS" w:eastAsia="en-US"/>
              </w:rPr>
            </w:pPr>
            <w:r w:rsidRPr="004C1B16">
              <w:rPr>
                <w:rFonts w:cs="Calibri"/>
                <w:sz w:val="20"/>
                <w:szCs w:val="20"/>
                <w:lang w:val="sr-Latn-RS" w:eastAsia="en-US"/>
              </w:rPr>
              <w:t>Kada je u pitanju otpad na morskom dnu koji je analiziran metodom autonomnog ronjenja, GES se ne može procjeniti, ali se pretpostavlja da GES nije postignut jer su vrijednosti otpada u plitkom priobalnom dijelu u opsegu od 0-64 komada/100m, sa prosječnom vrijednošću od 21.42 komada/100 m.</w:t>
            </w:r>
          </w:p>
        </w:tc>
      </w:tr>
      <w:tr w:rsidR="004C1B16" w:rsidRPr="004C1B16" w14:paraId="61D24E82" w14:textId="77777777" w:rsidTr="004C1B16">
        <w:tc>
          <w:tcPr>
            <w:tcW w:w="1387" w:type="dxa"/>
          </w:tcPr>
          <w:p w14:paraId="08B40D10" w14:textId="77777777" w:rsidR="004C1B16" w:rsidRPr="004C1B16" w:rsidRDefault="004C1B16" w:rsidP="004C1B16">
            <w:pPr>
              <w:spacing w:before="0" w:after="0" w:line="240" w:lineRule="auto"/>
              <w:rPr>
                <w:rFonts w:cs="Calibri"/>
                <w:b/>
                <w:sz w:val="20"/>
                <w:szCs w:val="20"/>
                <w:lang w:val="sr-Latn-RS" w:eastAsia="en-US"/>
              </w:rPr>
            </w:pPr>
            <w:r w:rsidRPr="004C1B16">
              <w:rPr>
                <w:rFonts w:cs="Calibri"/>
                <w:b/>
                <w:sz w:val="20"/>
                <w:szCs w:val="20"/>
                <w:lang w:val="sr-Latn-RS" w:eastAsia="en-US"/>
              </w:rPr>
              <w:t>D10C2</w:t>
            </w:r>
          </w:p>
          <w:p w14:paraId="7E65DC40" w14:textId="77777777" w:rsidR="004C1B16" w:rsidRPr="004C1B16" w:rsidRDefault="004C1B16" w:rsidP="004C1B16">
            <w:pPr>
              <w:spacing w:before="0" w:after="0" w:line="240" w:lineRule="auto"/>
              <w:jc w:val="left"/>
              <w:rPr>
                <w:rFonts w:cs="Calibri"/>
                <w:sz w:val="20"/>
                <w:szCs w:val="20"/>
                <w:lang w:val="sr-Latn-RS" w:eastAsia="en-US"/>
              </w:rPr>
            </w:pPr>
          </w:p>
        </w:tc>
        <w:tc>
          <w:tcPr>
            <w:tcW w:w="7629" w:type="dxa"/>
          </w:tcPr>
          <w:p w14:paraId="24BF815B" w14:textId="77777777" w:rsidR="004C1B16" w:rsidRPr="004C1B16" w:rsidRDefault="004C1B16" w:rsidP="004C1B16">
            <w:pPr>
              <w:spacing w:before="0" w:after="0" w:line="240" w:lineRule="auto"/>
              <w:rPr>
                <w:rFonts w:cs="Calibri"/>
                <w:sz w:val="20"/>
                <w:szCs w:val="20"/>
                <w:lang w:val="sr-Latn-RS" w:eastAsia="en-US"/>
              </w:rPr>
            </w:pPr>
            <w:r w:rsidRPr="004C1B16">
              <w:rPr>
                <w:rFonts w:cs="Calibri"/>
                <w:sz w:val="20"/>
                <w:szCs w:val="20"/>
                <w:lang w:val="sr-Latn-RS" w:eastAsia="en-US"/>
              </w:rPr>
              <w:t xml:space="preserve">Ne postoje podaci za mikro-otpad u vodenom stubu. </w:t>
            </w:r>
          </w:p>
        </w:tc>
      </w:tr>
      <w:tr w:rsidR="004C1B16" w:rsidRPr="004C1B16" w14:paraId="6F7B5D62" w14:textId="77777777" w:rsidTr="004C1B16">
        <w:tc>
          <w:tcPr>
            <w:tcW w:w="1387" w:type="dxa"/>
          </w:tcPr>
          <w:p w14:paraId="5C1AB1E2" w14:textId="77777777" w:rsidR="004C1B16" w:rsidRPr="004C1B16" w:rsidRDefault="004C1B16" w:rsidP="004C1B16">
            <w:pPr>
              <w:spacing w:before="0" w:after="0" w:line="240" w:lineRule="auto"/>
              <w:rPr>
                <w:rFonts w:cs="Calibri"/>
                <w:sz w:val="20"/>
                <w:szCs w:val="20"/>
                <w:lang w:val="sr-Latn-RS" w:eastAsia="en-US"/>
              </w:rPr>
            </w:pPr>
            <w:r w:rsidRPr="004C1B16">
              <w:rPr>
                <w:rFonts w:cs="Calibri"/>
                <w:b/>
                <w:sz w:val="20"/>
                <w:szCs w:val="20"/>
                <w:lang w:val="sr-Latn-RS" w:eastAsia="en-US"/>
              </w:rPr>
              <w:t>D10C3</w:t>
            </w:r>
          </w:p>
          <w:p w14:paraId="07271115" w14:textId="77777777" w:rsidR="004C1B16" w:rsidRPr="004C1B16" w:rsidRDefault="004C1B16" w:rsidP="004C1B16">
            <w:pPr>
              <w:spacing w:before="0" w:after="0" w:line="240" w:lineRule="auto"/>
              <w:jc w:val="left"/>
              <w:rPr>
                <w:rFonts w:cs="Calibri"/>
                <w:sz w:val="20"/>
                <w:szCs w:val="20"/>
                <w:lang w:val="sr-Latn-RS" w:eastAsia="en-US"/>
              </w:rPr>
            </w:pPr>
          </w:p>
        </w:tc>
        <w:tc>
          <w:tcPr>
            <w:tcW w:w="7629" w:type="dxa"/>
          </w:tcPr>
          <w:p w14:paraId="00C70E47" w14:textId="77777777" w:rsidR="004C1B16" w:rsidRPr="004C1B16" w:rsidRDefault="004C1B16" w:rsidP="004C1B16">
            <w:pPr>
              <w:spacing w:before="0" w:after="0"/>
              <w:rPr>
                <w:rFonts w:cs="Calibri"/>
                <w:bCs/>
                <w:color w:val="000000"/>
                <w:sz w:val="20"/>
                <w:szCs w:val="20"/>
                <w:lang w:val="sr-Latn-RS" w:eastAsia="en-US"/>
              </w:rPr>
            </w:pPr>
            <w:r w:rsidRPr="004C1B16">
              <w:rPr>
                <w:rFonts w:cs="Calibri"/>
                <w:bCs/>
                <w:color w:val="000000"/>
                <w:sz w:val="20"/>
                <w:szCs w:val="20"/>
                <w:lang w:val="sr-Latn-RS" w:eastAsia="en-US"/>
              </w:rPr>
              <w:t xml:space="preserve">Nije moguće procijeniti pravo stanje ribljih populacija u odnosu na zagađenje makroplastikom, s obzirom da podaci postoje samo za jedan ispitivani period (2014-2015). Međutim, postojeći podaci pokazuju da su sve ispitivane vrste imale progutan makro-otpad u crijevima; posebno pelagične i mezopelagične vrste </w:t>
            </w:r>
            <w:r w:rsidRPr="004C1B16">
              <w:rPr>
                <w:rFonts w:cs="Calibri"/>
                <w:bCs/>
                <w:i/>
                <w:iCs/>
                <w:color w:val="000000"/>
                <w:sz w:val="20"/>
                <w:szCs w:val="20"/>
                <w:lang w:val="sr-Latn-RS" w:eastAsia="en-US"/>
              </w:rPr>
              <w:t>S. pilchardus, S. japonicus i T. trachurus</w:t>
            </w:r>
            <w:r w:rsidRPr="004C1B16">
              <w:rPr>
                <w:rFonts w:cs="Calibri"/>
                <w:bCs/>
                <w:color w:val="000000"/>
                <w:sz w:val="20"/>
                <w:szCs w:val="20"/>
                <w:lang w:val="sr-Latn-RS" w:eastAsia="en-US"/>
              </w:rPr>
              <w:t xml:space="preserve"> sa prilično velikom zastupljenošću (50%, 43% i 24%, respektivno), što ukazuje na prilično zabrinjavajuće stanje.</w:t>
            </w:r>
          </w:p>
        </w:tc>
      </w:tr>
    </w:tbl>
    <w:p w14:paraId="6ABA5D27" w14:textId="77777777" w:rsidR="004C1B16" w:rsidRPr="004C1B16" w:rsidRDefault="004C1B16" w:rsidP="004C1B16">
      <w:pPr>
        <w:spacing w:before="0" w:after="0"/>
        <w:jc w:val="left"/>
        <w:rPr>
          <w:rFonts w:cs="Calibri"/>
          <w:sz w:val="20"/>
          <w:szCs w:val="20"/>
          <w:lang w:val="sr-Latn-RS" w:eastAsia="en-US"/>
        </w:rPr>
      </w:pPr>
    </w:p>
    <w:p w14:paraId="0A94A3C6" w14:textId="77777777" w:rsidR="004C1B16" w:rsidRPr="004C1B16" w:rsidRDefault="004C1B16" w:rsidP="004A16F8">
      <w:pPr>
        <w:pStyle w:val="Heading3"/>
        <w:rPr>
          <w:lang w:val="sr-Latn-RS" w:eastAsia="en-US"/>
        </w:rPr>
      </w:pPr>
      <w:bookmarkStart w:id="281" w:name="_Toc83630957"/>
      <w:bookmarkStart w:id="282" w:name="_Toc69678407"/>
      <w:r w:rsidRPr="004C1B16">
        <w:rPr>
          <w:lang w:val="sr-Latn-RS" w:eastAsia="en-US"/>
        </w:rPr>
        <w:t>Pristup definisanju GES ciljeva za D10</w:t>
      </w:r>
      <w:bookmarkEnd w:id="281"/>
      <w:r w:rsidRPr="004C1B16">
        <w:rPr>
          <w:lang w:val="sr-Latn-RS" w:eastAsia="en-US"/>
        </w:rPr>
        <w:t xml:space="preserve"> </w:t>
      </w:r>
    </w:p>
    <w:bookmarkEnd w:id="282"/>
    <w:p w14:paraId="035B870D" w14:textId="77777777" w:rsidR="004C1B16" w:rsidRPr="004C1B16" w:rsidRDefault="004C1B16" w:rsidP="004C1B16">
      <w:pPr>
        <w:spacing w:before="0" w:after="0"/>
        <w:rPr>
          <w:rFonts w:cs="Calibri"/>
          <w:bCs/>
          <w:szCs w:val="22"/>
          <w:lang w:val="sr-Latn-RS" w:eastAsia="en-US"/>
        </w:rPr>
      </w:pPr>
    </w:p>
    <w:p w14:paraId="69589FF6" w14:textId="77777777" w:rsidR="004C1B16" w:rsidRPr="004C1B16" w:rsidRDefault="004C1B16" w:rsidP="004C1B16">
      <w:pPr>
        <w:spacing w:before="0" w:after="0"/>
        <w:rPr>
          <w:rFonts w:cs="Calibri"/>
          <w:bCs/>
          <w:szCs w:val="22"/>
          <w:lang w:val="sr-Latn-RS" w:eastAsia="en-US"/>
        </w:rPr>
      </w:pPr>
      <w:r w:rsidRPr="004C1B16">
        <w:rPr>
          <w:rFonts w:cs="Calibri"/>
          <w:bCs/>
          <w:szCs w:val="22"/>
          <w:lang w:val="sr-Latn-RS" w:eastAsia="en-US"/>
        </w:rPr>
        <w:t>Ciljevi smanjenja imaju  ulogu da smanje postojeće količine otpada u moru, kao i dodatni unos otpada u morsku sredinu u razumnom i ostvarivom vremenskom periodu. Ciljevi smanjenja treba da se koncentrišu na najčešće predmete/vrste otpada koji se nalaze u morskoj sredini kako bi se potvrdila efektivnost preduzetih mjera smanjenja i uklanjanja.</w:t>
      </w:r>
    </w:p>
    <w:p w14:paraId="07FDA0F3" w14:textId="77777777" w:rsidR="004C1B16" w:rsidRPr="004C1B16" w:rsidRDefault="004C1B16" w:rsidP="004C1B16">
      <w:pPr>
        <w:spacing w:before="0" w:after="0"/>
        <w:rPr>
          <w:rFonts w:cs="Calibri"/>
          <w:bCs/>
          <w:szCs w:val="22"/>
          <w:lang w:val="sr-Latn-RS" w:eastAsia="en-US"/>
        </w:rPr>
      </w:pPr>
      <w:r w:rsidRPr="004C1B16">
        <w:rPr>
          <w:rFonts w:cs="Calibri"/>
          <w:bCs/>
          <w:szCs w:val="22"/>
          <w:lang w:val="sr-Latn-RS" w:eastAsia="en-US"/>
        </w:rPr>
        <w:t>Definicija ciljeva GES-a posebno je važna u smislu realne procjene „održivih“ nivoa otpada u moru koji mogu biti prisutni u morskoj sredini bez nanošenja značajnih uticaja ili rizika za morski biodiverzitet, morske ekosisteme i ljudsko zdravlje. Predloženi ciljevi prikazani su u tabeli 2.47.</w:t>
      </w:r>
    </w:p>
    <w:p w14:paraId="28143211" w14:textId="77777777" w:rsidR="004C1B16" w:rsidRPr="004C1B16" w:rsidRDefault="004C1B16" w:rsidP="004C1B16">
      <w:pPr>
        <w:spacing w:before="0" w:after="0" w:line="240" w:lineRule="auto"/>
        <w:rPr>
          <w:rFonts w:cs="Calibri"/>
          <w:b/>
          <w:szCs w:val="22"/>
          <w:lang w:val="sr-Latn-RS" w:eastAsia="en-US"/>
        </w:rPr>
      </w:pPr>
    </w:p>
    <w:p w14:paraId="416441AB" w14:textId="77777777" w:rsidR="00895BE2" w:rsidRDefault="00895BE2" w:rsidP="004C1B16">
      <w:pPr>
        <w:spacing w:before="0" w:after="0" w:line="240" w:lineRule="auto"/>
        <w:rPr>
          <w:rFonts w:cs="Calibri"/>
          <w:b/>
          <w:szCs w:val="22"/>
          <w:lang w:val="sr-Latn-RS" w:eastAsia="en-US"/>
        </w:rPr>
      </w:pPr>
    </w:p>
    <w:p w14:paraId="067CE812" w14:textId="77777777" w:rsidR="00895BE2" w:rsidRDefault="00895BE2" w:rsidP="004C1B16">
      <w:pPr>
        <w:spacing w:before="0" w:after="0" w:line="240" w:lineRule="auto"/>
        <w:rPr>
          <w:rFonts w:cs="Calibri"/>
          <w:b/>
          <w:szCs w:val="22"/>
          <w:lang w:val="sr-Latn-RS" w:eastAsia="en-US"/>
        </w:rPr>
      </w:pPr>
    </w:p>
    <w:p w14:paraId="3CFBDA79" w14:textId="77777777" w:rsidR="00C6266F" w:rsidRDefault="00C6266F" w:rsidP="004C1B16">
      <w:pPr>
        <w:spacing w:before="0" w:after="0" w:line="240" w:lineRule="auto"/>
        <w:rPr>
          <w:rFonts w:cs="Calibri"/>
          <w:b/>
          <w:szCs w:val="22"/>
          <w:lang w:val="sr-Latn-RS" w:eastAsia="en-US"/>
        </w:rPr>
      </w:pPr>
    </w:p>
    <w:p w14:paraId="29D17AF6" w14:textId="3E38074D" w:rsidR="004C1B16" w:rsidRPr="004C1B16" w:rsidRDefault="004C1B16" w:rsidP="004C1B16">
      <w:pPr>
        <w:spacing w:before="0" w:after="0" w:line="240" w:lineRule="auto"/>
        <w:rPr>
          <w:rFonts w:eastAsia="Calibri" w:cs="Calibri"/>
          <w:b/>
          <w:szCs w:val="22"/>
          <w:lang w:val="sr-Latn-RS" w:eastAsia="en-US"/>
        </w:rPr>
      </w:pPr>
      <w:bookmarkStart w:id="283" w:name="_Toc83643193"/>
      <w:r w:rsidRPr="004C1B16">
        <w:rPr>
          <w:rFonts w:cs="Calibri"/>
          <w:b/>
          <w:szCs w:val="22"/>
          <w:lang w:val="sr-Latn-RS" w:eastAsia="en-US"/>
        </w:rPr>
        <w:t xml:space="preserve">Tabela </w:t>
      </w:r>
      <w:r w:rsidRPr="004C1B16">
        <w:rPr>
          <w:rFonts w:cs="Calibri"/>
          <w:b/>
          <w:szCs w:val="22"/>
          <w:lang w:val="sr-Latn-RS"/>
        </w:rPr>
        <w:fldChar w:fldCharType="begin"/>
      </w:r>
      <w:r w:rsidRPr="004C1B16">
        <w:rPr>
          <w:rFonts w:cs="Calibri"/>
          <w:b/>
          <w:szCs w:val="22"/>
          <w:lang w:val="sr-Latn-RS"/>
        </w:rPr>
        <w:instrText xml:space="preserve"> STYLEREF 1 \s </w:instrText>
      </w:r>
      <w:r w:rsidRPr="004C1B16">
        <w:rPr>
          <w:rFonts w:cs="Calibri"/>
          <w:b/>
          <w:szCs w:val="22"/>
          <w:lang w:val="sr-Latn-RS"/>
        </w:rPr>
        <w:fldChar w:fldCharType="separate"/>
      </w:r>
      <w:r w:rsidR="000D1E20">
        <w:rPr>
          <w:rFonts w:cs="Calibri"/>
          <w:b/>
          <w:noProof/>
          <w:szCs w:val="22"/>
          <w:lang w:val="sr-Latn-RS"/>
        </w:rPr>
        <w:t>2</w:t>
      </w:r>
      <w:r w:rsidRPr="004C1B16">
        <w:rPr>
          <w:rFonts w:cs="Calibri"/>
          <w:b/>
          <w:szCs w:val="22"/>
          <w:lang w:val="sr-Latn-RS"/>
        </w:rPr>
        <w:fldChar w:fldCharType="end"/>
      </w:r>
      <w:r w:rsidRPr="004C1B16">
        <w:rPr>
          <w:rFonts w:cs="Calibri"/>
          <w:b/>
          <w:szCs w:val="22"/>
          <w:lang w:val="sr-Latn-RS"/>
        </w:rPr>
        <w:t>.</w:t>
      </w:r>
      <w:r w:rsidRPr="004C1B16">
        <w:rPr>
          <w:rFonts w:cs="Calibri"/>
          <w:b/>
          <w:szCs w:val="22"/>
          <w:lang w:val="sr-Latn-RS"/>
        </w:rPr>
        <w:fldChar w:fldCharType="begin"/>
      </w:r>
      <w:r w:rsidRPr="004C1B16">
        <w:rPr>
          <w:rFonts w:cs="Calibri"/>
          <w:b/>
          <w:szCs w:val="22"/>
          <w:lang w:val="sr-Latn-RS"/>
        </w:rPr>
        <w:instrText xml:space="preserve"> SEQ Table \* ARABIC \s 1 </w:instrText>
      </w:r>
      <w:r w:rsidRPr="004C1B16">
        <w:rPr>
          <w:rFonts w:cs="Calibri"/>
          <w:b/>
          <w:szCs w:val="22"/>
          <w:lang w:val="sr-Latn-RS"/>
        </w:rPr>
        <w:fldChar w:fldCharType="separate"/>
      </w:r>
      <w:r w:rsidR="000D1E20">
        <w:rPr>
          <w:rFonts w:cs="Calibri"/>
          <w:b/>
          <w:noProof/>
          <w:szCs w:val="22"/>
          <w:lang w:val="sr-Latn-RS"/>
        </w:rPr>
        <w:t>35</w:t>
      </w:r>
      <w:r w:rsidRPr="004C1B16">
        <w:rPr>
          <w:rFonts w:cs="Calibri"/>
          <w:b/>
          <w:szCs w:val="22"/>
          <w:lang w:val="sr-Latn-RS"/>
        </w:rPr>
        <w:fldChar w:fldCharType="end"/>
      </w:r>
      <w:r w:rsidRPr="004C1B16">
        <w:rPr>
          <w:rFonts w:cs="Calibri"/>
          <w:b/>
          <w:szCs w:val="22"/>
          <w:lang w:val="sr-Latn-RS"/>
        </w:rPr>
        <w:t>.</w:t>
      </w:r>
      <w:r w:rsidRPr="004C1B16">
        <w:rPr>
          <w:rFonts w:eastAsia="Calibri" w:cs="Calibri"/>
          <w:b/>
          <w:szCs w:val="22"/>
          <w:lang w:val="sr-Latn-RS" w:eastAsia="en-US"/>
        </w:rPr>
        <w:t xml:space="preserve"> </w:t>
      </w:r>
      <w:r w:rsidR="00EA7353">
        <w:rPr>
          <w:rFonts w:eastAsia="Calibri" w:cs="Calibri"/>
          <w:b/>
          <w:szCs w:val="22"/>
          <w:lang w:val="sr-Latn-RS" w:eastAsia="en-US"/>
        </w:rPr>
        <w:t>C</w:t>
      </w:r>
      <w:r w:rsidRPr="004C1B16">
        <w:rPr>
          <w:rFonts w:eastAsia="Calibri" w:cs="Calibri"/>
          <w:b/>
          <w:szCs w:val="22"/>
          <w:lang w:val="sr-Latn-RS" w:eastAsia="en-US"/>
        </w:rPr>
        <w:t>iljevi koji vode ka napretku u postizanju GES-a za D10</w:t>
      </w:r>
      <w:bookmarkEnd w:id="283"/>
    </w:p>
    <w:p w14:paraId="6466FF77" w14:textId="77777777" w:rsidR="004C1B16" w:rsidRPr="004C1B16" w:rsidRDefault="004C1B16" w:rsidP="004C1B16">
      <w:pPr>
        <w:spacing w:before="0" w:after="0" w:line="240" w:lineRule="auto"/>
        <w:rPr>
          <w:rFonts w:eastAsia="Calibri" w:cs="Calibri"/>
          <w:b/>
          <w:sz w:val="20"/>
          <w:szCs w:val="20"/>
          <w:lang w:val="sr-Latn-RS" w:eastAsia="en-US"/>
        </w:rPr>
      </w:pPr>
    </w:p>
    <w:tbl>
      <w:tblPr>
        <w:tblStyle w:val="GolderTable411"/>
        <w:tblW w:w="8926"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ayout w:type="fixed"/>
        <w:tblLook w:val="04A0" w:firstRow="1" w:lastRow="0" w:firstColumn="1" w:lastColumn="0" w:noHBand="0" w:noVBand="1"/>
      </w:tblPr>
      <w:tblGrid>
        <w:gridCol w:w="1838"/>
        <w:gridCol w:w="6095"/>
        <w:gridCol w:w="993"/>
      </w:tblGrid>
      <w:tr w:rsidR="005E5218" w:rsidRPr="004C1B16" w14:paraId="279B8771" w14:textId="77777777" w:rsidTr="00C42B0B">
        <w:trPr>
          <w:trHeight w:val="360"/>
        </w:trPr>
        <w:tc>
          <w:tcPr>
            <w:tcW w:w="892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1AB5EE17" w14:textId="77777777" w:rsidR="005E5218" w:rsidRDefault="005E5218" w:rsidP="004C1B16">
            <w:pPr>
              <w:autoSpaceDE w:val="0"/>
              <w:autoSpaceDN w:val="0"/>
              <w:adjustRightInd w:val="0"/>
              <w:spacing w:before="0" w:after="0" w:line="240" w:lineRule="auto"/>
              <w:jc w:val="left"/>
              <w:rPr>
                <w:rFonts w:cs="Calibri"/>
                <w:b/>
                <w:color w:val="FFFFFF" w:themeColor="background1"/>
                <w:sz w:val="20"/>
                <w:szCs w:val="20"/>
                <w:lang w:val="sr-Latn-RS" w:eastAsia="en-US"/>
              </w:rPr>
            </w:pPr>
          </w:p>
          <w:p w14:paraId="38BC3720" w14:textId="42A4758E" w:rsidR="005E5218" w:rsidRPr="005E5218" w:rsidRDefault="005E5218" w:rsidP="005E5218">
            <w:pPr>
              <w:autoSpaceDE w:val="0"/>
              <w:autoSpaceDN w:val="0"/>
              <w:adjustRightInd w:val="0"/>
              <w:spacing w:before="0" w:after="0" w:line="240" w:lineRule="auto"/>
              <w:jc w:val="center"/>
              <w:rPr>
                <w:rFonts w:cs="Calibri"/>
                <w:b/>
                <w:color w:val="FFFFFF" w:themeColor="background1"/>
                <w:lang w:val="sr-Latn-RS" w:eastAsia="en-US"/>
              </w:rPr>
            </w:pPr>
            <w:r w:rsidRPr="005E5218">
              <w:rPr>
                <w:rFonts w:cs="Calibri"/>
                <w:b/>
                <w:color w:val="FFFFFF" w:themeColor="background1"/>
                <w:lang w:val="sr-Latn-RS" w:eastAsia="en-US"/>
              </w:rPr>
              <w:t>Područje procjene: nacionalni nivo – crnogorski dio Jadrana</w:t>
            </w:r>
          </w:p>
        </w:tc>
      </w:tr>
      <w:tr w:rsidR="004C1B16" w:rsidRPr="004C1B16" w14:paraId="6E9A6D3B" w14:textId="77777777" w:rsidTr="00C42B0B">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5E6358BD" w14:textId="77777777" w:rsidR="004C1B16" w:rsidRPr="00332A46" w:rsidRDefault="004C1B16" w:rsidP="004C1B16">
            <w:pPr>
              <w:spacing w:before="0" w:after="0" w:line="240" w:lineRule="auto"/>
              <w:jc w:val="left"/>
              <w:rPr>
                <w:rFonts w:cs="Calibri"/>
                <w:b/>
                <w:color w:val="FFFFFF" w:themeColor="background1"/>
                <w:sz w:val="20"/>
                <w:szCs w:val="20"/>
                <w:lang w:val="sr-Latn-RS" w:eastAsia="en-US"/>
              </w:rPr>
            </w:pPr>
            <w:r w:rsidRPr="00332A46">
              <w:rPr>
                <w:rFonts w:cs="Calibri"/>
                <w:b/>
                <w:color w:val="FFFFFF" w:themeColor="background1"/>
                <w:sz w:val="20"/>
                <w:szCs w:val="20"/>
                <w:lang w:val="sr-Latn-RS" w:eastAsia="en-US"/>
              </w:rPr>
              <w:t>Kriterijum</w:t>
            </w:r>
          </w:p>
        </w:tc>
        <w:tc>
          <w:tcPr>
            <w:tcW w:w="60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245022B4" w14:textId="77777777" w:rsidR="004C1B16" w:rsidRPr="00332A46" w:rsidRDefault="004C1B16" w:rsidP="004C1B16">
            <w:pPr>
              <w:autoSpaceDE w:val="0"/>
              <w:autoSpaceDN w:val="0"/>
              <w:adjustRightInd w:val="0"/>
              <w:spacing w:before="0" w:after="0" w:line="240" w:lineRule="auto"/>
              <w:jc w:val="left"/>
              <w:rPr>
                <w:rFonts w:cs="Calibri"/>
                <w:b/>
                <w:color w:val="FFFFFF" w:themeColor="background1"/>
                <w:sz w:val="20"/>
                <w:szCs w:val="20"/>
                <w:lang w:val="sr-Latn-RS" w:eastAsia="en-US"/>
              </w:rPr>
            </w:pPr>
            <w:r w:rsidRPr="00332A46">
              <w:rPr>
                <w:rFonts w:cs="Calibri"/>
                <w:b/>
                <w:color w:val="FFFFFF" w:themeColor="background1"/>
                <w:sz w:val="20"/>
                <w:szCs w:val="20"/>
                <w:lang w:val="sr-Latn-RS" w:eastAsia="en-US"/>
              </w:rPr>
              <w:t>Ciljevi</w:t>
            </w:r>
          </w:p>
          <w:p w14:paraId="31501747" w14:textId="77777777" w:rsidR="004C1B16" w:rsidRPr="00332A46" w:rsidRDefault="004C1B16" w:rsidP="004C1B16">
            <w:pPr>
              <w:autoSpaceDE w:val="0"/>
              <w:autoSpaceDN w:val="0"/>
              <w:adjustRightInd w:val="0"/>
              <w:spacing w:before="0" w:after="0" w:line="240" w:lineRule="auto"/>
              <w:jc w:val="left"/>
              <w:rPr>
                <w:rFonts w:cs="Calibri"/>
                <w:b/>
                <w:color w:val="FFFFFF" w:themeColor="background1"/>
                <w:sz w:val="20"/>
                <w:szCs w:val="20"/>
                <w:lang w:val="sr-Latn-RS" w:eastAsia="en-US"/>
              </w:rPr>
            </w:pPr>
          </w:p>
        </w:tc>
        <w:tc>
          <w:tcPr>
            <w:tcW w:w="9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6899C7FF" w14:textId="77777777" w:rsidR="004C1B16" w:rsidRPr="00332A46" w:rsidRDefault="004C1B16" w:rsidP="004C1B16">
            <w:pPr>
              <w:autoSpaceDE w:val="0"/>
              <w:autoSpaceDN w:val="0"/>
              <w:adjustRightInd w:val="0"/>
              <w:spacing w:before="0" w:after="0" w:line="240" w:lineRule="auto"/>
              <w:jc w:val="left"/>
              <w:rPr>
                <w:rFonts w:cs="Calibri"/>
                <w:b/>
                <w:color w:val="FFFFFF" w:themeColor="background1"/>
                <w:sz w:val="20"/>
                <w:szCs w:val="20"/>
                <w:lang w:val="sr-Latn-RS" w:eastAsia="en-US"/>
              </w:rPr>
            </w:pPr>
            <w:r w:rsidRPr="00332A46">
              <w:rPr>
                <w:rFonts w:cs="Calibri"/>
                <w:b/>
                <w:color w:val="FFFFFF" w:themeColor="background1"/>
                <w:sz w:val="20"/>
                <w:szCs w:val="20"/>
                <w:lang w:val="sr-Latn-RS" w:eastAsia="en-US"/>
              </w:rPr>
              <w:t>Oznaka Cilja</w:t>
            </w:r>
          </w:p>
        </w:tc>
      </w:tr>
      <w:tr w:rsidR="004C1B16" w:rsidRPr="004C1B16" w14:paraId="16C44234" w14:textId="77777777" w:rsidTr="00C42B0B">
        <w:tc>
          <w:tcPr>
            <w:tcW w:w="1838" w:type="dxa"/>
            <w:tcBorders>
              <w:top w:val="single" w:sz="4" w:space="0" w:color="FFFFFF" w:themeColor="background1"/>
            </w:tcBorders>
          </w:tcPr>
          <w:p w14:paraId="355D6A58" w14:textId="77777777" w:rsidR="004C1B16" w:rsidRPr="004C1B16" w:rsidRDefault="004C1B16" w:rsidP="004C1B16">
            <w:pPr>
              <w:autoSpaceDE w:val="0"/>
              <w:autoSpaceDN w:val="0"/>
              <w:adjustRightInd w:val="0"/>
              <w:spacing w:before="0" w:after="0" w:line="240" w:lineRule="auto"/>
              <w:jc w:val="left"/>
              <w:rPr>
                <w:rFonts w:cs="Calibri"/>
                <w:b/>
                <w:color w:val="000000"/>
                <w:sz w:val="20"/>
                <w:szCs w:val="20"/>
                <w:lang w:val="sr-Latn-RS" w:eastAsia="en-US"/>
              </w:rPr>
            </w:pPr>
            <w:r w:rsidRPr="004C1B16">
              <w:rPr>
                <w:rFonts w:cs="Calibri"/>
                <w:b/>
                <w:color w:val="000000"/>
                <w:sz w:val="20"/>
                <w:szCs w:val="20"/>
                <w:lang w:val="sr-Latn-RS" w:eastAsia="en-US"/>
              </w:rPr>
              <w:t>D10C1</w:t>
            </w:r>
          </w:p>
          <w:p w14:paraId="5BC579D3" w14:textId="77777777" w:rsidR="004C1B16" w:rsidRPr="004C1B16" w:rsidRDefault="004C1B16" w:rsidP="004C1B16">
            <w:pPr>
              <w:autoSpaceDE w:val="0"/>
              <w:autoSpaceDN w:val="0"/>
              <w:adjustRightInd w:val="0"/>
              <w:spacing w:before="0" w:after="0" w:line="240" w:lineRule="auto"/>
              <w:jc w:val="left"/>
              <w:rPr>
                <w:rFonts w:cs="Calibri"/>
                <w:color w:val="000000"/>
                <w:sz w:val="20"/>
                <w:szCs w:val="20"/>
                <w:lang w:val="sr-Latn-RS" w:eastAsia="en-US"/>
              </w:rPr>
            </w:pPr>
            <w:r w:rsidRPr="004C1B16">
              <w:rPr>
                <w:rFonts w:cs="Calibri"/>
                <w:color w:val="000000"/>
                <w:sz w:val="20"/>
                <w:szCs w:val="20"/>
                <w:lang w:val="sr-Latn-RS" w:eastAsia="en-US"/>
              </w:rPr>
              <w:t>Prisustvo otpada (plaže)</w:t>
            </w:r>
          </w:p>
          <w:p w14:paraId="41DF74E9" w14:textId="77777777" w:rsidR="004C1B16" w:rsidRPr="004C1B16" w:rsidRDefault="004C1B16" w:rsidP="004C1B16">
            <w:pPr>
              <w:autoSpaceDE w:val="0"/>
              <w:autoSpaceDN w:val="0"/>
              <w:adjustRightInd w:val="0"/>
              <w:spacing w:before="0" w:after="0" w:line="240" w:lineRule="auto"/>
              <w:jc w:val="left"/>
              <w:rPr>
                <w:rFonts w:cs="Calibri"/>
                <w:color w:val="000000"/>
                <w:sz w:val="20"/>
                <w:szCs w:val="20"/>
                <w:lang w:val="sr-Latn-RS" w:eastAsia="en-US"/>
              </w:rPr>
            </w:pPr>
          </w:p>
          <w:p w14:paraId="3494DFA5" w14:textId="77777777" w:rsidR="004C1B16" w:rsidRPr="004C1B16" w:rsidRDefault="004C1B16" w:rsidP="004C1B16">
            <w:pPr>
              <w:autoSpaceDE w:val="0"/>
              <w:autoSpaceDN w:val="0"/>
              <w:adjustRightInd w:val="0"/>
              <w:spacing w:before="0" w:after="0" w:line="240" w:lineRule="auto"/>
              <w:jc w:val="left"/>
              <w:rPr>
                <w:rFonts w:cs="Calibri"/>
                <w:bCs/>
                <w:color w:val="000000"/>
                <w:sz w:val="20"/>
                <w:szCs w:val="20"/>
                <w:lang w:val="sr-Latn-RS" w:eastAsia="en-US"/>
              </w:rPr>
            </w:pPr>
            <w:r w:rsidRPr="004C1B16">
              <w:rPr>
                <w:rFonts w:cs="Calibri"/>
                <w:bCs/>
                <w:color w:val="000000"/>
                <w:sz w:val="20"/>
                <w:szCs w:val="20"/>
                <w:lang w:val="sr-Latn-RS" w:eastAsia="en-US"/>
              </w:rPr>
              <w:t>Prisustvo otpada (morsko dno)</w:t>
            </w:r>
          </w:p>
          <w:p w14:paraId="4E547DFB" w14:textId="77777777" w:rsidR="004C1B16" w:rsidRPr="004C1B16" w:rsidRDefault="004C1B16" w:rsidP="004C1B16">
            <w:pPr>
              <w:autoSpaceDE w:val="0"/>
              <w:autoSpaceDN w:val="0"/>
              <w:adjustRightInd w:val="0"/>
              <w:spacing w:before="0" w:after="0" w:line="240" w:lineRule="auto"/>
              <w:jc w:val="left"/>
              <w:rPr>
                <w:rFonts w:cs="Calibri"/>
                <w:bCs/>
                <w:color w:val="000000"/>
                <w:sz w:val="20"/>
                <w:szCs w:val="20"/>
                <w:lang w:val="sr-Latn-RS" w:eastAsia="en-US"/>
              </w:rPr>
            </w:pPr>
          </w:p>
          <w:p w14:paraId="1A71D323" w14:textId="77777777" w:rsidR="004C1B16" w:rsidRPr="004C1B16" w:rsidRDefault="004C1B16" w:rsidP="004C1B16">
            <w:pPr>
              <w:autoSpaceDE w:val="0"/>
              <w:autoSpaceDN w:val="0"/>
              <w:adjustRightInd w:val="0"/>
              <w:spacing w:before="0" w:after="0" w:line="240" w:lineRule="auto"/>
              <w:jc w:val="left"/>
              <w:rPr>
                <w:rFonts w:cs="Calibri"/>
                <w:bCs/>
                <w:color w:val="000000"/>
                <w:sz w:val="20"/>
                <w:szCs w:val="20"/>
                <w:lang w:val="sr-Latn-RS" w:eastAsia="en-US"/>
              </w:rPr>
            </w:pPr>
            <w:r w:rsidRPr="004C1B16">
              <w:rPr>
                <w:rFonts w:cs="Calibri"/>
                <w:bCs/>
                <w:color w:val="000000"/>
                <w:sz w:val="20"/>
                <w:szCs w:val="20"/>
                <w:lang w:val="sr-Latn-RS" w:eastAsia="en-US"/>
              </w:rPr>
              <w:t>Prisustvo plutajućeg otpada</w:t>
            </w:r>
          </w:p>
          <w:p w14:paraId="1BBDAE19" w14:textId="77777777" w:rsidR="004C1B16" w:rsidRPr="004C1B16" w:rsidRDefault="004C1B16" w:rsidP="004C1B16">
            <w:pPr>
              <w:autoSpaceDE w:val="0"/>
              <w:autoSpaceDN w:val="0"/>
              <w:adjustRightInd w:val="0"/>
              <w:spacing w:before="0" w:after="0" w:line="240" w:lineRule="auto"/>
              <w:jc w:val="left"/>
              <w:rPr>
                <w:rFonts w:cs="Calibri"/>
                <w:b/>
                <w:color w:val="000000"/>
                <w:sz w:val="20"/>
                <w:szCs w:val="20"/>
                <w:lang w:val="sr-Latn-RS" w:eastAsia="en-US"/>
              </w:rPr>
            </w:pPr>
          </w:p>
        </w:tc>
        <w:tc>
          <w:tcPr>
            <w:tcW w:w="6095" w:type="dxa"/>
            <w:tcBorders>
              <w:top w:val="single" w:sz="4" w:space="0" w:color="FFFFFF" w:themeColor="background1"/>
              <w:right w:val="single" w:sz="4" w:space="0" w:color="auto"/>
            </w:tcBorders>
          </w:tcPr>
          <w:p w14:paraId="56CCBA64" w14:textId="77777777" w:rsidR="004C1B16" w:rsidRPr="004C1B16" w:rsidRDefault="004C1B16" w:rsidP="004C1B16">
            <w:pPr>
              <w:spacing w:before="0" w:after="0" w:line="240" w:lineRule="auto"/>
              <w:jc w:val="left"/>
              <w:rPr>
                <w:rFonts w:cs="Calibri"/>
                <w:sz w:val="20"/>
                <w:szCs w:val="20"/>
                <w:lang w:val="sr-Latn-RS" w:eastAsia="en-US"/>
              </w:rPr>
            </w:pPr>
            <w:r w:rsidRPr="004C1B16">
              <w:rPr>
                <w:rFonts w:cs="Calibri"/>
                <w:sz w:val="20"/>
                <w:szCs w:val="20"/>
                <w:lang w:val="sr-Latn-RS" w:eastAsia="en-US"/>
              </w:rPr>
              <w:t>Smanjenje ukupne količine najčešćih kategorija otpada pronađenih na istraživanim plažama.</w:t>
            </w:r>
          </w:p>
          <w:p w14:paraId="071768D8" w14:textId="77777777" w:rsidR="004C1B16" w:rsidRPr="004C1B16" w:rsidRDefault="004C1B16" w:rsidP="004C1B16">
            <w:pPr>
              <w:spacing w:before="0" w:after="0" w:line="240" w:lineRule="auto"/>
              <w:jc w:val="left"/>
              <w:rPr>
                <w:rFonts w:cs="Calibri"/>
                <w:sz w:val="20"/>
                <w:szCs w:val="20"/>
                <w:lang w:val="sr-Latn-RS" w:eastAsia="en-US"/>
              </w:rPr>
            </w:pPr>
          </w:p>
          <w:p w14:paraId="281DEA21" w14:textId="77777777" w:rsidR="004C1B16" w:rsidRPr="004C1B16" w:rsidRDefault="004C1B16" w:rsidP="004C1B16">
            <w:pPr>
              <w:spacing w:before="0" w:after="0" w:line="240" w:lineRule="auto"/>
              <w:jc w:val="left"/>
              <w:rPr>
                <w:rFonts w:cs="Calibri"/>
                <w:sz w:val="20"/>
                <w:szCs w:val="20"/>
                <w:lang w:val="sr-Latn-RS" w:eastAsia="en-US"/>
              </w:rPr>
            </w:pPr>
          </w:p>
          <w:p w14:paraId="1EABCEA7" w14:textId="77777777" w:rsidR="004C1B16" w:rsidRPr="004C1B16" w:rsidRDefault="004C1B16" w:rsidP="004C1B16">
            <w:pPr>
              <w:spacing w:before="0" w:after="0" w:line="240" w:lineRule="auto"/>
              <w:jc w:val="left"/>
              <w:rPr>
                <w:rFonts w:cs="Calibri"/>
                <w:sz w:val="20"/>
                <w:szCs w:val="20"/>
                <w:lang w:val="sr-Latn-RS" w:eastAsia="en-US"/>
              </w:rPr>
            </w:pPr>
          </w:p>
          <w:p w14:paraId="4023AE44" w14:textId="77777777" w:rsidR="004C1B16" w:rsidRPr="004C1B16" w:rsidRDefault="004C1B16" w:rsidP="004C1B16">
            <w:pPr>
              <w:spacing w:before="0" w:after="0" w:line="240" w:lineRule="auto"/>
              <w:jc w:val="left"/>
              <w:rPr>
                <w:rFonts w:cs="Calibri"/>
                <w:sz w:val="20"/>
                <w:szCs w:val="20"/>
                <w:lang w:val="sr-Latn-RS" w:eastAsia="en-US"/>
              </w:rPr>
            </w:pPr>
            <w:r w:rsidRPr="004C1B16">
              <w:rPr>
                <w:rFonts w:cs="Calibri"/>
                <w:sz w:val="20"/>
                <w:szCs w:val="20"/>
                <w:lang w:val="sr-Latn-RS" w:eastAsia="en-US"/>
              </w:rPr>
              <w:t>Smanjenje broja komada otpada na morskom dnu.</w:t>
            </w:r>
          </w:p>
          <w:p w14:paraId="33E13920" w14:textId="77777777" w:rsidR="004C1B16" w:rsidRPr="004C1B16" w:rsidRDefault="004C1B16" w:rsidP="004C1B16">
            <w:pPr>
              <w:spacing w:before="0" w:after="0" w:line="240" w:lineRule="auto"/>
              <w:jc w:val="left"/>
              <w:rPr>
                <w:rFonts w:cs="Calibri"/>
                <w:sz w:val="20"/>
                <w:szCs w:val="20"/>
                <w:lang w:val="sr-Latn-RS" w:eastAsia="en-US"/>
              </w:rPr>
            </w:pPr>
          </w:p>
          <w:p w14:paraId="625952F8" w14:textId="77777777" w:rsidR="004C1B16" w:rsidRPr="004C1B16" w:rsidRDefault="004C1B16" w:rsidP="004C1B16">
            <w:pPr>
              <w:spacing w:before="0" w:after="0" w:line="240" w:lineRule="auto"/>
              <w:jc w:val="left"/>
              <w:rPr>
                <w:rFonts w:cs="Calibri"/>
                <w:sz w:val="20"/>
                <w:szCs w:val="20"/>
                <w:lang w:val="sr-Latn-RS" w:eastAsia="en-US"/>
              </w:rPr>
            </w:pPr>
          </w:p>
          <w:p w14:paraId="17D0E5D6" w14:textId="77777777" w:rsidR="004C1B16" w:rsidRPr="004C1B16" w:rsidRDefault="004C1B16" w:rsidP="004C1B16">
            <w:pPr>
              <w:spacing w:before="0" w:after="0" w:line="240" w:lineRule="auto"/>
              <w:jc w:val="left"/>
              <w:rPr>
                <w:rFonts w:cs="Calibri"/>
                <w:sz w:val="20"/>
                <w:szCs w:val="20"/>
                <w:lang w:val="sr-Latn-RS" w:eastAsia="en-US"/>
              </w:rPr>
            </w:pPr>
            <w:r w:rsidRPr="004C1B16">
              <w:rPr>
                <w:rFonts w:cs="Calibri"/>
                <w:sz w:val="20"/>
                <w:szCs w:val="20"/>
                <w:lang w:val="sr-Latn-RS" w:eastAsia="en-US"/>
              </w:rPr>
              <w:t>Opadajući trend količine plutajućeg otpada</w:t>
            </w:r>
          </w:p>
        </w:tc>
        <w:tc>
          <w:tcPr>
            <w:tcW w:w="993" w:type="dxa"/>
            <w:tcBorders>
              <w:top w:val="single" w:sz="4" w:space="0" w:color="FFFFFF" w:themeColor="background1"/>
              <w:left w:val="single" w:sz="4" w:space="0" w:color="auto"/>
            </w:tcBorders>
          </w:tcPr>
          <w:p w14:paraId="440E123E" w14:textId="77777777" w:rsidR="004C1B16" w:rsidRPr="004C1B16" w:rsidRDefault="004C1B16" w:rsidP="004C1B16">
            <w:pPr>
              <w:autoSpaceDE w:val="0"/>
              <w:autoSpaceDN w:val="0"/>
              <w:adjustRightInd w:val="0"/>
              <w:spacing w:before="0" w:after="0" w:line="240" w:lineRule="auto"/>
              <w:jc w:val="left"/>
              <w:rPr>
                <w:rFonts w:cs="Calibri"/>
                <w:b/>
                <w:color w:val="000000"/>
                <w:sz w:val="20"/>
                <w:szCs w:val="20"/>
                <w:lang w:val="sr-Latn-RS" w:eastAsia="en-US"/>
              </w:rPr>
            </w:pPr>
            <w:r w:rsidRPr="004C1B16">
              <w:rPr>
                <w:rFonts w:cs="Calibri"/>
                <w:b/>
                <w:color w:val="000000"/>
                <w:sz w:val="20"/>
                <w:szCs w:val="20"/>
                <w:lang w:val="sr-Latn-RS" w:eastAsia="en-US"/>
              </w:rPr>
              <w:t>D10T1</w:t>
            </w:r>
          </w:p>
          <w:p w14:paraId="6ADEA3A5" w14:textId="77777777" w:rsidR="004C1B16" w:rsidRPr="004C1B16" w:rsidRDefault="004C1B16" w:rsidP="004C1B16">
            <w:pPr>
              <w:autoSpaceDE w:val="0"/>
              <w:autoSpaceDN w:val="0"/>
              <w:adjustRightInd w:val="0"/>
              <w:spacing w:before="0" w:after="0" w:line="240" w:lineRule="auto"/>
              <w:jc w:val="left"/>
              <w:rPr>
                <w:rFonts w:cs="Calibri"/>
                <w:b/>
                <w:color w:val="000000"/>
                <w:sz w:val="20"/>
                <w:szCs w:val="20"/>
                <w:lang w:val="sr-Latn-RS" w:eastAsia="en-US"/>
              </w:rPr>
            </w:pPr>
          </w:p>
          <w:p w14:paraId="7A38E9F3" w14:textId="77777777" w:rsidR="004C1B16" w:rsidRPr="004C1B16" w:rsidRDefault="004C1B16" w:rsidP="004C1B16">
            <w:pPr>
              <w:autoSpaceDE w:val="0"/>
              <w:autoSpaceDN w:val="0"/>
              <w:adjustRightInd w:val="0"/>
              <w:spacing w:before="0" w:after="0" w:line="240" w:lineRule="auto"/>
              <w:jc w:val="left"/>
              <w:rPr>
                <w:rFonts w:cs="Calibri"/>
                <w:b/>
                <w:color w:val="000000"/>
                <w:sz w:val="20"/>
                <w:szCs w:val="20"/>
                <w:lang w:val="sr-Latn-RS" w:eastAsia="en-US"/>
              </w:rPr>
            </w:pPr>
          </w:p>
          <w:p w14:paraId="7473F69A" w14:textId="77777777" w:rsidR="004C1B16" w:rsidRPr="004C1B16" w:rsidRDefault="004C1B16" w:rsidP="004C1B16">
            <w:pPr>
              <w:autoSpaceDE w:val="0"/>
              <w:autoSpaceDN w:val="0"/>
              <w:adjustRightInd w:val="0"/>
              <w:spacing w:before="0" w:after="0" w:line="240" w:lineRule="auto"/>
              <w:jc w:val="left"/>
              <w:rPr>
                <w:rFonts w:cs="Calibri"/>
                <w:b/>
                <w:color w:val="000000"/>
                <w:sz w:val="20"/>
                <w:szCs w:val="20"/>
                <w:lang w:val="sr-Latn-RS" w:eastAsia="en-US"/>
              </w:rPr>
            </w:pPr>
          </w:p>
          <w:p w14:paraId="1FC85E5E" w14:textId="77777777" w:rsidR="004C1B16" w:rsidRPr="004C1B16" w:rsidRDefault="004C1B16" w:rsidP="004C1B16">
            <w:pPr>
              <w:autoSpaceDE w:val="0"/>
              <w:autoSpaceDN w:val="0"/>
              <w:adjustRightInd w:val="0"/>
              <w:spacing w:before="0" w:after="0" w:line="240" w:lineRule="auto"/>
              <w:jc w:val="left"/>
              <w:rPr>
                <w:rFonts w:cs="Calibri"/>
                <w:b/>
                <w:color w:val="000000"/>
                <w:sz w:val="20"/>
                <w:szCs w:val="20"/>
                <w:lang w:val="sr-Latn-RS" w:eastAsia="en-US"/>
              </w:rPr>
            </w:pPr>
          </w:p>
          <w:p w14:paraId="64D90FB1" w14:textId="77777777" w:rsidR="004C1B16" w:rsidRPr="004C1B16" w:rsidRDefault="004C1B16" w:rsidP="004C1B16">
            <w:pPr>
              <w:autoSpaceDE w:val="0"/>
              <w:autoSpaceDN w:val="0"/>
              <w:adjustRightInd w:val="0"/>
              <w:spacing w:before="0" w:after="0" w:line="240" w:lineRule="auto"/>
              <w:jc w:val="left"/>
              <w:rPr>
                <w:rFonts w:cs="Calibri"/>
                <w:b/>
                <w:color w:val="000000"/>
                <w:sz w:val="20"/>
                <w:szCs w:val="20"/>
                <w:lang w:val="sr-Latn-RS" w:eastAsia="en-US"/>
              </w:rPr>
            </w:pPr>
            <w:r w:rsidRPr="004C1B16">
              <w:rPr>
                <w:rFonts w:cs="Calibri"/>
                <w:b/>
                <w:color w:val="000000"/>
                <w:sz w:val="20"/>
                <w:szCs w:val="20"/>
                <w:lang w:val="sr-Latn-RS" w:eastAsia="en-US"/>
              </w:rPr>
              <w:t>D10T2</w:t>
            </w:r>
          </w:p>
          <w:p w14:paraId="763BE771" w14:textId="77777777" w:rsidR="004C1B16" w:rsidRPr="004C1B16" w:rsidRDefault="004C1B16" w:rsidP="004C1B16">
            <w:pPr>
              <w:autoSpaceDE w:val="0"/>
              <w:autoSpaceDN w:val="0"/>
              <w:adjustRightInd w:val="0"/>
              <w:spacing w:before="0" w:after="0" w:line="240" w:lineRule="auto"/>
              <w:jc w:val="left"/>
              <w:rPr>
                <w:rFonts w:cs="Calibri"/>
                <w:b/>
                <w:color w:val="000000"/>
                <w:sz w:val="20"/>
                <w:szCs w:val="20"/>
                <w:lang w:val="sr-Latn-RS" w:eastAsia="en-US"/>
              </w:rPr>
            </w:pPr>
          </w:p>
          <w:p w14:paraId="732ADAB3" w14:textId="77777777" w:rsidR="004C1B16" w:rsidRPr="004C1B16" w:rsidRDefault="004C1B16" w:rsidP="004C1B16">
            <w:pPr>
              <w:autoSpaceDE w:val="0"/>
              <w:autoSpaceDN w:val="0"/>
              <w:adjustRightInd w:val="0"/>
              <w:spacing w:before="0" w:after="0" w:line="240" w:lineRule="auto"/>
              <w:jc w:val="left"/>
              <w:rPr>
                <w:rFonts w:cs="Calibri"/>
                <w:b/>
                <w:color w:val="000000"/>
                <w:sz w:val="20"/>
                <w:szCs w:val="20"/>
                <w:lang w:val="sr-Latn-RS" w:eastAsia="en-US"/>
              </w:rPr>
            </w:pPr>
          </w:p>
          <w:p w14:paraId="4E150095" w14:textId="77777777" w:rsidR="004C1B16" w:rsidRPr="004C1B16" w:rsidRDefault="004C1B16" w:rsidP="004C1B16">
            <w:pPr>
              <w:autoSpaceDE w:val="0"/>
              <w:autoSpaceDN w:val="0"/>
              <w:adjustRightInd w:val="0"/>
              <w:spacing w:before="0" w:after="0" w:line="240" w:lineRule="auto"/>
              <w:jc w:val="left"/>
              <w:rPr>
                <w:rFonts w:cs="Calibri"/>
                <w:b/>
                <w:color w:val="000000"/>
                <w:sz w:val="20"/>
                <w:szCs w:val="20"/>
                <w:highlight w:val="yellow"/>
                <w:lang w:val="sr-Latn-RS" w:eastAsia="en-US"/>
              </w:rPr>
            </w:pPr>
            <w:r w:rsidRPr="004C1B16">
              <w:rPr>
                <w:rFonts w:cs="Calibri"/>
                <w:b/>
                <w:color w:val="000000"/>
                <w:sz w:val="20"/>
                <w:szCs w:val="20"/>
                <w:lang w:val="sr-Latn-RS" w:eastAsia="en-US"/>
              </w:rPr>
              <w:t>D10T3</w:t>
            </w:r>
          </w:p>
        </w:tc>
      </w:tr>
      <w:tr w:rsidR="004C1B16" w:rsidRPr="004C1B16" w14:paraId="189C8C82" w14:textId="77777777" w:rsidTr="004C1B16">
        <w:tc>
          <w:tcPr>
            <w:tcW w:w="1838" w:type="dxa"/>
          </w:tcPr>
          <w:p w14:paraId="022C71DA" w14:textId="77777777" w:rsidR="004C1B16" w:rsidRPr="004C1B16" w:rsidRDefault="004C1B16" w:rsidP="004C1B16">
            <w:pPr>
              <w:spacing w:before="0" w:after="0" w:line="240" w:lineRule="auto"/>
              <w:jc w:val="left"/>
              <w:rPr>
                <w:rFonts w:cs="Calibri"/>
                <w:b/>
                <w:sz w:val="20"/>
                <w:szCs w:val="20"/>
                <w:lang w:val="sr-Latn-RS" w:eastAsia="en-US"/>
              </w:rPr>
            </w:pPr>
            <w:r w:rsidRPr="004C1B16">
              <w:rPr>
                <w:rFonts w:cs="Calibri"/>
                <w:b/>
                <w:sz w:val="20"/>
                <w:szCs w:val="20"/>
                <w:lang w:val="sr-Latn-RS" w:eastAsia="en-US"/>
              </w:rPr>
              <w:t>D10C2</w:t>
            </w:r>
          </w:p>
          <w:p w14:paraId="7E186B11" w14:textId="77777777" w:rsidR="004C1B16" w:rsidRPr="004C1B16" w:rsidRDefault="004C1B16" w:rsidP="004C1B16">
            <w:pPr>
              <w:spacing w:before="0" w:after="0" w:line="240" w:lineRule="auto"/>
              <w:jc w:val="left"/>
              <w:rPr>
                <w:rFonts w:cs="Calibri"/>
                <w:b/>
                <w:sz w:val="20"/>
                <w:szCs w:val="20"/>
                <w:lang w:val="sr-Latn-RS" w:eastAsia="en-US"/>
              </w:rPr>
            </w:pPr>
            <w:r w:rsidRPr="004C1B16">
              <w:rPr>
                <w:rFonts w:cs="Calibri"/>
                <w:sz w:val="20"/>
                <w:szCs w:val="20"/>
                <w:lang w:val="sr-Latn-RS"/>
              </w:rPr>
              <w:t>Mikro-otpad</w:t>
            </w:r>
          </w:p>
        </w:tc>
        <w:tc>
          <w:tcPr>
            <w:tcW w:w="6095" w:type="dxa"/>
            <w:tcBorders>
              <w:right w:val="single" w:sz="4" w:space="0" w:color="auto"/>
            </w:tcBorders>
          </w:tcPr>
          <w:p w14:paraId="09D07832" w14:textId="77777777" w:rsidR="004C1B16" w:rsidRPr="004C1B16" w:rsidRDefault="004C1B16" w:rsidP="004C1B16">
            <w:pPr>
              <w:autoSpaceDE w:val="0"/>
              <w:autoSpaceDN w:val="0"/>
              <w:adjustRightInd w:val="0"/>
              <w:spacing w:before="0" w:after="0" w:line="240" w:lineRule="auto"/>
              <w:rPr>
                <w:rFonts w:cs="Calibri"/>
                <w:sz w:val="20"/>
                <w:szCs w:val="20"/>
                <w:lang w:val="sr-Latn-RS" w:eastAsia="en-US"/>
              </w:rPr>
            </w:pPr>
            <w:r w:rsidRPr="004C1B16">
              <w:rPr>
                <w:rFonts w:cs="Calibri"/>
                <w:sz w:val="20"/>
                <w:szCs w:val="20"/>
                <w:lang w:val="sr-Latn-RS" w:eastAsia="en-US"/>
              </w:rPr>
              <w:t>Budući da je u pitanju primarni indikator za koji ne postoje dostupni podaci za Crnu Goru, glavni cilj trebao bi biti preduzimanje radnji na realizaciji programa monitoringa i procjene kako bi se osiguralo da se može preduzeti sledeće ažuriranje prema članu 8 MSFD-a.</w:t>
            </w:r>
          </w:p>
        </w:tc>
        <w:tc>
          <w:tcPr>
            <w:tcW w:w="993" w:type="dxa"/>
            <w:tcBorders>
              <w:left w:val="single" w:sz="4" w:space="0" w:color="auto"/>
            </w:tcBorders>
          </w:tcPr>
          <w:p w14:paraId="1D9FDAE0" w14:textId="77777777" w:rsidR="004C1B16" w:rsidRPr="004C1B16" w:rsidRDefault="004C1B16" w:rsidP="004C1B16">
            <w:pPr>
              <w:autoSpaceDE w:val="0"/>
              <w:autoSpaceDN w:val="0"/>
              <w:adjustRightInd w:val="0"/>
              <w:spacing w:before="0" w:after="0"/>
              <w:jc w:val="left"/>
              <w:rPr>
                <w:rFonts w:cs="Calibri"/>
                <w:b/>
                <w:color w:val="000000"/>
                <w:sz w:val="20"/>
                <w:szCs w:val="20"/>
                <w:lang w:val="sr-Latn-RS" w:eastAsia="en-US"/>
              </w:rPr>
            </w:pPr>
          </w:p>
        </w:tc>
      </w:tr>
      <w:tr w:rsidR="004C1B16" w:rsidRPr="004C1B16" w14:paraId="3B256A37" w14:textId="77777777" w:rsidTr="004C1B16">
        <w:tc>
          <w:tcPr>
            <w:tcW w:w="1838" w:type="dxa"/>
          </w:tcPr>
          <w:p w14:paraId="48C7157E" w14:textId="77777777" w:rsidR="004C1B16" w:rsidRPr="004C1B16" w:rsidRDefault="004C1B16" w:rsidP="004C1B16">
            <w:pPr>
              <w:spacing w:before="0" w:after="0" w:line="240" w:lineRule="auto"/>
              <w:jc w:val="left"/>
              <w:rPr>
                <w:rFonts w:cs="Calibri"/>
                <w:b/>
                <w:sz w:val="20"/>
                <w:szCs w:val="20"/>
                <w:lang w:val="sr-Latn-RS" w:eastAsia="en-US"/>
              </w:rPr>
            </w:pPr>
            <w:r w:rsidRPr="004C1B16">
              <w:rPr>
                <w:rFonts w:cs="Calibri"/>
                <w:b/>
                <w:sz w:val="20"/>
                <w:szCs w:val="20"/>
                <w:lang w:val="sr-Latn-RS" w:eastAsia="en-US"/>
              </w:rPr>
              <w:t>D10C3</w:t>
            </w:r>
          </w:p>
          <w:p w14:paraId="18905A71" w14:textId="77777777" w:rsidR="004C1B16" w:rsidRPr="004C1B16" w:rsidRDefault="004C1B16" w:rsidP="004C1B16">
            <w:pPr>
              <w:spacing w:before="0" w:after="0" w:line="240" w:lineRule="auto"/>
              <w:jc w:val="left"/>
              <w:rPr>
                <w:rFonts w:cs="Calibri"/>
                <w:bCs/>
                <w:sz w:val="20"/>
                <w:szCs w:val="20"/>
                <w:lang w:val="sr-Latn-RS" w:eastAsia="en-US"/>
              </w:rPr>
            </w:pPr>
            <w:r w:rsidRPr="004C1B16">
              <w:rPr>
                <w:rFonts w:cs="Calibri"/>
                <w:bCs/>
                <w:sz w:val="20"/>
                <w:szCs w:val="20"/>
                <w:lang w:val="sr-Latn-RS" w:eastAsia="en-US"/>
              </w:rPr>
              <w:t>Količina otpada i mikro-otpada progutanog od strane morskih životinja</w:t>
            </w:r>
          </w:p>
        </w:tc>
        <w:tc>
          <w:tcPr>
            <w:tcW w:w="6095" w:type="dxa"/>
            <w:tcBorders>
              <w:right w:val="single" w:sz="4" w:space="0" w:color="auto"/>
            </w:tcBorders>
          </w:tcPr>
          <w:p w14:paraId="74EA6874" w14:textId="77777777" w:rsidR="004C1B16" w:rsidRPr="004C1B16" w:rsidRDefault="004C1B16" w:rsidP="004C1B16">
            <w:pPr>
              <w:autoSpaceDE w:val="0"/>
              <w:autoSpaceDN w:val="0"/>
              <w:adjustRightInd w:val="0"/>
              <w:spacing w:before="0" w:after="0" w:line="240" w:lineRule="auto"/>
              <w:rPr>
                <w:rFonts w:cs="Calibri"/>
                <w:color w:val="000000"/>
                <w:sz w:val="20"/>
                <w:szCs w:val="20"/>
                <w:lang w:val="sr-Latn-RS" w:eastAsia="en-US"/>
              </w:rPr>
            </w:pPr>
          </w:p>
          <w:p w14:paraId="5FB62E50" w14:textId="77777777" w:rsidR="004C1B16" w:rsidRPr="004C1B16" w:rsidRDefault="004C1B16" w:rsidP="004C1B16">
            <w:pPr>
              <w:autoSpaceDE w:val="0"/>
              <w:autoSpaceDN w:val="0"/>
              <w:adjustRightInd w:val="0"/>
              <w:spacing w:before="0" w:after="0" w:line="240" w:lineRule="auto"/>
              <w:rPr>
                <w:rFonts w:cs="Calibri"/>
                <w:color w:val="000000"/>
                <w:sz w:val="20"/>
                <w:szCs w:val="20"/>
                <w:lang w:val="sr-Latn-RS" w:eastAsia="en-US"/>
              </w:rPr>
            </w:pPr>
            <w:r w:rsidRPr="004C1B16">
              <w:rPr>
                <w:rFonts w:cs="Calibri"/>
                <w:color w:val="000000"/>
                <w:sz w:val="20"/>
                <w:szCs w:val="20"/>
                <w:lang w:val="sr-Latn-RS" w:eastAsia="en-US"/>
              </w:rPr>
              <w:t>Statistički značajan % smanjenja učestalosti pojavljivanja otpada (% F) = odnos broja želudaca koja sadrže određeni otpad i ukupnog broja pregledanih punih želudaca.</w:t>
            </w:r>
          </w:p>
          <w:p w14:paraId="6B1B9CC9" w14:textId="77777777" w:rsidR="004C1B16" w:rsidRPr="004C1B16" w:rsidRDefault="004C1B16" w:rsidP="004C1B16">
            <w:pPr>
              <w:autoSpaceDE w:val="0"/>
              <w:autoSpaceDN w:val="0"/>
              <w:adjustRightInd w:val="0"/>
              <w:spacing w:before="0" w:after="0" w:line="240" w:lineRule="auto"/>
              <w:rPr>
                <w:rFonts w:cs="Calibri"/>
                <w:sz w:val="20"/>
                <w:szCs w:val="20"/>
                <w:highlight w:val="yellow"/>
                <w:lang w:val="sr-Latn-RS" w:eastAsia="en-US"/>
              </w:rPr>
            </w:pPr>
          </w:p>
        </w:tc>
        <w:tc>
          <w:tcPr>
            <w:tcW w:w="993" w:type="dxa"/>
            <w:tcBorders>
              <w:left w:val="single" w:sz="4" w:space="0" w:color="auto"/>
            </w:tcBorders>
          </w:tcPr>
          <w:p w14:paraId="1D5AB02D" w14:textId="77777777" w:rsidR="004C1B16" w:rsidRPr="004C1B16" w:rsidRDefault="004C1B16" w:rsidP="004C1B16">
            <w:pPr>
              <w:autoSpaceDE w:val="0"/>
              <w:autoSpaceDN w:val="0"/>
              <w:adjustRightInd w:val="0"/>
              <w:spacing w:before="0" w:after="0"/>
              <w:jc w:val="left"/>
              <w:rPr>
                <w:rFonts w:cs="Calibri"/>
                <w:b/>
                <w:color w:val="000000"/>
                <w:sz w:val="20"/>
                <w:szCs w:val="20"/>
                <w:lang w:val="sr-Latn-RS" w:eastAsia="en-US"/>
              </w:rPr>
            </w:pPr>
            <w:r w:rsidRPr="004C1B16">
              <w:rPr>
                <w:rFonts w:cs="Calibri"/>
                <w:b/>
                <w:color w:val="000000"/>
                <w:sz w:val="20"/>
                <w:szCs w:val="20"/>
                <w:lang w:val="sr-Latn-RS" w:eastAsia="en-US"/>
              </w:rPr>
              <w:t>D10T4</w:t>
            </w:r>
          </w:p>
        </w:tc>
      </w:tr>
      <w:tr w:rsidR="004C1B16" w:rsidRPr="004C1B16" w14:paraId="21A81727" w14:textId="77777777" w:rsidTr="004C1B16">
        <w:tc>
          <w:tcPr>
            <w:tcW w:w="1838" w:type="dxa"/>
          </w:tcPr>
          <w:p w14:paraId="25689ED7" w14:textId="77777777" w:rsidR="004C1B16" w:rsidRPr="004C1B16" w:rsidRDefault="004C1B16" w:rsidP="004C1B16">
            <w:pPr>
              <w:spacing w:before="0" w:after="0" w:line="240" w:lineRule="auto"/>
              <w:jc w:val="left"/>
              <w:rPr>
                <w:rFonts w:cs="Calibri"/>
                <w:sz w:val="20"/>
                <w:szCs w:val="20"/>
                <w:lang w:val="sr-Latn-RS" w:eastAsia="en-US"/>
              </w:rPr>
            </w:pPr>
            <w:r w:rsidRPr="004C1B16">
              <w:rPr>
                <w:rFonts w:cs="Calibri"/>
                <w:b/>
                <w:sz w:val="20"/>
                <w:szCs w:val="20"/>
                <w:lang w:val="sr-Latn-RS" w:eastAsia="en-US"/>
              </w:rPr>
              <w:t xml:space="preserve">Operativni ciljevi </w:t>
            </w:r>
          </w:p>
        </w:tc>
        <w:tc>
          <w:tcPr>
            <w:tcW w:w="7088" w:type="dxa"/>
            <w:gridSpan w:val="2"/>
          </w:tcPr>
          <w:p w14:paraId="39A2764C" w14:textId="77777777" w:rsidR="004C1B16" w:rsidRPr="004C1B16" w:rsidRDefault="004C1B16" w:rsidP="004C1B16">
            <w:pPr>
              <w:spacing w:before="0" w:after="0" w:line="240" w:lineRule="auto"/>
              <w:rPr>
                <w:rFonts w:cs="Calibri"/>
                <w:bCs/>
                <w:sz w:val="20"/>
                <w:szCs w:val="20"/>
                <w:lang w:val="sr-Latn-RS" w:eastAsia="en-US"/>
              </w:rPr>
            </w:pPr>
            <w:r w:rsidRPr="004C1B16">
              <w:rPr>
                <w:rFonts w:cs="Calibri"/>
                <w:bCs/>
                <w:sz w:val="20"/>
                <w:szCs w:val="20"/>
                <w:lang w:val="sr-Latn-RS" w:eastAsia="en-US"/>
              </w:rPr>
              <w:t>Uspostavljanje operativnog nacionalnog programa monitoringa otpada u moru.</w:t>
            </w:r>
          </w:p>
          <w:p w14:paraId="28A1136F" w14:textId="77777777" w:rsidR="004C1B16" w:rsidRPr="004C1B16" w:rsidRDefault="004C1B16" w:rsidP="004C1B16">
            <w:pPr>
              <w:spacing w:before="0" w:after="0" w:line="240" w:lineRule="auto"/>
              <w:rPr>
                <w:rFonts w:cs="Calibri"/>
                <w:bCs/>
                <w:sz w:val="20"/>
                <w:szCs w:val="20"/>
                <w:lang w:val="sr-Latn-RS" w:eastAsia="en-US"/>
              </w:rPr>
            </w:pPr>
            <w:r w:rsidRPr="004C1B16">
              <w:rPr>
                <w:rFonts w:cs="Calibri"/>
                <w:bCs/>
                <w:sz w:val="20"/>
                <w:szCs w:val="20"/>
                <w:lang w:val="sr-Latn-RS" w:eastAsia="en-US"/>
              </w:rPr>
              <w:t>Utvrđivanje bazičnih i vrjednosti praga za morsko dno i plutajući otpad na nacionalnom i/ili regionalnom nivou (uz koordinaciju relevantnih učesnika i nadležnih institucija)</w:t>
            </w:r>
          </w:p>
          <w:p w14:paraId="46734A49" w14:textId="77777777" w:rsidR="004C1B16" w:rsidRPr="004C1B16" w:rsidRDefault="004C1B16" w:rsidP="004C1B16">
            <w:pPr>
              <w:spacing w:before="0" w:after="0" w:line="240" w:lineRule="auto"/>
              <w:rPr>
                <w:rFonts w:cs="Calibri"/>
                <w:bCs/>
                <w:sz w:val="20"/>
                <w:szCs w:val="20"/>
                <w:lang w:val="sr-Latn-RS" w:eastAsia="en-US"/>
              </w:rPr>
            </w:pPr>
            <w:r w:rsidRPr="004C1B16">
              <w:rPr>
                <w:rFonts w:cs="Calibri"/>
                <w:bCs/>
                <w:sz w:val="20"/>
                <w:szCs w:val="20"/>
                <w:lang w:val="sr-Latn-RS" w:eastAsia="en-US"/>
              </w:rPr>
              <w:t xml:space="preserve">Razviti odgovarajuće mjere za smanjenje onih vrsta otpada koje su štetne za morsku sredinu. </w:t>
            </w:r>
          </w:p>
          <w:p w14:paraId="4FF5BEDD" w14:textId="77777777" w:rsidR="004C1B16" w:rsidRPr="004C1B16" w:rsidRDefault="004C1B16" w:rsidP="004C1B16">
            <w:pPr>
              <w:spacing w:before="0" w:after="0" w:line="240" w:lineRule="auto"/>
              <w:rPr>
                <w:rFonts w:cs="Calibri"/>
                <w:bCs/>
                <w:sz w:val="20"/>
                <w:szCs w:val="20"/>
                <w:lang w:val="sr-Latn-RS" w:eastAsia="en-US"/>
              </w:rPr>
            </w:pPr>
            <w:r w:rsidRPr="004C1B16">
              <w:rPr>
                <w:rFonts w:cs="Calibri"/>
                <w:bCs/>
                <w:sz w:val="20"/>
                <w:szCs w:val="20"/>
                <w:lang w:val="sr-Latn-RS" w:eastAsia="en-US"/>
              </w:rPr>
              <w:t>Sprovođenje intenzivnih akcija čišćenja na područjima "žarišta".</w:t>
            </w:r>
          </w:p>
        </w:tc>
      </w:tr>
      <w:tr w:rsidR="004C1B16" w:rsidRPr="004C1B16" w14:paraId="5CBCB73A" w14:textId="77777777" w:rsidTr="004C1B16">
        <w:tc>
          <w:tcPr>
            <w:tcW w:w="1838" w:type="dxa"/>
          </w:tcPr>
          <w:p w14:paraId="488CF81A" w14:textId="77777777" w:rsidR="004C1B16" w:rsidRPr="004C1B16" w:rsidRDefault="004C1B16" w:rsidP="004C1B16">
            <w:pPr>
              <w:autoSpaceDE w:val="0"/>
              <w:autoSpaceDN w:val="0"/>
              <w:adjustRightInd w:val="0"/>
              <w:spacing w:before="0" w:after="0" w:line="240" w:lineRule="auto"/>
              <w:jc w:val="left"/>
              <w:rPr>
                <w:rFonts w:cs="Calibri"/>
                <w:b/>
                <w:color w:val="000000"/>
                <w:sz w:val="20"/>
                <w:szCs w:val="20"/>
                <w:lang w:val="sr-Latn-RS" w:eastAsia="en-US"/>
              </w:rPr>
            </w:pPr>
            <w:r w:rsidRPr="004C1B16">
              <w:rPr>
                <w:rFonts w:cs="Calibri"/>
                <w:b/>
                <w:color w:val="000000"/>
                <w:sz w:val="20"/>
                <w:szCs w:val="20"/>
                <w:lang w:val="sr-Latn-RS" w:eastAsia="en-US"/>
              </w:rPr>
              <w:t>Indikatori koji se koriste za procjenu stanja</w:t>
            </w:r>
          </w:p>
          <w:p w14:paraId="6316DB7A" w14:textId="77777777" w:rsidR="004C1B16" w:rsidRPr="004C1B16" w:rsidRDefault="004C1B16" w:rsidP="004C1B16">
            <w:pPr>
              <w:autoSpaceDE w:val="0"/>
              <w:autoSpaceDN w:val="0"/>
              <w:adjustRightInd w:val="0"/>
              <w:spacing w:before="0" w:after="0" w:line="240" w:lineRule="auto"/>
              <w:jc w:val="left"/>
              <w:rPr>
                <w:rFonts w:cs="Calibri"/>
                <w:b/>
                <w:color w:val="000000"/>
                <w:sz w:val="20"/>
                <w:szCs w:val="20"/>
                <w:lang w:val="sr-Latn-RS" w:eastAsia="en-US"/>
              </w:rPr>
            </w:pPr>
          </w:p>
        </w:tc>
        <w:tc>
          <w:tcPr>
            <w:tcW w:w="7088" w:type="dxa"/>
            <w:gridSpan w:val="2"/>
          </w:tcPr>
          <w:p w14:paraId="7EEED5F2" w14:textId="5F915E0C" w:rsidR="004C1B16" w:rsidRPr="004C1B16" w:rsidRDefault="00D7379B" w:rsidP="004C1B16">
            <w:pPr>
              <w:autoSpaceDE w:val="0"/>
              <w:autoSpaceDN w:val="0"/>
              <w:adjustRightInd w:val="0"/>
              <w:spacing w:before="0" w:after="0" w:line="240" w:lineRule="auto"/>
              <w:contextualSpacing/>
              <w:rPr>
                <w:rFonts w:cs="Calibri"/>
                <w:color w:val="000000"/>
                <w:sz w:val="20"/>
                <w:szCs w:val="20"/>
                <w:lang w:val="sr-Latn-RS" w:eastAsia="en-US"/>
              </w:rPr>
            </w:pPr>
            <w:r w:rsidRPr="00D7379B">
              <w:rPr>
                <w:rFonts w:cs="Calibri"/>
                <w:b/>
                <w:color w:val="000000"/>
                <w:sz w:val="20"/>
                <w:szCs w:val="20"/>
                <w:lang w:val="sr-Latn-RS" w:eastAsia="en-US"/>
              </w:rPr>
              <w:t>D10C1.1</w:t>
            </w:r>
            <w:r>
              <w:rPr>
                <w:rFonts w:cs="Calibri"/>
                <w:color w:val="000000"/>
                <w:sz w:val="20"/>
                <w:szCs w:val="20"/>
                <w:lang w:val="sr-Latn-RS" w:eastAsia="en-US"/>
              </w:rPr>
              <w:t xml:space="preserve">: </w:t>
            </w:r>
            <w:r w:rsidR="004C1B16" w:rsidRPr="004C1B16">
              <w:rPr>
                <w:rFonts w:cs="Calibri"/>
                <w:color w:val="000000"/>
                <w:sz w:val="20"/>
                <w:szCs w:val="20"/>
                <w:lang w:val="sr-Latn-RS" w:eastAsia="en-US"/>
              </w:rPr>
              <w:t>Otpad na plažama</w:t>
            </w:r>
          </w:p>
          <w:p w14:paraId="2B92A412" w14:textId="61D5C96E" w:rsidR="004C1B16" w:rsidRPr="004C1B16" w:rsidRDefault="00D7379B" w:rsidP="004C1B16">
            <w:pPr>
              <w:autoSpaceDE w:val="0"/>
              <w:autoSpaceDN w:val="0"/>
              <w:adjustRightInd w:val="0"/>
              <w:spacing w:before="0" w:after="0" w:line="240" w:lineRule="auto"/>
              <w:contextualSpacing/>
              <w:rPr>
                <w:rFonts w:cs="Calibri"/>
                <w:color w:val="000000"/>
                <w:sz w:val="20"/>
                <w:szCs w:val="20"/>
                <w:lang w:val="sr-Latn-RS" w:eastAsia="en-US"/>
              </w:rPr>
            </w:pPr>
            <w:r w:rsidRPr="00D7379B">
              <w:rPr>
                <w:rFonts w:cs="Calibri"/>
                <w:b/>
                <w:color w:val="000000"/>
                <w:sz w:val="20"/>
                <w:szCs w:val="20"/>
                <w:lang w:val="sr-Latn-RS" w:eastAsia="en-US"/>
              </w:rPr>
              <w:t>D10C1.2</w:t>
            </w:r>
            <w:r>
              <w:rPr>
                <w:rFonts w:cs="Calibri"/>
                <w:color w:val="000000"/>
                <w:sz w:val="20"/>
                <w:szCs w:val="20"/>
                <w:lang w:val="sr-Latn-RS" w:eastAsia="en-US"/>
              </w:rPr>
              <w:t xml:space="preserve">: </w:t>
            </w:r>
            <w:r w:rsidR="004C1B16" w:rsidRPr="004C1B16">
              <w:rPr>
                <w:rFonts w:cs="Calibri"/>
                <w:color w:val="000000"/>
                <w:sz w:val="20"/>
                <w:szCs w:val="20"/>
                <w:lang w:val="sr-Latn-RS" w:eastAsia="en-US"/>
              </w:rPr>
              <w:t>Otpad na morskom dnu</w:t>
            </w:r>
          </w:p>
          <w:p w14:paraId="33AD0375" w14:textId="0BBBCE4C" w:rsidR="004C1B16" w:rsidRPr="004C1B16" w:rsidRDefault="00D7379B" w:rsidP="004C1B16">
            <w:pPr>
              <w:autoSpaceDE w:val="0"/>
              <w:autoSpaceDN w:val="0"/>
              <w:adjustRightInd w:val="0"/>
              <w:spacing w:before="0" w:after="0" w:line="240" w:lineRule="auto"/>
              <w:contextualSpacing/>
              <w:rPr>
                <w:rFonts w:cs="Calibri"/>
                <w:color w:val="000000"/>
                <w:sz w:val="20"/>
                <w:szCs w:val="20"/>
                <w:lang w:val="sr-Latn-RS" w:eastAsia="en-US"/>
              </w:rPr>
            </w:pPr>
            <w:r w:rsidRPr="00D7379B">
              <w:rPr>
                <w:rFonts w:cs="Calibri"/>
                <w:b/>
                <w:color w:val="000000"/>
                <w:sz w:val="20"/>
                <w:szCs w:val="20"/>
                <w:lang w:val="sr-Latn-RS" w:eastAsia="en-US"/>
              </w:rPr>
              <w:t>D10C1.3</w:t>
            </w:r>
            <w:r>
              <w:rPr>
                <w:rFonts w:cs="Calibri"/>
                <w:color w:val="000000"/>
                <w:sz w:val="20"/>
                <w:szCs w:val="20"/>
                <w:lang w:val="sr-Latn-RS" w:eastAsia="en-US"/>
              </w:rPr>
              <w:t xml:space="preserve">: </w:t>
            </w:r>
            <w:r w:rsidR="004C1B16" w:rsidRPr="004C1B16">
              <w:rPr>
                <w:rFonts w:cs="Calibri"/>
                <w:color w:val="000000"/>
                <w:sz w:val="20"/>
                <w:szCs w:val="20"/>
                <w:lang w:val="sr-Latn-RS" w:eastAsia="en-US"/>
              </w:rPr>
              <w:t>Plutajući otpad</w:t>
            </w:r>
          </w:p>
          <w:p w14:paraId="0F6A6CD5" w14:textId="2495B500" w:rsidR="004C1B16" w:rsidRPr="004C1B16" w:rsidRDefault="00D7379B" w:rsidP="004C1B16">
            <w:pPr>
              <w:autoSpaceDE w:val="0"/>
              <w:autoSpaceDN w:val="0"/>
              <w:adjustRightInd w:val="0"/>
              <w:spacing w:before="0" w:after="0" w:line="240" w:lineRule="auto"/>
              <w:contextualSpacing/>
              <w:rPr>
                <w:rFonts w:cs="Calibri"/>
                <w:sz w:val="20"/>
                <w:szCs w:val="20"/>
                <w:lang w:val="sr-Latn-RS" w:eastAsia="en-US"/>
              </w:rPr>
            </w:pPr>
            <w:r w:rsidRPr="00D7379B">
              <w:rPr>
                <w:rFonts w:cs="Calibri"/>
                <w:b/>
                <w:color w:val="000000"/>
                <w:sz w:val="20"/>
                <w:szCs w:val="20"/>
                <w:lang w:val="sr-Latn-RS" w:eastAsia="en-US"/>
              </w:rPr>
              <w:t>D10C2.1</w:t>
            </w:r>
            <w:r>
              <w:rPr>
                <w:rFonts w:cs="Calibri"/>
                <w:color w:val="000000"/>
                <w:sz w:val="20"/>
                <w:szCs w:val="20"/>
                <w:lang w:val="sr-Latn-RS" w:eastAsia="en-US"/>
              </w:rPr>
              <w:t xml:space="preserve">: </w:t>
            </w:r>
            <w:r w:rsidR="004C1B16" w:rsidRPr="004C1B16">
              <w:rPr>
                <w:rFonts w:cs="Calibri"/>
                <w:color w:val="000000"/>
                <w:sz w:val="20"/>
                <w:szCs w:val="20"/>
                <w:lang w:val="sr-Latn-RS" w:eastAsia="en-US"/>
              </w:rPr>
              <w:t>Sastav, količina i prostorna distribucija mikro-otpada (partikule</w:t>
            </w:r>
            <w:r w:rsidR="004C1B16" w:rsidRPr="004C1B16">
              <w:rPr>
                <w:rFonts w:cs="Calibri"/>
                <w:sz w:val="20"/>
                <w:szCs w:val="20"/>
                <w:lang w:val="sr-Latn-RS" w:eastAsia="en-US"/>
              </w:rPr>
              <w:t>&lt; 5mm)</w:t>
            </w:r>
          </w:p>
          <w:p w14:paraId="00DDEC3E" w14:textId="65C9385C" w:rsidR="004C1B16" w:rsidRPr="004C1B16" w:rsidRDefault="00D7379B" w:rsidP="004C1B16">
            <w:pPr>
              <w:autoSpaceDE w:val="0"/>
              <w:autoSpaceDN w:val="0"/>
              <w:adjustRightInd w:val="0"/>
              <w:spacing w:before="0" w:after="0" w:line="240" w:lineRule="auto"/>
              <w:contextualSpacing/>
              <w:rPr>
                <w:rFonts w:cs="Calibri"/>
                <w:color w:val="000000"/>
                <w:sz w:val="20"/>
                <w:szCs w:val="20"/>
                <w:lang w:val="sr-Latn-RS" w:eastAsia="en-US"/>
              </w:rPr>
            </w:pPr>
            <w:r w:rsidRPr="00D7379B">
              <w:rPr>
                <w:rFonts w:cs="Calibri"/>
                <w:b/>
                <w:sz w:val="20"/>
                <w:szCs w:val="20"/>
                <w:lang w:val="sr-Latn-RS" w:eastAsia="en-US"/>
              </w:rPr>
              <w:t>D10C3.1</w:t>
            </w:r>
            <w:r>
              <w:rPr>
                <w:rFonts w:cs="Calibri"/>
                <w:sz w:val="20"/>
                <w:szCs w:val="20"/>
                <w:lang w:val="sr-Latn-RS" w:eastAsia="en-US"/>
              </w:rPr>
              <w:t xml:space="preserve">: </w:t>
            </w:r>
            <w:r w:rsidR="004C1B16" w:rsidRPr="004C1B16">
              <w:rPr>
                <w:rFonts w:cs="Calibri"/>
                <w:sz w:val="20"/>
                <w:szCs w:val="20"/>
                <w:lang w:val="sr-Latn-RS" w:eastAsia="en-US"/>
              </w:rPr>
              <w:t>Količina otpada progutanog od strane morskih životinja (riba)</w:t>
            </w:r>
          </w:p>
        </w:tc>
      </w:tr>
    </w:tbl>
    <w:p w14:paraId="4ECE0875" w14:textId="77777777" w:rsidR="004C1B16" w:rsidRPr="004C1B16" w:rsidRDefault="004C1B16" w:rsidP="004C1B16">
      <w:pPr>
        <w:keepNext/>
        <w:spacing w:before="240" w:after="240"/>
        <w:ind w:left="1713"/>
        <w:jc w:val="left"/>
        <w:outlineLvl w:val="2"/>
        <w:rPr>
          <w:rFonts w:cs="Calibri"/>
          <w:b/>
          <w:bCs/>
          <w:color w:val="2F5496"/>
          <w:sz w:val="20"/>
          <w:szCs w:val="20"/>
          <w:lang w:val="sr-Latn-RS" w:eastAsia="en-US"/>
        </w:rPr>
      </w:pPr>
    </w:p>
    <w:p w14:paraId="6CDD124F" w14:textId="4813A5C0" w:rsidR="004C1B16" w:rsidRPr="00C6266F" w:rsidRDefault="004C1B16" w:rsidP="00C6266F">
      <w:pPr>
        <w:pStyle w:val="Heading3"/>
        <w:rPr>
          <w:lang w:val="sr-Latn-RS" w:eastAsia="en-US"/>
        </w:rPr>
      </w:pPr>
      <w:bookmarkStart w:id="284" w:name="_Toc83630958"/>
      <w:bookmarkStart w:id="285" w:name="_Toc69678408"/>
      <w:r w:rsidRPr="004C1B16">
        <w:rPr>
          <w:lang w:val="sr-Latn-RS" w:eastAsia="en-US"/>
        </w:rPr>
        <w:t>Povezanost sa drugim deskriptorima</w:t>
      </w:r>
      <w:bookmarkEnd w:id="284"/>
      <w:r w:rsidRPr="004C1B16">
        <w:rPr>
          <w:lang w:val="sr-Latn-RS" w:eastAsia="en-US"/>
        </w:rPr>
        <w:t xml:space="preserve"> </w:t>
      </w:r>
      <w:bookmarkEnd w:id="285"/>
    </w:p>
    <w:p w14:paraId="78145150"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Iako postoji niz naučnih studija koje se bave pitanjem otpada u moru, tačni podaci o izvorima i uticaju otpada na biodiverzitet i morske organizme još uvijek nisu dovoljni. Uticaj otpada u moru na biodiverzitet (D1) je različit. Ogleda se u gutanju, uplitanju, prenosu invazivnih vrsta plutajućim otpadom (kao vektor prenosa), pokrivanju staništa i smanjenju kiseonika uslijed "gušenja" određenih vrsta prekrivanjem, ispuštanju hemijskih komponenti u morsku sredinu sa letalnim ili subletalnim efektom na morske organizme.</w:t>
      </w:r>
    </w:p>
    <w:p w14:paraId="3E806A91"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Naučna istraživanja otkrila su da otpad u moru utiče na mnoge morske vrste u svim poznatim tipovima staništa u Sredozemnom moru. Prema literaturi, prijavljeno je da je oko 134 različitih vrsta morskih organizama pogođeno negativnim uticajima otpada u moru u sredozemnoj regiji (Deudero i Alomar, 2015). Međutim, većina studija usmjerena je na ciljane vrste morskih organizama - najčešće ugrožene ili rijetke vrste (morski sisari i morske kornjače).</w:t>
      </w:r>
    </w:p>
    <w:p w14:paraId="5F8503EE"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 xml:space="preserve">Plutajući otpad povoljan je vektor za prenos organizama na najudaljenija mjesta i može prouzrokovati transport neautohtonih vrsta (D2) na nova mjesta na kojima bi mogle postati invazivne i gdje bi mogle promijeniti sastav zajednica u prihvatnim staništima (Rech </w:t>
      </w:r>
      <w:r w:rsidRPr="004C1B16">
        <w:rPr>
          <w:rFonts w:eastAsia="Calibri" w:cs="Calibri"/>
          <w:i/>
          <w:iCs/>
          <w:szCs w:val="22"/>
          <w:lang w:val="sr-Latn-RS" w:eastAsia="en-US"/>
        </w:rPr>
        <w:t>et al</w:t>
      </w:r>
      <w:r w:rsidRPr="004C1B16">
        <w:rPr>
          <w:rFonts w:eastAsia="Calibri" w:cs="Calibri"/>
          <w:szCs w:val="22"/>
          <w:lang w:val="sr-Latn-RS" w:eastAsia="en-US"/>
        </w:rPr>
        <w:t>. 2016) .</w:t>
      </w:r>
    </w:p>
    <w:p w14:paraId="0CF4B7B4" w14:textId="77777777" w:rsidR="004C1B16" w:rsidRPr="004C1B16" w:rsidRDefault="004C1B16" w:rsidP="004C1B16">
      <w:pPr>
        <w:spacing w:before="0" w:after="160"/>
        <w:rPr>
          <w:rFonts w:eastAsia="Calibri" w:cs="Calibri"/>
          <w:szCs w:val="22"/>
          <w:lang w:val="sr-Latn-RS" w:eastAsia="en-US"/>
        </w:rPr>
      </w:pPr>
      <w:r w:rsidRPr="004C1B16">
        <w:rPr>
          <w:rFonts w:eastAsia="Calibri" w:cs="Calibri"/>
          <w:szCs w:val="22"/>
          <w:lang w:val="sr-Latn-RS" w:eastAsia="en-US"/>
        </w:rPr>
        <w:t xml:space="preserve">Uticaj otpada u moru na lance ishrane i komercijalne vrste riba u velikoj se mjeri ogleda u unosu mikroplastike. Morski organizmi mogu namjerno unositi otpad zbog sličnosti sa plijenom (Campani </w:t>
      </w:r>
      <w:r w:rsidRPr="004C1B16">
        <w:rPr>
          <w:rFonts w:eastAsia="Calibri" w:cs="Calibri"/>
          <w:i/>
          <w:iCs/>
          <w:szCs w:val="22"/>
          <w:lang w:val="sr-Latn-RS" w:eastAsia="en-US"/>
        </w:rPr>
        <w:t>et al.,</w:t>
      </w:r>
      <w:r w:rsidRPr="004C1B16">
        <w:rPr>
          <w:rFonts w:eastAsia="Calibri" w:cs="Calibri"/>
          <w:szCs w:val="22"/>
          <w:lang w:val="sr-Latn-RS" w:eastAsia="en-US"/>
        </w:rPr>
        <w:t xml:space="preserve"> 2013, Cole </w:t>
      </w:r>
      <w:r w:rsidRPr="004C1B16">
        <w:rPr>
          <w:rFonts w:eastAsia="Calibri" w:cs="Calibri"/>
          <w:i/>
          <w:iCs/>
          <w:szCs w:val="22"/>
          <w:lang w:val="sr-Latn-RS" w:eastAsia="en-US"/>
        </w:rPr>
        <w:t>et al.,</w:t>
      </w:r>
      <w:r w:rsidRPr="004C1B16">
        <w:rPr>
          <w:rFonts w:eastAsia="Calibri" w:cs="Calibri"/>
          <w:szCs w:val="22"/>
          <w:lang w:val="sr-Latn-RS" w:eastAsia="en-US"/>
        </w:rPr>
        <w:t xml:space="preserve"> 2011, Romeo </w:t>
      </w:r>
      <w:r w:rsidRPr="004C1B16">
        <w:rPr>
          <w:rFonts w:eastAsia="Calibri" w:cs="Calibri"/>
          <w:i/>
          <w:iCs/>
          <w:szCs w:val="22"/>
          <w:lang w:val="sr-Latn-RS" w:eastAsia="en-US"/>
        </w:rPr>
        <w:t>et al</w:t>
      </w:r>
      <w:r w:rsidRPr="004C1B16">
        <w:rPr>
          <w:rFonts w:eastAsia="Calibri" w:cs="Calibri"/>
          <w:szCs w:val="22"/>
          <w:lang w:val="sr-Latn-RS" w:eastAsia="en-US"/>
        </w:rPr>
        <w:t xml:space="preserve">., 2016, Wright </w:t>
      </w:r>
      <w:r w:rsidRPr="004C1B16">
        <w:rPr>
          <w:rFonts w:eastAsia="Calibri" w:cs="Calibri"/>
          <w:i/>
          <w:iCs/>
          <w:szCs w:val="22"/>
          <w:lang w:val="sr-Latn-RS" w:eastAsia="en-US"/>
        </w:rPr>
        <w:t>et al.,</w:t>
      </w:r>
      <w:r w:rsidRPr="004C1B16">
        <w:rPr>
          <w:rFonts w:eastAsia="Calibri" w:cs="Calibri"/>
          <w:szCs w:val="22"/>
          <w:lang w:val="sr-Latn-RS" w:eastAsia="en-US"/>
        </w:rPr>
        <w:t xml:space="preserve"> 2013) ili slučajno dok se hrane svojim plijenom, na primjer filtriranjem morske vode (Fossi </w:t>
      </w:r>
      <w:r w:rsidRPr="004C1B16">
        <w:rPr>
          <w:rFonts w:eastAsia="Calibri" w:cs="Calibri"/>
          <w:i/>
          <w:iCs/>
          <w:szCs w:val="22"/>
          <w:lang w:val="sr-Latn-RS" w:eastAsia="en-US"/>
        </w:rPr>
        <w:t>et</w:t>
      </w:r>
      <w:r w:rsidRPr="004C1B16">
        <w:rPr>
          <w:rFonts w:eastAsia="Calibri" w:cs="Calibri"/>
          <w:szCs w:val="22"/>
          <w:lang w:val="sr-Latn-RS" w:eastAsia="en-US"/>
        </w:rPr>
        <w:t xml:space="preserve"> al., 2014, Fossi </w:t>
      </w:r>
      <w:r w:rsidRPr="004C1B16">
        <w:rPr>
          <w:rFonts w:eastAsia="Calibri" w:cs="Calibri"/>
          <w:i/>
          <w:iCs/>
          <w:szCs w:val="22"/>
          <w:lang w:val="sr-Latn-RS" w:eastAsia="en-US"/>
        </w:rPr>
        <w:t>et al.,</w:t>
      </w:r>
      <w:r w:rsidRPr="004C1B16">
        <w:rPr>
          <w:rFonts w:eastAsia="Calibri" w:cs="Calibri"/>
          <w:szCs w:val="22"/>
          <w:lang w:val="sr-Latn-RS" w:eastAsia="en-US"/>
        </w:rPr>
        <w:t xml:space="preserve"> 2016), lovom u jatima (Battaglia </w:t>
      </w:r>
      <w:r w:rsidRPr="004C1B16">
        <w:rPr>
          <w:rFonts w:eastAsia="Calibri" w:cs="Calibri"/>
          <w:i/>
          <w:iCs/>
          <w:szCs w:val="22"/>
          <w:lang w:val="sr-Latn-RS" w:eastAsia="en-US"/>
        </w:rPr>
        <w:t>et al</w:t>
      </w:r>
      <w:r w:rsidRPr="004C1B16">
        <w:rPr>
          <w:rFonts w:eastAsia="Calibri" w:cs="Calibri"/>
          <w:szCs w:val="22"/>
          <w:lang w:val="sr-Latn-RS" w:eastAsia="en-US"/>
        </w:rPr>
        <w:t xml:space="preserve">., 2016; Romeo </w:t>
      </w:r>
      <w:r w:rsidRPr="004C1B16">
        <w:rPr>
          <w:rFonts w:eastAsia="Calibri" w:cs="Calibri"/>
          <w:i/>
          <w:iCs/>
          <w:szCs w:val="22"/>
          <w:lang w:val="sr-Latn-RS" w:eastAsia="en-US"/>
        </w:rPr>
        <w:t>et al.,</w:t>
      </w:r>
      <w:r w:rsidRPr="004C1B16">
        <w:rPr>
          <w:rFonts w:eastAsia="Calibri" w:cs="Calibri"/>
          <w:szCs w:val="22"/>
          <w:lang w:val="sr-Latn-RS" w:eastAsia="en-US"/>
        </w:rPr>
        <w:t xml:space="preserve"> 2015), ili kao rezultat sekundarnog gutanja (otpad koji je već progutan od strane plijena) (Vlachogianni </w:t>
      </w:r>
      <w:r w:rsidRPr="004C1B16">
        <w:rPr>
          <w:rFonts w:eastAsia="Calibri" w:cs="Calibri"/>
          <w:i/>
          <w:iCs/>
          <w:szCs w:val="22"/>
          <w:lang w:val="sr-Latn-RS" w:eastAsia="en-US"/>
        </w:rPr>
        <w:t>et al</w:t>
      </w:r>
      <w:r w:rsidRPr="004C1B16">
        <w:rPr>
          <w:rFonts w:eastAsia="Calibri" w:cs="Calibri"/>
          <w:szCs w:val="22"/>
          <w:lang w:val="sr-Latn-RS" w:eastAsia="en-US"/>
        </w:rPr>
        <w:t>., 2018.).</w:t>
      </w:r>
    </w:p>
    <w:p w14:paraId="233819A2" w14:textId="77777777" w:rsidR="004C1B16" w:rsidRPr="004C1B16" w:rsidRDefault="004C1B16" w:rsidP="004C1B16">
      <w:pPr>
        <w:spacing w:before="0" w:after="0"/>
        <w:rPr>
          <w:rFonts w:eastAsia="Calibri" w:cs="Calibri"/>
          <w:szCs w:val="22"/>
          <w:lang w:val="sr-Latn-RS" w:eastAsia="en-US"/>
        </w:rPr>
      </w:pPr>
    </w:p>
    <w:p w14:paraId="2EBA28F4" w14:textId="201D91AA" w:rsidR="004C1B16" w:rsidRPr="00895BE2" w:rsidRDefault="004C1B16" w:rsidP="00895BE2">
      <w:pPr>
        <w:pStyle w:val="Heading3"/>
        <w:rPr>
          <w:lang w:val="sr-Latn-RS" w:eastAsia="en-US"/>
        </w:rPr>
      </w:pPr>
      <w:r w:rsidRPr="004C1B16">
        <w:rPr>
          <w:lang w:val="sr-Latn-RS" w:eastAsia="en-US"/>
        </w:rPr>
        <w:t xml:space="preserve"> </w:t>
      </w:r>
      <w:bookmarkStart w:id="286" w:name="_Toc69678409"/>
      <w:bookmarkStart w:id="287" w:name="_Toc83630959"/>
      <w:r w:rsidRPr="004C1B16">
        <w:rPr>
          <w:lang w:val="sr-Latn-RS" w:eastAsia="en-US"/>
        </w:rPr>
        <w:t xml:space="preserve">Nedostaci i potrebe </w:t>
      </w:r>
      <w:bookmarkEnd w:id="286"/>
      <w:r w:rsidR="00E24841">
        <w:rPr>
          <w:lang w:val="sr-Latn-RS" w:eastAsia="en-US"/>
        </w:rPr>
        <w:t>za unapređenjem</w:t>
      </w:r>
      <w:bookmarkEnd w:id="287"/>
    </w:p>
    <w:p w14:paraId="36C1EC69" w14:textId="77777777" w:rsidR="004C1B16" w:rsidRPr="004C1B16" w:rsidRDefault="004C1B16" w:rsidP="00C6266F">
      <w:pPr>
        <w:spacing w:before="0" w:after="120"/>
        <w:rPr>
          <w:rFonts w:eastAsia="Calibri" w:cs="Calibri"/>
          <w:szCs w:val="22"/>
          <w:lang w:val="sr-Latn-RS" w:eastAsia="en-US"/>
        </w:rPr>
      </w:pPr>
      <w:r w:rsidRPr="004C1B16">
        <w:rPr>
          <w:rFonts w:eastAsia="Calibri" w:cs="Calibri"/>
          <w:szCs w:val="22"/>
          <w:lang w:val="sr-Latn-RS" w:eastAsia="en-US"/>
        </w:rPr>
        <w:t>Analiza nacionalnog zakonodavstva u Crnoj Gori pokazala je da ne postoje pravni instrumenti koji zabranjuju odlaganje čvrstog otpada direktno u more i obalu, osim Zakona o sprečavanju zagađenja mora sa plovila (Službeni list CG, br. CG 20/11, 26/11, 27/14).</w:t>
      </w:r>
    </w:p>
    <w:p w14:paraId="489754D5" w14:textId="77777777" w:rsidR="004C1B16" w:rsidRPr="004C1B16" w:rsidRDefault="004C1B16" w:rsidP="00C6266F">
      <w:pPr>
        <w:spacing w:before="0" w:after="120"/>
        <w:rPr>
          <w:rFonts w:eastAsia="Calibri" w:cs="Calibri"/>
          <w:szCs w:val="22"/>
          <w:lang w:val="sr-Latn-RS" w:eastAsia="en-US"/>
        </w:rPr>
      </w:pPr>
      <w:r w:rsidRPr="004C1B16">
        <w:rPr>
          <w:rFonts w:eastAsia="Calibri" w:cs="Calibri"/>
          <w:szCs w:val="22"/>
          <w:lang w:val="sr-Latn-RS" w:eastAsia="en-US"/>
        </w:rPr>
        <w:t>Zbog toga je neophodno dopuniti zakonodavstvo u Crnoj Gori kako bi se smanjila količina otpada u moru koji dospjeva do mora i priobalnih područja, zaštitila morska sredina i očuvale prirodne vrijednosti područja.</w:t>
      </w:r>
    </w:p>
    <w:p w14:paraId="709E3D4D" w14:textId="77777777" w:rsidR="004C1B16" w:rsidRPr="004C1B16" w:rsidRDefault="004C1B16" w:rsidP="00C6266F">
      <w:pPr>
        <w:spacing w:before="0" w:after="120"/>
        <w:rPr>
          <w:rFonts w:eastAsia="Calibri" w:cs="Calibri"/>
          <w:szCs w:val="22"/>
          <w:lang w:val="sr-Latn-RS" w:eastAsia="en-US"/>
        </w:rPr>
      </w:pPr>
      <w:r w:rsidRPr="004C1B16">
        <w:rPr>
          <w:rFonts w:eastAsia="Calibri" w:cs="Calibri"/>
          <w:szCs w:val="22"/>
          <w:lang w:val="sr-Latn-RS" w:eastAsia="en-US"/>
        </w:rPr>
        <w:t xml:space="preserve">Važan nedostatak je manjak podataka za primarni kriterijum D10C2 (Sastav, količina i prostorna distribucija mikro otpada (čestice &lt;5 mm) na obali, u površinskom sloju vodenog stuba i u sedimentu morskog dna). Za ovaj indikator ne postoje dostupni podaci za Crnu Goru. Budući da je u pitanju primarni indikator, to znači da bi Crna Gora trebala poduzeti mjere na započinjanju monitoring programa i metoda procjene, </w:t>
      </w:r>
      <w:r w:rsidRPr="004C1B16">
        <w:rPr>
          <w:rFonts w:cs="Calibri"/>
          <w:szCs w:val="22"/>
          <w:lang w:val="sr-Latn-RS" w:eastAsia="en-US"/>
        </w:rPr>
        <w:t>kako bi se osiguralo da se može preduzeti adekvatno ažuriranje prema članu 8 MSFD-a.</w:t>
      </w:r>
    </w:p>
    <w:p w14:paraId="01A2AF95" w14:textId="77777777" w:rsidR="004C1B16" w:rsidRPr="004C1B16" w:rsidRDefault="004C1B16" w:rsidP="00C6266F">
      <w:pPr>
        <w:spacing w:before="0" w:after="120"/>
        <w:rPr>
          <w:rFonts w:eastAsia="Calibri" w:cs="Calibri"/>
          <w:szCs w:val="22"/>
          <w:lang w:val="sr-Latn-RS" w:eastAsia="en-US"/>
        </w:rPr>
      </w:pPr>
      <w:r w:rsidRPr="004C1B16">
        <w:rPr>
          <w:rFonts w:eastAsia="Calibri" w:cs="Calibri"/>
          <w:szCs w:val="22"/>
          <w:lang w:val="sr-Latn-RS" w:eastAsia="en-US"/>
        </w:rPr>
        <w:t>Nakon analize dobrih praksi razvijenih zemalja i onih manje razvijenih, ali svjesnih veličine problema otpada u moru, neophodno je sprovesti usklađivanje zakonodavstva sa zahtjevima EU direktiva i preporuka međunarodnih konvencija i strategija, tj. termin "otpad u moru" treba uključiti u jedan sektor (npr. sektor upravljanja otpadom) i olakšati sprovođenje mjera i definisanje institucionalne odgovornosti u zemlji.</w:t>
      </w:r>
    </w:p>
    <w:p w14:paraId="452E82E1" w14:textId="61C18F68" w:rsidR="005E5218" w:rsidRDefault="005E5218" w:rsidP="004C1B16">
      <w:pPr>
        <w:rPr>
          <w:rFonts w:cs="Calibri"/>
          <w:szCs w:val="22"/>
          <w:lang w:val="sr-Latn-RS"/>
        </w:rPr>
      </w:pPr>
    </w:p>
    <w:p w14:paraId="59A780E4" w14:textId="042027EE" w:rsidR="008B25AD" w:rsidRDefault="008B25AD" w:rsidP="004C1B16">
      <w:pPr>
        <w:rPr>
          <w:rFonts w:cs="Calibri"/>
          <w:szCs w:val="22"/>
          <w:lang w:val="sr-Latn-RS"/>
        </w:rPr>
      </w:pPr>
    </w:p>
    <w:p w14:paraId="60A87CDF" w14:textId="2FF7199B" w:rsidR="008B25AD" w:rsidRDefault="008B25AD" w:rsidP="004C1B16">
      <w:pPr>
        <w:rPr>
          <w:rFonts w:cs="Calibri"/>
          <w:szCs w:val="22"/>
          <w:lang w:val="sr-Latn-RS"/>
        </w:rPr>
      </w:pPr>
    </w:p>
    <w:p w14:paraId="359E0B67" w14:textId="5DB68BCB" w:rsidR="008B25AD" w:rsidRDefault="008B25AD" w:rsidP="004C1B16">
      <w:pPr>
        <w:rPr>
          <w:rFonts w:cs="Calibri"/>
          <w:szCs w:val="22"/>
          <w:lang w:val="sr-Latn-RS"/>
        </w:rPr>
      </w:pPr>
    </w:p>
    <w:p w14:paraId="3F1DCD47" w14:textId="79988067" w:rsidR="008B25AD" w:rsidRDefault="008B25AD" w:rsidP="004C1B16">
      <w:pPr>
        <w:rPr>
          <w:rFonts w:cs="Calibri"/>
          <w:szCs w:val="22"/>
          <w:lang w:val="sr-Latn-RS"/>
        </w:rPr>
      </w:pPr>
    </w:p>
    <w:p w14:paraId="6A82DE89" w14:textId="0E06131C" w:rsidR="008B25AD" w:rsidRDefault="008B25AD" w:rsidP="004C1B16">
      <w:pPr>
        <w:rPr>
          <w:rFonts w:cs="Calibri"/>
          <w:szCs w:val="22"/>
          <w:lang w:val="sr-Latn-RS"/>
        </w:rPr>
      </w:pPr>
    </w:p>
    <w:p w14:paraId="1A17E095" w14:textId="77777777" w:rsidR="008B25AD" w:rsidRPr="004C1B16" w:rsidRDefault="008B25AD" w:rsidP="004C1B16">
      <w:pPr>
        <w:rPr>
          <w:rFonts w:cs="Calibri"/>
          <w:szCs w:val="22"/>
          <w:lang w:val="sr-Latn-RS"/>
        </w:rPr>
      </w:pPr>
    </w:p>
    <w:p w14:paraId="7A301ACF" w14:textId="25EC4EEC" w:rsidR="00B71D9B" w:rsidRPr="005C7FC2" w:rsidRDefault="007824EE" w:rsidP="005C7FC2">
      <w:pPr>
        <w:pStyle w:val="Heading2"/>
        <w:ind w:left="567" w:hanging="567"/>
        <w:jc w:val="left"/>
        <w:rPr>
          <w:lang w:val="en-GB"/>
        </w:rPr>
      </w:pPr>
      <w:bookmarkStart w:id="288" w:name="_Toc83630960"/>
      <w:bookmarkStart w:id="289" w:name="_Toc68078545"/>
      <w:bookmarkStart w:id="290" w:name="_Toc68180810"/>
      <w:bookmarkStart w:id="291" w:name="_Toc68247583"/>
      <w:bookmarkEnd w:id="266"/>
      <w:r>
        <w:rPr>
          <w:lang w:val="en-GB" w:eastAsia="en-US"/>
        </w:rPr>
        <w:t xml:space="preserve">UNOS </w:t>
      </w:r>
      <w:r w:rsidR="005C7FC2" w:rsidRPr="005C7FC2">
        <w:rPr>
          <w:lang w:val="en-GB" w:eastAsia="en-US"/>
        </w:rPr>
        <w:t>ANTROPOGENOG ZVUKA (IMPUL</w:t>
      </w:r>
      <w:r w:rsidR="005C7FC2">
        <w:rPr>
          <w:lang w:val="en-GB" w:eastAsia="en-US"/>
        </w:rPr>
        <w:t>SNI</w:t>
      </w:r>
      <w:r w:rsidR="005C7FC2" w:rsidRPr="005C7FC2">
        <w:rPr>
          <w:lang w:val="en-GB" w:eastAsia="en-US"/>
        </w:rPr>
        <w:t>, KONTINUIRANI) (DESKRIPTOR 11)</w:t>
      </w:r>
      <w:bookmarkEnd w:id="288"/>
    </w:p>
    <w:p w14:paraId="1E95BF0C" w14:textId="3C7DC486" w:rsidR="00C51116" w:rsidRPr="00DC6F14" w:rsidRDefault="005C7FC2" w:rsidP="00DC6F14">
      <w:pPr>
        <w:spacing w:before="0" w:after="160"/>
        <w:rPr>
          <w:b/>
          <w:lang w:val="en-GB" w:eastAsia="en-US"/>
        </w:rPr>
      </w:pPr>
      <w:r>
        <w:rPr>
          <w:b/>
          <w:lang w:val="en-GB" w:eastAsia="en-US"/>
        </w:rPr>
        <w:t>Uvod</w:t>
      </w:r>
      <w:bookmarkEnd w:id="289"/>
      <w:bookmarkEnd w:id="290"/>
      <w:bookmarkEnd w:id="291"/>
    </w:p>
    <w:p w14:paraId="2974CA99" w14:textId="1FD3D3E2" w:rsidR="005C7FC2" w:rsidRPr="001C6CCA" w:rsidRDefault="005C7FC2" w:rsidP="00DC6F14">
      <w:pPr>
        <w:autoSpaceDE w:val="0"/>
        <w:autoSpaceDN w:val="0"/>
        <w:adjustRightInd w:val="0"/>
        <w:spacing w:before="0" w:after="160"/>
        <w:rPr>
          <w:rFonts w:eastAsia="Calibri" w:cs="Calibri"/>
          <w:bCs/>
          <w:szCs w:val="22"/>
          <w:lang w:val="en-GB" w:eastAsia="hr-HR"/>
        </w:rPr>
      </w:pPr>
      <w:r w:rsidRPr="005C7FC2">
        <w:rPr>
          <w:rFonts w:eastAsia="Calibri" w:cs="Calibri"/>
          <w:bCs/>
          <w:szCs w:val="22"/>
          <w:lang w:val="en-GB" w:eastAsia="hr-HR"/>
        </w:rPr>
        <w:t xml:space="preserve">Postoje snažni naučni dokazi da </w:t>
      </w:r>
      <w:r>
        <w:rPr>
          <w:rFonts w:eastAsia="Calibri" w:cs="Calibri"/>
          <w:bCs/>
          <w:szCs w:val="22"/>
          <w:lang w:val="en-GB" w:eastAsia="hr-HR"/>
        </w:rPr>
        <w:t>izlaganje</w:t>
      </w:r>
      <w:r w:rsidRPr="005C7FC2">
        <w:rPr>
          <w:rFonts w:eastAsia="Calibri" w:cs="Calibri"/>
          <w:bCs/>
          <w:szCs w:val="22"/>
          <w:lang w:val="en-GB" w:eastAsia="hr-HR"/>
        </w:rPr>
        <w:t xml:space="preserve"> antropogenom podvodnom zvuku </w:t>
      </w:r>
      <w:r>
        <w:rPr>
          <w:rFonts w:eastAsia="Calibri" w:cs="Calibri"/>
          <w:bCs/>
          <w:szCs w:val="22"/>
          <w:lang w:val="en-GB" w:eastAsia="hr-HR"/>
        </w:rPr>
        <w:t xml:space="preserve">može negativno uticati na </w:t>
      </w:r>
      <w:r w:rsidRPr="005C7FC2">
        <w:rPr>
          <w:rFonts w:eastAsia="Calibri" w:cs="Calibri"/>
          <w:bCs/>
          <w:szCs w:val="22"/>
          <w:lang w:val="en-GB" w:eastAsia="hr-HR"/>
        </w:rPr>
        <w:t>morsk</w:t>
      </w:r>
      <w:r>
        <w:rPr>
          <w:rFonts w:eastAsia="Calibri" w:cs="Calibri"/>
          <w:bCs/>
          <w:szCs w:val="22"/>
          <w:lang w:val="en-GB" w:eastAsia="hr-HR"/>
        </w:rPr>
        <w:t>e organizme. Prema tome, u ODMS</w:t>
      </w:r>
      <w:r w:rsidRPr="005C7FC2">
        <w:rPr>
          <w:rFonts w:eastAsia="Calibri" w:cs="Calibri"/>
          <w:bCs/>
          <w:szCs w:val="22"/>
          <w:lang w:val="en-GB" w:eastAsia="hr-HR"/>
        </w:rPr>
        <w:t xml:space="preserve"> (2017/845/EC) antropogeni podvodni zvuk prepoznat </w:t>
      </w:r>
      <w:r>
        <w:rPr>
          <w:rFonts w:eastAsia="Calibri" w:cs="Calibri"/>
          <w:bCs/>
          <w:szCs w:val="22"/>
          <w:lang w:val="en-GB" w:eastAsia="hr-HR"/>
        </w:rPr>
        <w:t xml:space="preserve">je </w:t>
      </w:r>
      <w:r w:rsidRPr="005C7FC2">
        <w:rPr>
          <w:rFonts w:eastAsia="Calibri" w:cs="Calibri"/>
          <w:bCs/>
          <w:szCs w:val="22"/>
          <w:lang w:val="en-GB" w:eastAsia="hr-HR"/>
        </w:rPr>
        <w:t>kao pritisak na morsk</w:t>
      </w:r>
      <w:r>
        <w:rPr>
          <w:rFonts w:eastAsia="Calibri" w:cs="Calibri"/>
          <w:bCs/>
          <w:szCs w:val="22"/>
          <w:lang w:val="en-GB" w:eastAsia="hr-HR"/>
        </w:rPr>
        <w:t>u sredinu</w:t>
      </w:r>
      <w:r w:rsidRPr="005C7FC2">
        <w:rPr>
          <w:rFonts w:eastAsia="Calibri" w:cs="Calibri"/>
          <w:bCs/>
          <w:szCs w:val="22"/>
          <w:lang w:val="en-GB" w:eastAsia="hr-HR"/>
        </w:rPr>
        <w:t xml:space="preserve"> koji treba proc</w:t>
      </w:r>
      <w:r>
        <w:rPr>
          <w:rFonts w:eastAsia="Calibri" w:cs="Calibri"/>
          <w:bCs/>
          <w:szCs w:val="22"/>
          <w:lang w:val="en-GB" w:eastAsia="hr-HR"/>
        </w:rPr>
        <w:t>ij</w:t>
      </w:r>
      <w:r w:rsidRPr="005C7FC2">
        <w:rPr>
          <w:rFonts w:eastAsia="Calibri" w:cs="Calibri"/>
          <w:bCs/>
          <w:szCs w:val="22"/>
          <w:lang w:val="en-GB" w:eastAsia="hr-HR"/>
        </w:rPr>
        <w:t>eniti i r</w:t>
      </w:r>
      <w:r>
        <w:rPr>
          <w:rFonts w:eastAsia="Calibri" w:cs="Calibri"/>
          <w:bCs/>
          <w:szCs w:val="22"/>
          <w:lang w:val="en-GB" w:eastAsia="hr-HR"/>
        </w:rPr>
        <w:t>ij</w:t>
      </w:r>
      <w:r w:rsidRPr="005C7FC2">
        <w:rPr>
          <w:rFonts w:eastAsia="Calibri" w:cs="Calibri"/>
          <w:bCs/>
          <w:szCs w:val="22"/>
          <w:lang w:val="en-GB" w:eastAsia="hr-HR"/>
        </w:rPr>
        <w:t>ešiti kako bi se postig</w:t>
      </w:r>
      <w:r>
        <w:rPr>
          <w:rFonts w:eastAsia="Calibri" w:cs="Calibri"/>
          <w:bCs/>
          <w:szCs w:val="22"/>
          <w:lang w:val="en-GB" w:eastAsia="hr-HR"/>
        </w:rPr>
        <w:t>lo dobro stanje</w:t>
      </w:r>
      <w:r w:rsidRPr="005C7FC2">
        <w:rPr>
          <w:rFonts w:eastAsia="Calibri" w:cs="Calibri"/>
          <w:bCs/>
          <w:szCs w:val="22"/>
          <w:lang w:val="en-GB" w:eastAsia="hr-HR"/>
        </w:rPr>
        <w:t xml:space="preserve"> </w:t>
      </w:r>
      <w:r w:rsidR="00413320">
        <w:rPr>
          <w:rFonts w:eastAsia="Calibri" w:cs="Calibri"/>
          <w:bCs/>
          <w:szCs w:val="22"/>
          <w:lang w:val="en-GB" w:eastAsia="hr-HR"/>
        </w:rPr>
        <w:t xml:space="preserve">morske sredine </w:t>
      </w:r>
      <w:r w:rsidRPr="005C7FC2">
        <w:rPr>
          <w:rFonts w:eastAsia="Calibri" w:cs="Calibri"/>
          <w:bCs/>
          <w:szCs w:val="22"/>
          <w:lang w:val="en-GB" w:eastAsia="hr-HR"/>
        </w:rPr>
        <w:t xml:space="preserve">(GES). </w:t>
      </w:r>
      <w:r>
        <w:rPr>
          <w:rFonts w:eastAsia="Calibri" w:cs="Calibri"/>
          <w:bCs/>
          <w:szCs w:val="22"/>
          <w:lang w:val="en-GB" w:eastAsia="hr-HR"/>
        </w:rPr>
        <w:t>U ODMS</w:t>
      </w:r>
      <w:r w:rsidRPr="005C7FC2">
        <w:rPr>
          <w:rFonts w:eastAsia="Calibri" w:cs="Calibri"/>
          <w:bCs/>
          <w:szCs w:val="22"/>
          <w:lang w:val="en-GB" w:eastAsia="hr-HR"/>
        </w:rPr>
        <w:t xml:space="preserve"> (2008/56/EC) defini</w:t>
      </w:r>
      <w:r>
        <w:rPr>
          <w:rFonts w:eastAsia="Calibri" w:cs="Calibri"/>
          <w:bCs/>
          <w:szCs w:val="22"/>
          <w:lang w:val="en-GB" w:eastAsia="hr-HR"/>
        </w:rPr>
        <w:t xml:space="preserve">san je </w:t>
      </w:r>
      <w:r w:rsidRPr="005C7FC2">
        <w:rPr>
          <w:rFonts w:eastAsia="Calibri" w:cs="Calibri"/>
          <w:bCs/>
          <w:szCs w:val="22"/>
          <w:lang w:val="en-GB" w:eastAsia="hr-HR"/>
        </w:rPr>
        <w:t xml:space="preserve">Deskriptor 11 (Uvođenje energije, uključujući podvodnu buku) kao jedan od kvalitativnih deskriptora za određivanje dobrog </w:t>
      </w:r>
      <w:r w:rsidR="00413320">
        <w:rPr>
          <w:rFonts w:eastAsia="Calibri" w:cs="Calibri"/>
          <w:bCs/>
          <w:szCs w:val="22"/>
          <w:lang w:val="en-GB" w:eastAsia="hr-HR"/>
        </w:rPr>
        <w:t>s</w:t>
      </w:r>
      <w:r w:rsidRPr="005C7FC2">
        <w:rPr>
          <w:rFonts w:eastAsia="Calibri" w:cs="Calibri"/>
          <w:bCs/>
          <w:szCs w:val="22"/>
          <w:lang w:val="en-GB" w:eastAsia="hr-HR"/>
        </w:rPr>
        <w:t>tanja morskih voda.</w:t>
      </w:r>
    </w:p>
    <w:p w14:paraId="284B8424" w14:textId="1C74555A" w:rsidR="00C51116" w:rsidRPr="001C6CCA" w:rsidRDefault="008B25AD" w:rsidP="00F65CFF">
      <w:pPr>
        <w:spacing w:before="0" w:after="0" w:line="240" w:lineRule="auto"/>
        <w:contextualSpacing/>
        <w:jc w:val="left"/>
        <w:rPr>
          <w:b/>
          <w:sz w:val="20"/>
          <w:szCs w:val="20"/>
          <w:lang w:val="en-GB" w:eastAsia="en-US"/>
        </w:rPr>
      </w:pPr>
      <w:r w:rsidRPr="001C6CCA">
        <w:rPr>
          <w:rFonts w:cs="Stag Sans Semibold"/>
          <w:b/>
          <w:bCs/>
          <w:noProof/>
          <w:color w:val="000000"/>
          <w:sz w:val="20"/>
          <w:szCs w:val="20"/>
          <w:lang w:eastAsia="en-US"/>
        </w:rPr>
        <mc:AlternateContent>
          <mc:Choice Requires="wps">
            <w:drawing>
              <wp:anchor distT="0" distB="0" distL="114300" distR="114300" simplePos="0" relativeHeight="251740160" behindDoc="0" locked="0" layoutInCell="1" allowOverlap="1" wp14:anchorId="6DE31BFD" wp14:editId="6DF9F1BC">
                <wp:simplePos x="0" y="0"/>
                <wp:positionH relativeFrom="column">
                  <wp:posOffset>-45720</wp:posOffset>
                </wp:positionH>
                <wp:positionV relativeFrom="paragraph">
                  <wp:posOffset>74295</wp:posOffset>
                </wp:positionV>
                <wp:extent cx="5745480" cy="541020"/>
                <wp:effectExtent l="0" t="0" r="7620" b="0"/>
                <wp:wrapNone/>
                <wp:docPr id="29" name="Rectangle: Rounded Corners 29"/>
                <wp:cNvGraphicFramePr/>
                <a:graphic xmlns:a="http://schemas.openxmlformats.org/drawingml/2006/main">
                  <a:graphicData uri="http://schemas.microsoft.com/office/word/2010/wordprocessingShape">
                    <wps:wsp>
                      <wps:cNvSpPr/>
                      <wps:spPr>
                        <a:xfrm>
                          <a:off x="0" y="0"/>
                          <a:ext cx="5745480" cy="541020"/>
                        </a:xfrm>
                        <a:prstGeom prst="roundRect">
                          <a:avLst/>
                        </a:prstGeom>
                        <a:solidFill>
                          <a:srgbClr val="4F81BD">
                            <a:lumMod val="20000"/>
                            <a:lumOff val="80000"/>
                            <a:alpha val="84000"/>
                          </a:srgbClr>
                        </a:solidFill>
                        <a:ln w="25400" cap="flat" cmpd="sng" algn="ctr">
                          <a:noFill/>
                          <a:prstDash val="solid"/>
                        </a:ln>
                        <a:effectLst/>
                      </wps:spPr>
                      <wps:txbx>
                        <w:txbxContent>
                          <w:p w14:paraId="2D7B3058" w14:textId="7D1966F6" w:rsidR="00515997" w:rsidRPr="00CA789F" w:rsidRDefault="00515997" w:rsidP="0022110A">
                            <w:pPr>
                              <w:spacing w:before="0" w:after="0"/>
                              <w:contextualSpacing/>
                              <w:rPr>
                                <w:b/>
                                <w:i/>
                                <w:szCs w:val="22"/>
                                <w:lang w:eastAsia="en-US"/>
                              </w:rPr>
                            </w:pPr>
                            <w:r w:rsidRPr="005C7FC2">
                              <w:rPr>
                                <w:rFonts w:eastAsia="Calibri"/>
                                <w:b/>
                                <w:bCs/>
                                <w:szCs w:val="22"/>
                                <w:lang w:eastAsia="hr-HR"/>
                              </w:rPr>
                              <w:t>Definicija GES-a za Deskriptor 11:</w:t>
                            </w:r>
                            <w:r w:rsidRPr="005C7FC2">
                              <w:rPr>
                                <w:rFonts w:eastAsia="Calibri"/>
                                <w:b/>
                                <w:bCs/>
                                <w:i/>
                                <w:szCs w:val="22"/>
                                <w:lang w:eastAsia="hr-HR"/>
                              </w:rPr>
                              <w:t xml:space="preserve"> Uvođenje energije, uključujući podvodnu buku, je na nivoima koji ne utiču negativno na morsk</w:t>
                            </w:r>
                            <w:r>
                              <w:rPr>
                                <w:rFonts w:eastAsia="Calibri"/>
                                <w:b/>
                                <w:bCs/>
                                <w:i/>
                                <w:szCs w:val="22"/>
                                <w:lang w:eastAsia="hr-HR"/>
                              </w:rPr>
                              <w:t>u sredinu</w:t>
                            </w:r>
                            <w:r w:rsidRPr="005C7FC2">
                              <w:rPr>
                                <w:rFonts w:eastAsia="Calibri"/>
                                <w:b/>
                                <w:bCs/>
                                <w:i/>
                                <w:szCs w:val="22"/>
                                <w:lang w:eastAsia="hr-HR"/>
                              </w:rPr>
                              <w:t>.</w:t>
                            </w:r>
                          </w:p>
                          <w:p w14:paraId="69FA58B0" w14:textId="77777777" w:rsidR="00515997" w:rsidRPr="0022110A" w:rsidRDefault="00515997" w:rsidP="0022110A">
                            <w:pPr>
                              <w:spacing w:before="0" w:after="0" w:line="240" w:lineRule="auto"/>
                              <w:ind w:left="720"/>
                              <w:contextualSpacing/>
                              <w:jc w:val="left"/>
                              <w:rPr>
                                <w:i/>
                                <w:szCs w:val="22"/>
                                <w:lang w:eastAsia="en-US"/>
                              </w:rPr>
                            </w:pPr>
                          </w:p>
                          <w:p w14:paraId="0BCBCE8C" w14:textId="52A5FB57" w:rsidR="00515997" w:rsidRPr="00837141" w:rsidRDefault="00515997" w:rsidP="00C51116">
                            <w:pPr>
                              <w:autoSpaceDE w:val="0"/>
                              <w:autoSpaceDN w:val="0"/>
                              <w:adjustRightInd w:val="0"/>
                              <w:spacing w:before="0" w:after="240"/>
                              <w:rPr>
                                <w:rFonts w:eastAsia="Calibri" w:cs="Calibri"/>
                                <w:i/>
                                <w:color w:val="000000"/>
                                <w:szCs w:val="22"/>
                                <w:lang w:val="hr-HR" w:eastAsia="en-US"/>
                              </w:rPr>
                            </w:pPr>
                          </w:p>
                          <w:p w14:paraId="24BF7C78" w14:textId="77777777" w:rsidR="00515997" w:rsidRPr="00837141" w:rsidRDefault="00515997" w:rsidP="00C51116">
                            <w:pPr>
                              <w:rPr>
                                <w:i/>
                                <w:color w:val="000000" w:themeColor="text1"/>
                                <w:lang w:val="hr-H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E31BFD" id="Rectangle: Rounded Corners 29" o:spid="_x0000_s1061" style="position:absolute;margin-left:-3.6pt;margin-top:5.85pt;width:452.4pt;height:42.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" fillcolor="#dce6f2" stroked="f" strokeweight="2pt">
                <v:fill opacity="54998f"/>
                <v:textbox>
                  <w:txbxContent>
                    <w:p w14:paraId="2D7B3058" w14:textId="7D1966F6" w:rsidR="00515997" w:rsidRPr="00CA789F" w:rsidRDefault="00515997" w:rsidP="0022110A">
                      <w:pPr>
                        <w:spacing w:before="0" w:after="0"/>
                        <w:contextualSpacing/>
                        <w:rPr>
                          <w:b/>
                          <w:i/>
                          <w:szCs w:val="22"/>
                          <w:lang w:eastAsia="en-US"/>
                        </w:rPr>
                      </w:pPr>
                      <w:r w:rsidRPr="005C7FC2">
                        <w:rPr>
                          <w:rFonts w:eastAsia="Calibri"/>
                          <w:b/>
                          <w:bCs/>
                          <w:szCs w:val="22"/>
                          <w:lang w:eastAsia="hr-HR"/>
                        </w:rPr>
                        <w:t>Definicija GES-a za Deskriptor 11:</w:t>
                      </w:r>
                      <w:r w:rsidRPr="005C7FC2">
                        <w:rPr>
                          <w:rFonts w:eastAsia="Calibri"/>
                          <w:b/>
                          <w:bCs/>
                          <w:i/>
                          <w:szCs w:val="22"/>
                          <w:lang w:eastAsia="hr-HR"/>
                        </w:rPr>
                        <w:t xml:space="preserve"> Uvođenje energije, uključujući podvodnu buku, je na nivoima koji ne utiču negativno na morsk</w:t>
                      </w:r>
                      <w:r>
                        <w:rPr>
                          <w:rFonts w:eastAsia="Calibri"/>
                          <w:b/>
                          <w:bCs/>
                          <w:i/>
                          <w:szCs w:val="22"/>
                          <w:lang w:eastAsia="hr-HR"/>
                        </w:rPr>
                        <w:t>u sredinu</w:t>
                      </w:r>
                      <w:r w:rsidRPr="005C7FC2">
                        <w:rPr>
                          <w:rFonts w:eastAsia="Calibri"/>
                          <w:b/>
                          <w:bCs/>
                          <w:i/>
                          <w:szCs w:val="22"/>
                          <w:lang w:eastAsia="hr-HR"/>
                        </w:rPr>
                        <w:t>.</w:t>
                      </w:r>
                    </w:p>
                    <w:p w14:paraId="69FA58B0" w14:textId="77777777" w:rsidR="00515997" w:rsidRPr="0022110A" w:rsidRDefault="00515997" w:rsidP="0022110A">
                      <w:pPr>
                        <w:spacing w:before="0" w:after="0" w:line="240" w:lineRule="auto"/>
                        <w:ind w:left="720"/>
                        <w:contextualSpacing/>
                        <w:jc w:val="left"/>
                        <w:rPr>
                          <w:i/>
                          <w:szCs w:val="22"/>
                          <w:lang w:eastAsia="en-US"/>
                        </w:rPr>
                      </w:pPr>
                    </w:p>
                    <w:p w14:paraId="0BCBCE8C" w14:textId="52A5FB57" w:rsidR="00515997" w:rsidRPr="00837141" w:rsidRDefault="00515997" w:rsidP="00C51116">
                      <w:pPr>
                        <w:autoSpaceDE w:val="0"/>
                        <w:autoSpaceDN w:val="0"/>
                        <w:adjustRightInd w:val="0"/>
                        <w:spacing w:before="0" w:after="240"/>
                        <w:rPr>
                          <w:rFonts w:eastAsia="Calibri" w:cs="Calibri"/>
                          <w:i/>
                          <w:color w:val="000000"/>
                          <w:szCs w:val="22"/>
                          <w:lang w:val="hr-HR" w:eastAsia="en-US"/>
                        </w:rPr>
                      </w:pPr>
                    </w:p>
                    <w:p w14:paraId="24BF7C78" w14:textId="77777777" w:rsidR="00515997" w:rsidRPr="00837141" w:rsidRDefault="00515997" w:rsidP="00C51116">
                      <w:pPr>
                        <w:rPr>
                          <w:i/>
                          <w:color w:val="000000" w:themeColor="text1"/>
                          <w:lang w:val="hr-HR"/>
                          <w14:textOutline w14:w="9525" w14:cap="rnd" w14:cmpd="sng" w14:algn="ctr">
                            <w14:noFill/>
                            <w14:prstDash w14:val="solid"/>
                            <w14:bevel/>
                          </w14:textOutline>
                        </w:rPr>
                      </w:pPr>
                    </w:p>
                  </w:txbxContent>
                </v:textbox>
              </v:roundrect>
            </w:pict>
          </mc:Fallback>
        </mc:AlternateContent>
      </w:r>
    </w:p>
    <w:p w14:paraId="1ADB6D38" w14:textId="30FA0D31" w:rsidR="00C51116" w:rsidRPr="001C6CCA" w:rsidRDefault="00C51116" w:rsidP="00F65CFF">
      <w:pPr>
        <w:spacing w:before="0" w:after="0" w:line="240" w:lineRule="auto"/>
        <w:contextualSpacing/>
        <w:jc w:val="left"/>
        <w:rPr>
          <w:b/>
          <w:sz w:val="20"/>
          <w:szCs w:val="20"/>
          <w:lang w:val="en-GB" w:eastAsia="en-US"/>
        </w:rPr>
      </w:pPr>
    </w:p>
    <w:p w14:paraId="003CE936" w14:textId="5DB78D10" w:rsidR="00C51116" w:rsidRPr="001C6CCA" w:rsidRDefault="00C51116" w:rsidP="00F65CFF">
      <w:pPr>
        <w:spacing w:before="0" w:after="0" w:line="240" w:lineRule="auto"/>
        <w:contextualSpacing/>
        <w:jc w:val="left"/>
        <w:rPr>
          <w:b/>
          <w:sz w:val="20"/>
          <w:szCs w:val="20"/>
          <w:lang w:val="en-GB" w:eastAsia="en-US"/>
        </w:rPr>
      </w:pPr>
    </w:p>
    <w:p w14:paraId="17B5305F" w14:textId="77777777" w:rsidR="005C7FC2" w:rsidRDefault="005C7FC2" w:rsidP="00265DAE">
      <w:pPr>
        <w:spacing w:before="0" w:after="0" w:line="240" w:lineRule="auto"/>
        <w:contextualSpacing/>
        <w:jc w:val="left"/>
        <w:rPr>
          <w:b/>
          <w:sz w:val="20"/>
          <w:szCs w:val="20"/>
          <w:lang w:val="en-GB" w:eastAsia="en-US"/>
        </w:rPr>
      </w:pPr>
    </w:p>
    <w:p w14:paraId="7EE51317" w14:textId="77777777" w:rsidR="008B25AD" w:rsidRPr="008B25AD" w:rsidRDefault="008B25AD" w:rsidP="008B25AD">
      <w:pPr>
        <w:pStyle w:val="Heading3"/>
        <w:numPr>
          <w:ilvl w:val="0"/>
          <w:numId w:val="0"/>
        </w:numPr>
        <w:ind w:left="2138"/>
        <w:rPr>
          <w:rFonts w:eastAsia="Calibri"/>
          <w:lang w:val="en-GB" w:eastAsia="en-US"/>
        </w:rPr>
      </w:pPr>
    </w:p>
    <w:p w14:paraId="2476069A" w14:textId="35FB25C7" w:rsidR="005C7FC2" w:rsidRPr="00895BE2" w:rsidRDefault="00895BE2" w:rsidP="00895BE2">
      <w:pPr>
        <w:pStyle w:val="Heading3"/>
        <w:rPr>
          <w:rFonts w:eastAsia="Calibri"/>
          <w:lang w:val="en-GB" w:eastAsia="en-US"/>
        </w:rPr>
      </w:pPr>
      <w:bookmarkStart w:id="292" w:name="_Toc83630961"/>
      <w:r>
        <w:rPr>
          <w:rFonts w:eastAsia="Calibri"/>
          <w:szCs w:val="22"/>
          <w:lang w:val="en-GB" w:eastAsia="en-US"/>
        </w:rPr>
        <w:t>Zakonodavni</w:t>
      </w:r>
      <w:r w:rsidR="005C7FC2" w:rsidRPr="00816A1C">
        <w:rPr>
          <w:rFonts w:eastAsia="Calibri"/>
          <w:szCs w:val="22"/>
          <w:lang w:val="en-GB" w:eastAsia="en-US"/>
        </w:rPr>
        <w:t xml:space="preserve"> okvir - nacionalni i međunarodni</w:t>
      </w:r>
      <w:bookmarkEnd w:id="292"/>
    </w:p>
    <w:p w14:paraId="5EE80E4C" w14:textId="77777777" w:rsidR="005C7FC2" w:rsidRPr="00816A1C" w:rsidRDefault="005C7FC2" w:rsidP="005C7FC2">
      <w:pPr>
        <w:spacing w:before="0" w:after="160"/>
        <w:rPr>
          <w:rFonts w:eastAsia="Calibri"/>
          <w:b/>
          <w:szCs w:val="22"/>
          <w:lang w:val="en-GB" w:eastAsia="en-US"/>
        </w:rPr>
      </w:pPr>
      <w:r>
        <w:rPr>
          <w:rFonts w:eastAsia="Calibri"/>
          <w:b/>
          <w:szCs w:val="22"/>
          <w:lang w:val="en-GB" w:eastAsia="en-US"/>
        </w:rPr>
        <w:t>N</w:t>
      </w:r>
      <w:r w:rsidRPr="00816A1C">
        <w:rPr>
          <w:rFonts w:eastAsia="Calibri"/>
          <w:b/>
          <w:szCs w:val="22"/>
          <w:lang w:val="en-GB" w:eastAsia="en-US"/>
        </w:rPr>
        <w:t>acionalni nivo</w:t>
      </w:r>
    </w:p>
    <w:p w14:paraId="46800250" w14:textId="75CB54BF" w:rsidR="00971A95" w:rsidRPr="00971A95" w:rsidRDefault="00971A95" w:rsidP="00C52E6F">
      <w:pPr>
        <w:pStyle w:val="ListParagraph"/>
        <w:numPr>
          <w:ilvl w:val="0"/>
          <w:numId w:val="54"/>
        </w:numPr>
        <w:spacing w:before="0" w:after="0"/>
        <w:rPr>
          <w:rFonts w:ascii="Calibri-BoldItalic" w:hAnsi="Calibri-BoldItalic" w:cs="Calibri-BoldItalic"/>
          <w:iCs/>
          <w:color w:val="000000"/>
          <w:szCs w:val="22"/>
          <w:lang w:val="en-GB"/>
        </w:rPr>
      </w:pPr>
      <w:r w:rsidRPr="00971A95">
        <w:rPr>
          <w:rFonts w:ascii="Calibri-BoldItalic" w:hAnsi="Calibri-BoldItalic" w:cs="Calibri-BoldItalic"/>
          <w:iCs/>
          <w:color w:val="000000"/>
          <w:szCs w:val="22"/>
          <w:lang w:val="en-GB"/>
        </w:rPr>
        <w:t>Zakon o</w:t>
      </w:r>
      <w:r>
        <w:rPr>
          <w:rFonts w:ascii="Calibri-BoldItalic" w:hAnsi="Calibri-BoldItalic" w:cs="Calibri-BoldItalic"/>
          <w:iCs/>
          <w:color w:val="000000"/>
          <w:szCs w:val="22"/>
          <w:lang w:val="en-GB"/>
        </w:rPr>
        <w:t xml:space="preserve"> životnoj sredini </w:t>
      </w:r>
      <w:r w:rsidRPr="00971A95">
        <w:rPr>
          <w:rFonts w:ascii="Calibri-BoldItalic" w:hAnsi="Calibri-BoldItalic" w:cs="Calibri-BoldItalic"/>
          <w:iCs/>
          <w:color w:val="000000"/>
          <w:szCs w:val="22"/>
          <w:lang w:val="en-GB"/>
        </w:rPr>
        <w:t xml:space="preserve"> (Službeni list Crne Gore br. 52/16);</w:t>
      </w:r>
    </w:p>
    <w:p w14:paraId="37E59938" w14:textId="14B86270" w:rsidR="00971A95" w:rsidRPr="00971A95" w:rsidRDefault="00971A95" w:rsidP="00C52E6F">
      <w:pPr>
        <w:pStyle w:val="ListParagraph"/>
        <w:numPr>
          <w:ilvl w:val="0"/>
          <w:numId w:val="54"/>
        </w:numPr>
        <w:spacing w:before="0" w:after="0"/>
        <w:rPr>
          <w:rFonts w:ascii="Calibri-BoldItalic" w:hAnsi="Calibri-BoldItalic" w:cs="Calibri-BoldItalic"/>
          <w:iCs/>
          <w:color w:val="000000"/>
          <w:szCs w:val="22"/>
          <w:lang w:val="en-GB"/>
        </w:rPr>
      </w:pPr>
      <w:r w:rsidRPr="00971A95">
        <w:rPr>
          <w:rFonts w:ascii="Calibri-BoldItalic" w:hAnsi="Calibri-BoldItalic" w:cs="Calibri-BoldItalic"/>
          <w:iCs/>
          <w:color w:val="000000"/>
          <w:szCs w:val="22"/>
          <w:lang w:val="en-GB"/>
        </w:rPr>
        <w:t>Zakon o zaštiti morsk</w:t>
      </w:r>
      <w:r>
        <w:rPr>
          <w:rFonts w:ascii="Calibri-BoldItalic" w:hAnsi="Calibri-BoldItalic" w:cs="Calibri-BoldItalic"/>
          <w:iCs/>
          <w:color w:val="000000"/>
          <w:szCs w:val="22"/>
          <w:lang w:val="en-GB"/>
        </w:rPr>
        <w:t>e sredine</w:t>
      </w:r>
      <w:r w:rsidRPr="00971A95">
        <w:rPr>
          <w:rFonts w:ascii="Calibri-BoldItalic" w:hAnsi="Calibri-BoldItalic" w:cs="Calibri-BoldItalic"/>
          <w:iCs/>
          <w:color w:val="000000"/>
          <w:szCs w:val="22"/>
          <w:lang w:val="en-GB"/>
        </w:rPr>
        <w:t xml:space="preserve"> („Službeni list CG“, br. 73/19)</w:t>
      </w:r>
    </w:p>
    <w:p w14:paraId="5C60AC1D" w14:textId="77777777" w:rsidR="00971A95" w:rsidRDefault="00971A95" w:rsidP="00C52E6F">
      <w:pPr>
        <w:pStyle w:val="ListParagraph"/>
        <w:numPr>
          <w:ilvl w:val="0"/>
          <w:numId w:val="54"/>
        </w:numPr>
        <w:spacing w:before="0" w:after="0"/>
        <w:rPr>
          <w:rFonts w:ascii="Calibri-BoldItalic" w:hAnsi="Calibri-BoldItalic" w:cs="Calibri-BoldItalic"/>
          <w:iCs/>
          <w:color w:val="000000"/>
          <w:szCs w:val="22"/>
          <w:lang w:val="en-GB"/>
        </w:rPr>
      </w:pPr>
      <w:r w:rsidRPr="00971A95">
        <w:rPr>
          <w:rFonts w:ascii="Calibri-BoldItalic" w:hAnsi="Calibri-BoldItalic" w:cs="Calibri-BoldItalic"/>
          <w:iCs/>
          <w:color w:val="000000"/>
          <w:szCs w:val="22"/>
          <w:lang w:val="en-GB"/>
        </w:rPr>
        <w:t>Zakon o upravljanju otpadom (Službeni list Crne Gore br. 64/11, 39/16);</w:t>
      </w:r>
    </w:p>
    <w:p w14:paraId="35B4374B" w14:textId="77777777" w:rsidR="00971A95" w:rsidRPr="00816A1C" w:rsidRDefault="00971A95"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Zakon o strateškoj proc</w:t>
      </w:r>
      <w:r>
        <w:rPr>
          <w:rFonts w:ascii="Calibri-BoldItalic" w:hAnsi="Calibri-BoldItalic" w:cs="Calibri-BoldItalic"/>
          <w:iCs/>
          <w:color w:val="000000"/>
          <w:szCs w:val="22"/>
          <w:lang w:val="en-GB"/>
        </w:rPr>
        <w:t>j</w:t>
      </w:r>
      <w:r w:rsidRPr="00816A1C">
        <w:rPr>
          <w:rFonts w:ascii="Calibri-BoldItalic" w:hAnsi="Calibri-BoldItalic" w:cs="Calibri-BoldItalic"/>
          <w:iCs/>
          <w:color w:val="000000"/>
          <w:szCs w:val="22"/>
          <w:lang w:val="en-GB"/>
        </w:rPr>
        <w:t>eni uticaja na životnu sredinu („Službeni list CG“, br. 80/05, 59/11, 52/16);</w:t>
      </w:r>
    </w:p>
    <w:p w14:paraId="3E6EA4C7" w14:textId="6C3856EE" w:rsidR="00971A95" w:rsidRPr="00971A95" w:rsidRDefault="00971A95" w:rsidP="00C52E6F">
      <w:pPr>
        <w:pStyle w:val="ListParagraph"/>
        <w:numPr>
          <w:ilvl w:val="0"/>
          <w:numId w:val="37"/>
        </w:numPr>
        <w:spacing w:before="0" w:after="0"/>
        <w:jc w:val="left"/>
        <w:rPr>
          <w:rFonts w:eastAsia="Calibri" w:cs="Calibri"/>
          <w:szCs w:val="22"/>
          <w:lang w:val="en-GB" w:eastAsia="hr-HR"/>
        </w:rPr>
      </w:pPr>
      <w:r>
        <w:rPr>
          <w:rFonts w:ascii="Calibri-BoldItalic" w:hAnsi="Calibri-BoldItalic" w:cs="Calibri-BoldItalic"/>
          <w:iCs/>
          <w:color w:val="000000"/>
          <w:szCs w:val="22"/>
          <w:lang w:val="en-GB"/>
        </w:rPr>
        <w:t>Zakon o integrisanom sprečavanju i kontroli zagađivanja ž</w:t>
      </w:r>
      <w:r w:rsidRPr="00971A95">
        <w:rPr>
          <w:rFonts w:ascii="Calibri-BoldItalic" w:hAnsi="Calibri-BoldItalic" w:cs="Calibri-BoldItalic"/>
          <w:iCs/>
          <w:color w:val="000000"/>
          <w:szCs w:val="22"/>
          <w:lang w:val="en-GB"/>
        </w:rPr>
        <w:t>ivotne sredine</w:t>
      </w:r>
      <w:r>
        <w:rPr>
          <w:rFonts w:ascii="Calibri-BoldItalic" w:hAnsi="Calibri-BoldItalic" w:cs="Calibri-BoldItalic"/>
          <w:iCs/>
          <w:color w:val="000000"/>
          <w:szCs w:val="22"/>
          <w:lang w:val="en-GB"/>
        </w:rPr>
        <w:t xml:space="preserve"> </w:t>
      </w:r>
      <w:r w:rsidRPr="00816A1C">
        <w:rPr>
          <w:rFonts w:ascii="Calibri-BoldItalic" w:hAnsi="Calibri-BoldItalic" w:cs="Calibri-BoldItalic"/>
          <w:iCs/>
          <w:color w:val="000000"/>
          <w:szCs w:val="22"/>
          <w:lang w:val="en-GB"/>
        </w:rPr>
        <w:t xml:space="preserve">(„Službeni list CG“, br. </w:t>
      </w:r>
      <w:r w:rsidRPr="001C6CCA">
        <w:rPr>
          <w:rFonts w:eastAsia="Calibri" w:cs="Calibri"/>
          <w:szCs w:val="22"/>
          <w:lang w:val="en-GB" w:eastAsia="hr-HR"/>
        </w:rPr>
        <w:t>80/05, 54/09, 40/11, 42/15, 54/16);</w:t>
      </w:r>
    </w:p>
    <w:p w14:paraId="550A4E5F" w14:textId="77777777" w:rsidR="005C7FC2" w:rsidRPr="00816A1C" w:rsidRDefault="005C7FC2"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Zakon o moru (Službeni list Crne Gore br. 17/07, 06/08 i 40/11);</w:t>
      </w:r>
    </w:p>
    <w:p w14:paraId="17E6F313" w14:textId="77777777" w:rsidR="005C7FC2" w:rsidRPr="00816A1C" w:rsidRDefault="005C7FC2" w:rsidP="005C7FC2">
      <w:pPr>
        <w:spacing w:before="0" w:after="160"/>
        <w:rPr>
          <w:rFonts w:eastAsia="Calibri"/>
          <w:b/>
          <w:szCs w:val="22"/>
          <w:lang w:val="en-GB" w:eastAsia="en-US"/>
        </w:rPr>
      </w:pPr>
    </w:p>
    <w:p w14:paraId="1207E5BD" w14:textId="77777777" w:rsidR="005C7FC2" w:rsidRPr="00816A1C" w:rsidRDefault="005C7FC2" w:rsidP="005C7FC2">
      <w:pPr>
        <w:spacing w:before="0" w:after="160"/>
        <w:rPr>
          <w:rFonts w:eastAsia="Calibri"/>
          <w:b/>
          <w:szCs w:val="22"/>
          <w:lang w:val="en-GB" w:eastAsia="en-US"/>
        </w:rPr>
      </w:pPr>
      <w:r w:rsidRPr="00816A1C">
        <w:rPr>
          <w:rFonts w:eastAsia="Calibri"/>
          <w:b/>
          <w:szCs w:val="22"/>
          <w:lang w:val="en-GB" w:eastAsia="en-US"/>
        </w:rPr>
        <w:t>Međunarodni nivo</w:t>
      </w:r>
    </w:p>
    <w:p w14:paraId="54054239" w14:textId="77777777" w:rsidR="005C7FC2" w:rsidRPr="00816A1C" w:rsidRDefault="005C7FC2"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 xml:space="preserve">Okvirna direktiva </w:t>
      </w:r>
      <w:r>
        <w:rPr>
          <w:rFonts w:ascii="Calibri-BoldItalic" w:hAnsi="Calibri-BoldItalic" w:cs="Calibri-BoldItalic"/>
          <w:iCs/>
          <w:color w:val="000000"/>
          <w:szCs w:val="22"/>
          <w:lang w:val="en-GB"/>
        </w:rPr>
        <w:t>o morskoj strategiji (2008/56/</w:t>
      </w:r>
      <w:r w:rsidRPr="00816A1C">
        <w:rPr>
          <w:rFonts w:ascii="Calibri-BoldItalic" w:hAnsi="Calibri-BoldItalic" w:cs="Calibri-BoldItalic"/>
          <w:iCs/>
          <w:color w:val="000000"/>
          <w:szCs w:val="22"/>
          <w:lang w:val="en-GB"/>
        </w:rPr>
        <w:t>EC);</w:t>
      </w:r>
    </w:p>
    <w:p w14:paraId="68CA783F" w14:textId="3403C998" w:rsidR="005C7FC2" w:rsidRPr="00816A1C" w:rsidRDefault="005C7FC2"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Komisije (EU) 2017/845 o izm</w:t>
      </w:r>
      <w:r>
        <w:rPr>
          <w:rFonts w:ascii="Calibri-BoldItalic" w:hAnsi="Calibri-BoldItalic" w:cs="Calibri-BoldItalic"/>
          <w:iCs/>
          <w:color w:val="000000"/>
          <w:szCs w:val="22"/>
          <w:lang w:val="en-GB"/>
        </w:rPr>
        <w:t>j</w:t>
      </w:r>
      <w:r w:rsidRPr="00816A1C">
        <w:rPr>
          <w:rFonts w:ascii="Calibri-BoldItalic" w:hAnsi="Calibri-BoldItalic" w:cs="Calibri-BoldItalic"/>
          <w:iCs/>
          <w:color w:val="000000"/>
          <w:szCs w:val="22"/>
          <w:lang w:val="en-GB"/>
        </w:rPr>
        <w:t xml:space="preserve">enama i </w:t>
      </w:r>
      <w:r w:rsidR="00971A95">
        <w:rPr>
          <w:rFonts w:ascii="Calibri-BoldItalic" w:hAnsi="Calibri-BoldItalic" w:cs="Calibri-BoldItalic"/>
          <w:iCs/>
          <w:color w:val="000000"/>
          <w:szCs w:val="22"/>
          <w:lang w:val="en-GB"/>
        </w:rPr>
        <w:t>dopunama Direktive 2008/56/ EC);</w:t>
      </w:r>
    </w:p>
    <w:p w14:paraId="3A73E62C" w14:textId="10653C3F" w:rsidR="005C7FC2" w:rsidRDefault="005C7FC2"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Odluka Komisije (EU) 2017/848</w:t>
      </w:r>
      <w:r w:rsidR="00971A95">
        <w:rPr>
          <w:rFonts w:ascii="Calibri-BoldItalic" w:hAnsi="Calibri-BoldItalic" w:cs="Calibri-BoldItalic"/>
          <w:iCs/>
          <w:color w:val="000000"/>
          <w:szCs w:val="22"/>
          <w:lang w:val="en-GB"/>
        </w:rPr>
        <w:t>;</w:t>
      </w:r>
    </w:p>
    <w:p w14:paraId="7E8005A3" w14:textId="77777777" w:rsidR="00971A95" w:rsidRPr="00816A1C" w:rsidRDefault="00971A95"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o staništima (92/43/EEC);</w:t>
      </w:r>
    </w:p>
    <w:p w14:paraId="56536C83" w14:textId="77777777" w:rsidR="00971A95" w:rsidRPr="00816A1C" w:rsidRDefault="00971A95"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o odgovornosti za životnu sredinu (2004/35/EC) (sa izm</w:t>
      </w:r>
      <w:r>
        <w:rPr>
          <w:rFonts w:ascii="Calibri-BoldItalic" w:hAnsi="Calibri-BoldItalic" w:cs="Calibri-BoldItalic"/>
          <w:iCs/>
          <w:color w:val="000000"/>
          <w:szCs w:val="22"/>
          <w:lang w:val="en-GB"/>
        </w:rPr>
        <w:t>j</w:t>
      </w:r>
      <w:r w:rsidRPr="00816A1C">
        <w:rPr>
          <w:rFonts w:ascii="Calibri-BoldItalic" w:hAnsi="Calibri-BoldItalic" w:cs="Calibri-BoldItalic"/>
          <w:iCs/>
          <w:color w:val="000000"/>
          <w:szCs w:val="22"/>
          <w:lang w:val="en-GB"/>
        </w:rPr>
        <w:t>enama i dopunama).</w:t>
      </w:r>
    </w:p>
    <w:p w14:paraId="0D512EE0" w14:textId="3F04F722" w:rsidR="00971A95" w:rsidRDefault="00971A95" w:rsidP="00C52E6F">
      <w:pPr>
        <w:pStyle w:val="ListParagraph"/>
        <w:numPr>
          <w:ilvl w:val="0"/>
          <w:numId w:val="54"/>
        </w:numPr>
        <w:spacing w:before="0" w:after="0"/>
        <w:rPr>
          <w:rFonts w:ascii="Calibri-BoldItalic" w:hAnsi="Calibri-BoldItalic" w:cs="Calibri-BoldItalic"/>
          <w:iCs/>
          <w:color w:val="000000"/>
          <w:szCs w:val="22"/>
          <w:lang w:val="en-GB"/>
        </w:rPr>
      </w:pPr>
      <w:r w:rsidRPr="00971A95">
        <w:rPr>
          <w:rFonts w:ascii="Calibri-BoldItalic" w:hAnsi="Calibri-BoldItalic" w:cs="Calibri-BoldItalic"/>
          <w:iCs/>
          <w:color w:val="000000"/>
          <w:szCs w:val="22"/>
          <w:lang w:val="en-GB"/>
        </w:rPr>
        <w:t>Direktiva o proc</w:t>
      </w:r>
      <w:r>
        <w:rPr>
          <w:rFonts w:ascii="Calibri-BoldItalic" w:hAnsi="Calibri-BoldItalic" w:cs="Calibri-BoldItalic"/>
          <w:iCs/>
          <w:color w:val="000000"/>
          <w:szCs w:val="22"/>
          <w:lang w:val="en-GB"/>
        </w:rPr>
        <w:t>j</w:t>
      </w:r>
      <w:r w:rsidRPr="00971A95">
        <w:rPr>
          <w:rFonts w:ascii="Calibri-BoldItalic" w:hAnsi="Calibri-BoldItalic" w:cs="Calibri-BoldItalic"/>
          <w:iCs/>
          <w:color w:val="000000"/>
          <w:szCs w:val="22"/>
          <w:lang w:val="en-GB"/>
        </w:rPr>
        <w:t>eni utic</w:t>
      </w:r>
      <w:r>
        <w:rPr>
          <w:rFonts w:ascii="Calibri-BoldItalic" w:hAnsi="Calibri-BoldItalic" w:cs="Calibri-BoldItalic"/>
          <w:iCs/>
          <w:color w:val="000000"/>
          <w:szCs w:val="22"/>
          <w:lang w:val="en-GB"/>
        </w:rPr>
        <w:t>aja na životnu sredinu (2011/92/</w:t>
      </w:r>
      <w:r w:rsidRPr="00971A95">
        <w:rPr>
          <w:rFonts w:ascii="Calibri-BoldItalic" w:hAnsi="Calibri-BoldItalic" w:cs="Calibri-BoldItalic"/>
          <w:iCs/>
          <w:color w:val="000000"/>
          <w:szCs w:val="22"/>
          <w:lang w:val="en-GB"/>
        </w:rPr>
        <w:t>EU);</w:t>
      </w:r>
    </w:p>
    <w:p w14:paraId="7AD27414" w14:textId="77777777" w:rsidR="00971A95" w:rsidRPr="00816A1C" w:rsidRDefault="00971A95"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o strateškoj proc</w:t>
      </w:r>
      <w:r>
        <w:rPr>
          <w:rFonts w:ascii="Calibri-BoldItalic" w:hAnsi="Calibri-BoldItalic" w:cs="Calibri-BoldItalic"/>
          <w:iCs/>
          <w:color w:val="000000"/>
          <w:szCs w:val="22"/>
          <w:lang w:val="en-GB"/>
        </w:rPr>
        <w:t>j</w:t>
      </w:r>
      <w:r w:rsidRPr="00816A1C">
        <w:rPr>
          <w:rFonts w:ascii="Calibri-BoldItalic" w:hAnsi="Calibri-BoldItalic" w:cs="Calibri-BoldItalic"/>
          <w:iCs/>
          <w:color w:val="000000"/>
          <w:szCs w:val="22"/>
          <w:lang w:val="en-GB"/>
        </w:rPr>
        <w:t>eni uticaja na životnu sredinu (2001/42</w:t>
      </w:r>
      <w:r>
        <w:rPr>
          <w:rFonts w:ascii="Calibri-BoldItalic" w:hAnsi="Calibri-BoldItalic" w:cs="Calibri-BoldItalic"/>
          <w:iCs/>
          <w:color w:val="000000"/>
          <w:szCs w:val="22"/>
          <w:lang w:val="en-GB"/>
        </w:rPr>
        <w:t>/</w:t>
      </w:r>
      <w:r w:rsidRPr="00816A1C">
        <w:rPr>
          <w:rFonts w:ascii="Calibri-BoldItalic" w:hAnsi="Calibri-BoldItalic" w:cs="Calibri-BoldItalic"/>
          <w:iCs/>
          <w:color w:val="000000"/>
          <w:szCs w:val="22"/>
          <w:lang w:val="en-GB"/>
        </w:rPr>
        <w:t>EC);</w:t>
      </w:r>
    </w:p>
    <w:p w14:paraId="7C4BC9E1" w14:textId="77777777" w:rsidR="00A90DC5" w:rsidRPr="001C6CCA" w:rsidRDefault="00A90DC5" w:rsidP="00F65CFF">
      <w:pPr>
        <w:spacing w:before="0" w:after="0" w:line="240" w:lineRule="auto"/>
        <w:contextualSpacing/>
        <w:jc w:val="left"/>
        <w:rPr>
          <w:b/>
          <w:sz w:val="20"/>
          <w:szCs w:val="20"/>
          <w:highlight w:val="yellow"/>
          <w:lang w:val="en-GB" w:eastAsia="en-US"/>
        </w:rPr>
      </w:pPr>
    </w:p>
    <w:p w14:paraId="0A235E4E" w14:textId="3785A2AF" w:rsidR="00044927" w:rsidRPr="001C6CCA" w:rsidRDefault="00C51116" w:rsidP="00A90DC5">
      <w:pPr>
        <w:pStyle w:val="Heading3"/>
        <w:rPr>
          <w:lang w:val="en-GB" w:eastAsia="en-US"/>
        </w:rPr>
      </w:pPr>
      <w:bookmarkStart w:id="293" w:name="_Toc68078547"/>
      <w:bookmarkStart w:id="294" w:name="_Toc68180812"/>
      <w:bookmarkStart w:id="295" w:name="_Toc83630962"/>
      <w:r w:rsidRPr="001C6CCA">
        <w:rPr>
          <w:lang w:val="en-GB" w:eastAsia="en-US"/>
        </w:rPr>
        <w:t>Relev</w:t>
      </w:r>
      <w:r w:rsidR="00971A95">
        <w:rPr>
          <w:lang w:val="en-GB" w:eastAsia="en-US"/>
        </w:rPr>
        <w:t>antni pritisci i uticaji</w:t>
      </w:r>
      <w:bookmarkEnd w:id="293"/>
      <w:bookmarkEnd w:id="294"/>
      <w:bookmarkEnd w:id="295"/>
    </w:p>
    <w:p w14:paraId="17A8AF0B" w14:textId="0146C52E" w:rsidR="00971A95" w:rsidRDefault="00971A95" w:rsidP="00971A95">
      <w:pPr>
        <w:spacing w:before="0" w:after="0"/>
        <w:contextualSpacing/>
        <w:rPr>
          <w:rFonts w:cs="Calibri"/>
          <w:szCs w:val="22"/>
          <w:lang w:val="en-GB" w:eastAsia="en-US"/>
        </w:rPr>
      </w:pPr>
      <w:r w:rsidRPr="00971A95">
        <w:rPr>
          <w:rFonts w:cs="Calibri"/>
          <w:szCs w:val="22"/>
          <w:lang w:val="en-GB" w:eastAsia="en-US"/>
        </w:rPr>
        <w:t>Glavni izvor kontinuiranog niskofrekventnog antropogenog zvuka je morski saobraćaj koji uključuje komercijaln</w:t>
      </w:r>
      <w:r w:rsidR="007824EE">
        <w:rPr>
          <w:rFonts w:cs="Calibri"/>
          <w:szCs w:val="22"/>
          <w:lang w:val="en-GB" w:eastAsia="en-US"/>
        </w:rPr>
        <w:t>e brodove</w:t>
      </w:r>
      <w:r w:rsidRPr="00971A95">
        <w:rPr>
          <w:rFonts w:cs="Calibri"/>
          <w:szCs w:val="22"/>
          <w:lang w:val="en-GB" w:eastAsia="en-US"/>
        </w:rPr>
        <w:t xml:space="preserve"> (i putnički i teretni), </w:t>
      </w:r>
      <w:r w:rsidR="007824EE">
        <w:rPr>
          <w:rFonts w:cs="Calibri"/>
          <w:szCs w:val="22"/>
          <w:lang w:val="en-GB" w:eastAsia="en-US"/>
        </w:rPr>
        <w:t>rekreacione</w:t>
      </w:r>
      <w:r w:rsidRPr="00971A95">
        <w:rPr>
          <w:rFonts w:cs="Calibri"/>
          <w:szCs w:val="22"/>
          <w:lang w:val="en-GB" w:eastAsia="en-US"/>
        </w:rPr>
        <w:t xml:space="preserve"> i ribarsk</w:t>
      </w:r>
      <w:r w:rsidR="007824EE">
        <w:rPr>
          <w:rFonts w:cs="Calibri"/>
          <w:szCs w:val="22"/>
          <w:lang w:val="en-GB" w:eastAsia="en-US"/>
        </w:rPr>
        <w:t xml:space="preserve">e brodice, </w:t>
      </w:r>
      <w:r w:rsidRPr="00971A95">
        <w:rPr>
          <w:rFonts w:cs="Calibri"/>
          <w:szCs w:val="22"/>
          <w:lang w:val="en-GB" w:eastAsia="en-US"/>
        </w:rPr>
        <w:t xml:space="preserve">vojne operacije i </w:t>
      </w:r>
      <w:r w:rsidR="007824EE" w:rsidRPr="007824EE">
        <w:rPr>
          <w:rFonts w:cs="Calibri"/>
          <w:szCs w:val="22"/>
          <w:lang w:val="en-GB" w:eastAsia="en-US"/>
        </w:rPr>
        <w:t xml:space="preserve">istraživanje nafte bušenjem bušotina koje se u moru Crne Gore odvija od 2018. </w:t>
      </w:r>
      <w:r w:rsidRPr="007824EE">
        <w:rPr>
          <w:rFonts w:cs="Calibri"/>
          <w:szCs w:val="22"/>
          <w:lang w:val="en-GB" w:eastAsia="en-US"/>
        </w:rPr>
        <w:t xml:space="preserve">godine. </w:t>
      </w:r>
      <w:r w:rsidR="007824EE" w:rsidRPr="007824EE">
        <w:rPr>
          <w:rFonts w:eastAsia="Calibri" w:cs="Calibri"/>
          <w:lang w:val="sq-AL"/>
        </w:rPr>
        <w:t xml:space="preserve">Najčešći </w:t>
      </w:r>
      <w:r w:rsidR="007824EE" w:rsidRPr="00E371FA">
        <w:rPr>
          <w:rFonts w:eastAsia="Calibri" w:cs="Calibri"/>
          <w:lang w:val="sq-AL"/>
        </w:rPr>
        <w:t xml:space="preserve">izvori podvodnog impulsivnog antropogenog zvuka uključuju </w:t>
      </w:r>
      <w:r w:rsidR="007824EE">
        <w:rPr>
          <w:rFonts w:eastAsia="Calibri" w:cs="Calibri"/>
          <w:lang w:val="sq-AL"/>
        </w:rPr>
        <w:t>zabijanje šipova</w:t>
      </w:r>
      <w:r w:rsidR="007824EE" w:rsidRPr="00E371FA">
        <w:rPr>
          <w:rFonts w:eastAsia="Calibri" w:cs="Calibri"/>
          <w:lang w:val="sq-AL"/>
        </w:rPr>
        <w:t xml:space="preserve">, </w:t>
      </w:r>
      <w:r w:rsidR="007824EE">
        <w:rPr>
          <w:rFonts w:eastAsia="Calibri" w:cs="Calibri"/>
          <w:lang w:val="sq-AL"/>
        </w:rPr>
        <w:t xml:space="preserve">vazdušni top </w:t>
      </w:r>
      <w:r w:rsidR="007824EE" w:rsidRPr="00E371FA">
        <w:rPr>
          <w:rFonts w:eastAsia="Calibri" w:cs="Calibri"/>
          <w:lang w:val="sq-AL"/>
        </w:rPr>
        <w:t xml:space="preserve"> i </w:t>
      </w:r>
      <w:r w:rsidR="007824EE">
        <w:rPr>
          <w:rFonts w:eastAsia="Calibri" w:cs="Calibri"/>
          <w:lang w:val="sq-AL"/>
        </w:rPr>
        <w:t xml:space="preserve">uređaj za mjerenje dubine </w:t>
      </w:r>
      <w:r w:rsidR="007824EE" w:rsidRPr="00E371FA">
        <w:rPr>
          <w:rFonts w:eastAsia="Calibri" w:cs="Calibri"/>
          <w:lang w:val="sq-AL"/>
        </w:rPr>
        <w:t xml:space="preserve"> koji se koriste za geofizička istraživanja, podvodne eksplozije i sonare.</w:t>
      </w:r>
      <w:r w:rsidR="007824EE">
        <w:rPr>
          <w:rFonts w:eastAsia="Calibri" w:cs="Calibri"/>
          <w:lang w:val="sq-AL"/>
        </w:rPr>
        <w:t xml:space="preserve"> </w:t>
      </w:r>
      <w:r w:rsidRPr="00971A95">
        <w:rPr>
          <w:rFonts w:cs="Calibri"/>
          <w:szCs w:val="22"/>
          <w:lang w:val="en-GB" w:eastAsia="en-US"/>
        </w:rPr>
        <w:t xml:space="preserve">Značajan broj morskih vrsta (sisari, većina riba i beskičmenjaci) koriste zvuk za svoje vitalne životne funkcije. Postoje snažni naučni dokazi da </w:t>
      </w:r>
      <w:r w:rsidR="007824EE">
        <w:rPr>
          <w:rFonts w:cs="Calibri"/>
          <w:lang w:val="sq-AL" w:eastAsia="hr-HR"/>
        </w:rPr>
        <w:t>izlaganje</w:t>
      </w:r>
      <w:r w:rsidR="007824EE" w:rsidRPr="00BE76DB">
        <w:rPr>
          <w:rFonts w:cs="Calibri"/>
          <w:lang w:val="sq-AL" w:eastAsia="hr-HR"/>
        </w:rPr>
        <w:t xml:space="preserve"> antropogenom podvodnom zvuku može negativno uticati</w:t>
      </w:r>
      <w:r w:rsidR="007824EE">
        <w:rPr>
          <w:rFonts w:cs="Calibri"/>
          <w:lang w:val="sq-AL" w:eastAsia="hr-HR"/>
        </w:rPr>
        <w:t xml:space="preserve"> na morske organizme, </w:t>
      </w:r>
      <w:r w:rsidR="007824EE" w:rsidRPr="00BE76DB">
        <w:rPr>
          <w:rFonts w:cs="Calibri"/>
          <w:lang w:val="sq-AL" w:eastAsia="hr-HR"/>
        </w:rPr>
        <w:t xml:space="preserve">kako </w:t>
      </w:r>
      <w:r w:rsidR="007824EE">
        <w:rPr>
          <w:rFonts w:cs="Calibri"/>
          <w:lang w:val="sq-AL" w:eastAsia="hr-HR"/>
        </w:rPr>
        <w:t>kratkoročno</w:t>
      </w:r>
      <w:r w:rsidR="007824EE" w:rsidRPr="00BE76DB">
        <w:rPr>
          <w:rFonts w:cs="Calibri"/>
          <w:lang w:val="sq-AL" w:eastAsia="hr-HR"/>
        </w:rPr>
        <w:t xml:space="preserve"> (akutni efekat) tako i </w:t>
      </w:r>
      <w:r w:rsidR="007824EE">
        <w:rPr>
          <w:rFonts w:cs="Calibri"/>
          <w:lang w:val="sq-AL" w:eastAsia="hr-HR"/>
        </w:rPr>
        <w:t>dugoročno</w:t>
      </w:r>
      <w:r w:rsidR="007824EE" w:rsidRPr="00BE76DB">
        <w:rPr>
          <w:rFonts w:cs="Calibri"/>
          <w:lang w:val="sq-AL" w:eastAsia="hr-HR"/>
        </w:rPr>
        <w:t xml:space="preserve"> (trajni ili hronični efekti). </w:t>
      </w:r>
      <w:r w:rsidR="007824EE" w:rsidRPr="00971A95">
        <w:rPr>
          <w:rFonts w:cs="Calibri"/>
          <w:szCs w:val="22"/>
          <w:lang w:val="en-GB" w:eastAsia="en-US"/>
        </w:rPr>
        <w:t>Antropogeni zvuci u morsko</w:t>
      </w:r>
      <w:r w:rsidR="007824EE">
        <w:rPr>
          <w:rFonts w:cs="Calibri"/>
          <w:szCs w:val="22"/>
          <w:lang w:val="en-GB" w:eastAsia="en-US"/>
        </w:rPr>
        <w:t>j sredini</w:t>
      </w:r>
      <w:r w:rsidR="007824EE" w:rsidRPr="00971A95">
        <w:rPr>
          <w:rFonts w:cs="Calibri"/>
          <w:szCs w:val="22"/>
          <w:lang w:val="en-GB" w:eastAsia="en-US"/>
        </w:rPr>
        <w:t xml:space="preserve"> mogu imati širok spektar </w:t>
      </w:r>
      <w:r w:rsidR="007824EE">
        <w:rPr>
          <w:rFonts w:cs="Calibri"/>
          <w:szCs w:val="22"/>
          <w:lang w:val="en-GB" w:eastAsia="en-US"/>
        </w:rPr>
        <w:t xml:space="preserve">uticaja na </w:t>
      </w:r>
      <w:r w:rsidR="007824EE" w:rsidRPr="00971A95">
        <w:rPr>
          <w:rFonts w:cs="Calibri"/>
          <w:szCs w:val="22"/>
          <w:lang w:val="en-GB" w:eastAsia="en-US"/>
        </w:rPr>
        <w:t>morske organizme.</w:t>
      </w:r>
      <w:r w:rsidR="007824EE">
        <w:rPr>
          <w:rFonts w:cs="Calibri"/>
          <w:szCs w:val="22"/>
          <w:lang w:val="en-GB" w:eastAsia="en-US"/>
        </w:rPr>
        <w:t xml:space="preserve"> </w:t>
      </w:r>
      <w:r w:rsidRPr="00971A95">
        <w:rPr>
          <w:rFonts w:cs="Calibri"/>
          <w:szCs w:val="22"/>
          <w:lang w:val="en-GB" w:eastAsia="en-US"/>
        </w:rPr>
        <w:t xml:space="preserve">Izloženost vrlo intenzivnim zvukovima može rezultirati smrtnim povredama, ali daleko važniji problemi povezani su sa zvukovima koje morski organizmi </w:t>
      </w:r>
      <w:r w:rsidR="007824EE">
        <w:rPr>
          <w:rFonts w:cs="Calibri"/>
          <w:szCs w:val="22"/>
          <w:lang w:val="en-GB" w:eastAsia="en-US"/>
        </w:rPr>
        <w:t xml:space="preserve">mogu da detektuju </w:t>
      </w:r>
      <w:r w:rsidRPr="00971A95">
        <w:rPr>
          <w:rFonts w:cs="Calibri"/>
          <w:szCs w:val="22"/>
          <w:lang w:val="en-GB" w:eastAsia="en-US"/>
        </w:rPr>
        <w:t xml:space="preserve">i koji mogu uticati na njihovo ponašanje, zbog čega se odmiču od svojih migracionih puteva, napuštaju favorizovana staništa u kojima se hrane ili se </w:t>
      </w:r>
      <w:r w:rsidR="007824EE">
        <w:rPr>
          <w:rFonts w:cs="Calibri"/>
          <w:szCs w:val="22"/>
          <w:lang w:val="en-GB" w:eastAsia="en-US"/>
        </w:rPr>
        <w:t>razmnožavaju</w:t>
      </w:r>
      <w:r w:rsidRPr="00971A95">
        <w:rPr>
          <w:rFonts w:cs="Calibri"/>
          <w:szCs w:val="22"/>
          <w:lang w:val="en-GB" w:eastAsia="en-US"/>
        </w:rPr>
        <w:t xml:space="preserve">, </w:t>
      </w:r>
      <w:r w:rsidR="007824EE">
        <w:rPr>
          <w:rFonts w:cs="Calibri"/>
          <w:szCs w:val="22"/>
          <w:lang w:val="en-GB" w:eastAsia="en-US"/>
        </w:rPr>
        <w:t xml:space="preserve">zatim zvukovi koji </w:t>
      </w:r>
      <w:r w:rsidRPr="00971A95">
        <w:rPr>
          <w:rFonts w:cs="Calibri"/>
          <w:szCs w:val="22"/>
          <w:lang w:val="en-GB" w:eastAsia="en-US"/>
        </w:rPr>
        <w:t>ometaju komunikaciju zvukom, utiču na reproduktivno ponašanje (</w:t>
      </w:r>
      <w:r w:rsidR="007824EE">
        <w:rPr>
          <w:rFonts w:cs="Calibri"/>
          <w:szCs w:val="22"/>
          <w:lang w:val="en-GB" w:eastAsia="en-US"/>
        </w:rPr>
        <w:t xml:space="preserve">u slučajevima kada se </w:t>
      </w:r>
      <w:r w:rsidRPr="00971A95">
        <w:rPr>
          <w:rFonts w:cs="Calibri"/>
          <w:szCs w:val="22"/>
          <w:lang w:val="en-GB" w:eastAsia="en-US"/>
        </w:rPr>
        <w:t xml:space="preserve">zvuk koristi za privlačenje partnera i </w:t>
      </w:r>
      <w:r w:rsidR="007824EE">
        <w:rPr>
          <w:rFonts w:cs="Calibri"/>
          <w:szCs w:val="22"/>
          <w:lang w:val="en-GB" w:eastAsia="en-US"/>
        </w:rPr>
        <w:t>razmnožavanje</w:t>
      </w:r>
      <w:r w:rsidRPr="00971A95">
        <w:rPr>
          <w:rFonts w:cs="Calibri"/>
          <w:szCs w:val="22"/>
          <w:lang w:val="en-GB" w:eastAsia="en-US"/>
        </w:rPr>
        <w:t>) ili spr</w:t>
      </w:r>
      <w:r w:rsidR="007824EE">
        <w:rPr>
          <w:rFonts w:cs="Calibri"/>
          <w:szCs w:val="22"/>
          <w:lang w:val="en-GB" w:eastAsia="en-US"/>
        </w:rPr>
        <w:t>ij</w:t>
      </w:r>
      <w:r w:rsidRPr="00971A95">
        <w:rPr>
          <w:rFonts w:cs="Calibri"/>
          <w:szCs w:val="22"/>
          <w:lang w:val="en-GB" w:eastAsia="en-US"/>
        </w:rPr>
        <w:t>ečavaju otkrivanje drugih biološki važnih zvukova (maskiranje).</w:t>
      </w:r>
    </w:p>
    <w:p w14:paraId="13071FC0" w14:textId="77777777" w:rsidR="00895BE2" w:rsidRPr="00971A95" w:rsidRDefault="00895BE2" w:rsidP="00971A95">
      <w:pPr>
        <w:spacing w:before="0" w:after="0"/>
        <w:contextualSpacing/>
        <w:rPr>
          <w:rFonts w:cs="Calibri"/>
          <w:szCs w:val="22"/>
          <w:lang w:val="en-GB" w:eastAsia="en-US"/>
        </w:rPr>
      </w:pPr>
    </w:p>
    <w:p w14:paraId="6D202F43" w14:textId="769667CF" w:rsidR="007824EE" w:rsidRPr="007824EE" w:rsidRDefault="00090441" w:rsidP="007824EE">
      <w:pPr>
        <w:pStyle w:val="Heading3"/>
        <w:rPr>
          <w:rFonts w:eastAsia="Calibri"/>
          <w:lang w:val="en-GB"/>
        </w:rPr>
      </w:pPr>
      <w:bookmarkStart w:id="296" w:name="_Toc83630963"/>
      <w:r>
        <w:rPr>
          <w:rFonts w:eastAsia="Calibri"/>
          <w:lang w:val="en-GB"/>
        </w:rPr>
        <w:t>Odabir</w:t>
      </w:r>
      <w:r w:rsidR="007824EE" w:rsidRPr="00816A1C">
        <w:rPr>
          <w:rFonts w:eastAsia="Calibri"/>
          <w:lang w:val="en-GB"/>
        </w:rPr>
        <w:t xml:space="preserve"> kriterijuma za proc</w:t>
      </w:r>
      <w:r w:rsidR="007824EE">
        <w:rPr>
          <w:rFonts w:eastAsia="Calibri"/>
          <w:lang w:val="en-GB"/>
        </w:rPr>
        <w:t>j</w:t>
      </w:r>
      <w:r w:rsidR="007824EE" w:rsidRPr="00816A1C">
        <w:rPr>
          <w:rFonts w:eastAsia="Calibri"/>
          <w:lang w:val="en-GB"/>
        </w:rPr>
        <w:t>enu GES-a</w:t>
      </w:r>
      <w:bookmarkEnd w:id="296"/>
    </w:p>
    <w:p w14:paraId="5D9B238B" w14:textId="3D324B47" w:rsidR="007824EE" w:rsidRPr="0034432B" w:rsidRDefault="007824EE" w:rsidP="007824EE">
      <w:pPr>
        <w:autoSpaceDE w:val="0"/>
        <w:autoSpaceDN w:val="0"/>
        <w:adjustRightInd w:val="0"/>
        <w:spacing w:before="0" w:after="160"/>
        <w:rPr>
          <w:rFonts w:cs="Calibri"/>
          <w:lang w:val="sq-AL"/>
        </w:rPr>
      </w:pPr>
      <w:r>
        <w:rPr>
          <w:rFonts w:eastAsia="Calibri" w:cs="Calibri"/>
          <w:bCs/>
          <w:lang w:val="sq-AL"/>
        </w:rPr>
        <w:t xml:space="preserve">Okvirna direktiva o morskoj strategiji </w:t>
      </w:r>
      <w:r w:rsidRPr="00DF525A">
        <w:rPr>
          <w:rFonts w:eastAsia="Calibri" w:cs="Calibri"/>
          <w:bCs/>
          <w:lang w:val="sq-AL"/>
        </w:rPr>
        <w:t>(2008/56/EC) definiše Deskriptor 11 (Uvođenje energije, uključujući podvodnu buku) kao jedan od kvalitativnih deskriptora za određivanje dobrog stanja morske sredine</w:t>
      </w:r>
      <w:r>
        <w:rPr>
          <w:rFonts w:eastAsia="Calibri" w:cs="Calibri"/>
          <w:bCs/>
          <w:lang w:val="sq-AL"/>
        </w:rPr>
        <w:t>.</w:t>
      </w:r>
      <w:r w:rsidRPr="00DF525A">
        <w:rPr>
          <w:rFonts w:eastAsia="Calibri" w:cs="Calibri"/>
          <w:bCs/>
          <w:lang w:val="sq-AL"/>
        </w:rPr>
        <w:t xml:space="preserve"> Do sada definisani kriterijumi bave se samo pritiskom antropogenog podvodnog zvuka. Ulaz drugih oblika energije (uključujući elektromagnetna polja, sv</w:t>
      </w:r>
      <w:r>
        <w:rPr>
          <w:rFonts w:eastAsia="Calibri" w:cs="Calibri"/>
          <w:bCs/>
          <w:lang w:val="sq-AL"/>
        </w:rPr>
        <w:t>j</w:t>
      </w:r>
      <w:r w:rsidRPr="00DF525A">
        <w:rPr>
          <w:rFonts w:eastAsia="Calibri" w:cs="Calibri"/>
          <w:bCs/>
          <w:lang w:val="sq-AL"/>
        </w:rPr>
        <w:t>etlost i toplotu) ne može se definisati ili proc</w:t>
      </w:r>
      <w:r>
        <w:rPr>
          <w:rFonts w:eastAsia="Calibri" w:cs="Calibri"/>
          <w:bCs/>
          <w:lang w:val="sq-AL"/>
        </w:rPr>
        <w:t>ij</w:t>
      </w:r>
      <w:r w:rsidRPr="00DF525A">
        <w:rPr>
          <w:rFonts w:eastAsia="Calibri" w:cs="Calibri"/>
          <w:bCs/>
          <w:lang w:val="sq-AL"/>
        </w:rPr>
        <w:t>eniti u ovoj fazi, kao što je navedeno u</w:t>
      </w:r>
      <w:r>
        <w:rPr>
          <w:rFonts w:eastAsia="Calibri" w:cs="Calibri"/>
          <w:bCs/>
          <w:lang w:val="sq-AL"/>
        </w:rPr>
        <w:t xml:space="preserve"> Članu 8.</w:t>
      </w:r>
      <w:r w:rsidRPr="00DF525A">
        <w:rPr>
          <w:rFonts w:eastAsia="Calibri" w:cs="Calibri"/>
          <w:bCs/>
          <w:lang w:val="sq-AL"/>
        </w:rPr>
        <w:t xml:space="preserve"> izv</w:t>
      </w:r>
      <w:r>
        <w:rPr>
          <w:rFonts w:eastAsia="Calibri" w:cs="Calibri"/>
          <w:bCs/>
          <w:lang w:val="sq-AL"/>
        </w:rPr>
        <w:t>j</w:t>
      </w:r>
      <w:r w:rsidRPr="00DF525A">
        <w:rPr>
          <w:rFonts w:eastAsia="Calibri" w:cs="Calibri"/>
          <w:bCs/>
          <w:lang w:val="sq-AL"/>
        </w:rPr>
        <w:t>ešta o sm</w:t>
      </w:r>
      <w:r>
        <w:rPr>
          <w:rFonts w:eastAsia="Calibri" w:cs="Calibri"/>
          <w:bCs/>
          <w:lang w:val="sq-AL"/>
        </w:rPr>
        <w:t xml:space="preserve">jernicama </w:t>
      </w:r>
      <w:r w:rsidR="00C51116" w:rsidRPr="001C6CCA">
        <w:rPr>
          <w:rFonts w:eastAsia="Calibri" w:cs="Calibri"/>
          <w:szCs w:val="22"/>
          <w:lang w:val="en-GB" w:eastAsia="hr-HR"/>
        </w:rPr>
        <w:t xml:space="preserve">(Walsmley </w:t>
      </w:r>
      <w:r w:rsidR="00C51116" w:rsidRPr="001C6CCA">
        <w:rPr>
          <w:rFonts w:eastAsia="Calibri" w:cs="Calibri"/>
          <w:i/>
          <w:iCs/>
          <w:szCs w:val="22"/>
          <w:lang w:val="en-GB" w:eastAsia="hr-HR"/>
        </w:rPr>
        <w:t>et al</w:t>
      </w:r>
      <w:r w:rsidR="00C51116" w:rsidRPr="001C6CCA">
        <w:rPr>
          <w:rFonts w:eastAsia="Calibri" w:cs="Calibri"/>
          <w:szCs w:val="22"/>
          <w:lang w:val="en-GB" w:eastAsia="hr-HR"/>
        </w:rPr>
        <w:t>., 2016</w:t>
      </w:r>
      <w:r w:rsidR="00F57B51" w:rsidRPr="001C6CCA">
        <w:rPr>
          <w:rStyle w:val="FootnoteReference"/>
          <w:rFonts w:eastAsia="Calibri"/>
          <w:szCs w:val="22"/>
          <w:lang w:val="en-GB" w:eastAsia="hr-HR"/>
        </w:rPr>
        <w:footnoteReference w:id="53"/>
      </w:r>
      <w:r w:rsidR="00C51116" w:rsidRPr="001C6CCA">
        <w:rPr>
          <w:rFonts w:eastAsia="Calibri" w:cs="Calibri"/>
          <w:szCs w:val="22"/>
          <w:lang w:val="en-GB" w:eastAsia="hr-HR"/>
        </w:rPr>
        <w:t xml:space="preserve">). </w:t>
      </w:r>
      <w:r w:rsidRPr="00DF525A">
        <w:rPr>
          <w:rFonts w:eastAsia="Calibri" w:cs="Calibri"/>
          <w:bCs/>
          <w:lang w:val="sq-AL"/>
        </w:rPr>
        <w:t>Osnovni dokumenti (</w:t>
      </w:r>
      <w:r>
        <w:rPr>
          <w:rFonts w:eastAsia="Calibri" w:cs="Calibri"/>
          <w:bCs/>
          <w:lang w:val="sq-AL"/>
        </w:rPr>
        <w:t>ODMS</w:t>
      </w:r>
      <w:r w:rsidRPr="00DF525A">
        <w:rPr>
          <w:rFonts w:eastAsia="Calibri" w:cs="Calibri"/>
          <w:bCs/>
          <w:lang w:val="sq-AL"/>
        </w:rPr>
        <w:t>, odluka Komisije 2017/848/EC, Dekeling R.P.A</w:t>
      </w:r>
      <w:r>
        <w:rPr>
          <w:rFonts w:eastAsia="Calibri" w:cs="Calibri"/>
          <w:bCs/>
          <w:lang w:val="sq-AL"/>
        </w:rPr>
        <w:t xml:space="preserve"> i sar</w:t>
      </w:r>
      <w:r w:rsidRPr="00DF525A">
        <w:rPr>
          <w:rFonts w:eastAsia="Calibri" w:cs="Calibri"/>
          <w:bCs/>
          <w:lang w:val="sq-AL"/>
        </w:rPr>
        <w:t>., 2014</w:t>
      </w:r>
      <w:r w:rsidRPr="001C6CCA">
        <w:rPr>
          <w:rStyle w:val="FootnoteReference"/>
          <w:rFonts w:eastAsia="Calibri"/>
          <w:bCs/>
          <w:szCs w:val="22"/>
          <w:lang w:val="en-GB" w:eastAsia="hr-HR"/>
        </w:rPr>
        <w:footnoteReference w:id="54"/>
      </w:r>
      <w:r w:rsidRPr="001C6CCA">
        <w:rPr>
          <w:rFonts w:eastAsia="Calibri" w:cs="Calibri"/>
          <w:bCs/>
          <w:szCs w:val="22"/>
          <w:lang w:val="en-GB" w:eastAsia="hr-HR"/>
        </w:rPr>
        <w:t>)</w:t>
      </w:r>
      <w:r w:rsidRPr="00DF525A">
        <w:rPr>
          <w:rFonts w:eastAsia="Calibri" w:cs="Calibri"/>
          <w:bCs/>
          <w:lang w:val="sq-AL"/>
        </w:rPr>
        <w:t xml:space="preserve"> definišu dv</w:t>
      </w:r>
      <w:r>
        <w:rPr>
          <w:rFonts w:eastAsia="Calibri" w:cs="Calibri"/>
          <w:bCs/>
          <w:lang w:val="sq-AL"/>
        </w:rPr>
        <w:t>ij</w:t>
      </w:r>
      <w:r w:rsidRPr="00DF525A">
        <w:rPr>
          <w:rFonts w:eastAsia="Calibri" w:cs="Calibri"/>
          <w:bCs/>
          <w:lang w:val="sq-AL"/>
        </w:rPr>
        <w:t>e različite vrste antropogenog podvodnog zvuka: impulsivni i kontinuirani niskofrekventni</w:t>
      </w:r>
      <w:r>
        <w:rPr>
          <w:rFonts w:eastAsia="Calibri" w:cs="Calibri"/>
          <w:bCs/>
          <w:lang w:val="sq-AL"/>
        </w:rPr>
        <w:t xml:space="preserve"> zvuk</w:t>
      </w:r>
      <w:r w:rsidRPr="00DF525A">
        <w:rPr>
          <w:rFonts w:eastAsia="Calibri" w:cs="Calibri"/>
          <w:bCs/>
          <w:lang w:val="sq-AL"/>
        </w:rPr>
        <w:t xml:space="preserve">. </w:t>
      </w:r>
      <w:r>
        <w:rPr>
          <w:rFonts w:eastAsia="Calibri" w:cs="Calibri"/>
          <w:bCs/>
          <w:lang w:val="sq-AL"/>
        </w:rPr>
        <w:t>Odlukom Komisije</w:t>
      </w:r>
      <w:r w:rsidRPr="00DF525A">
        <w:rPr>
          <w:rFonts w:eastAsia="Calibri" w:cs="Calibri"/>
          <w:bCs/>
          <w:lang w:val="sq-AL"/>
        </w:rPr>
        <w:t xml:space="preserve"> 2017/848 usv</w:t>
      </w:r>
      <w:r>
        <w:rPr>
          <w:rFonts w:eastAsia="Calibri" w:cs="Calibri"/>
          <w:bCs/>
          <w:lang w:val="sq-AL"/>
        </w:rPr>
        <w:t>ojene su ove dvije</w:t>
      </w:r>
      <w:r w:rsidRPr="00DF525A">
        <w:rPr>
          <w:rFonts w:eastAsia="Calibri" w:cs="Calibri"/>
          <w:bCs/>
          <w:lang w:val="sq-AL"/>
        </w:rPr>
        <w:t xml:space="preserve"> vrste kao kriterijume za deskriptor 11</w:t>
      </w:r>
      <w:r>
        <w:rPr>
          <w:rFonts w:eastAsia="Calibri" w:cs="Calibri"/>
          <w:bCs/>
          <w:lang w:val="sq-AL"/>
        </w:rPr>
        <w:t xml:space="preserve"> (Tabela 2.48)</w:t>
      </w:r>
      <w:r w:rsidRPr="00DF525A">
        <w:rPr>
          <w:rFonts w:eastAsia="Calibri" w:cs="Calibri"/>
          <w:bCs/>
          <w:lang w:val="sq-AL"/>
        </w:rPr>
        <w:t>.</w:t>
      </w:r>
    </w:p>
    <w:p w14:paraId="42494A86" w14:textId="77777777" w:rsidR="00A9366B" w:rsidRPr="001C6CCA" w:rsidRDefault="00A9366B" w:rsidP="00F65CFF">
      <w:pPr>
        <w:autoSpaceDE w:val="0"/>
        <w:autoSpaceDN w:val="0"/>
        <w:adjustRightInd w:val="0"/>
        <w:spacing w:before="0" w:after="0"/>
        <w:rPr>
          <w:rFonts w:eastAsia="Calibri" w:cs="Calibri"/>
          <w:bCs/>
          <w:sz w:val="20"/>
          <w:szCs w:val="20"/>
          <w:lang w:val="en-GB" w:eastAsia="hr-HR"/>
        </w:rPr>
      </w:pPr>
    </w:p>
    <w:p w14:paraId="5908DE44" w14:textId="1678D2EB" w:rsidR="00C51116" w:rsidRPr="004D6D17" w:rsidRDefault="001D1F7B" w:rsidP="00A9366B">
      <w:pPr>
        <w:spacing w:before="0" w:line="240" w:lineRule="auto"/>
        <w:rPr>
          <w:rFonts w:eastAsia="Calibri" w:cs="Calibri"/>
          <w:b/>
          <w:szCs w:val="22"/>
          <w:lang w:val="en-GB" w:eastAsia="en-US"/>
        </w:rPr>
      </w:pPr>
      <w:bookmarkStart w:id="297" w:name="_Toc83643194"/>
      <w:r w:rsidRPr="004D6D17">
        <w:rPr>
          <w:rFonts w:eastAsia="Calibri" w:cs="Calibri"/>
          <w:b/>
          <w:bCs/>
          <w:szCs w:val="22"/>
          <w:lang w:val="en-GB" w:eastAsia="hr-HR"/>
        </w:rPr>
        <w:t>Tab</w:t>
      </w:r>
      <w:r w:rsidR="005A60C8">
        <w:rPr>
          <w:rFonts w:eastAsia="Calibri" w:cs="Calibri"/>
          <w:b/>
          <w:bCs/>
          <w:szCs w:val="22"/>
          <w:lang w:val="en-GB" w:eastAsia="hr-HR"/>
        </w:rPr>
        <w:t>ela</w:t>
      </w:r>
      <w:r w:rsidRPr="004D6D17">
        <w:rPr>
          <w:rFonts w:eastAsia="Calibri" w:cs="Calibri"/>
          <w:b/>
          <w:bCs/>
          <w:szCs w:val="22"/>
          <w:lang w:val="en-GB" w:eastAsia="hr-HR"/>
        </w:rPr>
        <w:t xml:space="preserve"> </w:t>
      </w:r>
      <w:r w:rsidR="004D6D17" w:rsidRPr="004D6D17">
        <w:rPr>
          <w:b/>
          <w:szCs w:val="22"/>
        </w:rPr>
        <w:fldChar w:fldCharType="begin"/>
      </w:r>
      <w:r w:rsidR="004D6D17" w:rsidRPr="004D6D17">
        <w:rPr>
          <w:b/>
          <w:szCs w:val="22"/>
        </w:rPr>
        <w:instrText xml:space="preserve"> STYLEREF 1 \s </w:instrText>
      </w:r>
      <w:r w:rsidR="004D6D17" w:rsidRPr="004D6D17">
        <w:rPr>
          <w:b/>
          <w:szCs w:val="22"/>
        </w:rPr>
        <w:fldChar w:fldCharType="separate"/>
      </w:r>
      <w:r w:rsidR="000D1E20">
        <w:rPr>
          <w:b/>
          <w:noProof/>
          <w:szCs w:val="22"/>
        </w:rPr>
        <w:t>2</w:t>
      </w:r>
      <w:r w:rsidR="004D6D17" w:rsidRPr="004D6D17">
        <w:rPr>
          <w:b/>
          <w:szCs w:val="22"/>
        </w:rPr>
        <w:fldChar w:fldCharType="end"/>
      </w:r>
      <w:r w:rsidR="004D6D17" w:rsidRPr="004D6D17">
        <w:rPr>
          <w:b/>
          <w:szCs w:val="22"/>
        </w:rPr>
        <w:t>.</w:t>
      </w:r>
      <w:r w:rsidR="004D6D17" w:rsidRPr="004D6D17">
        <w:rPr>
          <w:b/>
          <w:szCs w:val="22"/>
        </w:rPr>
        <w:fldChar w:fldCharType="begin"/>
      </w:r>
      <w:r w:rsidR="004D6D17" w:rsidRPr="004D6D17">
        <w:rPr>
          <w:b/>
          <w:szCs w:val="22"/>
        </w:rPr>
        <w:instrText xml:space="preserve"> SEQ Table \* ARABIC \s 1 </w:instrText>
      </w:r>
      <w:r w:rsidR="004D6D17" w:rsidRPr="004D6D17">
        <w:rPr>
          <w:b/>
          <w:szCs w:val="22"/>
        </w:rPr>
        <w:fldChar w:fldCharType="separate"/>
      </w:r>
      <w:r w:rsidR="000D1E20">
        <w:rPr>
          <w:b/>
          <w:noProof/>
          <w:szCs w:val="22"/>
        </w:rPr>
        <w:t>36</w:t>
      </w:r>
      <w:r w:rsidR="004D6D17" w:rsidRPr="004D6D17">
        <w:rPr>
          <w:b/>
          <w:szCs w:val="22"/>
        </w:rPr>
        <w:fldChar w:fldCharType="end"/>
      </w:r>
      <w:r w:rsidR="004D6D17" w:rsidRPr="004D6D17">
        <w:rPr>
          <w:b/>
          <w:szCs w:val="22"/>
        </w:rPr>
        <w:t>.</w:t>
      </w:r>
      <w:r w:rsidR="004D6D17" w:rsidRPr="004D6D17">
        <w:rPr>
          <w:rFonts w:eastAsia="Calibri" w:cs="Calibri"/>
          <w:b/>
          <w:szCs w:val="22"/>
          <w:lang w:val="en-GB" w:eastAsia="en-US"/>
        </w:rPr>
        <w:t xml:space="preserve"> </w:t>
      </w:r>
      <w:r w:rsidR="00090441" w:rsidRPr="004C1B16">
        <w:rPr>
          <w:rFonts w:eastAsia="Calibri" w:cs="Calibri"/>
          <w:b/>
          <w:szCs w:val="22"/>
          <w:lang w:val="sr-Latn-RS" w:eastAsia="en-US"/>
        </w:rPr>
        <w:t>Kriterijumi, elementi kriterijuma i metodološki standardi  za procjenu GES-a za D1</w:t>
      </w:r>
      <w:r w:rsidR="00090441">
        <w:rPr>
          <w:rFonts w:eastAsia="Calibri" w:cs="Calibri"/>
          <w:b/>
          <w:szCs w:val="22"/>
          <w:lang w:val="sr-Latn-RS" w:eastAsia="en-US"/>
        </w:rPr>
        <w:t>1</w:t>
      </w:r>
      <w:r w:rsidR="00090441" w:rsidRPr="004C1B16">
        <w:rPr>
          <w:rFonts w:eastAsia="Calibri" w:cs="Calibri"/>
          <w:b/>
          <w:szCs w:val="22"/>
          <w:lang w:val="sr-Latn-RS" w:eastAsia="en-US"/>
        </w:rPr>
        <w:t>.</w:t>
      </w:r>
      <w:bookmarkEnd w:id="297"/>
      <w:r w:rsidR="00090441" w:rsidRPr="004C1B16">
        <w:rPr>
          <w:rFonts w:eastAsia="Calibri" w:cs="Calibri"/>
          <w:b/>
          <w:szCs w:val="22"/>
          <w:lang w:val="sr-Latn-RS" w:eastAsia="en-US"/>
        </w:rPr>
        <w:t xml:space="preserve"> </w:t>
      </w:r>
    </w:p>
    <w:tbl>
      <w:tblPr>
        <w:tblStyle w:val="TableGrid4"/>
        <w:tblW w:w="0" w:type="auto"/>
        <w:jc w:val="center"/>
        <w:tblLook w:val="04A0" w:firstRow="1" w:lastRow="0" w:firstColumn="1" w:lastColumn="0" w:noHBand="0" w:noVBand="1"/>
      </w:tblPr>
      <w:tblGrid>
        <w:gridCol w:w="1944"/>
        <w:gridCol w:w="5717"/>
        <w:gridCol w:w="1360"/>
      </w:tblGrid>
      <w:tr w:rsidR="007824EE" w:rsidRPr="001C6CCA" w14:paraId="4F63A1AE" w14:textId="77777777" w:rsidTr="00895BE2">
        <w:trPr>
          <w:trHeight w:val="586"/>
          <w:jc w:val="center"/>
        </w:trPr>
        <w:tc>
          <w:tcPr>
            <w:tcW w:w="1969" w:type="dxa"/>
            <w:shd w:val="clear" w:color="auto" w:fill="365F91" w:themeFill="accent1" w:themeFillShade="BF"/>
          </w:tcPr>
          <w:p w14:paraId="287F47CF" w14:textId="2754F0B0" w:rsidR="007824EE" w:rsidRPr="00895BE2" w:rsidRDefault="007824EE" w:rsidP="007824EE">
            <w:pPr>
              <w:spacing w:before="0" w:after="0" w:line="240" w:lineRule="auto"/>
              <w:jc w:val="center"/>
              <w:rPr>
                <w:b/>
                <w:color w:val="FFFFFF" w:themeColor="background1"/>
                <w:lang w:val="en-GB" w:eastAsia="hr-HR"/>
              </w:rPr>
            </w:pPr>
            <w:r w:rsidRPr="00895BE2">
              <w:rPr>
                <w:b/>
                <w:color w:val="FFFFFF" w:themeColor="background1"/>
              </w:rPr>
              <w:t>Elementi kriterijuma</w:t>
            </w:r>
          </w:p>
        </w:tc>
        <w:tc>
          <w:tcPr>
            <w:tcW w:w="5867" w:type="dxa"/>
            <w:shd w:val="clear" w:color="auto" w:fill="365F91" w:themeFill="accent1" w:themeFillShade="BF"/>
          </w:tcPr>
          <w:p w14:paraId="35F290B7" w14:textId="70F79204" w:rsidR="007824EE" w:rsidRPr="00895BE2" w:rsidRDefault="007824EE" w:rsidP="007824EE">
            <w:pPr>
              <w:spacing w:before="0" w:after="0" w:line="240" w:lineRule="auto"/>
              <w:jc w:val="center"/>
              <w:rPr>
                <w:b/>
                <w:color w:val="FFFFFF" w:themeColor="background1"/>
                <w:lang w:val="en-GB" w:eastAsia="hr-HR"/>
              </w:rPr>
            </w:pPr>
            <w:r w:rsidRPr="00895BE2">
              <w:rPr>
                <w:b/>
                <w:color w:val="FFFFFF" w:themeColor="background1"/>
              </w:rPr>
              <w:t>Kriterijumi</w:t>
            </w:r>
          </w:p>
        </w:tc>
        <w:tc>
          <w:tcPr>
            <w:tcW w:w="1185" w:type="dxa"/>
            <w:shd w:val="clear" w:color="auto" w:fill="365F91" w:themeFill="accent1" w:themeFillShade="BF"/>
            <w:vAlign w:val="center"/>
          </w:tcPr>
          <w:p w14:paraId="35A67F05" w14:textId="746E60B7" w:rsidR="007824EE" w:rsidRPr="00895BE2" w:rsidRDefault="00090441" w:rsidP="00AA6D51">
            <w:pPr>
              <w:autoSpaceDE w:val="0"/>
              <w:autoSpaceDN w:val="0"/>
              <w:adjustRightInd w:val="0"/>
              <w:spacing w:before="0" w:after="0" w:line="240" w:lineRule="auto"/>
              <w:jc w:val="center"/>
              <w:rPr>
                <w:rFonts w:cs="Calibri"/>
                <w:b/>
                <w:color w:val="FFFFFF" w:themeColor="background1"/>
                <w:lang w:val="en-GB" w:eastAsia="en-US"/>
              </w:rPr>
            </w:pPr>
            <w:r w:rsidRPr="00895BE2">
              <w:rPr>
                <w:rFonts w:cs="Calibri"/>
                <w:b/>
                <w:color w:val="FFFFFF" w:themeColor="background1"/>
                <w:lang w:val="en-GB" w:eastAsia="en-US"/>
              </w:rPr>
              <w:t>CG</w:t>
            </w:r>
            <w:r w:rsidR="007824EE" w:rsidRPr="00895BE2">
              <w:rPr>
                <w:rFonts w:cs="Calibri"/>
                <w:b/>
                <w:color w:val="FFFFFF" w:themeColor="background1"/>
                <w:lang w:val="en-GB" w:eastAsia="en-US"/>
              </w:rPr>
              <w:t xml:space="preserve"> GES </w:t>
            </w:r>
            <w:r w:rsidR="00AA6D51" w:rsidRPr="00895BE2">
              <w:rPr>
                <w:rFonts w:cs="Calibri"/>
                <w:b/>
                <w:color w:val="FFFFFF" w:themeColor="background1"/>
                <w:lang w:val="en-GB" w:eastAsia="en-US"/>
              </w:rPr>
              <w:t>pokrivenot</w:t>
            </w:r>
            <w:r w:rsidR="007824EE" w:rsidRPr="00895BE2">
              <w:rPr>
                <w:rStyle w:val="FootnoteReference"/>
                <w:b/>
                <w:color w:val="FFFFFF" w:themeColor="background1"/>
                <w:lang w:val="en-GB" w:eastAsia="en-US"/>
              </w:rPr>
              <w:footnoteReference w:id="55"/>
            </w:r>
            <w:r w:rsidR="007824EE" w:rsidRPr="00895BE2">
              <w:rPr>
                <w:rFonts w:cs="Calibri"/>
                <w:b/>
                <w:color w:val="FFFFFF" w:themeColor="background1"/>
                <w:lang w:val="en-GB" w:eastAsia="en-US"/>
              </w:rPr>
              <w:t xml:space="preserve"> </w:t>
            </w:r>
          </w:p>
        </w:tc>
      </w:tr>
      <w:tr w:rsidR="00D11CE8" w:rsidRPr="001C6CCA" w14:paraId="43F2BD0C" w14:textId="77777777" w:rsidTr="007824EE">
        <w:trPr>
          <w:trHeight w:val="1374"/>
          <w:jc w:val="center"/>
        </w:trPr>
        <w:tc>
          <w:tcPr>
            <w:tcW w:w="1969" w:type="dxa"/>
          </w:tcPr>
          <w:p w14:paraId="3C3E7943" w14:textId="77777777" w:rsidR="00D11CE8" w:rsidRPr="007824EE" w:rsidRDefault="00D11CE8" w:rsidP="00F65CFF">
            <w:pPr>
              <w:spacing w:before="0" w:after="0" w:line="240" w:lineRule="auto"/>
              <w:jc w:val="left"/>
              <w:rPr>
                <w:rFonts w:asciiTheme="minorHAnsi" w:hAnsiTheme="minorHAnsi" w:cstheme="minorHAnsi"/>
                <w:sz w:val="20"/>
                <w:szCs w:val="20"/>
                <w:lang w:val="en-GB" w:eastAsia="hr-HR"/>
              </w:rPr>
            </w:pPr>
          </w:p>
          <w:p w14:paraId="43BECC24" w14:textId="739E6349" w:rsidR="00D11CE8" w:rsidRPr="007824EE" w:rsidRDefault="007824EE" w:rsidP="00F65CFF">
            <w:pPr>
              <w:spacing w:before="0" w:after="0" w:line="240" w:lineRule="auto"/>
              <w:jc w:val="left"/>
              <w:rPr>
                <w:rFonts w:asciiTheme="minorHAnsi" w:hAnsiTheme="minorHAnsi" w:cstheme="minorHAnsi"/>
                <w:sz w:val="20"/>
                <w:szCs w:val="20"/>
                <w:lang w:val="en-GB" w:eastAsia="hr-HR"/>
              </w:rPr>
            </w:pPr>
            <w:r w:rsidRPr="007824EE">
              <w:rPr>
                <w:rFonts w:asciiTheme="minorHAnsi" w:eastAsia="Times New Roman" w:hAnsiTheme="minorHAnsi" w:cstheme="minorHAnsi"/>
                <w:sz w:val="20"/>
                <w:szCs w:val="20"/>
                <w:lang w:val="sr-Latn-ME" w:eastAsia="sr-Latn-ME"/>
              </w:rPr>
              <w:t>Antropogeni impulsni zvukovi u vodi.</w:t>
            </w:r>
          </w:p>
        </w:tc>
        <w:tc>
          <w:tcPr>
            <w:tcW w:w="5867" w:type="dxa"/>
          </w:tcPr>
          <w:p w14:paraId="66390EA1" w14:textId="77777777" w:rsidR="007824EE" w:rsidRPr="007824EE" w:rsidRDefault="007824EE" w:rsidP="007824EE">
            <w:pPr>
              <w:spacing w:after="0" w:line="240" w:lineRule="auto"/>
              <w:rPr>
                <w:rFonts w:asciiTheme="minorHAnsi" w:eastAsia="Times New Roman" w:hAnsiTheme="minorHAnsi" w:cstheme="minorHAnsi"/>
                <w:b/>
                <w:sz w:val="20"/>
                <w:szCs w:val="20"/>
                <w:lang w:val="sr-Latn-ME" w:eastAsia="sr-Latn-ME"/>
              </w:rPr>
            </w:pPr>
            <w:r w:rsidRPr="007824EE">
              <w:rPr>
                <w:rFonts w:asciiTheme="minorHAnsi" w:eastAsia="Times New Roman" w:hAnsiTheme="minorHAnsi" w:cstheme="minorHAnsi"/>
                <w:b/>
                <w:sz w:val="20"/>
                <w:szCs w:val="20"/>
                <w:lang w:val="sr-Latn-ME" w:eastAsia="sr-Latn-ME"/>
              </w:rPr>
              <w:t>D11C1 – Primarni:</w:t>
            </w:r>
          </w:p>
          <w:p w14:paraId="35F33425" w14:textId="77777777" w:rsidR="007824EE" w:rsidRPr="007824EE" w:rsidRDefault="007824EE" w:rsidP="007824EE">
            <w:pPr>
              <w:spacing w:after="0" w:line="240" w:lineRule="auto"/>
              <w:rPr>
                <w:rFonts w:asciiTheme="minorHAnsi" w:eastAsia="Times New Roman" w:hAnsiTheme="minorHAnsi" w:cstheme="minorHAnsi"/>
                <w:sz w:val="20"/>
                <w:szCs w:val="20"/>
                <w:lang w:val="sr-Latn-ME" w:eastAsia="sr-Latn-ME"/>
              </w:rPr>
            </w:pPr>
            <w:r w:rsidRPr="007824EE">
              <w:rPr>
                <w:rFonts w:asciiTheme="minorHAnsi" w:eastAsia="Times New Roman" w:hAnsiTheme="minorHAnsi" w:cstheme="minorHAnsi"/>
                <w:sz w:val="20"/>
                <w:szCs w:val="20"/>
                <w:lang w:val="sr-Latn-ME" w:eastAsia="sr-Latn-ME"/>
              </w:rPr>
              <w:t>Prostorna raspodjela, trajanje i nivo antropogenih impulsnih zvukova ne prelaze vrijednosti koje štete morskim životinjama.</w:t>
            </w:r>
          </w:p>
          <w:p w14:paraId="687A0F03" w14:textId="28E13A6E" w:rsidR="007824EE" w:rsidRPr="001C6CCA" w:rsidRDefault="007824EE" w:rsidP="007824EE">
            <w:pPr>
              <w:spacing w:before="0" w:after="0" w:line="240" w:lineRule="auto"/>
              <w:jc w:val="left"/>
              <w:rPr>
                <w:sz w:val="20"/>
                <w:szCs w:val="20"/>
                <w:lang w:val="en-GB" w:eastAsia="hr-HR"/>
              </w:rPr>
            </w:pPr>
          </w:p>
        </w:tc>
        <w:tc>
          <w:tcPr>
            <w:tcW w:w="1185" w:type="dxa"/>
          </w:tcPr>
          <w:p w14:paraId="2D9EE638" w14:textId="2F1990A4" w:rsidR="00D11CE8" w:rsidRPr="00AA6D51" w:rsidRDefault="00AA6D51" w:rsidP="00F65CFF">
            <w:pPr>
              <w:autoSpaceDE w:val="0"/>
              <w:autoSpaceDN w:val="0"/>
              <w:adjustRightInd w:val="0"/>
              <w:spacing w:before="0" w:after="0" w:line="240" w:lineRule="auto"/>
              <w:jc w:val="left"/>
              <w:rPr>
                <w:rFonts w:cs="Calibri"/>
                <w:color w:val="000000"/>
                <w:sz w:val="20"/>
                <w:szCs w:val="20"/>
                <w:lang w:val="en-GB" w:eastAsia="en-US"/>
              </w:rPr>
            </w:pPr>
            <w:r w:rsidRPr="00AA6D51">
              <w:rPr>
                <w:rFonts w:cs="Calibri"/>
                <w:color w:val="000000"/>
                <w:sz w:val="20"/>
                <w:szCs w:val="20"/>
                <w:lang w:val="en-GB" w:eastAsia="en-US"/>
              </w:rPr>
              <w:t>Djelomično pokriveno</w:t>
            </w:r>
          </w:p>
        </w:tc>
      </w:tr>
      <w:tr w:rsidR="00D11CE8" w:rsidRPr="001C6CCA" w14:paraId="3DFEFBCB" w14:textId="77777777" w:rsidTr="007824EE">
        <w:trPr>
          <w:trHeight w:val="884"/>
          <w:jc w:val="center"/>
        </w:trPr>
        <w:tc>
          <w:tcPr>
            <w:tcW w:w="1969" w:type="dxa"/>
          </w:tcPr>
          <w:p w14:paraId="524B52DE" w14:textId="77777777" w:rsidR="00D11CE8" w:rsidRPr="007824EE" w:rsidRDefault="00D11CE8" w:rsidP="00F65CFF">
            <w:pPr>
              <w:spacing w:before="0" w:after="0" w:line="240" w:lineRule="auto"/>
              <w:jc w:val="left"/>
              <w:rPr>
                <w:rFonts w:asciiTheme="minorHAnsi" w:hAnsiTheme="minorHAnsi" w:cstheme="minorHAnsi"/>
                <w:sz w:val="20"/>
                <w:szCs w:val="20"/>
                <w:lang w:val="en-GB" w:eastAsia="hr-HR"/>
              </w:rPr>
            </w:pPr>
          </w:p>
          <w:p w14:paraId="2EB702DD" w14:textId="6C25FDAF" w:rsidR="00D11CE8" w:rsidRPr="007824EE" w:rsidRDefault="007824EE" w:rsidP="00F65CFF">
            <w:pPr>
              <w:spacing w:before="0" w:after="0" w:line="240" w:lineRule="auto"/>
              <w:jc w:val="left"/>
              <w:rPr>
                <w:rFonts w:asciiTheme="minorHAnsi" w:hAnsiTheme="minorHAnsi" w:cstheme="minorHAnsi"/>
                <w:sz w:val="20"/>
                <w:szCs w:val="20"/>
                <w:lang w:val="en-GB" w:eastAsia="hr-HR"/>
              </w:rPr>
            </w:pPr>
            <w:r w:rsidRPr="007824EE">
              <w:rPr>
                <w:rFonts w:asciiTheme="minorHAnsi" w:eastAsia="Times New Roman" w:hAnsiTheme="minorHAnsi" w:cstheme="minorHAnsi"/>
                <w:sz w:val="20"/>
                <w:szCs w:val="20"/>
                <w:lang w:val="sr-Latn-ME" w:eastAsia="sr-Latn-ME"/>
              </w:rPr>
              <w:t xml:space="preserve">Antropogeni kontinuirani zvukovi niske </w:t>
            </w:r>
            <w:r w:rsidRPr="007824EE">
              <w:rPr>
                <w:rFonts w:asciiTheme="minorHAnsi" w:hAnsiTheme="minorHAnsi" w:cstheme="minorHAnsi"/>
                <w:iCs/>
                <w:sz w:val="20"/>
                <w:szCs w:val="20"/>
                <w:lang w:val="en-GB" w:eastAsia="hr-HR"/>
              </w:rPr>
              <w:t>frekvencije</w:t>
            </w:r>
            <w:r w:rsidRPr="007824EE">
              <w:rPr>
                <w:rFonts w:asciiTheme="minorHAnsi" w:eastAsia="Times New Roman" w:hAnsiTheme="minorHAnsi" w:cstheme="minorHAnsi"/>
                <w:sz w:val="20"/>
                <w:szCs w:val="20"/>
                <w:lang w:val="sr-Latn-ME" w:eastAsia="sr-Latn-ME"/>
              </w:rPr>
              <w:t xml:space="preserve"> u vodi.</w:t>
            </w:r>
          </w:p>
        </w:tc>
        <w:tc>
          <w:tcPr>
            <w:tcW w:w="5867" w:type="dxa"/>
          </w:tcPr>
          <w:p w14:paraId="3CC792A3" w14:textId="77777777" w:rsidR="005A60C8" w:rsidRPr="005A60C8" w:rsidRDefault="005A60C8" w:rsidP="005A60C8">
            <w:pPr>
              <w:spacing w:after="0" w:line="240" w:lineRule="auto"/>
              <w:rPr>
                <w:rFonts w:asciiTheme="minorHAnsi" w:eastAsia="Times New Roman" w:hAnsiTheme="minorHAnsi" w:cstheme="minorHAnsi"/>
                <w:b/>
                <w:sz w:val="20"/>
                <w:szCs w:val="20"/>
                <w:lang w:val="sr-Latn-ME" w:eastAsia="sr-Latn-ME"/>
              </w:rPr>
            </w:pPr>
            <w:r w:rsidRPr="005A60C8">
              <w:rPr>
                <w:rFonts w:asciiTheme="minorHAnsi" w:eastAsia="Times New Roman" w:hAnsiTheme="minorHAnsi" w:cstheme="minorHAnsi"/>
                <w:b/>
                <w:sz w:val="20"/>
                <w:szCs w:val="20"/>
                <w:lang w:val="sr-Latn-ME" w:eastAsia="sr-Latn-ME"/>
              </w:rPr>
              <w:t>D11C2 – Primarni:</w:t>
            </w:r>
          </w:p>
          <w:p w14:paraId="4F5155D9" w14:textId="77777777" w:rsidR="005A60C8" w:rsidRPr="005A60C8" w:rsidRDefault="005A60C8" w:rsidP="005A60C8">
            <w:pPr>
              <w:spacing w:after="0" w:line="240" w:lineRule="auto"/>
              <w:rPr>
                <w:rFonts w:asciiTheme="minorHAnsi" w:eastAsia="Times New Roman" w:hAnsiTheme="minorHAnsi" w:cstheme="minorHAnsi"/>
                <w:sz w:val="20"/>
                <w:szCs w:val="20"/>
                <w:lang w:val="sr-Latn-ME" w:eastAsia="sr-Latn-ME"/>
              </w:rPr>
            </w:pPr>
            <w:r w:rsidRPr="005A60C8">
              <w:rPr>
                <w:rFonts w:asciiTheme="minorHAnsi" w:eastAsia="Times New Roman" w:hAnsiTheme="minorHAnsi" w:cstheme="minorHAnsi"/>
                <w:sz w:val="20"/>
                <w:szCs w:val="20"/>
                <w:lang w:val="sr-Latn-ME" w:eastAsia="sr-Latn-ME"/>
              </w:rPr>
              <w:t>Prostorna raspodjela, trajanje i nivo antropogenog kontinuiranog zvuka niske frekvencije ne prelaze vrijednosti koje štete morskim životinjama.</w:t>
            </w:r>
          </w:p>
          <w:p w14:paraId="2956B56B" w14:textId="77777777" w:rsidR="00D11CE8" w:rsidRPr="001C6CCA" w:rsidRDefault="00D11CE8" w:rsidP="005A60C8">
            <w:pPr>
              <w:spacing w:before="0" w:after="0" w:line="240" w:lineRule="auto"/>
              <w:jc w:val="left"/>
              <w:rPr>
                <w:sz w:val="20"/>
                <w:szCs w:val="20"/>
                <w:lang w:val="en-GB" w:eastAsia="hr-HR"/>
              </w:rPr>
            </w:pPr>
          </w:p>
        </w:tc>
        <w:tc>
          <w:tcPr>
            <w:tcW w:w="1185" w:type="dxa"/>
          </w:tcPr>
          <w:p w14:paraId="7E7A89A2" w14:textId="7D9224F8" w:rsidR="00D11CE8" w:rsidRPr="00E24300" w:rsidRDefault="00AA6D51" w:rsidP="00F65CFF">
            <w:pPr>
              <w:autoSpaceDE w:val="0"/>
              <w:autoSpaceDN w:val="0"/>
              <w:adjustRightInd w:val="0"/>
              <w:spacing w:before="0" w:after="0" w:line="240" w:lineRule="auto"/>
              <w:jc w:val="left"/>
              <w:rPr>
                <w:rFonts w:cs="Calibri"/>
                <w:color w:val="000000"/>
                <w:sz w:val="20"/>
                <w:szCs w:val="20"/>
                <w:highlight w:val="yellow"/>
                <w:lang w:val="en-GB" w:eastAsia="en-US"/>
              </w:rPr>
            </w:pPr>
            <w:r w:rsidRPr="00AA6D51">
              <w:rPr>
                <w:rFonts w:cs="Calibri"/>
                <w:color w:val="000000"/>
                <w:sz w:val="20"/>
                <w:szCs w:val="20"/>
                <w:lang w:val="en-GB" w:eastAsia="en-US"/>
              </w:rPr>
              <w:t>Nije pokriveno</w:t>
            </w:r>
          </w:p>
        </w:tc>
      </w:tr>
    </w:tbl>
    <w:p w14:paraId="2E00BED4" w14:textId="44CC0E49" w:rsidR="00E05B70" w:rsidRDefault="00E05B70" w:rsidP="00F65CFF">
      <w:pPr>
        <w:spacing w:before="0" w:after="0"/>
        <w:rPr>
          <w:rFonts w:eastAsia="Calibri" w:cs="Calibri"/>
          <w:sz w:val="20"/>
          <w:szCs w:val="20"/>
          <w:lang w:val="en-GB" w:eastAsia="en-US"/>
        </w:rPr>
      </w:pPr>
    </w:p>
    <w:p w14:paraId="45AEE56B" w14:textId="02DC7D9C" w:rsidR="005A60C8" w:rsidRDefault="005A60C8" w:rsidP="005A60C8">
      <w:pPr>
        <w:spacing w:after="0"/>
        <w:rPr>
          <w:rFonts w:eastAsia="Calibri"/>
          <w:lang w:val="sq-AL"/>
        </w:rPr>
      </w:pPr>
      <w:r w:rsidRPr="004B37D1">
        <w:rPr>
          <w:rStyle w:val="fontstyle01"/>
        </w:rPr>
        <w:t>Program za integrisani monitoring i procjenu</w:t>
      </w:r>
      <w:r w:rsidRPr="004B37D1">
        <w:t xml:space="preserve"> </w:t>
      </w:r>
      <w:r w:rsidRPr="004B37D1">
        <w:rPr>
          <w:rFonts w:eastAsia="Calibri"/>
          <w:lang w:val="sq-AL"/>
        </w:rPr>
        <w:t>Sredozemnog mora i obale i srodni kriterijumi za procjenu (</w:t>
      </w:r>
      <w:r w:rsidRPr="004B37D1">
        <w:rPr>
          <w:rFonts w:eastAsia="Calibri" w:cs="Calibri"/>
          <w:lang w:val="sq-AL"/>
        </w:rPr>
        <w:t>UNEP/MAP IMAP 2016</w:t>
      </w:r>
      <w:r w:rsidRPr="00D66A98">
        <w:rPr>
          <w:rStyle w:val="FootnoteReference"/>
          <w:rFonts w:eastAsia="Calibri"/>
          <w:szCs w:val="22"/>
          <w:lang w:val="en-GB" w:eastAsia="hr-HR"/>
        </w:rPr>
        <w:footnoteReference w:id="56"/>
      </w:r>
      <w:r w:rsidRPr="00D66A98">
        <w:rPr>
          <w:rFonts w:eastAsia="Calibri" w:cs="Calibri"/>
          <w:szCs w:val="22"/>
          <w:lang w:val="en-GB" w:eastAsia="hr-HR"/>
        </w:rPr>
        <w:t>),</w:t>
      </w:r>
      <w:r w:rsidRPr="004B37D1">
        <w:rPr>
          <w:rFonts w:eastAsia="Calibri"/>
          <w:lang w:val="sq-AL"/>
        </w:rPr>
        <w:t xml:space="preserve"> </w:t>
      </w:r>
      <w:r>
        <w:rPr>
          <w:rFonts w:eastAsia="Calibri"/>
          <w:lang w:val="sq-AL"/>
        </w:rPr>
        <w:t xml:space="preserve">usaglašeni na </w:t>
      </w:r>
      <w:r w:rsidRPr="004B37D1">
        <w:rPr>
          <w:rFonts w:eastAsia="Calibri"/>
          <w:lang w:val="sq-AL"/>
        </w:rPr>
        <w:t>regionalno</w:t>
      </w:r>
      <w:r>
        <w:rPr>
          <w:rFonts w:eastAsia="Calibri"/>
          <w:lang w:val="sq-AL"/>
        </w:rPr>
        <w:t>m nivou</w:t>
      </w:r>
      <w:r w:rsidRPr="004B37D1">
        <w:rPr>
          <w:rFonts w:eastAsia="Calibri"/>
          <w:lang w:val="sq-AL"/>
        </w:rPr>
        <w:t xml:space="preserve">, usvaja istu podjelu kao </w:t>
      </w:r>
      <w:r w:rsidR="00895BE2">
        <w:rPr>
          <w:rFonts w:eastAsia="Calibri"/>
          <w:lang w:val="sq-AL"/>
        </w:rPr>
        <w:t xml:space="preserve">IMAP </w:t>
      </w:r>
      <w:r w:rsidRPr="004B37D1">
        <w:rPr>
          <w:rFonts w:eastAsia="Calibri"/>
          <w:lang w:val="sq-AL"/>
        </w:rPr>
        <w:t xml:space="preserve">indikatori </w:t>
      </w:r>
      <w:r>
        <w:rPr>
          <w:rFonts w:eastAsia="Calibri"/>
          <w:lang w:val="sq-AL"/>
        </w:rPr>
        <w:t xml:space="preserve"> za postizanje ekološkog cilja </w:t>
      </w:r>
      <w:r w:rsidRPr="004B37D1">
        <w:rPr>
          <w:rFonts w:eastAsia="Calibri"/>
          <w:lang w:val="sq-AL"/>
        </w:rPr>
        <w:t xml:space="preserve"> EO11 i može se koristiti za prim</w:t>
      </w:r>
      <w:r>
        <w:rPr>
          <w:rFonts w:eastAsia="Calibri"/>
          <w:lang w:val="sq-AL"/>
        </w:rPr>
        <w:t>j</w:t>
      </w:r>
      <w:r w:rsidRPr="004B37D1">
        <w:rPr>
          <w:rFonts w:eastAsia="Calibri"/>
          <w:lang w:val="sq-AL"/>
        </w:rPr>
        <w:t>enu kriterijuma</w:t>
      </w:r>
      <w:r>
        <w:rPr>
          <w:rFonts w:eastAsia="Calibri"/>
          <w:lang w:val="sq-AL"/>
        </w:rPr>
        <w:t>:</w:t>
      </w:r>
    </w:p>
    <w:p w14:paraId="672448C1" w14:textId="7999EE44" w:rsidR="005A60C8" w:rsidRPr="005A60C8" w:rsidRDefault="00895BE2" w:rsidP="005A60C8">
      <w:pPr>
        <w:spacing w:after="0"/>
        <w:rPr>
          <w:rFonts w:eastAsia="Calibri"/>
          <w:lang w:val="sq-AL"/>
        </w:rPr>
      </w:pPr>
      <w:r>
        <w:rPr>
          <w:rFonts w:cs="Calibri"/>
          <w:color w:val="000000"/>
          <w:szCs w:val="20"/>
          <w:lang w:val="sq-AL"/>
        </w:rPr>
        <w:t xml:space="preserve">IMAP </w:t>
      </w:r>
      <w:r w:rsidR="005A60C8" w:rsidRPr="00247ECF">
        <w:rPr>
          <w:rFonts w:cs="Calibri"/>
          <w:color w:val="000000"/>
          <w:szCs w:val="20"/>
          <w:lang w:val="sq-AL"/>
        </w:rPr>
        <w:t xml:space="preserve">Indikator 26 - </w:t>
      </w:r>
      <w:r w:rsidR="005A60C8">
        <w:rPr>
          <w:rFonts w:cs="Calibri"/>
          <w:color w:val="000000"/>
          <w:szCs w:val="20"/>
          <w:lang w:val="sq-AL"/>
        </w:rPr>
        <w:t>Udio</w:t>
      </w:r>
      <w:r w:rsidR="005A60C8" w:rsidRPr="00247ECF">
        <w:rPr>
          <w:rFonts w:cs="Calibri"/>
          <w:color w:val="000000"/>
          <w:szCs w:val="20"/>
          <w:lang w:val="sq-AL"/>
        </w:rPr>
        <w:t xml:space="preserve"> dana i geografska distribucija </w:t>
      </w:r>
      <w:r w:rsidR="005A60C8">
        <w:rPr>
          <w:rFonts w:cs="Calibri"/>
          <w:color w:val="000000"/>
          <w:szCs w:val="20"/>
          <w:lang w:val="sq-AL"/>
        </w:rPr>
        <w:t>gdje  visoko</w:t>
      </w:r>
      <w:r w:rsidR="005A60C8" w:rsidRPr="00247ECF">
        <w:rPr>
          <w:rFonts w:cs="Calibri"/>
          <w:color w:val="000000"/>
          <w:szCs w:val="20"/>
          <w:lang w:val="sq-AL"/>
        </w:rPr>
        <w:t>, nisk</w:t>
      </w:r>
      <w:r w:rsidR="005A60C8">
        <w:rPr>
          <w:rFonts w:cs="Calibri"/>
          <w:color w:val="000000"/>
          <w:szCs w:val="20"/>
          <w:lang w:val="sq-AL"/>
        </w:rPr>
        <w:t>o i srednje</w:t>
      </w:r>
      <w:r w:rsidR="005A60C8" w:rsidRPr="00247ECF">
        <w:rPr>
          <w:rFonts w:cs="Calibri"/>
          <w:color w:val="000000"/>
          <w:szCs w:val="20"/>
          <w:lang w:val="sq-AL"/>
        </w:rPr>
        <w:t>frekventni impulsivni zvukovi prelaze nivoe koji  v</w:t>
      </w:r>
      <w:r w:rsidR="005A60C8">
        <w:rPr>
          <w:rFonts w:cs="Calibri"/>
          <w:color w:val="000000"/>
          <w:szCs w:val="20"/>
          <w:lang w:val="sq-AL"/>
        </w:rPr>
        <w:t>j</w:t>
      </w:r>
      <w:r w:rsidR="005A60C8" w:rsidRPr="00247ECF">
        <w:rPr>
          <w:rFonts w:cs="Calibri"/>
          <w:color w:val="000000"/>
          <w:szCs w:val="20"/>
          <w:lang w:val="sq-AL"/>
        </w:rPr>
        <w:t>erovatno ima</w:t>
      </w:r>
      <w:r w:rsidR="005A60C8">
        <w:rPr>
          <w:rFonts w:cs="Calibri"/>
          <w:color w:val="000000"/>
          <w:szCs w:val="20"/>
          <w:lang w:val="sq-AL"/>
        </w:rPr>
        <w:t>ju</w:t>
      </w:r>
      <w:r w:rsidR="005A60C8" w:rsidRPr="00247ECF">
        <w:rPr>
          <w:rFonts w:cs="Calibri"/>
          <w:color w:val="000000"/>
          <w:szCs w:val="20"/>
          <w:lang w:val="sq-AL"/>
        </w:rPr>
        <w:t xml:space="preserve"> znač</w:t>
      </w:r>
      <w:r w:rsidR="005A60C8">
        <w:rPr>
          <w:rFonts w:cs="Calibri"/>
          <w:color w:val="000000"/>
          <w:szCs w:val="20"/>
          <w:lang w:val="sq-AL"/>
        </w:rPr>
        <w:t xml:space="preserve">ajan uticaj na morske životinje </w:t>
      </w:r>
      <w:r w:rsidR="005A60C8" w:rsidRPr="005A60C8">
        <w:rPr>
          <w:rFonts w:cs="Calibri"/>
          <w:color w:val="000000"/>
          <w:szCs w:val="20"/>
          <w:lang w:val="sq-AL"/>
        </w:rPr>
        <w:t>(izjednačava kriterijume Odluke Komisije D11C1).</w:t>
      </w:r>
    </w:p>
    <w:p w14:paraId="0F53CD90" w14:textId="67A9D2EA" w:rsidR="005A60C8" w:rsidRPr="00247ECF" w:rsidRDefault="005A60C8" w:rsidP="005A60C8">
      <w:pPr>
        <w:autoSpaceDE w:val="0"/>
        <w:autoSpaceDN w:val="0"/>
        <w:adjustRightInd w:val="0"/>
        <w:rPr>
          <w:rFonts w:cs="Calibri"/>
          <w:color w:val="000000"/>
          <w:szCs w:val="20"/>
          <w:lang w:val="sq-AL"/>
        </w:rPr>
      </w:pPr>
      <w:r w:rsidRPr="00247ECF">
        <w:rPr>
          <w:rFonts w:cs="Calibri"/>
          <w:color w:val="000000"/>
          <w:szCs w:val="20"/>
          <w:lang w:val="sq-AL"/>
        </w:rPr>
        <w:t>Indikator 27 - Nivoi kontinuiranog zvuka niske frekvencije uz</w:t>
      </w:r>
      <w:r>
        <w:rPr>
          <w:rFonts w:cs="Calibri"/>
          <w:color w:val="000000"/>
          <w:szCs w:val="20"/>
          <w:lang w:val="sq-AL"/>
        </w:rPr>
        <w:t xml:space="preserve"> upotrebu odgovarajućih modela </w:t>
      </w:r>
      <w:r w:rsidRPr="005A60C8">
        <w:rPr>
          <w:rFonts w:cs="Calibri"/>
          <w:color w:val="000000"/>
          <w:szCs w:val="20"/>
          <w:lang w:val="sq-AL"/>
        </w:rPr>
        <w:t>(izjednačava k</w:t>
      </w:r>
      <w:r>
        <w:rPr>
          <w:rFonts w:cs="Calibri"/>
          <w:color w:val="000000"/>
          <w:szCs w:val="20"/>
          <w:lang w:val="sq-AL"/>
        </w:rPr>
        <w:t>riterijume Odluke Komisije D11C2</w:t>
      </w:r>
      <w:r w:rsidRPr="005A60C8">
        <w:rPr>
          <w:rFonts w:cs="Calibri"/>
          <w:color w:val="000000"/>
          <w:szCs w:val="20"/>
          <w:lang w:val="sq-AL"/>
        </w:rPr>
        <w:t>).</w:t>
      </w:r>
    </w:p>
    <w:p w14:paraId="6DEA29F2" w14:textId="77777777" w:rsidR="00C51116" w:rsidRPr="001C6CCA" w:rsidRDefault="00C51116" w:rsidP="00F65CFF">
      <w:pPr>
        <w:spacing w:before="0" w:after="0" w:line="240" w:lineRule="auto"/>
        <w:ind w:left="720"/>
        <w:contextualSpacing/>
        <w:jc w:val="left"/>
        <w:rPr>
          <w:sz w:val="20"/>
          <w:szCs w:val="20"/>
          <w:lang w:val="en-GB" w:eastAsia="en-US"/>
        </w:rPr>
      </w:pPr>
    </w:p>
    <w:p w14:paraId="73332E5A" w14:textId="7FE2035D" w:rsidR="005A60C8" w:rsidRPr="005A60C8" w:rsidRDefault="005A60C8" w:rsidP="005A60C8">
      <w:pPr>
        <w:pStyle w:val="Heading3"/>
        <w:ind w:left="1276" w:hanging="709"/>
        <w:rPr>
          <w:lang w:val="en-GB" w:eastAsia="en-US"/>
        </w:rPr>
      </w:pPr>
      <w:bookmarkStart w:id="298" w:name="_Toc83630964"/>
      <w:bookmarkStart w:id="299" w:name="_Hlk67899006"/>
      <w:r w:rsidRPr="005A60C8">
        <w:rPr>
          <w:szCs w:val="22"/>
          <w:lang w:val="en-GB" w:eastAsia="en-US"/>
        </w:rPr>
        <w:t xml:space="preserve">Rezime stanja </w:t>
      </w:r>
      <w:r w:rsidR="00C42B0B">
        <w:rPr>
          <w:szCs w:val="22"/>
          <w:lang w:val="en-GB" w:eastAsia="en-US"/>
        </w:rPr>
        <w:t>D11 na osnovu P</w:t>
      </w:r>
      <w:r w:rsidRPr="005A60C8">
        <w:rPr>
          <w:szCs w:val="22"/>
          <w:lang w:val="en-GB" w:eastAsia="en-US"/>
        </w:rPr>
        <w:t>očetne procene</w:t>
      </w:r>
      <w:bookmarkEnd w:id="298"/>
      <w:r w:rsidRPr="005A60C8">
        <w:rPr>
          <w:szCs w:val="22"/>
          <w:lang w:val="en-GB" w:eastAsia="en-US"/>
        </w:rPr>
        <w:t xml:space="preserve"> </w:t>
      </w:r>
    </w:p>
    <w:bookmarkEnd w:id="299"/>
    <w:p w14:paraId="79945C74" w14:textId="6155921B" w:rsidR="0009452A" w:rsidRDefault="0047259B" w:rsidP="00EC028C">
      <w:pPr>
        <w:spacing w:before="0" w:after="160"/>
        <w:contextualSpacing/>
        <w:rPr>
          <w:szCs w:val="22"/>
          <w:lang w:val="en-GB" w:eastAsia="en-US"/>
        </w:rPr>
      </w:pPr>
      <w:r w:rsidRPr="0047259B">
        <w:rPr>
          <w:szCs w:val="22"/>
          <w:lang w:val="en-GB" w:eastAsia="en-US"/>
        </w:rPr>
        <w:t xml:space="preserve">Trenutno nema dovoljno podataka koji bi pružili kvantitativnu procjenu </w:t>
      </w:r>
      <w:r>
        <w:rPr>
          <w:szCs w:val="22"/>
          <w:lang w:val="en-GB" w:eastAsia="en-US"/>
        </w:rPr>
        <w:t xml:space="preserve">postojećeg </w:t>
      </w:r>
      <w:r w:rsidRPr="0047259B">
        <w:rPr>
          <w:szCs w:val="22"/>
          <w:lang w:val="en-GB" w:eastAsia="en-US"/>
        </w:rPr>
        <w:t xml:space="preserve">stanja antropogenog podvodnog zvuka u </w:t>
      </w:r>
      <w:r>
        <w:rPr>
          <w:szCs w:val="22"/>
          <w:lang w:val="en-GB" w:eastAsia="en-US"/>
        </w:rPr>
        <w:t xml:space="preserve">morskim vodama Crne Gore </w:t>
      </w:r>
      <w:r w:rsidRPr="0047259B">
        <w:rPr>
          <w:szCs w:val="22"/>
          <w:lang w:val="en-GB" w:eastAsia="en-US"/>
        </w:rPr>
        <w:t>zbog nedostatka dostupnih informacija iz sveobuhvatni</w:t>
      </w:r>
      <w:r>
        <w:rPr>
          <w:szCs w:val="22"/>
          <w:lang w:val="en-GB" w:eastAsia="en-US"/>
        </w:rPr>
        <w:t>jih programa monitoringa</w:t>
      </w:r>
      <w:r w:rsidRPr="0047259B">
        <w:rPr>
          <w:szCs w:val="22"/>
          <w:lang w:val="en-GB" w:eastAsia="en-US"/>
        </w:rPr>
        <w:t>.</w:t>
      </w:r>
    </w:p>
    <w:p w14:paraId="11DEFDE4" w14:textId="77777777" w:rsidR="0047259B" w:rsidRPr="001C6CCA" w:rsidRDefault="0047259B" w:rsidP="00EC028C">
      <w:pPr>
        <w:spacing w:before="0" w:after="160"/>
        <w:contextualSpacing/>
        <w:rPr>
          <w:szCs w:val="22"/>
          <w:lang w:val="en-GB" w:eastAsia="en-US"/>
        </w:rPr>
      </w:pPr>
    </w:p>
    <w:p w14:paraId="631756B4" w14:textId="4538B866" w:rsidR="005A60C8" w:rsidRPr="005A60C8" w:rsidRDefault="005A60C8" w:rsidP="005A60C8">
      <w:pPr>
        <w:autoSpaceDE w:val="0"/>
        <w:autoSpaceDN w:val="0"/>
        <w:adjustRightInd w:val="0"/>
        <w:spacing w:after="0"/>
        <w:rPr>
          <w:rFonts w:eastAsia="Calibri" w:cs="Calibri"/>
          <w:color w:val="0070C0"/>
          <w:lang w:val="sq-AL"/>
        </w:rPr>
      </w:pPr>
      <w:r w:rsidRPr="00E371FA">
        <w:rPr>
          <w:rFonts w:eastAsia="Calibri" w:cs="Calibri"/>
          <w:lang w:val="sq-AL"/>
        </w:rPr>
        <w:t xml:space="preserve">Crna Gora je 2016. godine potpisala ugovor o koncesiji za proizvodnju ugljovodonika (PCC) koji se odnosi na područje definisano  </w:t>
      </w:r>
      <w:r>
        <w:rPr>
          <w:rFonts w:eastAsia="Calibri" w:cs="Calibri"/>
          <w:lang w:val="sq-AL"/>
        </w:rPr>
        <w:t xml:space="preserve">ofšor </w:t>
      </w:r>
      <w:r w:rsidRPr="00E371FA">
        <w:rPr>
          <w:rFonts w:eastAsia="Calibri" w:cs="Calibri"/>
          <w:lang w:val="sq-AL"/>
        </w:rPr>
        <w:t>blokovima 4, 5, 9 i 10 („područje PCC“</w:t>
      </w:r>
      <w:r>
        <w:rPr>
          <w:rFonts w:eastAsia="Calibri" w:cs="Calibri"/>
          <w:lang w:val="sq-AL"/>
        </w:rPr>
        <w:t xml:space="preserve"> </w:t>
      </w:r>
      <w:r w:rsidRPr="005A60C8">
        <w:rPr>
          <w:rFonts w:eastAsia="Calibri" w:cs="Calibri"/>
          <w:lang w:val="sq-AL"/>
        </w:rPr>
        <w:t>što je otprilike 20% morskih voda</w:t>
      </w:r>
      <w:r>
        <w:rPr>
          <w:rFonts w:eastAsia="Calibri" w:cs="Calibri"/>
          <w:lang w:val="sq-AL"/>
        </w:rPr>
        <w:t xml:space="preserve"> Crne Gore</w:t>
      </w:r>
      <w:r w:rsidRPr="00E371FA">
        <w:rPr>
          <w:rFonts w:eastAsia="Calibri" w:cs="Calibri"/>
          <w:lang w:val="sq-AL"/>
        </w:rPr>
        <w:t>).</w:t>
      </w:r>
      <w:r>
        <w:rPr>
          <w:rFonts w:eastAsia="Calibri" w:cs="Calibri"/>
          <w:lang w:val="sq-AL"/>
        </w:rPr>
        <w:t xml:space="preserve"> Nabavka </w:t>
      </w:r>
      <w:r w:rsidRPr="002F4239">
        <w:rPr>
          <w:rFonts w:eastAsia="Calibri" w:cs="Calibri"/>
          <w:lang w:val="sq-AL"/>
        </w:rPr>
        <w:t>3D seiz</w:t>
      </w:r>
      <w:r>
        <w:rPr>
          <w:rFonts w:eastAsia="Calibri" w:cs="Calibri"/>
          <w:lang w:val="sq-AL"/>
        </w:rPr>
        <w:t xml:space="preserve">mike na čitavom području PCC-a je realizovano u periodu od novembra do decembra 2018. godine. </w:t>
      </w:r>
      <w:r w:rsidRPr="005A60C8">
        <w:rPr>
          <w:rFonts w:eastAsia="Calibri" w:cs="Calibri"/>
          <w:lang w:val="sq-AL"/>
        </w:rPr>
        <w:t>Država Crna Gora je odlučna u sprovođenju istraživanja i proizvodnje ugljovodonika, a dalje ak</w:t>
      </w:r>
      <w:r>
        <w:rPr>
          <w:rFonts w:eastAsia="Calibri" w:cs="Calibri"/>
          <w:lang w:val="sq-AL"/>
        </w:rPr>
        <w:t>tivnosti</w:t>
      </w:r>
      <w:r w:rsidRPr="005A60C8">
        <w:rPr>
          <w:rFonts w:eastAsia="Calibri" w:cs="Calibri"/>
          <w:lang w:val="sq-AL"/>
        </w:rPr>
        <w:t xml:space="preserve"> mogu predstavljati značajan pritisak na morsk</w:t>
      </w:r>
      <w:r>
        <w:rPr>
          <w:rFonts w:eastAsia="Calibri" w:cs="Calibri"/>
          <w:lang w:val="sq-AL"/>
        </w:rPr>
        <w:t>u sredinu</w:t>
      </w:r>
      <w:r w:rsidRPr="005A60C8">
        <w:rPr>
          <w:rFonts w:eastAsia="Calibri" w:cs="Calibri"/>
          <w:lang w:val="sq-AL"/>
        </w:rPr>
        <w:t xml:space="preserve"> stvaranjem podvodnog impulsivnog antropogenog zvuka koji može imati negativan uticaj na morske organizme, posebno sisare.</w:t>
      </w:r>
    </w:p>
    <w:p w14:paraId="617B7488" w14:textId="77777777" w:rsidR="00EC028C" w:rsidRPr="001C6CCA" w:rsidRDefault="00EC028C" w:rsidP="00EC028C">
      <w:pPr>
        <w:spacing w:before="0" w:after="160"/>
        <w:contextualSpacing/>
        <w:rPr>
          <w:szCs w:val="22"/>
          <w:lang w:val="en-GB" w:eastAsia="en-US"/>
        </w:rPr>
      </w:pPr>
    </w:p>
    <w:p w14:paraId="49071802" w14:textId="45DF4DDD" w:rsidR="005A60C8" w:rsidRDefault="005A60C8" w:rsidP="00EC028C">
      <w:pPr>
        <w:spacing w:before="0" w:after="160"/>
        <w:contextualSpacing/>
        <w:rPr>
          <w:szCs w:val="22"/>
          <w:lang w:val="en-GB" w:eastAsia="en-US"/>
        </w:rPr>
      </w:pPr>
      <w:r w:rsidRPr="005A60C8">
        <w:rPr>
          <w:szCs w:val="22"/>
          <w:lang w:val="en-GB" w:eastAsia="en-US"/>
        </w:rPr>
        <w:t>U</w:t>
      </w:r>
      <w:r>
        <w:rPr>
          <w:szCs w:val="22"/>
          <w:lang w:val="en-GB" w:eastAsia="en-US"/>
        </w:rPr>
        <w:t>nos</w:t>
      </w:r>
      <w:r w:rsidRPr="005A60C8">
        <w:rPr>
          <w:szCs w:val="22"/>
          <w:lang w:val="en-GB" w:eastAsia="en-US"/>
        </w:rPr>
        <w:t xml:space="preserve"> kontinuiranog niskofrekventnog antropogenog zvuka u </w:t>
      </w:r>
      <w:r>
        <w:rPr>
          <w:szCs w:val="22"/>
          <w:lang w:val="en-GB" w:eastAsia="en-US"/>
        </w:rPr>
        <w:t>vode Crne Gore</w:t>
      </w:r>
      <w:r w:rsidRPr="005A60C8">
        <w:rPr>
          <w:szCs w:val="22"/>
          <w:lang w:val="en-GB" w:eastAsia="en-US"/>
        </w:rPr>
        <w:t xml:space="preserve"> može se, na osnovu podataka pritiska iz pomorskog saobraćaja, procijeniti kao nizak u većem dijelu područja. U</w:t>
      </w:r>
      <w:r>
        <w:rPr>
          <w:szCs w:val="22"/>
          <w:lang w:val="en-GB" w:eastAsia="en-US"/>
        </w:rPr>
        <w:t>nos</w:t>
      </w:r>
      <w:r w:rsidRPr="005A60C8">
        <w:rPr>
          <w:szCs w:val="22"/>
          <w:lang w:val="en-GB" w:eastAsia="en-US"/>
        </w:rPr>
        <w:t xml:space="preserve"> se procjenjuje na srednjem nivou u blizini glavnih pravaca do i iz Bara i Bok</w:t>
      </w:r>
      <w:r w:rsidR="0047259B">
        <w:rPr>
          <w:szCs w:val="22"/>
          <w:lang w:val="en-GB" w:eastAsia="en-US"/>
        </w:rPr>
        <w:t>okotorskog zaliva</w:t>
      </w:r>
      <w:r w:rsidRPr="005A60C8">
        <w:rPr>
          <w:szCs w:val="22"/>
          <w:lang w:val="en-GB" w:eastAsia="en-US"/>
        </w:rPr>
        <w:t>. U</w:t>
      </w:r>
      <w:r w:rsidR="0047259B">
        <w:rPr>
          <w:szCs w:val="22"/>
          <w:lang w:val="en-GB" w:eastAsia="en-US"/>
        </w:rPr>
        <w:t>nos</w:t>
      </w:r>
      <w:r w:rsidRPr="005A60C8">
        <w:rPr>
          <w:szCs w:val="22"/>
          <w:lang w:val="en-GB" w:eastAsia="en-US"/>
        </w:rPr>
        <w:t xml:space="preserve"> može biti visok kod ulaza i unutar Bok</w:t>
      </w:r>
      <w:r w:rsidR="0047259B">
        <w:rPr>
          <w:szCs w:val="22"/>
          <w:lang w:val="en-GB" w:eastAsia="en-US"/>
        </w:rPr>
        <w:t xml:space="preserve">okotorskog zaliva u ljetnjoj </w:t>
      </w:r>
      <w:r w:rsidRPr="005A60C8">
        <w:rPr>
          <w:szCs w:val="22"/>
          <w:lang w:val="en-GB" w:eastAsia="en-US"/>
        </w:rPr>
        <w:t>sezoni zbog pojačanog prometa turistič</w:t>
      </w:r>
      <w:r w:rsidR="0047259B">
        <w:rPr>
          <w:szCs w:val="22"/>
          <w:lang w:val="en-GB" w:eastAsia="en-US"/>
        </w:rPr>
        <w:t>kih, rekreativnih brodova i kruzera.</w:t>
      </w:r>
    </w:p>
    <w:p w14:paraId="43082F06" w14:textId="77777777" w:rsidR="00265DAE" w:rsidRPr="001C6CCA" w:rsidRDefault="00265DAE" w:rsidP="00F65CFF">
      <w:pPr>
        <w:spacing w:before="0" w:after="0"/>
        <w:contextualSpacing/>
        <w:rPr>
          <w:sz w:val="20"/>
          <w:szCs w:val="20"/>
          <w:lang w:val="en-GB" w:eastAsia="en-US"/>
        </w:rPr>
      </w:pPr>
    </w:p>
    <w:p w14:paraId="527552B6" w14:textId="43537774" w:rsidR="0047259B" w:rsidRPr="0047259B" w:rsidRDefault="0047259B" w:rsidP="0047259B">
      <w:pPr>
        <w:pStyle w:val="Heading3"/>
        <w:rPr>
          <w:lang w:val="en-GB" w:eastAsia="en-US"/>
        </w:rPr>
      </w:pPr>
      <w:bookmarkStart w:id="300" w:name="_Toc83630965"/>
      <w:r w:rsidRPr="0047259B">
        <w:rPr>
          <w:lang w:val="en-GB" w:eastAsia="en-US"/>
        </w:rPr>
        <w:t>Postizanje GES</w:t>
      </w:r>
      <w:r>
        <w:rPr>
          <w:lang w:val="en-GB" w:eastAsia="en-US"/>
        </w:rPr>
        <w:t>-a</w:t>
      </w:r>
      <w:bookmarkEnd w:id="300"/>
    </w:p>
    <w:p w14:paraId="18232809" w14:textId="2D634840" w:rsidR="001962FA" w:rsidRPr="001C6CCA" w:rsidRDefault="001962FA" w:rsidP="00F65CFF">
      <w:pPr>
        <w:spacing w:before="0" w:after="0"/>
        <w:contextualSpacing/>
        <w:rPr>
          <w:szCs w:val="22"/>
          <w:lang w:val="en-GB" w:eastAsia="en-US"/>
        </w:rPr>
      </w:pPr>
      <w:r w:rsidRPr="001962FA">
        <w:rPr>
          <w:szCs w:val="22"/>
          <w:lang w:val="en-GB" w:eastAsia="en-US"/>
        </w:rPr>
        <w:t xml:space="preserve">Budući da je </w:t>
      </w:r>
      <w:r>
        <w:rPr>
          <w:szCs w:val="22"/>
          <w:lang w:val="en-GB" w:eastAsia="en-US"/>
        </w:rPr>
        <w:t xml:space="preserve">sadašnje </w:t>
      </w:r>
      <w:r w:rsidRPr="001962FA">
        <w:rPr>
          <w:szCs w:val="22"/>
          <w:lang w:val="en-GB" w:eastAsia="en-US"/>
        </w:rPr>
        <w:t>znanje o uticaju impuls</w:t>
      </w:r>
      <w:r>
        <w:rPr>
          <w:szCs w:val="22"/>
          <w:lang w:val="en-GB" w:eastAsia="en-US"/>
        </w:rPr>
        <w:t>ivne</w:t>
      </w:r>
      <w:r w:rsidRPr="001962FA">
        <w:rPr>
          <w:szCs w:val="22"/>
          <w:lang w:val="en-GB" w:eastAsia="en-US"/>
        </w:rPr>
        <w:t xml:space="preserve"> i kontinuirane buke na morske organizme, pr</w:t>
      </w:r>
      <w:r>
        <w:rPr>
          <w:szCs w:val="22"/>
          <w:lang w:val="en-GB" w:eastAsia="en-US"/>
        </w:rPr>
        <w:t>ij</w:t>
      </w:r>
      <w:r w:rsidRPr="001962FA">
        <w:rPr>
          <w:szCs w:val="22"/>
          <w:lang w:val="en-GB" w:eastAsia="en-US"/>
        </w:rPr>
        <w:t>e svega na vrlo os</w:t>
      </w:r>
      <w:r>
        <w:rPr>
          <w:szCs w:val="22"/>
          <w:lang w:val="en-GB" w:eastAsia="en-US"/>
        </w:rPr>
        <w:t>j</w:t>
      </w:r>
      <w:r w:rsidRPr="001962FA">
        <w:rPr>
          <w:szCs w:val="22"/>
          <w:lang w:val="en-GB" w:eastAsia="en-US"/>
        </w:rPr>
        <w:t>etljive organizme (delfin</w:t>
      </w:r>
      <w:r>
        <w:rPr>
          <w:szCs w:val="22"/>
          <w:lang w:val="en-GB" w:eastAsia="en-US"/>
        </w:rPr>
        <w:t>e</w:t>
      </w:r>
      <w:r w:rsidRPr="001962FA">
        <w:rPr>
          <w:szCs w:val="22"/>
          <w:lang w:val="en-GB" w:eastAsia="en-US"/>
        </w:rPr>
        <w:t xml:space="preserve"> i kornjače) i </w:t>
      </w:r>
      <w:r>
        <w:rPr>
          <w:szCs w:val="22"/>
          <w:lang w:val="en-GB" w:eastAsia="en-US"/>
        </w:rPr>
        <w:t>komercijalno</w:t>
      </w:r>
      <w:r w:rsidRPr="001962FA">
        <w:rPr>
          <w:szCs w:val="22"/>
          <w:lang w:val="en-GB" w:eastAsia="en-US"/>
        </w:rPr>
        <w:t xml:space="preserve"> važne vrste riba u Jadranu </w:t>
      </w:r>
      <w:r>
        <w:rPr>
          <w:szCs w:val="22"/>
          <w:lang w:val="en-GB" w:eastAsia="en-US"/>
        </w:rPr>
        <w:t>, na nedovoljnom nivou, nije moguće utvrditi granične vrijednosti/pragove za procjene</w:t>
      </w:r>
      <w:r w:rsidRPr="001962FA">
        <w:rPr>
          <w:szCs w:val="22"/>
          <w:lang w:val="en-GB" w:eastAsia="en-US"/>
        </w:rPr>
        <w:t xml:space="preserve"> dobrog stanja životne sredine u </w:t>
      </w:r>
      <w:r>
        <w:rPr>
          <w:szCs w:val="22"/>
          <w:lang w:val="en-GB" w:eastAsia="en-US"/>
        </w:rPr>
        <w:t xml:space="preserve">Jadranskom moru Crne Gore </w:t>
      </w:r>
      <w:r w:rsidRPr="001962FA">
        <w:rPr>
          <w:szCs w:val="22"/>
          <w:lang w:val="en-GB" w:eastAsia="en-US"/>
        </w:rPr>
        <w:t>za deskriptor D11 (tabela .49).</w:t>
      </w:r>
    </w:p>
    <w:p w14:paraId="0F6FA5C3" w14:textId="77777777" w:rsidR="00134EB4" w:rsidRPr="001C6CCA" w:rsidRDefault="00134EB4" w:rsidP="00F65CFF">
      <w:pPr>
        <w:spacing w:before="0" w:after="0"/>
        <w:contextualSpacing/>
        <w:rPr>
          <w:sz w:val="20"/>
          <w:szCs w:val="20"/>
          <w:lang w:val="en-GB" w:eastAsia="en-US"/>
        </w:rPr>
      </w:pPr>
    </w:p>
    <w:p w14:paraId="6635F926" w14:textId="77777777" w:rsidR="005E5218" w:rsidRDefault="005E5218" w:rsidP="00A90DC5">
      <w:pPr>
        <w:spacing w:before="0" w:line="259" w:lineRule="auto"/>
        <w:rPr>
          <w:b/>
          <w:szCs w:val="22"/>
          <w:lang w:val="en-GB" w:eastAsia="en-US"/>
        </w:rPr>
      </w:pPr>
    </w:p>
    <w:p w14:paraId="1282C290" w14:textId="77777777" w:rsidR="005E5218" w:rsidRDefault="005E5218" w:rsidP="00A90DC5">
      <w:pPr>
        <w:spacing w:before="0" w:line="259" w:lineRule="auto"/>
        <w:rPr>
          <w:b/>
          <w:szCs w:val="22"/>
          <w:lang w:val="en-GB" w:eastAsia="en-US"/>
        </w:rPr>
      </w:pPr>
    </w:p>
    <w:p w14:paraId="5FBF1504" w14:textId="77777777" w:rsidR="005E5218" w:rsidRDefault="005E5218" w:rsidP="00A90DC5">
      <w:pPr>
        <w:spacing w:before="0" w:line="259" w:lineRule="auto"/>
        <w:rPr>
          <w:b/>
          <w:szCs w:val="22"/>
          <w:lang w:val="en-GB" w:eastAsia="en-US"/>
        </w:rPr>
      </w:pPr>
    </w:p>
    <w:p w14:paraId="6B8D7B82" w14:textId="4E91B796" w:rsidR="001962FA" w:rsidRPr="001C6CCA" w:rsidRDefault="00437FEC" w:rsidP="00A90DC5">
      <w:pPr>
        <w:spacing w:before="0" w:line="259" w:lineRule="auto"/>
        <w:rPr>
          <w:rFonts w:eastAsia="Calibri"/>
          <w:b/>
          <w:szCs w:val="22"/>
          <w:lang w:val="en-GB" w:eastAsia="en-US"/>
        </w:rPr>
      </w:pPr>
      <w:bookmarkStart w:id="301" w:name="_Toc83643195"/>
      <w:r w:rsidRPr="001C6CCA">
        <w:rPr>
          <w:b/>
          <w:szCs w:val="22"/>
          <w:lang w:val="en-GB" w:eastAsia="en-US"/>
        </w:rPr>
        <w:t>Tab</w:t>
      </w:r>
      <w:r w:rsidR="00D278E9">
        <w:rPr>
          <w:b/>
          <w:szCs w:val="22"/>
          <w:lang w:val="en-GB" w:eastAsia="en-US"/>
        </w:rPr>
        <w:t>ela</w:t>
      </w:r>
      <w:r w:rsidRPr="001C6CCA">
        <w:rPr>
          <w:b/>
          <w:szCs w:val="22"/>
          <w:lang w:val="en-GB" w:eastAsia="en-US"/>
        </w:rPr>
        <w:t xml:space="preserve"> </w:t>
      </w:r>
      <w:r w:rsidR="004D6D17" w:rsidRPr="00D932B6">
        <w:rPr>
          <w:b/>
          <w:szCs w:val="22"/>
        </w:rPr>
        <w:fldChar w:fldCharType="begin"/>
      </w:r>
      <w:r w:rsidR="004D6D17" w:rsidRPr="00D932B6">
        <w:rPr>
          <w:b/>
          <w:szCs w:val="22"/>
        </w:rPr>
        <w:instrText xml:space="preserve"> STYLEREF 1 \s </w:instrText>
      </w:r>
      <w:r w:rsidR="004D6D17" w:rsidRPr="00D932B6">
        <w:rPr>
          <w:b/>
          <w:szCs w:val="22"/>
        </w:rPr>
        <w:fldChar w:fldCharType="separate"/>
      </w:r>
      <w:r w:rsidR="000D1E20">
        <w:rPr>
          <w:b/>
          <w:noProof/>
          <w:szCs w:val="22"/>
        </w:rPr>
        <w:t>2</w:t>
      </w:r>
      <w:r w:rsidR="004D6D17" w:rsidRPr="00D932B6">
        <w:rPr>
          <w:b/>
          <w:szCs w:val="22"/>
        </w:rPr>
        <w:fldChar w:fldCharType="end"/>
      </w:r>
      <w:r w:rsidR="004D6D17" w:rsidRPr="00D932B6">
        <w:rPr>
          <w:b/>
          <w:szCs w:val="22"/>
        </w:rPr>
        <w:t>.</w:t>
      </w:r>
      <w:r w:rsidR="004D6D17" w:rsidRPr="00D932B6">
        <w:rPr>
          <w:b/>
          <w:szCs w:val="22"/>
        </w:rPr>
        <w:fldChar w:fldCharType="begin"/>
      </w:r>
      <w:r w:rsidR="004D6D17" w:rsidRPr="00D932B6">
        <w:rPr>
          <w:b/>
          <w:szCs w:val="22"/>
        </w:rPr>
        <w:instrText xml:space="preserve"> SEQ Table \* ARABIC \s 1 </w:instrText>
      </w:r>
      <w:r w:rsidR="004D6D17" w:rsidRPr="00D932B6">
        <w:rPr>
          <w:b/>
          <w:szCs w:val="22"/>
        </w:rPr>
        <w:fldChar w:fldCharType="separate"/>
      </w:r>
      <w:r w:rsidR="000D1E20">
        <w:rPr>
          <w:b/>
          <w:noProof/>
          <w:szCs w:val="22"/>
        </w:rPr>
        <w:t>37</w:t>
      </w:r>
      <w:r w:rsidR="004D6D17" w:rsidRPr="00D932B6">
        <w:rPr>
          <w:b/>
          <w:szCs w:val="22"/>
        </w:rPr>
        <w:fldChar w:fldCharType="end"/>
      </w:r>
      <w:r w:rsidR="004D6D17">
        <w:rPr>
          <w:b/>
          <w:szCs w:val="22"/>
        </w:rPr>
        <w:t>.</w:t>
      </w:r>
      <w:r w:rsidR="004D6D17" w:rsidRPr="001C6CCA">
        <w:rPr>
          <w:rFonts w:eastAsia="Calibri" w:cs="Calibri"/>
          <w:b/>
          <w:szCs w:val="22"/>
          <w:lang w:val="en-GB" w:eastAsia="en-US"/>
        </w:rPr>
        <w:t xml:space="preserve"> </w:t>
      </w:r>
      <w:r w:rsidR="00090441">
        <w:rPr>
          <w:rFonts w:eastAsia="Calibri" w:cs="Calibri"/>
          <w:b/>
          <w:szCs w:val="22"/>
          <w:lang w:val="en-GB" w:eastAsia="en-US"/>
        </w:rPr>
        <w:t>P</w:t>
      </w:r>
      <w:r w:rsidR="001962FA" w:rsidRPr="00474EC1">
        <w:rPr>
          <w:rFonts w:eastAsia="Calibri" w:cs="Calibri"/>
          <w:b/>
          <w:szCs w:val="22"/>
          <w:lang w:val="en-GB" w:eastAsia="en-US"/>
        </w:rPr>
        <w:t xml:space="preserve">rocjena </w:t>
      </w:r>
      <w:r w:rsidR="00090441">
        <w:rPr>
          <w:rFonts w:eastAsia="Calibri" w:cs="Calibri"/>
          <w:b/>
          <w:szCs w:val="22"/>
          <w:lang w:val="en-GB" w:eastAsia="en-US"/>
        </w:rPr>
        <w:t>GES</w:t>
      </w:r>
      <w:r w:rsidR="00AF405E">
        <w:rPr>
          <w:rFonts w:eastAsia="Calibri" w:cs="Calibri"/>
          <w:b/>
          <w:szCs w:val="22"/>
          <w:lang w:val="en-GB" w:eastAsia="en-US"/>
        </w:rPr>
        <w:t>-</w:t>
      </w:r>
      <w:r w:rsidR="00090441">
        <w:rPr>
          <w:rFonts w:eastAsia="Calibri" w:cs="Calibri"/>
          <w:b/>
          <w:szCs w:val="22"/>
          <w:lang w:val="en-GB" w:eastAsia="en-US"/>
        </w:rPr>
        <w:t xml:space="preserve">a </w:t>
      </w:r>
      <w:r w:rsidR="001962FA" w:rsidRPr="00474EC1">
        <w:rPr>
          <w:rFonts w:eastAsia="Calibri" w:cs="Calibri"/>
          <w:b/>
          <w:szCs w:val="22"/>
          <w:lang w:val="en-GB" w:eastAsia="en-US"/>
        </w:rPr>
        <w:t>za Deskriptor 11 prema kriterijumima iz Odluke Komisije</w:t>
      </w:r>
      <w:r w:rsidR="001962FA" w:rsidRPr="007067BE">
        <w:rPr>
          <w:rFonts w:eastAsia="Calibri" w:cs="Calibri"/>
          <w:b/>
          <w:sz w:val="20"/>
          <w:szCs w:val="20"/>
          <w:lang w:val="en-GB" w:eastAsia="en-US"/>
        </w:rPr>
        <w:t xml:space="preserve"> </w:t>
      </w:r>
      <w:r w:rsidRPr="001C6CCA">
        <w:rPr>
          <w:rFonts w:eastAsia="Calibri"/>
          <w:b/>
          <w:szCs w:val="22"/>
          <w:lang w:val="en-GB" w:eastAsia="en-US"/>
        </w:rPr>
        <w:t>217/845/EU</w:t>
      </w:r>
      <w:bookmarkEnd w:id="301"/>
    </w:p>
    <w:tbl>
      <w:tblPr>
        <w:tblStyle w:val="TableGrid4"/>
        <w:tblW w:w="9067" w:type="dxa"/>
        <w:jc w:val="center"/>
        <w:tblLook w:val="04A0" w:firstRow="1" w:lastRow="0" w:firstColumn="1" w:lastColumn="0" w:noHBand="0" w:noVBand="1"/>
      </w:tblPr>
      <w:tblGrid>
        <w:gridCol w:w="3114"/>
        <w:gridCol w:w="5953"/>
      </w:tblGrid>
      <w:tr w:rsidR="006F740E" w:rsidRPr="001C6CCA" w14:paraId="6ECCA417" w14:textId="77777777" w:rsidTr="00F05590">
        <w:trPr>
          <w:trHeight w:val="586"/>
          <w:tblHeader/>
          <w:jc w:val="center"/>
        </w:trPr>
        <w:tc>
          <w:tcPr>
            <w:tcW w:w="906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vAlign w:val="center"/>
          </w:tcPr>
          <w:p w14:paraId="23B4EBF4" w14:textId="3B5F08B8" w:rsidR="006F740E" w:rsidRPr="00387195" w:rsidRDefault="006F740E" w:rsidP="001962FA">
            <w:pPr>
              <w:autoSpaceDE w:val="0"/>
              <w:autoSpaceDN w:val="0"/>
              <w:adjustRightInd w:val="0"/>
              <w:spacing w:before="0" w:after="0" w:line="240" w:lineRule="auto"/>
              <w:jc w:val="center"/>
              <w:rPr>
                <w:rFonts w:cs="Calibri"/>
                <w:b/>
                <w:color w:val="FFFFFF" w:themeColor="background1"/>
                <w:lang w:val="en-GB" w:eastAsia="en-US"/>
              </w:rPr>
            </w:pPr>
            <w:r>
              <w:rPr>
                <w:rFonts w:cs="Calibri"/>
                <w:b/>
                <w:color w:val="FFFFFF" w:themeColor="background1"/>
                <w:lang w:val="en-GB" w:eastAsia="en-US"/>
              </w:rPr>
              <w:t>Područje procjene: nacionalni nivo – crnogorski dio Jadrana</w:t>
            </w:r>
          </w:p>
        </w:tc>
      </w:tr>
      <w:tr w:rsidR="00C53702" w:rsidRPr="001C6CCA" w14:paraId="227026AA" w14:textId="77777777" w:rsidTr="00740F40">
        <w:trPr>
          <w:trHeight w:val="586"/>
          <w:tblHeader/>
          <w:jc w:val="center"/>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vAlign w:val="center"/>
          </w:tcPr>
          <w:p w14:paraId="1AB99828" w14:textId="0AF979E7" w:rsidR="00C53702" w:rsidRPr="00387195" w:rsidRDefault="001962FA" w:rsidP="00F65CFF">
            <w:pPr>
              <w:spacing w:before="0" w:after="0" w:line="240" w:lineRule="auto"/>
              <w:jc w:val="center"/>
              <w:rPr>
                <w:b/>
                <w:color w:val="FFFFFF" w:themeColor="background1"/>
                <w:lang w:val="en-GB" w:eastAsia="hr-HR"/>
              </w:rPr>
            </w:pPr>
            <w:r w:rsidRPr="00387195">
              <w:rPr>
                <w:b/>
                <w:color w:val="FFFFFF" w:themeColor="background1"/>
                <w:lang w:val="en-GB" w:eastAsia="hr-HR"/>
              </w:rPr>
              <w:t>Kriterijum</w:t>
            </w:r>
          </w:p>
        </w:tc>
        <w:tc>
          <w:tcPr>
            <w:tcW w:w="59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vAlign w:val="center"/>
          </w:tcPr>
          <w:p w14:paraId="5D0EF8EB" w14:textId="06D13546" w:rsidR="00C53702" w:rsidRPr="00387195" w:rsidRDefault="00090441" w:rsidP="001962FA">
            <w:pPr>
              <w:autoSpaceDE w:val="0"/>
              <w:autoSpaceDN w:val="0"/>
              <w:adjustRightInd w:val="0"/>
              <w:spacing w:before="0" w:after="0" w:line="240" w:lineRule="auto"/>
              <w:jc w:val="center"/>
              <w:rPr>
                <w:rFonts w:cs="Calibri"/>
                <w:b/>
                <w:color w:val="FFFFFF" w:themeColor="background1"/>
                <w:lang w:val="en-GB" w:eastAsia="en-US"/>
              </w:rPr>
            </w:pPr>
            <w:r w:rsidRPr="00387195">
              <w:rPr>
                <w:rFonts w:cs="Calibri"/>
                <w:b/>
                <w:color w:val="FFFFFF" w:themeColor="background1"/>
                <w:lang w:val="en-GB" w:eastAsia="en-US"/>
              </w:rPr>
              <w:t>GES</w:t>
            </w:r>
          </w:p>
        </w:tc>
      </w:tr>
      <w:tr w:rsidR="00C53702" w:rsidRPr="001C6CCA" w14:paraId="0FD97C87" w14:textId="77777777" w:rsidTr="00740F40">
        <w:trPr>
          <w:trHeight w:val="557"/>
          <w:jc w:val="center"/>
        </w:trPr>
        <w:tc>
          <w:tcPr>
            <w:tcW w:w="3114" w:type="dxa"/>
            <w:tcBorders>
              <w:top w:val="single" w:sz="4" w:space="0" w:color="FFFFFF" w:themeColor="background1"/>
            </w:tcBorders>
          </w:tcPr>
          <w:p w14:paraId="3FEECD62" w14:textId="77777777" w:rsidR="0047259B" w:rsidRPr="007824EE" w:rsidRDefault="0047259B" w:rsidP="0047259B">
            <w:pPr>
              <w:spacing w:after="0" w:line="240" w:lineRule="auto"/>
              <w:rPr>
                <w:rFonts w:asciiTheme="minorHAnsi" w:eastAsia="Times New Roman" w:hAnsiTheme="minorHAnsi" w:cstheme="minorHAnsi"/>
                <w:b/>
                <w:sz w:val="20"/>
                <w:szCs w:val="20"/>
                <w:lang w:val="sr-Latn-ME" w:eastAsia="sr-Latn-ME"/>
              </w:rPr>
            </w:pPr>
            <w:r w:rsidRPr="007824EE">
              <w:rPr>
                <w:rFonts w:asciiTheme="minorHAnsi" w:eastAsia="Times New Roman" w:hAnsiTheme="minorHAnsi" w:cstheme="minorHAnsi"/>
                <w:b/>
                <w:sz w:val="20"/>
                <w:szCs w:val="20"/>
                <w:lang w:val="sr-Latn-ME" w:eastAsia="sr-Latn-ME"/>
              </w:rPr>
              <w:t>D11C1 – Primarni:</w:t>
            </w:r>
          </w:p>
          <w:p w14:paraId="4749F7F3" w14:textId="77777777" w:rsidR="0047259B" w:rsidRPr="007824EE" w:rsidRDefault="0047259B" w:rsidP="0047259B">
            <w:pPr>
              <w:spacing w:after="0" w:line="240" w:lineRule="auto"/>
              <w:rPr>
                <w:rFonts w:asciiTheme="minorHAnsi" w:eastAsia="Times New Roman" w:hAnsiTheme="minorHAnsi" w:cstheme="minorHAnsi"/>
                <w:sz w:val="20"/>
                <w:szCs w:val="20"/>
                <w:lang w:val="sr-Latn-ME" w:eastAsia="sr-Latn-ME"/>
              </w:rPr>
            </w:pPr>
            <w:r w:rsidRPr="007824EE">
              <w:rPr>
                <w:rFonts w:asciiTheme="minorHAnsi" w:eastAsia="Times New Roman" w:hAnsiTheme="minorHAnsi" w:cstheme="minorHAnsi"/>
                <w:sz w:val="20"/>
                <w:szCs w:val="20"/>
                <w:lang w:val="sr-Latn-ME" w:eastAsia="sr-Latn-ME"/>
              </w:rPr>
              <w:t>Prostorna raspodjela, trajanje i nivo antropogenih impulsnih zvukova ne prelaze vrijednosti koje štete morskim životinjama.</w:t>
            </w:r>
          </w:p>
          <w:p w14:paraId="17DB40E1" w14:textId="77777777" w:rsidR="0047259B" w:rsidRPr="001C6CCA" w:rsidRDefault="0047259B" w:rsidP="00F65CFF">
            <w:pPr>
              <w:spacing w:before="0" w:after="0" w:line="240" w:lineRule="auto"/>
              <w:jc w:val="left"/>
              <w:rPr>
                <w:sz w:val="20"/>
                <w:szCs w:val="20"/>
                <w:lang w:val="en-GB" w:eastAsia="hr-HR"/>
              </w:rPr>
            </w:pPr>
          </w:p>
          <w:p w14:paraId="3894E12E" w14:textId="77777777" w:rsidR="00C53702" w:rsidRPr="001C6CCA" w:rsidRDefault="00C53702" w:rsidP="00F65CFF">
            <w:pPr>
              <w:spacing w:before="0" w:after="0" w:line="240" w:lineRule="auto"/>
              <w:jc w:val="left"/>
              <w:rPr>
                <w:sz w:val="20"/>
                <w:szCs w:val="20"/>
                <w:lang w:val="en-GB" w:eastAsia="hr-HR"/>
              </w:rPr>
            </w:pPr>
          </w:p>
          <w:p w14:paraId="428F6945" w14:textId="440C1735" w:rsidR="00C53702" w:rsidRPr="001C6CCA" w:rsidRDefault="00C53702" w:rsidP="00F65CFF">
            <w:pPr>
              <w:spacing w:before="0" w:after="0" w:line="240" w:lineRule="auto"/>
              <w:jc w:val="left"/>
              <w:rPr>
                <w:sz w:val="20"/>
                <w:szCs w:val="20"/>
                <w:lang w:val="en-GB" w:eastAsia="hr-HR"/>
              </w:rPr>
            </w:pPr>
          </w:p>
        </w:tc>
        <w:tc>
          <w:tcPr>
            <w:tcW w:w="5953" w:type="dxa"/>
            <w:tcBorders>
              <w:top w:val="single" w:sz="4" w:space="0" w:color="FFFFFF" w:themeColor="background1"/>
            </w:tcBorders>
          </w:tcPr>
          <w:p w14:paraId="300319EE" w14:textId="77777777" w:rsidR="00B71D9B" w:rsidRDefault="00B71D9B" w:rsidP="00F65CFF">
            <w:pPr>
              <w:autoSpaceDE w:val="0"/>
              <w:autoSpaceDN w:val="0"/>
              <w:adjustRightInd w:val="0"/>
              <w:spacing w:before="0" w:after="0" w:line="240" w:lineRule="auto"/>
              <w:jc w:val="left"/>
              <w:rPr>
                <w:rFonts w:cs="Calibri"/>
                <w:color w:val="000000"/>
                <w:sz w:val="20"/>
                <w:szCs w:val="20"/>
                <w:lang w:val="en-GB" w:eastAsia="en-US"/>
              </w:rPr>
            </w:pPr>
          </w:p>
          <w:p w14:paraId="439E13E8" w14:textId="03100C2E" w:rsidR="001962FA" w:rsidRDefault="001962FA" w:rsidP="00D66A98">
            <w:pPr>
              <w:spacing w:before="0" w:after="0" w:line="240" w:lineRule="auto"/>
              <w:contextualSpacing/>
              <w:rPr>
                <w:sz w:val="20"/>
                <w:szCs w:val="20"/>
                <w:lang w:val="en-GB" w:eastAsia="en-US"/>
              </w:rPr>
            </w:pPr>
            <w:r w:rsidRPr="0047259B">
              <w:rPr>
                <w:rFonts w:cs="Calibri"/>
                <w:color w:val="000000"/>
                <w:sz w:val="20"/>
                <w:szCs w:val="20"/>
                <w:lang w:val="en-GB" w:eastAsia="en-US"/>
              </w:rPr>
              <w:t>Nema</w:t>
            </w:r>
            <w:r>
              <w:rPr>
                <w:rFonts w:cs="Calibri"/>
                <w:color w:val="000000"/>
                <w:sz w:val="20"/>
                <w:szCs w:val="20"/>
                <w:lang w:val="en-GB" w:eastAsia="en-US"/>
              </w:rPr>
              <w:t xml:space="preserve"> dovoljno</w:t>
            </w:r>
            <w:r w:rsidRPr="0047259B">
              <w:rPr>
                <w:rFonts w:cs="Calibri"/>
                <w:color w:val="000000"/>
                <w:sz w:val="20"/>
                <w:szCs w:val="20"/>
                <w:lang w:val="en-GB" w:eastAsia="en-US"/>
              </w:rPr>
              <w:t xml:space="preserve"> podataka za proc</w:t>
            </w:r>
            <w:r>
              <w:rPr>
                <w:rFonts w:cs="Calibri"/>
                <w:color w:val="000000"/>
                <w:sz w:val="20"/>
                <w:szCs w:val="20"/>
                <w:lang w:val="en-GB" w:eastAsia="en-US"/>
              </w:rPr>
              <w:t>j</w:t>
            </w:r>
            <w:r w:rsidRPr="0047259B">
              <w:rPr>
                <w:rFonts w:cs="Calibri"/>
                <w:color w:val="000000"/>
                <w:sz w:val="20"/>
                <w:szCs w:val="20"/>
                <w:lang w:val="en-GB" w:eastAsia="en-US"/>
              </w:rPr>
              <w:t>enu GES-a</w:t>
            </w:r>
            <w:r w:rsidRPr="001C6CCA">
              <w:rPr>
                <w:sz w:val="20"/>
                <w:szCs w:val="20"/>
                <w:lang w:val="en-GB" w:eastAsia="en-US"/>
              </w:rPr>
              <w:t xml:space="preserve"> </w:t>
            </w:r>
          </w:p>
          <w:p w14:paraId="68FF8E56" w14:textId="77777777" w:rsidR="00740F40" w:rsidRDefault="00740F40" w:rsidP="00D66A98">
            <w:pPr>
              <w:spacing w:before="0" w:after="0" w:line="240" w:lineRule="auto"/>
              <w:contextualSpacing/>
              <w:rPr>
                <w:sz w:val="20"/>
                <w:szCs w:val="20"/>
                <w:lang w:val="en-GB" w:eastAsia="en-US"/>
              </w:rPr>
            </w:pPr>
          </w:p>
          <w:p w14:paraId="2900696E" w14:textId="08C0D6DD" w:rsidR="00C53702" w:rsidRPr="00D66A98" w:rsidRDefault="00C42B0B" w:rsidP="00D66A98">
            <w:pPr>
              <w:spacing w:before="0" w:after="0" w:line="240" w:lineRule="auto"/>
              <w:contextualSpacing/>
              <w:rPr>
                <w:sz w:val="20"/>
                <w:szCs w:val="20"/>
                <w:lang w:val="en-GB" w:eastAsia="en-US"/>
              </w:rPr>
            </w:pPr>
            <w:r w:rsidRPr="00C42B0B">
              <w:rPr>
                <w:sz w:val="20"/>
                <w:szCs w:val="20"/>
                <w:lang w:val="en-GB" w:eastAsia="en-US"/>
              </w:rPr>
              <w:t>Na temelju podataka o pritisku pomorskog prometa, unos antropogenog impulzivnog zvuka procjenjuje se na srednjoj razini u blizini glavnih pravaca prema Baru i Bokokotorskom za</w:t>
            </w:r>
            <w:r>
              <w:rPr>
                <w:sz w:val="20"/>
                <w:szCs w:val="20"/>
                <w:lang w:val="en-GB" w:eastAsia="en-US"/>
              </w:rPr>
              <w:t>livu</w:t>
            </w:r>
            <w:r w:rsidRPr="00C42B0B">
              <w:rPr>
                <w:sz w:val="20"/>
                <w:szCs w:val="20"/>
                <w:lang w:val="en-GB" w:eastAsia="en-US"/>
              </w:rPr>
              <w:t xml:space="preserve">. </w:t>
            </w:r>
            <w:r w:rsidR="00740F40">
              <w:rPr>
                <w:sz w:val="20"/>
                <w:szCs w:val="20"/>
                <w:lang w:val="en-GB" w:eastAsia="en-US"/>
              </w:rPr>
              <w:t xml:space="preserve">Unos može biti </w:t>
            </w:r>
            <w:r w:rsidRPr="00C42B0B">
              <w:rPr>
                <w:sz w:val="20"/>
                <w:szCs w:val="20"/>
                <w:lang w:val="en-GB" w:eastAsia="en-US"/>
              </w:rPr>
              <w:t>visok u blizini ulaza i unutar Bok</w:t>
            </w:r>
            <w:r w:rsidR="00740F40">
              <w:rPr>
                <w:sz w:val="20"/>
                <w:szCs w:val="20"/>
                <w:lang w:val="en-GB" w:eastAsia="en-US"/>
              </w:rPr>
              <w:t xml:space="preserve">okotorskog zaliva </w:t>
            </w:r>
            <w:r w:rsidRPr="00C42B0B">
              <w:rPr>
                <w:sz w:val="20"/>
                <w:szCs w:val="20"/>
                <w:lang w:val="en-GB" w:eastAsia="en-US"/>
              </w:rPr>
              <w:t>u ljetnoj sezoni zbog povećanog prometa turističkih, rekreacijskih plovila i kruzera.</w:t>
            </w:r>
          </w:p>
        </w:tc>
      </w:tr>
      <w:tr w:rsidR="00C53702" w:rsidRPr="001C6CCA" w14:paraId="1A0B9CB4" w14:textId="77777777" w:rsidTr="00437FEC">
        <w:trPr>
          <w:trHeight w:val="1668"/>
          <w:jc w:val="center"/>
        </w:trPr>
        <w:tc>
          <w:tcPr>
            <w:tcW w:w="3114" w:type="dxa"/>
          </w:tcPr>
          <w:p w14:paraId="1968DC2A" w14:textId="77777777" w:rsidR="0047259B" w:rsidRPr="005A60C8" w:rsidRDefault="0047259B" w:rsidP="0047259B">
            <w:pPr>
              <w:spacing w:after="0" w:line="240" w:lineRule="auto"/>
              <w:rPr>
                <w:rFonts w:asciiTheme="minorHAnsi" w:eastAsia="Times New Roman" w:hAnsiTheme="minorHAnsi" w:cstheme="minorHAnsi"/>
                <w:b/>
                <w:sz w:val="20"/>
                <w:szCs w:val="20"/>
                <w:lang w:val="sr-Latn-ME" w:eastAsia="sr-Latn-ME"/>
              </w:rPr>
            </w:pPr>
            <w:r w:rsidRPr="005A60C8">
              <w:rPr>
                <w:rFonts w:asciiTheme="minorHAnsi" w:eastAsia="Times New Roman" w:hAnsiTheme="minorHAnsi" w:cstheme="minorHAnsi"/>
                <w:b/>
                <w:sz w:val="20"/>
                <w:szCs w:val="20"/>
                <w:lang w:val="sr-Latn-ME" w:eastAsia="sr-Latn-ME"/>
              </w:rPr>
              <w:t>D11C2 – Primarni:</w:t>
            </w:r>
          </w:p>
          <w:p w14:paraId="2334D9D2" w14:textId="66D3069B" w:rsidR="00C53702" w:rsidRPr="00D66A98" w:rsidRDefault="0047259B" w:rsidP="0047259B">
            <w:pPr>
              <w:spacing w:before="0" w:after="0" w:line="240" w:lineRule="auto"/>
              <w:jc w:val="left"/>
              <w:rPr>
                <w:iCs/>
                <w:sz w:val="20"/>
                <w:szCs w:val="20"/>
                <w:lang w:val="en-GB" w:eastAsia="hr-HR"/>
              </w:rPr>
            </w:pPr>
            <w:r w:rsidRPr="005A60C8">
              <w:rPr>
                <w:rFonts w:asciiTheme="minorHAnsi" w:eastAsia="Times New Roman" w:hAnsiTheme="minorHAnsi" w:cstheme="minorHAnsi"/>
                <w:sz w:val="20"/>
                <w:szCs w:val="20"/>
                <w:lang w:val="sr-Latn-ME" w:eastAsia="sr-Latn-ME"/>
              </w:rPr>
              <w:t>Prostorna raspodjela, trajanje i nivo antropogenog kontinuiranog zvuka niske frekvencije ne prelaze vrijednosti koje štete morskim životinjama.</w:t>
            </w:r>
          </w:p>
        </w:tc>
        <w:tc>
          <w:tcPr>
            <w:tcW w:w="5953" w:type="dxa"/>
          </w:tcPr>
          <w:p w14:paraId="4B0FE020" w14:textId="77777777" w:rsidR="00C53702" w:rsidRPr="001C6CCA" w:rsidRDefault="00C53702" w:rsidP="00F65CFF">
            <w:pPr>
              <w:autoSpaceDE w:val="0"/>
              <w:autoSpaceDN w:val="0"/>
              <w:adjustRightInd w:val="0"/>
              <w:spacing w:before="0" w:after="0" w:line="240" w:lineRule="auto"/>
              <w:jc w:val="left"/>
              <w:rPr>
                <w:rFonts w:cs="Calibri"/>
                <w:color w:val="000000"/>
                <w:sz w:val="20"/>
                <w:szCs w:val="20"/>
                <w:lang w:val="en-GB" w:eastAsia="en-US"/>
              </w:rPr>
            </w:pPr>
          </w:p>
          <w:p w14:paraId="3D950C74" w14:textId="6C74BA4B" w:rsidR="00120D23" w:rsidRPr="001C6CCA" w:rsidRDefault="0047259B" w:rsidP="00F65CFF">
            <w:pPr>
              <w:autoSpaceDE w:val="0"/>
              <w:autoSpaceDN w:val="0"/>
              <w:adjustRightInd w:val="0"/>
              <w:spacing w:before="0" w:after="0" w:line="240" w:lineRule="auto"/>
              <w:jc w:val="left"/>
              <w:rPr>
                <w:rFonts w:cs="Calibri"/>
                <w:color w:val="000000"/>
                <w:sz w:val="20"/>
                <w:szCs w:val="20"/>
                <w:lang w:val="en-GB" w:eastAsia="en-US"/>
              </w:rPr>
            </w:pPr>
            <w:r w:rsidRPr="0047259B">
              <w:rPr>
                <w:rFonts w:cs="Calibri"/>
                <w:color w:val="000000"/>
                <w:sz w:val="20"/>
                <w:szCs w:val="20"/>
                <w:lang w:val="en-GB" w:eastAsia="en-US"/>
              </w:rPr>
              <w:t>Nema podataka za proc</w:t>
            </w:r>
            <w:r>
              <w:rPr>
                <w:rFonts w:cs="Calibri"/>
                <w:color w:val="000000"/>
                <w:sz w:val="20"/>
                <w:szCs w:val="20"/>
                <w:lang w:val="en-GB" w:eastAsia="en-US"/>
              </w:rPr>
              <w:t>j</w:t>
            </w:r>
            <w:r w:rsidRPr="0047259B">
              <w:rPr>
                <w:rFonts w:cs="Calibri"/>
                <w:color w:val="000000"/>
                <w:sz w:val="20"/>
                <w:szCs w:val="20"/>
                <w:lang w:val="en-GB" w:eastAsia="en-US"/>
              </w:rPr>
              <w:t>enu GES-a</w:t>
            </w:r>
          </w:p>
        </w:tc>
      </w:tr>
    </w:tbl>
    <w:p w14:paraId="30502BAD" w14:textId="2C00C65B" w:rsidR="00120D23" w:rsidRPr="001C6CCA" w:rsidRDefault="00120D23" w:rsidP="00F65CFF">
      <w:pPr>
        <w:spacing w:before="0" w:after="0"/>
        <w:contextualSpacing/>
        <w:rPr>
          <w:sz w:val="20"/>
          <w:szCs w:val="20"/>
          <w:lang w:val="en-GB" w:eastAsia="en-US"/>
        </w:rPr>
      </w:pPr>
    </w:p>
    <w:p w14:paraId="4C67ADEE" w14:textId="617BA642" w:rsidR="00683525" w:rsidRPr="001962FA" w:rsidRDefault="001962FA" w:rsidP="001962FA">
      <w:pPr>
        <w:pStyle w:val="Heading3"/>
        <w:rPr>
          <w:lang w:val="en-GB"/>
        </w:rPr>
      </w:pPr>
      <w:bookmarkStart w:id="302" w:name="_Toc68078551"/>
      <w:bookmarkStart w:id="303" w:name="_Toc68180816"/>
      <w:bookmarkStart w:id="304" w:name="_Toc83630966"/>
      <w:r>
        <w:rPr>
          <w:rStyle w:val="Heading3Char"/>
          <w:b/>
          <w:bCs/>
          <w:lang w:val="en-GB"/>
        </w:rPr>
        <w:t xml:space="preserve">Pristup </w:t>
      </w:r>
      <w:r w:rsidR="00090441">
        <w:rPr>
          <w:rStyle w:val="Heading3Char"/>
          <w:b/>
          <w:bCs/>
          <w:lang w:val="en-GB"/>
        </w:rPr>
        <w:t>definisanju ciljeva za D11</w:t>
      </w:r>
      <w:bookmarkEnd w:id="302"/>
      <w:bookmarkEnd w:id="303"/>
      <w:bookmarkEnd w:id="304"/>
    </w:p>
    <w:p w14:paraId="77E9BC3B" w14:textId="4390AEF0" w:rsidR="001962FA" w:rsidRDefault="001962FA" w:rsidP="00EC028C">
      <w:pPr>
        <w:spacing w:before="0" w:after="160"/>
        <w:contextualSpacing/>
        <w:rPr>
          <w:b/>
          <w:szCs w:val="22"/>
          <w:lang w:val="en-GB" w:eastAsia="en-US"/>
        </w:rPr>
      </w:pPr>
      <w:r>
        <w:rPr>
          <w:b/>
          <w:szCs w:val="22"/>
          <w:lang w:val="en-GB" w:eastAsia="en-US"/>
        </w:rPr>
        <w:t>Početni GES ciljevi</w:t>
      </w:r>
    </w:p>
    <w:p w14:paraId="0CD3109F" w14:textId="63F222F2" w:rsidR="00EC028C" w:rsidRPr="00EC028C" w:rsidRDefault="00090441" w:rsidP="00EC028C">
      <w:pPr>
        <w:spacing w:before="0" w:after="160"/>
        <w:contextualSpacing/>
        <w:rPr>
          <w:b/>
          <w:bCs/>
          <w:color w:val="365F91" w:themeColor="accent1" w:themeShade="BF"/>
          <w:szCs w:val="22"/>
          <w:lang w:val="en-GB"/>
        </w:rPr>
      </w:pPr>
      <w:r w:rsidRPr="004C1B16">
        <w:rPr>
          <w:rFonts w:eastAsia="Calibri" w:cs="Calibri"/>
          <w:b/>
          <w:szCs w:val="22"/>
          <w:lang w:val="sr-Latn-RS" w:eastAsia="en-US"/>
        </w:rPr>
        <w:t>GES procjena po kriterijumima u skladu sa odlukom Komisije 2017/845/EU</w:t>
      </w:r>
    </w:p>
    <w:p w14:paraId="34F5427C" w14:textId="56EF6C57" w:rsidR="00A90DC5" w:rsidRDefault="001962FA" w:rsidP="001962FA">
      <w:pPr>
        <w:spacing w:before="0" w:after="160"/>
        <w:contextualSpacing/>
        <w:rPr>
          <w:szCs w:val="22"/>
          <w:lang w:val="en-GB" w:eastAsia="en-US"/>
        </w:rPr>
      </w:pPr>
      <w:r w:rsidRPr="001962FA">
        <w:rPr>
          <w:szCs w:val="22"/>
          <w:lang w:val="en-GB" w:eastAsia="en-US"/>
        </w:rPr>
        <w:t xml:space="preserve">Zbog visokog nivoa nesigurnosti u vezi sa </w:t>
      </w:r>
      <w:r>
        <w:rPr>
          <w:szCs w:val="22"/>
          <w:lang w:val="en-GB" w:eastAsia="en-US"/>
        </w:rPr>
        <w:t>uticajem</w:t>
      </w:r>
      <w:r w:rsidRPr="001962FA">
        <w:rPr>
          <w:szCs w:val="22"/>
          <w:lang w:val="en-GB" w:eastAsia="en-US"/>
        </w:rPr>
        <w:t xml:space="preserve"> buke, nije bilo moguće postaviti cilj </w:t>
      </w:r>
      <w:r>
        <w:rPr>
          <w:szCs w:val="22"/>
          <w:lang w:val="en-GB" w:eastAsia="en-US"/>
        </w:rPr>
        <w:t>kako za</w:t>
      </w:r>
      <w:r w:rsidRPr="001962FA">
        <w:rPr>
          <w:szCs w:val="22"/>
          <w:lang w:val="en-GB" w:eastAsia="en-US"/>
        </w:rPr>
        <w:t xml:space="preserve"> impulsivn</w:t>
      </w:r>
      <w:r>
        <w:rPr>
          <w:szCs w:val="22"/>
          <w:lang w:val="en-GB" w:eastAsia="en-US"/>
        </w:rPr>
        <w:t xml:space="preserve">i zvuk tako i za kontinuirani </w:t>
      </w:r>
      <w:r w:rsidRPr="001962FA">
        <w:rPr>
          <w:szCs w:val="22"/>
          <w:lang w:val="en-GB" w:eastAsia="en-US"/>
        </w:rPr>
        <w:t>zvuk niske frekvencije. Um</w:t>
      </w:r>
      <w:r>
        <w:rPr>
          <w:szCs w:val="22"/>
          <w:lang w:val="en-GB" w:eastAsia="en-US"/>
        </w:rPr>
        <w:t>j</w:t>
      </w:r>
      <w:r w:rsidRPr="001962FA">
        <w:rPr>
          <w:szCs w:val="22"/>
          <w:lang w:val="en-GB" w:eastAsia="en-US"/>
        </w:rPr>
        <w:t xml:space="preserve">esto toga, predložen je operativni cilj (tabela 2.50). Ovaj pristup je izabran da </w:t>
      </w:r>
      <w:r>
        <w:rPr>
          <w:szCs w:val="22"/>
          <w:lang w:val="en-GB" w:eastAsia="en-US"/>
        </w:rPr>
        <w:t>omogući bolji monitoring</w:t>
      </w:r>
      <w:r w:rsidRPr="001962FA">
        <w:rPr>
          <w:szCs w:val="22"/>
          <w:lang w:val="en-GB" w:eastAsia="en-US"/>
        </w:rPr>
        <w:t>, razum</w:t>
      </w:r>
      <w:r>
        <w:rPr>
          <w:szCs w:val="22"/>
          <w:lang w:val="en-GB" w:eastAsia="en-US"/>
        </w:rPr>
        <w:t>ij</w:t>
      </w:r>
      <w:r w:rsidRPr="001962FA">
        <w:rPr>
          <w:szCs w:val="22"/>
          <w:lang w:val="en-GB" w:eastAsia="en-US"/>
        </w:rPr>
        <w:t>evanje i upravljanje uticajima buke u narednom periodu.</w:t>
      </w:r>
    </w:p>
    <w:p w14:paraId="3A1C272A" w14:textId="77777777" w:rsidR="00AF405E" w:rsidRPr="001962FA" w:rsidRDefault="00AF405E" w:rsidP="001962FA">
      <w:pPr>
        <w:spacing w:before="0" w:after="160"/>
        <w:contextualSpacing/>
        <w:rPr>
          <w:szCs w:val="22"/>
          <w:lang w:val="en-GB" w:eastAsia="en-US"/>
        </w:rPr>
      </w:pPr>
    </w:p>
    <w:p w14:paraId="01206908" w14:textId="14598AD3" w:rsidR="00184A51" w:rsidRPr="00B71D9B" w:rsidRDefault="00461D9D" w:rsidP="00F65CFF">
      <w:pPr>
        <w:spacing w:before="0" w:after="0"/>
        <w:contextualSpacing/>
        <w:rPr>
          <w:rFonts w:eastAsia="Calibri" w:cs="Calibri"/>
          <w:b/>
          <w:bCs/>
          <w:szCs w:val="22"/>
          <w:lang w:val="en-GB" w:eastAsia="en-US"/>
        </w:rPr>
      </w:pPr>
      <w:bookmarkStart w:id="305" w:name="_Toc83643196"/>
      <w:r w:rsidRPr="001C6CCA">
        <w:rPr>
          <w:b/>
          <w:szCs w:val="22"/>
          <w:lang w:val="en-GB" w:eastAsia="en-US"/>
        </w:rPr>
        <w:t>Tab</w:t>
      </w:r>
      <w:r w:rsidR="00CC6C64">
        <w:rPr>
          <w:b/>
          <w:szCs w:val="22"/>
          <w:lang w:val="en-GB" w:eastAsia="en-US"/>
        </w:rPr>
        <w:t>ela</w:t>
      </w:r>
      <w:r w:rsidR="004D6D17">
        <w:rPr>
          <w:b/>
          <w:szCs w:val="22"/>
          <w:lang w:val="en-GB" w:eastAsia="en-US"/>
        </w:rPr>
        <w:t xml:space="preserve"> </w:t>
      </w:r>
      <w:r w:rsidR="004D6D17" w:rsidRPr="00D932B6">
        <w:rPr>
          <w:b/>
          <w:szCs w:val="22"/>
        </w:rPr>
        <w:fldChar w:fldCharType="begin"/>
      </w:r>
      <w:r w:rsidR="004D6D17" w:rsidRPr="00D932B6">
        <w:rPr>
          <w:b/>
          <w:szCs w:val="22"/>
        </w:rPr>
        <w:instrText xml:space="preserve"> STYLEREF 1 \s </w:instrText>
      </w:r>
      <w:r w:rsidR="004D6D17" w:rsidRPr="00D932B6">
        <w:rPr>
          <w:b/>
          <w:szCs w:val="22"/>
        </w:rPr>
        <w:fldChar w:fldCharType="separate"/>
      </w:r>
      <w:r w:rsidR="000D1E20">
        <w:rPr>
          <w:b/>
          <w:noProof/>
          <w:szCs w:val="22"/>
        </w:rPr>
        <w:t>2</w:t>
      </w:r>
      <w:r w:rsidR="004D6D17" w:rsidRPr="00D932B6">
        <w:rPr>
          <w:b/>
          <w:szCs w:val="22"/>
        </w:rPr>
        <w:fldChar w:fldCharType="end"/>
      </w:r>
      <w:r w:rsidR="004D6D17" w:rsidRPr="00D932B6">
        <w:rPr>
          <w:b/>
          <w:szCs w:val="22"/>
        </w:rPr>
        <w:t>.</w:t>
      </w:r>
      <w:r w:rsidR="004D6D17" w:rsidRPr="00D932B6">
        <w:rPr>
          <w:b/>
          <w:szCs w:val="22"/>
        </w:rPr>
        <w:fldChar w:fldCharType="begin"/>
      </w:r>
      <w:r w:rsidR="004D6D17" w:rsidRPr="00D932B6">
        <w:rPr>
          <w:b/>
          <w:szCs w:val="22"/>
        </w:rPr>
        <w:instrText xml:space="preserve"> SEQ Table \* ARABIC \s 1 </w:instrText>
      </w:r>
      <w:r w:rsidR="004D6D17" w:rsidRPr="00D932B6">
        <w:rPr>
          <w:b/>
          <w:szCs w:val="22"/>
        </w:rPr>
        <w:fldChar w:fldCharType="separate"/>
      </w:r>
      <w:r w:rsidR="000D1E20">
        <w:rPr>
          <w:b/>
          <w:noProof/>
          <w:szCs w:val="22"/>
        </w:rPr>
        <w:t>38</w:t>
      </w:r>
      <w:r w:rsidR="004D6D17" w:rsidRPr="00D932B6">
        <w:rPr>
          <w:b/>
          <w:szCs w:val="22"/>
        </w:rPr>
        <w:fldChar w:fldCharType="end"/>
      </w:r>
      <w:r w:rsidR="004D6D17">
        <w:rPr>
          <w:b/>
          <w:szCs w:val="22"/>
        </w:rPr>
        <w:t>.</w:t>
      </w:r>
      <w:r w:rsidR="00090441">
        <w:rPr>
          <w:b/>
          <w:szCs w:val="22"/>
        </w:rPr>
        <w:t xml:space="preserve"> Ciljevi</w:t>
      </w:r>
      <w:r w:rsidR="00CC6C64" w:rsidRPr="00AD451F">
        <w:rPr>
          <w:rFonts w:eastAsia="Calibri" w:cs="Calibri"/>
          <w:b/>
          <w:szCs w:val="22"/>
          <w:lang w:val="en-GB" w:eastAsia="en-US"/>
        </w:rPr>
        <w:t xml:space="preserve"> </w:t>
      </w:r>
      <w:r w:rsidR="00090441">
        <w:rPr>
          <w:rFonts w:eastAsia="Calibri" w:cs="Calibri"/>
          <w:b/>
          <w:szCs w:val="22"/>
          <w:lang w:val="en-GB" w:eastAsia="en-US"/>
        </w:rPr>
        <w:t>koji vode ka</w:t>
      </w:r>
      <w:r w:rsidR="00CC6C64">
        <w:rPr>
          <w:rFonts w:eastAsia="Calibri" w:cs="Calibri"/>
          <w:b/>
          <w:szCs w:val="22"/>
          <w:lang w:val="en-GB" w:eastAsia="en-US"/>
        </w:rPr>
        <w:t xml:space="preserve"> napre</w:t>
      </w:r>
      <w:r w:rsidR="00090441">
        <w:rPr>
          <w:rFonts w:eastAsia="Calibri" w:cs="Calibri"/>
          <w:b/>
          <w:szCs w:val="22"/>
          <w:lang w:val="en-GB" w:eastAsia="en-US"/>
        </w:rPr>
        <w:t>tku</w:t>
      </w:r>
      <w:r w:rsidR="00CC6C64">
        <w:rPr>
          <w:rFonts w:eastAsia="Calibri" w:cs="Calibri"/>
          <w:b/>
          <w:szCs w:val="22"/>
          <w:lang w:val="en-GB" w:eastAsia="en-US"/>
        </w:rPr>
        <w:t xml:space="preserve"> </w:t>
      </w:r>
      <w:r w:rsidR="00090441">
        <w:rPr>
          <w:rFonts w:eastAsia="Calibri" w:cs="Calibri"/>
          <w:b/>
          <w:szCs w:val="22"/>
          <w:lang w:val="en-GB" w:eastAsia="en-US"/>
        </w:rPr>
        <w:t>u</w:t>
      </w:r>
      <w:r w:rsidR="00CC6C64">
        <w:rPr>
          <w:rFonts w:eastAsia="Calibri" w:cs="Calibri"/>
          <w:b/>
          <w:szCs w:val="22"/>
          <w:lang w:val="en-GB" w:eastAsia="en-US"/>
        </w:rPr>
        <w:t xml:space="preserve"> postizanju GES-a za Deskriptor 11</w:t>
      </w:r>
      <w:r w:rsidR="00CC6C64" w:rsidRPr="00AD451F">
        <w:rPr>
          <w:rFonts w:eastAsia="Calibri" w:cs="Calibri"/>
          <w:b/>
          <w:szCs w:val="22"/>
          <w:lang w:val="en-GB" w:eastAsia="en-US"/>
        </w:rPr>
        <w:t>.</w:t>
      </w:r>
      <w:bookmarkEnd w:id="305"/>
    </w:p>
    <w:tbl>
      <w:tblPr>
        <w:tblStyle w:val="TableGrid4"/>
        <w:tblW w:w="0" w:type="auto"/>
        <w:jc w:val="center"/>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1378"/>
        <w:gridCol w:w="6555"/>
        <w:gridCol w:w="1088"/>
      </w:tblGrid>
      <w:tr w:rsidR="00120D23" w:rsidRPr="001C6CCA" w14:paraId="5D5F49C6" w14:textId="3BCA8D33" w:rsidTr="00740F40">
        <w:trPr>
          <w:trHeight w:val="586"/>
          <w:tblHeader/>
          <w:jc w:val="center"/>
        </w:trPr>
        <w:tc>
          <w:tcPr>
            <w:tcW w:w="13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vAlign w:val="center"/>
          </w:tcPr>
          <w:p w14:paraId="6E85E587" w14:textId="5443EC0A" w:rsidR="00120D23" w:rsidRPr="00387195" w:rsidRDefault="001962FA" w:rsidP="001962FA">
            <w:pPr>
              <w:spacing w:before="0" w:after="0" w:line="240" w:lineRule="auto"/>
              <w:jc w:val="center"/>
              <w:rPr>
                <w:b/>
                <w:color w:val="FFFFFF" w:themeColor="background1"/>
                <w:lang w:val="en-GB" w:eastAsia="hr-HR"/>
              </w:rPr>
            </w:pPr>
            <w:r w:rsidRPr="00387195">
              <w:rPr>
                <w:b/>
                <w:color w:val="FFFFFF" w:themeColor="background1"/>
                <w:lang w:val="en-GB" w:eastAsia="hr-HR"/>
              </w:rPr>
              <w:t>Kriterijum</w:t>
            </w:r>
            <w:r w:rsidR="00120D23" w:rsidRPr="00387195">
              <w:rPr>
                <w:b/>
                <w:color w:val="FFFFFF" w:themeColor="background1"/>
                <w:lang w:val="en-GB" w:eastAsia="hr-HR"/>
              </w:rPr>
              <w:t xml:space="preserve"> </w:t>
            </w:r>
          </w:p>
        </w:tc>
        <w:tc>
          <w:tcPr>
            <w:tcW w:w="65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vAlign w:val="center"/>
          </w:tcPr>
          <w:p w14:paraId="21C3534C" w14:textId="0D187E66" w:rsidR="00120D23" w:rsidRPr="00387195" w:rsidRDefault="001962FA" w:rsidP="001962FA">
            <w:pPr>
              <w:autoSpaceDE w:val="0"/>
              <w:autoSpaceDN w:val="0"/>
              <w:adjustRightInd w:val="0"/>
              <w:spacing w:before="0" w:after="0" w:line="240" w:lineRule="auto"/>
              <w:jc w:val="center"/>
              <w:rPr>
                <w:rFonts w:cs="Calibri"/>
                <w:b/>
                <w:color w:val="FFFFFF" w:themeColor="background1"/>
                <w:lang w:val="en-GB" w:eastAsia="en-US"/>
              </w:rPr>
            </w:pPr>
            <w:r w:rsidRPr="00387195">
              <w:rPr>
                <w:rFonts w:cs="Calibri"/>
                <w:b/>
                <w:color w:val="FFFFFF" w:themeColor="background1"/>
                <w:lang w:val="en-GB" w:eastAsia="en-US"/>
              </w:rPr>
              <w:t>Ciljevi</w:t>
            </w:r>
          </w:p>
        </w:tc>
        <w:tc>
          <w:tcPr>
            <w:tcW w:w="10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6497A5AE" w14:textId="600361D7" w:rsidR="00120D23" w:rsidRPr="00387195" w:rsidRDefault="001962FA" w:rsidP="001962FA">
            <w:pPr>
              <w:autoSpaceDE w:val="0"/>
              <w:autoSpaceDN w:val="0"/>
              <w:adjustRightInd w:val="0"/>
              <w:spacing w:before="0" w:after="0" w:line="240" w:lineRule="auto"/>
              <w:jc w:val="center"/>
              <w:rPr>
                <w:rFonts w:cs="Calibri"/>
                <w:b/>
                <w:color w:val="FFFFFF" w:themeColor="background1"/>
                <w:lang w:val="en-GB" w:eastAsia="en-US"/>
              </w:rPr>
            </w:pPr>
            <w:r w:rsidRPr="00387195">
              <w:rPr>
                <w:rFonts w:cs="Calibri"/>
                <w:b/>
                <w:color w:val="FFFFFF" w:themeColor="background1"/>
                <w:lang w:val="en-GB" w:eastAsia="en-US"/>
              </w:rPr>
              <w:t>Kod cilja</w:t>
            </w:r>
          </w:p>
        </w:tc>
      </w:tr>
      <w:tr w:rsidR="00120D23" w:rsidRPr="001C6CCA" w14:paraId="4DDF4F95" w14:textId="28BC0158" w:rsidTr="00740F40">
        <w:trPr>
          <w:trHeight w:val="1411"/>
          <w:jc w:val="center"/>
        </w:trPr>
        <w:tc>
          <w:tcPr>
            <w:tcW w:w="1378" w:type="dxa"/>
            <w:tcBorders>
              <w:top w:val="single" w:sz="4" w:space="0" w:color="FFFFFF" w:themeColor="background1"/>
            </w:tcBorders>
          </w:tcPr>
          <w:p w14:paraId="14D4163A" w14:textId="5BF5CBC9" w:rsidR="00120D23" w:rsidRPr="001C6CCA" w:rsidRDefault="00120D23" w:rsidP="000D3BB1">
            <w:pPr>
              <w:spacing w:before="120" w:after="0" w:line="240" w:lineRule="auto"/>
              <w:jc w:val="left"/>
              <w:rPr>
                <w:sz w:val="20"/>
                <w:szCs w:val="20"/>
                <w:lang w:val="en-GB" w:eastAsia="hr-HR"/>
              </w:rPr>
            </w:pPr>
            <w:r w:rsidRPr="001C6CCA">
              <w:rPr>
                <w:b/>
                <w:sz w:val="20"/>
                <w:szCs w:val="20"/>
                <w:lang w:val="en-GB" w:eastAsia="hr-HR"/>
              </w:rPr>
              <w:t xml:space="preserve">D11C1 </w:t>
            </w:r>
          </w:p>
        </w:tc>
        <w:tc>
          <w:tcPr>
            <w:tcW w:w="6555" w:type="dxa"/>
            <w:tcBorders>
              <w:top w:val="single" w:sz="4" w:space="0" w:color="FFFFFF" w:themeColor="background1"/>
            </w:tcBorders>
          </w:tcPr>
          <w:p w14:paraId="264DBA01" w14:textId="0203714B" w:rsidR="00CC6C64" w:rsidRDefault="00CC6C64" w:rsidP="00CC6C64">
            <w:pPr>
              <w:spacing w:before="0" w:after="0" w:line="240" w:lineRule="auto"/>
              <w:contextualSpacing/>
              <w:rPr>
                <w:sz w:val="20"/>
                <w:szCs w:val="20"/>
                <w:lang w:val="en-GB" w:eastAsia="en-US"/>
              </w:rPr>
            </w:pPr>
            <w:r w:rsidRPr="00CC6C64">
              <w:rPr>
                <w:sz w:val="20"/>
                <w:szCs w:val="20"/>
                <w:lang w:val="en-GB" w:eastAsia="en-US"/>
              </w:rPr>
              <w:t>Uspostavljanje registra za snimanje, proc</w:t>
            </w:r>
            <w:r w:rsidR="00715BF6">
              <w:rPr>
                <w:sz w:val="20"/>
                <w:szCs w:val="20"/>
                <w:lang w:val="en-GB" w:eastAsia="en-US"/>
              </w:rPr>
              <w:t>j</w:t>
            </w:r>
            <w:r w:rsidRPr="00CC6C64">
              <w:rPr>
                <w:sz w:val="20"/>
                <w:szCs w:val="20"/>
                <w:lang w:val="en-GB" w:eastAsia="en-US"/>
              </w:rPr>
              <w:t>enu i upravljanje prostornom i vremenskom raspodelom antropogenih izvora zvuka izm</w:t>
            </w:r>
            <w:r w:rsidR="00715BF6">
              <w:rPr>
                <w:sz w:val="20"/>
                <w:szCs w:val="20"/>
                <w:lang w:val="en-GB" w:eastAsia="en-US"/>
              </w:rPr>
              <w:t>j</w:t>
            </w:r>
            <w:r w:rsidRPr="00CC6C64">
              <w:rPr>
                <w:sz w:val="20"/>
                <w:szCs w:val="20"/>
                <w:lang w:val="en-GB" w:eastAsia="en-US"/>
              </w:rPr>
              <w:t xml:space="preserve">erenih u frekvencijskom opsegu od 10 Hz do 10 kHz, premašujući nivo izvora energije kako je predloženo u (Dekeling R.P.A </w:t>
            </w:r>
            <w:r w:rsidR="00715BF6">
              <w:rPr>
                <w:sz w:val="20"/>
                <w:szCs w:val="20"/>
                <w:lang w:val="en-GB" w:eastAsia="en-US"/>
              </w:rPr>
              <w:t>I sar., 2014</w:t>
            </w:r>
            <w:r w:rsidR="00715BF6" w:rsidRPr="001C6CCA">
              <w:rPr>
                <w:rStyle w:val="FootnoteReference"/>
                <w:sz w:val="20"/>
                <w:szCs w:val="20"/>
                <w:lang w:val="en-GB" w:eastAsia="en-US"/>
              </w:rPr>
              <w:footnoteReference w:id="57"/>
            </w:r>
            <w:r w:rsidR="00715BF6" w:rsidRPr="001C6CCA">
              <w:rPr>
                <w:sz w:val="20"/>
                <w:szCs w:val="20"/>
                <w:lang w:val="en-GB" w:eastAsia="en-US"/>
              </w:rPr>
              <w:t>).</w:t>
            </w:r>
          </w:p>
          <w:p w14:paraId="1B9568B9" w14:textId="776A593C" w:rsidR="00CC6C64" w:rsidRPr="001C6CCA" w:rsidRDefault="00CC6C64" w:rsidP="00CC6C64">
            <w:pPr>
              <w:spacing w:before="0" w:after="0" w:line="240" w:lineRule="auto"/>
              <w:contextualSpacing/>
              <w:rPr>
                <w:sz w:val="20"/>
                <w:szCs w:val="20"/>
                <w:lang w:val="en-GB" w:eastAsia="en-US"/>
              </w:rPr>
            </w:pPr>
          </w:p>
        </w:tc>
        <w:tc>
          <w:tcPr>
            <w:tcW w:w="1088" w:type="dxa"/>
            <w:tcBorders>
              <w:top w:val="single" w:sz="4" w:space="0" w:color="FFFFFF" w:themeColor="background1"/>
            </w:tcBorders>
          </w:tcPr>
          <w:p w14:paraId="16CCD46E" w14:textId="77777777" w:rsidR="00120D23" w:rsidRPr="001C6CCA" w:rsidRDefault="00120D23" w:rsidP="00F65CFF">
            <w:pPr>
              <w:autoSpaceDE w:val="0"/>
              <w:autoSpaceDN w:val="0"/>
              <w:adjustRightInd w:val="0"/>
              <w:spacing w:before="0" w:after="0" w:line="240" w:lineRule="auto"/>
              <w:jc w:val="left"/>
              <w:rPr>
                <w:rFonts w:cs="Calibri"/>
                <w:b/>
                <w:color w:val="000000"/>
                <w:sz w:val="20"/>
                <w:szCs w:val="20"/>
                <w:lang w:val="en-GB" w:eastAsia="en-US"/>
              </w:rPr>
            </w:pPr>
            <w:r w:rsidRPr="001C6CCA">
              <w:rPr>
                <w:rFonts w:cs="Calibri"/>
                <w:b/>
                <w:color w:val="000000"/>
                <w:sz w:val="20"/>
                <w:szCs w:val="20"/>
                <w:lang w:val="en-GB" w:eastAsia="en-US"/>
              </w:rPr>
              <w:t>D11T1</w:t>
            </w:r>
          </w:p>
          <w:p w14:paraId="14F9C202" w14:textId="77777777" w:rsidR="00120D23" w:rsidRPr="001C6CCA" w:rsidRDefault="00120D23" w:rsidP="00F65CFF">
            <w:pPr>
              <w:autoSpaceDE w:val="0"/>
              <w:autoSpaceDN w:val="0"/>
              <w:adjustRightInd w:val="0"/>
              <w:spacing w:before="0" w:after="0" w:line="240" w:lineRule="auto"/>
              <w:jc w:val="left"/>
              <w:rPr>
                <w:rFonts w:cs="Calibri"/>
                <w:b/>
                <w:color w:val="000000"/>
                <w:sz w:val="20"/>
                <w:szCs w:val="20"/>
                <w:lang w:val="en-GB" w:eastAsia="en-US"/>
              </w:rPr>
            </w:pPr>
          </w:p>
          <w:p w14:paraId="7A262BC5" w14:textId="77777777" w:rsidR="00120D23" w:rsidRPr="001C6CCA" w:rsidRDefault="00120D23" w:rsidP="00F65CFF">
            <w:pPr>
              <w:autoSpaceDE w:val="0"/>
              <w:autoSpaceDN w:val="0"/>
              <w:adjustRightInd w:val="0"/>
              <w:spacing w:before="0" w:after="0" w:line="240" w:lineRule="auto"/>
              <w:jc w:val="left"/>
              <w:rPr>
                <w:rFonts w:cs="Calibri"/>
                <w:b/>
                <w:color w:val="000000"/>
                <w:sz w:val="20"/>
                <w:szCs w:val="20"/>
                <w:lang w:val="en-GB" w:eastAsia="en-US"/>
              </w:rPr>
            </w:pPr>
          </w:p>
          <w:p w14:paraId="7498854F" w14:textId="77777777" w:rsidR="00120D23" w:rsidRPr="001C6CCA" w:rsidRDefault="00120D23" w:rsidP="00F65CFF">
            <w:pPr>
              <w:autoSpaceDE w:val="0"/>
              <w:autoSpaceDN w:val="0"/>
              <w:adjustRightInd w:val="0"/>
              <w:spacing w:before="0" w:after="0" w:line="240" w:lineRule="auto"/>
              <w:jc w:val="left"/>
              <w:rPr>
                <w:rFonts w:cs="Calibri"/>
                <w:b/>
                <w:color w:val="000000"/>
                <w:sz w:val="20"/>
                <w:szCs w:val="20"/>
                <w:lang w:val="en-GB" w:eastAsia="en-US"/>
              </w:rPr>
            </w:pPr>
          </w:p>
          <w:p w14:paraId="4F8C4D7B" w14:textId="404B0E00" w:rsidR="00120D23" w:rsidRPr="001C6CCA" w:rsidRDefault="00120D23" w:rsidP="00F65CFF">
            <w:pPr>
              <w:autoSpaceDE w:val="0"/>
              <w:autoSpaceDN w:val="0"/>
              <w:adjustRightInd w:val="0"/>
              <w:spacing w:before="0" w:after="0" w:line="240" w:lineRule="auto"/>
              <w:jc w:val="left"/>
              <w:rPr>
                <w:rFonts w:cs="Calibri"/>
                <w:b/>
                <w:color w:val="000000"/>
                <w:sz w:val="20"/>
                <w:szCs w:val="20"/>
                <w:lang w:val="en-GB" w:eastAsia="en-US"/>
              </w:rPr>
            </w:pPr>
          </w:p>
        </w:tc>
      </w:tr>
      <w:tr w:rsidR="00120D23" w:rsidRPr="001C6CCA" w14:paraId="1C89D3F0" w14:textId="54855095" w:rsidTr="00A7512E">
        <w:trPr>
          <w:trHeight w:val="1272"/>
          <w:jc w:val="center"/>
        </w:trPr>
        <w:tc>
          <w:tcPr>
            <w:tcW w:w="1378" w:type="dxa"/>
          </w:tcPr>
          <w:p w14:paraId="22AEC00A" w14:textId="7F97B29C" w:rsidR="00120D23" w:rsidRPr="001C6CCA" w:rsidRDefault="00120D23" w:rsidP="000D3BB1">
            <w:pPr>
              <w:spacing w:before="120" w:after="0" w:line="240" w:lineRule="auto"/>
              <w:jc w:val="left"/>
              <w:rPr>
                <w:b/>
                <w:sz w:val="20"/>
                <w:szCs w:val="20"/>
                <w:lang w:val="en-GB" w:eastAsia="hr-HR"/>
              </w:rPr>
            </w:pPr>
            <w:r w:rsidRPr="001C6CCA">
              <w:rPr>
                <w:b/>
                <w:iCs/>
                <w:sz w:val="20"/>
                <w:szCs w:val="20"/>
                <w:lang w:val="en-GB" w:eastAsia="hr-HR"/>
              </w:rPr>
              <w:t xml:space="preserve">D11C2 </w:t>
            </w:r>
          </w:p>
        </w:tc>
        <w:tc>
          <w:tcPr>
            <w:tcW w:w="6555" w:type="dxa"/>
          </w:tcPr>
          <w:p w14:paraId="0E779488" w14:textId="41D3BAFC" w:rsidR="00715BF6" w:rsidRPr="00715BF6" w:rsidRDefault="00715BF6" w:rsidP="00715BF6">
            <w:pPr>
              <w:autoSpaceDE w:val="0"/>
              <w:autoSpaceDN w:val="0"/>
              <w:adjustRightInd w:val="0"/>
              <w:spacing w:before="0" w:after="0" w:line="240" w:lineRule="auto"/>
              <w:jc w:val="left"/>
              <w:rPr>
                <w:sz w:val="20"/>
                <w:szCs w:val="20"/>
                <w:lang w:val="en-GB" w:eastAsia="en-US"/>
              </w:rPr>
            </w:pPr>
            <w:r>
              <w:rPr>
                <w:sz w:val="20"/>
                <w:szCs w:val="20"/>
                <w:lang w:val="en-GB" w:eastAsia="en-US"/>
              </w:rPr>
              <w:t>Sprovođenje monitoring godi</w:t>
            </w:r>
            <w:r w:rsidRPr="00CC6C64">
              <w:rPr>
                <w:sz w:val="20"/>
                <w:szCs w:val="20"/>
                <w:lang w:val="en-GB" w:eastAsia="en-US"/>
              </w:rPr>
              <w:t>šnjeg pros</w:t>
            </w:r>
            <w:r>
              <w:rPr>
                <w:sz w:val="20"/>
                <w:szCs w:val="20"/>
                <w:lang w:val="en-GB" w:eastAsia="en-US"/>
              </w:rPr>
              <w:t>j</w:t>
            </w:r>
            <w:r w:rsidRPr="00CC6C64">
              <w:rPr>
                <w:sz w:val="20"/>
                <w:szCs w:val="20"/>
                <w:lang w:val="en-GB" w:eastAsia="en-US"/>
              </w:rPr>
              <w:t xml:space="preserve">eka kvadratnog zvučnog pritiska u svakom od dva „opsega 1/3 oktave“, jedan centriran na 63 Hz, a drugi na 125 Hz, izražen kao nivo u decibelima u jedinicama </w:t>
            </w:r>
            <w:r w:rsidRPr="001C6CCA">
              <w:rPr>
                <w:sz w:val="20"/>
                <w:szCs w:val="20"/>
                <w:lang w:val="en-GB" w:eastAsia="en-US"/>
              </w:rPr>
              <w:t>dB re 1 μΡa</w:t>
            </w:r>
            <w:r>
              <w:rPr>
                <w:sz w:val="20"/>
                <w:szCs w:val="20"/>
                <w:lang w:val="en-GB" w:eastAsia="en-US"/>
              </w:rPr>
              <w:t>, na odgovarajućoj</w:t>
            </w:r>
            <w:r w:rsidRPr="00CC6C64">
              <w:rPr>
                <w:sz w:val="20"/>
                <w:szCs w:val="20"/>
                <w:lang w:val="en-GB" w:eastAsia="en-US"/>
              </w:rPr>
              <w:t xml:space="preserve"> prostor</w:t>
            </w:r>
            <w:r>
              <w:rPr>
                <w:sz w:val="20"/>
                <w:szCs w:val="20"/>
                <w:lang w:val="en-GB" w:eastAsia="en-US"/>
              </w:rPr>
              <w:t>noj rezoluciji</w:t>
            </w:r>
            <w:r w:rsidRPr="00CC6C64">
              <w:rPr>
                <w:sz w:val="20"/>
                <w:szCs w:val="20"/>
                <w:lang w:val="en-GB" w:eastAsia="en-US"/>
              </w:rPr>
              <w:t xml:space="preserve"> u odnosu na pritisak.</w:t>
            </w:r>
          </w:p>
        </w:tc>
        <w:tc>
          <w:tcPr>
            <w:tcW w:w="1088" w:type="dxa"/>
          </w:tcPr>
          <w:p w14:paraId="1971495C" w14:textId="26531406" w:rsidR="00120D23" w:rsidRPr="001C6CCA" w:rsidRDefault="00120D23" w:rsidP="00F65CFF">
            <w:pPr>
              <w:autoSpaceDE w:val="0"/>
              <w:autoSpaceDN w:val="0"/>
              <w:adjustRightInd w:val="0"/>
              <w:spacing w:before="0" w:after="0" w:line="240" w:lineRule="auto"/>
              <w:jc w:val="left"/>
              <w:rPr>
                <w:rFonts w:cs="Calibri"/>
                <w:b/>
                <w:color w:val="000000"/>
                <w:sz w:val="20"/>
                <w:szCs w:val="20"/>
                <w:lang w:val="en-GB" w:eastAsia="en-US"/>
              </w:rPr>
            </w:pPr>
            <w:r w:rsidRPr="001C6CCA">
              <w:rPr>
                <w:rFonts w:cs="Calibri"/>
                <w:b/>
                <w:color w:val="000000"/>
                <w:sz w:val="20"/>
                <w:szCs w:val="20"/>
                <w:lang w:val="en-GB" w:eastAsia="en-US"/>
              </w:rPr>
              <w:t>D11T</w:t>
            </w:r>
            <w:r w:rsidR="00437FEC" w:rsidRPr="001C6CCA">
              <w:rPr>
                <w:rFonts w:cs="Calibri"/>
                <w:b/>
                <w:color w:val="000000"/>
                <w:sz w:val="20"/>
                <w:szCs w:val="20"/>
                <w:lang w:val="en-GB" w:eastAsia="en-US"/>
              </w:rPr>
              <w:t>2</w:t>
            </w:r>
          </w:p>
        </w:tc>
      </w:tr>
      <w:tr w:rsidR="00461D9D" w:rsidRPr="001C6CCA" w14:paraId="23616CFA" w14:textId="77777777" w:rsidTr="00A7512E">
        <w:trPr>
          <w:trHeight w:val="58"/>
          <w:jc w:val="center"/>
        </w:trPr>
        <w:tc>
          <w:tcPr>
            <w:tcW w:w="1378" w:type="dxa"/>
          </w:tcPr>
          <w:p w14:paraId="2825EA4B" w14:textId="4F26032D" w:rsidR="00461D9D" w:rsidRPr="001C6CCA" w:rsidRDefault="00715BF6" w:rsidP="00F65CFF">
            <w:pPr>
              <w:spacing w:before="120" w:after="0" w:line="240" w:lineRule="auto"/>
              <w:jc w:val="left"/>
              <w:rPr>
                <w:b/>
                <w:iCs/>
                <w:sz w:val="20"/>
                <w:szCs w:val="20"/>
                <w:lang w:val="en-GB" w:eastAsia="hr-HR"/>
              </w:rPr>
            </w:pPr>
            <w:r>
              <w:rPr>
                <w:b/>
                <w:iCs/>
                <w:sz w:val="20"/>
                <w:szCs w:val="20"/>
                <w:lang w:val="en-GB" w:eastAsia="hr-HR"/>
              </w:rPr>
              <w:t xml:space="preserve">Operativni ciljevi </w:t>
            </w:r>
          </w:p>
        </w:tc>
        <w:tc>
          <w:tcPr>
            <w:tcW w:w="7643" w:type="dxa"/>
            <w:gridSpan w:val="2"/>
          </w:tcPr>
          <w:p w14:paraId="4943453A" w14:textId="15EB8414" w:rsidR="00715BF6" w:rsidRPr="00715BF6" w:rsidRDefault="00715BF6" w:rsidP="00715BF6">
            <w:pPr>
              <w:autoSpaceDE w:val="0"/>
              <w:autoSpaceDN w:val="0"/>
              <w:adjustRightInd w:val="0"/>
              <w:spacing w:before="0" w:after="120"/>
              <w:jc w:val="left"/>
              <w:rPr>
                <w:sz w:val="20"/>
                <w:szCs w:val="20"/>
                <w:lang w:val="en-GB" w:eastAsia="en-US"/>
              </w:rPr>
            </w:pPr>
            <w:r w:rsidRPr="00715BF6">
              <w:rPr>
                <w:sz w:val="20"/>
                <w:szCs w:val="20"/>
                <w:lang w:val="en-GB" w:eastAsia="en-US"/>
              </w:rPr>
              <w:t xml:space="preserve">Operativni cilj za kriterijum D11C1 ima za cilj da </w:t>
            </w:r>
            <w:r>
              <w:rPr>
                <w:sz w:val="20"/>
                <w:szCs w:val="20"/>
                <w:lang w:val="en-GB" w:eastAsia="en-US"/>
              </w:rPr>
              <w:t>razmotri</w:t>
            </w:r>
            <w:r w:rsidRPr="00715BF6">
              <w:rPr>
                <w:sz w:val="20"/>
                <w:szCs w:val="20"/>
                <w:lang w:val="en-GB" w:eastAsia="en-US"/>
              </w:rPr>
              <w:t xml:space="preserve"> kumulativni uticaj</w:t>
            </w:r>
            <w:r>
              <w:rPr>
                <w:sz w:val="20"/>
                <w:szCs w:val="20"/>
                <w:lang w:val="en-GB" w:eastAsia="en-US"/>
              </w:rPr>
              <w:t xml:space="preserve"> aktivnosti koje generišu i</w:t>
            </w:r>
            <w:r w:rsidRPr="00715BF6">
              <w:rPr>
                <w:sz w:val="20"/>
                <w:szCs w:val="20"/>
                <w:lang w:val="en-GB" w:eastAsia="en-US"/>
              </w:rPr>
              <w:t>mpulsivni</w:t>
            </w:r>
            <w:r>
              <w:rPr>
                <w:sz w:val="20"/>
                <w:szCs w:val="20"/>
                <w:lang w:val="en-GB" w:eastAsia="en-US"/>
              </w:rPr>
              <w:t xml:space="preserve"> zvuk</w:t>
            </w:r>
            <w:r w:rsidRPr="00715BF6">
              <w:rPr>
                <w:sz w:val="20"/>
                <w:szCs w:val="20"/>
                <w:lang w:val="en-GB" w:eastAsia="en-US"/>
              </w:rPr>
              <w:t xml:space="preserve"> na ponašanje morskih vrsta os</w:t>
            </w:r>
            <w:r>
              <w:rPr>
                <w:sz w:val="20"/>
                <w:szCs w:val="20"/>
                <w:lang w:val="en-GB" w:eastAsia="en-US"/>
              </w:rPr>
              <w:t>j</w:t>
            </w:r>
            <w:r w:rsidRPr="00715BF6">
              <w:rPr>
                <w:sz w:val="20"/>
                <w:szCs w:val="20"/>
                <w:lang w:val="en-GB" w:eastAsia="en-US"/>
              </w:rPr>
              <w:t>etljivih na buku.</w:t>
            </w:r>
          </w:p>
          <w:p w14:paraId="34C38B6D" w14:textId="1C0EFA5F" w:rsidR="00715BF6" w:rsidRPr="00715BF6" w:rsidRDefault="00715BF6" w:rsidP="00715BF6">
            <w:pPr>
              <w:autoSpaceDE w:val="0"/>
              <w:autoSpaceDN w:val="0"/>
              <w:adjustRightInd w:val="0"/>
              <w:spacing w:before="0" w:after="120"/>
              <w:jc w:val="left"/>
              <w:rPr>
                <w:sz w:val="20"/>
                <w:szCs w:val="20"/>
                <w:lang w:val="en-GB" w:eastAsia="en-US"/>
              </w:rPr>
            </w:pPr>
            <w:r>
              <w:rPr>
                <w:sz w:val="20"/>
                <w:szCs w:val="20"/>
                <w:lang w:val="en-GB" w:eastAsia="en-US"/>
              </w:rPr>
              <w:t xml:space="preserve">Operativni cilj za kriterijum </w:t>
            </w:r>
            <w:r w:rsidRPr="00715BF6">
              <w:rPr>
                <w:sz w:val="20"/>
                <w:szCs w:val="20"/>
                <w:lang w:val="en-GB" w:eastAsia="en-US"/>
              </w:rPr>
              <w:t xml:space="preserve">D11C2 ima za cilj </w:t>
            </w:r>
            <w:r>
              <w:rPr>
                <w:sz w:val="20"/>
                <w:szCs w:val="20"/>
                <w:lang w:val="en-GB" w:eastAsia="en-US"/>
              </w:rPr>
              <w:t>monitoring</w:t>
            </w:r>
            <w:r w:rsidRPr="00715BF6">
              <w:rPr>
                <w:sz w:val="20"/>
                <w:szCs w:val="20"/>
                <w:lang w:val="en-GB" w:eastAsia="en-US"/>
              </w:rPr>
              <w:t xml:space="preserve"> </w:t>
            </w:r>
            <w:r>
              <w:rPr>
                <w:sz w:val="20"/>
                <w:szCs w:val="20"/>
                <w:lang w:val="en-GB" w:eastAsia="en-US"/>
              </w:rPr>
              <w:t xml:space="preserve">nivoa </w:t>
            </w:r>
            <w:r w:rsidRPr="00715BF6">
              <w:rPr>
                <w:sz w:val="20"/>
                <w:szCs w:val="20"/>
                <w:lang w:val="en-GB" w:eastAsia="en-US"/>
              </w:rPr>
              <w:t>kontinuiran</w:t>
            </w:r>
            <w:r>
              <w:rPr>
                <w:sz w:val="20"/>
                <w:szCs w:val="20"/>
                <w:lang w:val="en-GB" w:eastAsia="en-US"/>
              </w:rPr>
              <w:t xml:space="preserve">og zvuka </w:t>
            </w:r>
            <w:r w:rsidRPr="00715BF6">
              <w:rPr>
                <w:sz w:val="20"/>
                <w:szCs w:val="20"/>
                <w:lang w:val="en-GB" w:eastAsia="en-US"/>
              </w:rPr>
              <w:t>niske frekvencije koji će se v</w:t>
            </w:r>
            <w:r>
              <w:rPr>
                <w:sz w:val="20"/>
                <w:szCs w:val="20"/>
                <w:lang w:val="en-GB" w:eastAsia="en-US"/>
              </w:rPr>
              <w:t>j</w:t>
            </w:r>
            <w:r w:rsidRPr="00715BF6">
              <w:rPr>
                <w:sz w:val="20"/>
                <w:szCs w:val="20"/>
                <w:lang w:val="en-GB" w:eastAsia="en-US"/>
              </w:rPr>
              <w:t xml:space="preserve">erovatno povećati zbog povećanja brodskih aktivnosti, posebno </w:t>
            </w:r>
            <w:r>
              <w:rPr>
                <w:sz w:val="20"/>
                <w:szCs w:val="20"/>
                <w:lang w:val="en-GB" w:eastAsia="en-US"/>
              </w:rPr>
              <w:t xml:space="preserve"> usljed </w:t>
            </w:r>
            <w:r w:rsidRPr="00715BF6">
              <w:rPr>
                <w:sz w:val="20"/>
                <w:szCs w:val="20"/>
                <w:lang w:val="en-GB" w:eastAsia="en-US"/>
              </w:rPr>
              <w:t xml:space="preserve">sezonskog </w:t>
            </w:r>
            <w:r>
              <w:rPr>
                <w:sz w:val="20"/>
                <w:szCs w:val="20"/>
                <w:lang w:val="en-GB" w:eastAsia="en-US"/>
              </w:rPr>
              <w:t xml:space="preserve">saobraćaja </w:t>
            </w:r>
            <w:r w:rsidRPr="00715BF6">
              <w:rPr>
                <w:sz w:val="20"/>
                <w:szCs w:val="20"/>
                <w:lang w:val="en-GB" w:eastAsia="en-US"/>
              </w:rPr>
              <w:t>turističkih i rekreativnih brodova.</w:t>
            </w:r>
          </w:p>
          <w:p w14:paraId="1A6EAFF8" w14:textId="36C5392E" w:rsidR="00461D9D" w:rsidRPr="00D825B1" w:rsidRDefault="00715BF6" w:rsidP="00715BF6">
            <w:pPr>
              <w:autoSpaceDE w:val="0"/>
              <w:autoSpaceDN w:val="0"/>
              <w:adjustRightInd w:val="0"/>
              <w:spacing w:before="0" w:after="120"/>
              <w:jc w:val="left"/>
              <w:rPr>
                <w:sz w:val="20"/>
                <w:szCs w:val="20"/>
                <w:lang w:val="en-GB" w:eastAsia="en-US"/>
              </w:rPr>
            </w:pPr>
            <w:r w:rsidRPr="00715BF6">
              <w:rPr>
                <w:sz w:val="20"/>
                <w:szCs w:val="20"/>
                <w:lang w:val="en-GB" w:eastAsia="en-US"/>
              </w:rPr>
              <w:t>Usvajanje okvira za proc</w:t>
            </w:r>
            <w:r>
              <w:rPr>
                <w:sz w:val="20"/>
                <w:szCs w:val="20"/>
                <w:lang w:val="en-GB" w:eastAsia="en-US"/>
              </w:rPr>
              <w:t>j</w:t>
            </w:r>
            <w:r w:rsidRPr="00715BF6">
              <w:rPr>
                <w:sz w:val="20"/>
                <w:szCs w:val="20"/>
                <w:lang w:val="en-GB" w:eastAsia="en-US"/>
              </w:rPr>
              <w:t>enu graničnih vr</w:t>
            </w:r>
            <w:r>
              <w:rPr>
                <w:sz w:val="20"/>
                <w:szCs w:val="20"/>
                <w:lang w:val="en-GB" w:eastAsia="en-US"/>
              </w:rPr>
              <w:t>ij</w:t>
            </w:r>
            <w:r w:rsidRPr="00715BF6">
              <w:rPr>
                <w:sz w:val="20"/>
                <w:szCs w:val="20"/>
                <w:lang w:val="en-GB" w:eastAsia="en-US"/>
              </w:rPr>
              <w:t xml:space="preserve">ednosti za impulsivni zvuk i metodologije za </w:t>
            </w:r>
            <w:r>
              <w:rPr>
                <w:sz w:val="20"/>
                <w:szCs w:val="20"/>
                <w:lang w:val="en-GB" w:eastAsia="en-US"/>
              </w:rPr>
              <w:t>utvrđivanje</w:t>
            </w:r>
            <w:r w:rsidRPr="00715BF6">
              <w:rPr>
                <w:sz w:val="20"/>
                <w:szCs w:val="20"/>
                <w:lang w:val="en-GB" w:eastAsia="en-US"/>
              </w:rPr>
              <w:t xml:space="preserve"> graničnih vr</w:t>
            </w:r>
            <w:r>
              <w:rPr>
                <w:sz w:val="20"/>
                <w:szCs w:val="20"/>
                <w:lang w:val="en-GB" w:eastAsia="en-US"/>
              </w:rPr>
              <w:t>ij</w:t>
            </w:r>
            <w:r w:rsidRPr="00715BF6">
              <w:rPr>
                <w:sz w:val="20"/>
                <w:szCs w:val="20"/>
                <w:lang w:val="en-GB" w:eastAsia="en-US"/>
              </w:rPr>
              <w:t xml:space="preserve">ednosti prema preporuci </w:t>
            </w:r>
            <w:r w:rsidR="00184A51">
              <w:rPr>
                <w:sz w:val="20"/>
                <w:szCs w:val="20"/>
                <w:lang w:val="en-GB" w:eastAsia="en-US"/>
              </w:rPr>
              <w:t>TG Noise (dokument u pripremi).</w:t>
            </w:r>
          </w:p>
        </w:tc>
      </w:tr>
      <w:tr w:rsidR="005372CF" w:rsidRPr="001C6CCA" w14:paraId="6F1BE372" w14:textId="77777777" w:rsidTr="00A7512E">
        <w:trPr>
          <w:trHeight w:val="1313"/>
          <w:jc w:val="center"/>
        </w:trPr>
        <w:tc>
          <w:tcPr>
            <w:tcW w:w="1378" w:type="dxa"/>
          </w:tcPr>
          <w:p w14:paraId="33A04E9D" w14:textId="03E1FC87" w:rsidR="005372CF" w:rsidRPr="001C6CCA" w:rsidRDefault="00715BF6" w:rsidP="00F65CFF">
            <w:pPr>
              <w:spacing w:before="120" w:after="0" w:line="240" w:lineRule="auto"/>
              <w:jc w:val="left"/>
              <w:rPr>
                <w:b/>
                <w:iCs/>
                <w:sz w:val="20"/>
                <w:szCs w:val="20"/>
                <w:lang w:val="en-GB" w:eastAsia="hr-HR"/>
              </w:rPr>
            </w:pPr>
            <w:r w:rsidRPr="00715BF6">
              <w:rPr>
                <w:rFonts w:cs="Calibri"/>
                <w:b/>
                <w:color w:val="000000"/>
                <w:sz w:val="20"/>
                <w:szCs w:val="20"/>
                <w:lang w:val="en-GB" w:eastAsia="en-US"/>
              </w:rPr>
              <w:t>Indikatori koji se koriste za proc</w:t>
            </w:r>
            <w:r>
              <w:rPr>
                <w:rFonts w:cs="Calibri"/>
                <w:b/>
                <w:color w:val="000000"/>
                <w:sz w:val="20"/>
                <w:szCs w:val="20"/>
                <w:lang w:val="en-GB" w:eastAsia="en-US"/>
              </w:rPr>
              <w:t>j</w:t>
            </w:r>
            <w:r w:rsidRPr="00715BF6">
              <w:rPr>
                <w:rFonts w:cs="Calibri"/>
                <w:b/>
                <w:color w:val="000000"/>
                <w:sz w:val="20"/>
                <w:szCs w:val="20"/>
                <w:lang w:val="en-GB" w:eastAsia="en-US"/>
              </w:rPr>
              <w:t>enu statusa</w:t>
            </w:r>
          </w:p>
        </w:tc>
        <w:tc>
          <w:tcPr>
            <w:tcW w:w="7643" w:type="dxa"/>
            <w:gridSpan w:val="2"/>
          </w:tcPr>
          <w:p w14:paraId="4FD48616" w14:textId="77777777" w:rsidR="0014046F" w:rsidRPr="001C6CCA" w:rsidRDefault="0014046F" w:rsidP="00F65CFF">
            <w:pPr>
              <w:autoSpaceDE w:val="0"/>
              <w:autoSpaceDN w:val="0"/>
              <w:adjustRightInd w:val="0"/>
              <w:spacing w:before="0" w:after="0" w:line="240" w:lineRule="auto"/>
              <w:jc w:val="left"/>
              <w:rPr>
                <w:sz w:val="20"/>
                <w:szCs w:val="20"/>
                <w:lang w:val="en-GB" w:eastAsia="en-US"/>
              </w:rPr>
            </w:pPr>
          </w:p>
          <w:p w14:paraId="3390F34E" w14:textId="6EA7E126" w:rsidR="00715BF6" w:rsidRPr="00715BF6" w:rsidRDefault="00D7379B" w:rsidP="00715BF6">
            <w:pPr>
              <w:autoSpaceDE w:val="0"/>
              <w:autoSpaceDN w:val="0"/>
              <w:adjustRightInd w:val="0"/>
              <w:spacing w:before="0" w:after="120"/>
              <w:jc w:val="left"/>
              <w:rPr>
                <w:sz w:val="20"/>
                <w:szCs w:val="20"/>
                <w:lang w:val="en-GB" w:eastAsia="en-US"/>
              </w:rPr>
            </w:pPr>
            <w:r w:rsidRPr="00D7379B">
              <w:rPr>
                <w:b/>
                <w:sz w:val="20"/>
                <w:szCs w:val="20"/>
                <w:lang w:val="en-GB" w:eastAsia="en-US"/>
              </w:rPr>
              <w:t>D11C1.1:</w:t>
            </w:r>
            <w:r>
              <w:rPr>
                <w:sz w:val="20"/>
                <w:szCs w:val="20"/>
                <w:lang w:val="en-GB" w:eastAsia="en-US"/>
              </w:rPr>
              <w:t xml:space="preserve"> </w:t>
            </w:r>
            <w:r w:rsidR="00184A51">
              <w:rPr>
                <w:sz w:val="20"/>
                <w:szCs w:val="20"/>
                <w:lang w:val="en-GB" w:eastAsia="en-US"/>
              </w:rPr>
              <w:t>Indikator uticaja impulsivne buke</w:t>
            </w:r>
            <w:r w:rsidR="00715BF6" w:rsidRPr="00715BF6">
              <w:rPr>
                <w:sz w:val="20"/>
                <w:szCs w:val="20"/>
                <w:lang w:val="en-GB" w:eastAsia="en-US"/>
              </w:rPr>
              <w:t xml:space="preserve"> (u izradi)</w:t>
            </w:r>
          </w:p>
          <w:p w14:paraId="5AD2CCAE" w14:textId="50FEE7B7" w:rsidR="00715BF6" w:rsidRPr="00D825B1" w:rsidRDefault="00D7379B" w:rsidP="00715BF6">
            <w:pPr>
              <w:autoSpaceDE w:val="0"/>
              <w:autoSpaceDN w:val="0"/>
              <w:adjustRightInd w:val="0"/>
              <w:spacing w:before="0" w:after="120"/>
              <w:jc w:val="left"/>
              <w:rPr>
                <w:sz w:val="20"/>
                <w:szCs w:val="20"/>
                <w:lang w:val="en-GB" w:eastAsia="en-US"/>
              </w:rPr>
            </w:pPr>
            <w:r w:rsidRPr="00D7379B">
              <w:rPr>
                <w:b/>
                <w:sz w:val="20"/>
                <w:szCs w:val="20"/>
                <w:lang w:val="en-GB" w:eastAsia="en-US"/>
              </w:rPr>
              <w:t>D11C2.1</w:t>
            </w:r>
            <w:r>
              <w:rPr>
                <w:sz w:val="20"/>
                <w:szCs w:val="20"/>
                <w:lang w:val="en-GB" w:eastAsia="en-US"/>
              </w:rPr>
              <w:t xml:space="preserve">: </w:t>
            </w:r>
            <w:r w:rsidR="00184A51">
              <w:rPr>
                <w:sz w:val="20"/>
                <w:szCs w:val="20"/>
                <w:lang w:val="en-GB" w:eastAsia="en-US"/>
              </w:rPr>
              <w:t xml:space="preserve">Nadzorni </w:t>
            </w:r>
            <w:r w:rsidR="00FC029C">
              <w:rPr>
                <w:sz w:val="20"/>
                <w:szCs w:val="20"/>
                <w:lang w:val="en-GB" w:eastAsia="en-US"/>
              </w:rPr>
              <w:t>indik</w:t>
            </w:r>
            <w:r w:rsidR="00184A51">
              <w:rPr>
                <w:sz w:val="20"/>
                <w:szCs w:val="20"/>
                <w:lang w:val="en-GB" w:eastAsia="en-US"/>
              </w:rPr>
              <w:t>ator za ambijentalnu buku</w:t>
            </w:r>
          </w:p>
          <w:p w14:paraId="27F4A2F2" w14:textId="60553C5B" w:rsidR="00715BF6" w:rsidRPr="001C6CCA" w:rsidRDefault="00715BF6" w:rsidP="00F65CFF">
            <w:pPr>
              <w:autoSpaceDE w:val="0"/>
              <w:autoSpaceDN w:val="0"/>
              <w:adjustRightInd w:val="0"/>
              <w:spacing w:before="0" w:after="0" w:line="240" w:lineRule="auto"/>
              <w:jc w:val="left"/>
              <w:rPr>
                <w:sz w:val="20"/>
                <w:szCs w:val="20"/>
                <w:lang w:val="en-GB" w:eastAsia="en-US"/>
              </w:rPr>
            </w:pPr>
          </w:p>
        </w:tc>
      </w:tr>
    </w:tbl>
    <w:p w14:paraId="40F9624C" w14:textId="77777777" w:rsidR="00EC028C" w:rsidRPr="001C6CCA" w:rsidRDefault="00EC028C" w:rsidP="00F65CFF">
      <w:pPr>
        <w:spacing w:before="0" w:after="0"/>
        <w:contextualSpacing/>
        <w:rPr>
          <w:sz w:val="20"/>
          <w:szCs w:val="20"/>
          <w:lang w:val="en-GB" w:eastAsia="en-US"/>
        </w:rPr>
      </w:pPr>
    </w:p>
    <w:p w14:paraId="3FDBFCE2" w14:textId="1F56C74B" w:rsidR="00184A51" w:rsidRPr="00895BE2" w:rsidRDefault="00184A51" w:rsidP="00895BE2">
      <w:pPr>
        <w:pStyle w:val="Heading3"/>
        <w:rPr>
          <w:lang w:val="en-GB" w:eastAsia="en-US"/>
        </w:rPr>
      </w:pPr>
      <w:bookmarkStart w:id="306" w:name="_Toc68078552"/>
      <w:bookmarkStart w:id="307" w:name="_Toc68180817"/>
      <w:bookmarkStart w:id="308" w:name="_Toc83630967"/>
      <w:r>
        <w:rPr>
          <w:lang w:val="en-GB" w:eastAsia="en-US"/>
        </w:rPr>
        <w:t>Povezanost sa drugim deskriptorima</w:t>
      </w:r>
      <w:bookmarkEnd w:id="306"/>
      <w:bookmarkEnd w:id="307"/>
      <w:bookmarkEnd w:id="308"/>
    </w:p>
    <w:p w14:paraId="612EE775" w14:textId="1D499BEC" w:rsidR="005E5218" w:rsidRDefault="00184A51" w:rsidP="005E5218">
      <w:pPr>
        <w:spacing w:before="0"/>
        <w:contextualSpacing/>
        <w:rPr>
          <w:szCs w:val="22"/>
          <w:lang w:val="en-GB" w:eastAsia="en-US"/>
        </w:rPr>
      </w:pPr>
      <w:r w:rsidRPr="00184A51">
        <w:rPr>
          <w:szCs w:val="22"/>
          <w:lang w:val="en-GB" w:eastAsia="en-US"/>
        </w:rPr>
        <w:t xml:space="preserve">Definicija GES-a relevantna za Deskriptor 11 predviđa da je podvodna buka na nivoima koji ne </w:t>
      </w:r>
      <w:r w:rsidR="00FC029C">
        <w:rPr>
          <w:szCs w:val="22"/>
          <w:lang w:val="en-GB" w:eastAsia="en-US"/>
        </w:rPr>
        <w:t xml:space="preserve">utiču negativno </w:t>
      </w:r>
      <w:r w:rsidRPr="00184A51">
        <w:rPr>
          <w:szCs w:val="22"/>
          <w:lang w:val="en-GB" w:eastAsia="en-US"/>
        </w:rPr>
        <w:t>na morsk</w:t>
      </w:r>
      <w:r w:rsidR="00FC029C">
        <w:rPr>
          <w:szCs w:val="22"/>
          <w:lang w:val="en-GB" w:eastAsia="en-US"/>
        </w:rPr>
        <w:t>u sredinu</w:t>
      </w:r>
      <w:r w:rsidRPr="00184A51">
        <w:rPr>
          <w:szCs w:val="22"/>
          <w:lang w:val="en-GB" w:eastAsia="en-US"/>
        </w:rPr>
        <w:t xml:space="preserve">. </w:t>
      </w:r>
      <w:r w:rsidR="00FC029C">
        <w:rPr>
          <w:szCs w:val="22"/>
          <w:lang w:val="en-GB" w:eastAsia="en-US"/>
        </w:rPr>
        <w:t xml:space="preserve">Morska sredina pod negativnim uticajem </w:t>
      </w:r>
      <w:r w:rsidRPr="00184A51">
        <w:rPr>
          <w:szCs w:val="22"/>
          <w:lang w:val="en-GB" w:eastAsia="en-US"/>
        </w:rPr>
        <w:t>može se gledati kao na ugroženo stanište ili ugrožene vrste. Oba pristupa se preporučuju i mogu se koristiti po želji.</w:t>
      </w:r>
    </w:p>
    <w:p w14:paraId="0F0D93EA" w14:textId="4C43D428" w:rsidR="00FC029C" w:rsidRDefault="00184A51" w:rsidP="005E5218">
      <w:pPr>
        <w:contextualSpacing/>
        <w:rPr>
          <w:szCs w:val="22"/>
          <w:lang w:val="en-GB" w:eastAsia="en-US"/>
        </w:rPr>
      </w:pPr>
      <w:r w:rsidRPr="00184A51">
        <w:rPr>
          <w:szCs w:val="22"/>
          <w:lang w:val="en-GB" w:eastAsia="en-US"/>
        </w:rPr>
        <w:t>Deskriptori 1 (Biodiverzitet), kriterijumi 4 i 5 pružaju sm</w:t>
      </w:r>
      <w:r w:rsidR="00FC029C">
        <w:rPr>
          <w:szCs w:val="22"/>
          <w:lang w:val="en-GB" w:eastAsia="en-US"/>
        </w:rPr>
        <w:t>j</w:t>
      </w:r>
      <w:r w:rsidRPr="00184A51">
        <w:rPr>
          <w:szCs w:val="22"/>
          <w:lang w:val="en-GB" w:eastAsia="en-US"/>
        </w:rPr>
        <w:t>ernice za postupanje sa vrstama i staništima:</w:t>
      </w:r>
    </w:p>
    <w:p w14:paraId="705FEDFB" w14:textId="2969DE2F" w:rsidR="00EE1F74" w:rsidRDefault="00184A51" w:rsidP="005E5218">
      <w:pPr>
        <w:spacing w:before="0" w:after="0"/>
        <w:ind w:left="720" w:hanging="720"/>
        <w:contextualSpacing/>
        <w:rPr>
          <w:szCs w:val="22"/>
          <w:lang w:val="en-GB" w:eastAsia="en-US"/>
        </w:rPr>
      </w:pPr>
      <w:r w:rsidRPr="00184A51">
        <w:rPr>
          <w:szCs w:val="22"/>
          <w:lang w:val="en-GB" w:eastAsia="en-US"/>
        </w:rPr>
        <w:t xml:space="preserve">D1C4 </w:t>
      </w:r>
      <w:r w:rsidR="00FC029C">
        <w:rPr>
          <w:szCs w:val="22"/>
          <w:lang w:val="en-GB" w:eastAsia="en-US"/>
        </w:rPr>
        <w:t xml:space="preserve">  </w:t>
      </w:r>
      <w:r w:rsidRPr="00184A51">
        <w:rPr>
          <w:szCs w:val="22"/>
          <w:lang w:val="en-GB" w:eastAsia="en-US"/>
        </w:rPr>
        <w:t xml:space="preserve">- </w:t>
      </w:r>
      <w:r w:rsidR="00EE1F74">
        <w:rPr>
          <w:szCs w:val="22"/>
          <w:lang w:val="en-GB" w:eastAsia="en-US"/>
        </w:rPr>
        <w:t>A</w:t>
      </w:r>
      <w:r w:rsidR="00EE1F74" w:rsidRPr="00EE1F74">
        <w:rPr>
          <w:szCs w:val="22"/>
          <w:lang w:val="en-GB" w:eastAsia="en-US"/>
        </w:rPr>
        <w:t>real i, ako je relevantno, obrazac rasprostranjenosti vrste u skladu je sa glavnim fiziografskim, geografskim i klimatskim uslovima.</w:t>
      </w:r>
      <w:r w:rsidR="00EE1F74">
        <w:rPr>
          <w:szCs w:val="22"/>
          <w:lang w:val="en-GB" w:eastAsia="en-US"/>
        </w:rPr>
        <w:t xml:space="preserve"> </w:t>
      </w:r>
      <w:r w:rsidRPr="00184A51">
        <w:rPr>
          <w:szCs w:val="22"/>
          <w:lang w:val="en-GB" w:eastAsia="en-US"/>
        </w:rPr>
        <w:t>Države članice utvrđuju granične vr</w:t>
      </w:r>
      <w:r w:rsidR="00EE1F74">
        <w:rPr>
          <w:szCs w:val="22"/>
          <w:lang w:val="en-GB" w:eastAsia="en-US"/>
        </w:rPr>
        <w:t>ij</w:t>
      </w:r>
      <w:r w:rsidRPr="00184A51">
        <w:rPr>
          <w:szCs w:val="22"/>
          <w:lang w:val="en-GB" w:eastAsia="en-US"/>
        </w:rPr>
        <w:t xml:space="preserve">ednosti za svaku vrstu putem </w:t>
      </w:r>
      <w:r w:rsidR="00EE1F74">
        <w:rPr>
          <w:szCs w:val="22"/>
          <w:lang w:val="en-GB" w:eastAsia="en-US"/>
        </w:rPr>
        <w:t>saradnje na nivou regiona ili podregiona</w:t>
      </w:r>
      <w:r w:rsidRPr="00184A51">
        <w:rPr>
          <w:szCs w:val="22"/>
          <w:lang w:val="en-GB" w:eastAsia="en-US"/>
        </w:rPr>
        <w:t>.</w:t>
      </w:r>
    </w:p>
    <w:p w14:paraId="5498E97A" w14:textId="77777777" w:rsidR="00EE1F74" w:rsidRDefault="00184A51" w:rsidP="005E5218">
      <w:pPr>
        <w:spacing w:before="0" w:after="120"/>
        <w:contextualSpacing/>
        <w:rPr>
          <w:szCs w:val="22"/>
          <w:lang w:val="en-GB" w:eastAsia="en-US"/>
        </w:rPr>
      </w:pPr>
      <w:r w:rsidRPr="00184A51">
        <w:rPr>
          <w:szCs w:val="22"/>
          <w:lang w:val="en-GB" w:eastAsia="en-US"/>
        </w:rPr>
        <w:t xml:space="preserve">D1C5 </w:t>
      </w:r>
      <w:r w:rsidR="00FC029C">
        <w:rPr>
          <w:szCs w:val="22"/>
          <w:lang w:val="en-GB" w:eastAsia="en-US"/>
        </w:rPr>
        <w:t xml:space="preserve">  </w:t>
      </w:r>
      <w:r w:rsidRPr="00184A51">
        <w:rPr>
          <w:szCs w:val="22"/>
          <w:lang w:val="en-GB" w:eastAsia="en-US"/>
        </w:rPr>
        <w:t xml:space="preserve">- </w:t>
      </w:r>
      <w:r w:rsidR="00EE1F74" w:rsidRPr="00EE1F74">
        <w:rPr>
          <w:szCs w:val="22"/>
          <w:lang w:val="en-GB" w:eastAsia="en-US"/>
        </w:rPr>
        <w:t xml:space="preserve">Stanište vrste ima potrebno rasprostranjenje i stanje da može podržati različite faze životnog </w:t>
      </w:r>
      <w:r w:rsidR="00EE1F74">
        <w:rPr>
          <w:szCs w:val="22"/>
          <w:lang w:val="en-GB" w:eastAsia="en-US"/>
        </w:rPr>
        <w:t xml:space="preserve"> </w:t>
      </w:r>
    </w:p>
    <w:p w14:paraId="5D6840BA" w14:textId="1DCAF7C9" w:rsidR="00EE1F74" w:rsidRDefault="00EE1F74" w:rsidP="005E5218">
      <w:pPr>
        <w:spacing w:before="0" w:after="0"/>
        <w:ind w:firstLine="720"/>
        <w:contextualSpacing/>
        <w:rPr>
          <w:szCs w:val="22"/>
          <w:lang w:val="en-GB" w:eastAsia="en-US"/>
        </w:rPr>
      </w:pPr>
      <w:r w:rsidRPr="00EE1F74">
        <w:rPr>
          <w:szCs w:val="22"/>
          <w:lang w:val="en-GB" w:eastAsia="en-US"/>
        </w:rPr>
        <w:t>ciklusa vrste.</w:t>
      </w:r>
    </w:p>
    <w:p w14:paraId="2CB4B776" w14:textId="5F285246" w:rsidR="00184A51" w:rsidRDefault="00184A51" w:rsidP="005E5218">
      <w:pPr>
        <w:spacing w:before="0" w:after="120"/>
        <w:contextualSpacing/>
        <w:rPr>
          <w:szCs w:val="22"/>
          <w:lang w:val="en-GB" w:eastAsia="en-US"/>
        </w:rPr>
      </w:pPr>
      <w:r w:rsidRPr="00184A51">
        <w:rPr>
          <w:szCs w:val="22"/>
          <w:lang w:val="en-GB" w:eastAsia="en-US"/>
        </w:rPr>
        <w:t>Takođe, Odluka Komisije 2017/845/EC</w:t>
      </w:r>
      <w:r w:rsidR="00EE1F74">
        <w:rPr>
          <w:szCs w:val="22"/>
          <w:lang w:val="en-GB" w:eastAsia="en-US"/>
        </w:rPr>
        <w:t>/</w:t>
      </w:r>
      <w:r w:rsidRPr="00184A51">
        <w:rPr>
          <w:szCs w:val="22"/>
          <w:lang w:val="en-GB" w:eastAsia="en-US"/>
        </w:rPr>
        <w:t>Deskriptor 11</w:t>
      </w:r>
      <w:r w:rsidR="00EE1F74">
        <w:rPr>
          <w:szCs w:val="22"/>
          <w:lang w:val="en-GB" w:eastAsia="en-US"/>
        </w:rPr>
        <w:t>/</w:t>
      </w:r>
      <w:r w:rsidRPr="00184A51">
        <w:rPr>
          <w:szCs w:val="22"/>
          <w:lang w:val="en-GB" w:eastAsia="en-US"/>
        </w:rPr>
        <w:t>Metodološki standardi pr</w:t>
      </w:r>
      <w:r w:rsidR="00EE1F74">
        <w:rPr>
          <w:szCs w:val="22"/>
          <w:lang w:val="en-GB" w:eastAsia="en-US"/>
        </w:rPr>
        <w:t xml:space="preserve">opisuje </w:t>
      </w:r>
      <w:r w:rsidRPr="00184A51">
        <w:rPr>
          <w:szCs w:val="22"/>
          <w:lang w:val="en-GB" w:eastAsia="en-US"/>
        </w:rPr>
        <w:t>da će ishodi kriterijuma D11C1 i D11C2 takođe doprin</w:t>
      </w:r>
      <w:r w:rsidR="00EE1F74">
        <w:rPr>
          <w:szCs w:val="22"/>
          <w:lang w:val="en-GB" w:eastAsia="en-US"/>
        </w:rPr>
        <w:t>j</w:t>
      </w:r>
      <w:r w:rsidRPr="00184A51">
        <w:rPr>
          <w:szCs w:val="22"/>
          <w:lang w:val="en-GB" w:eastAsia="en-US"/>
        </w:rPr>
        <w:t>eti proc</w:t>
      </w:r>
      <w:r w:rsidR="00EE1F74">
        <w:rPr>
          <w:szCs w:val="22"/>
          <w:lang w:val="en-GB" w:eastAsia="en-US"/>
        </w:rPr>
        <w:t>j</w:t>
      </w:r>
      <w:r w:rsidRPr="00184A51">
        <w:rPr>
          <w:szCs w:val="22"/>
          <w:lang w:val="en-GB" w:eastAsia="en-US"/>
        </w:rPr>
        <w:t>eni Deskriptor</w:t>
      </w:r>
      <w:r w:rsidR="00716E2C">
        <w:rPr>
          <w:szCs w:val="22"/>
          <w:lang w:val="en-GB" w:eastAsia="en-US"/>
        </w:rPr>
        <w:t>a</w:t>
      </w:r>
      <w:r w:rsidRPr="00184A51">
        <w:rPr>
          <w:szCs w:val="22"/>
          <w:lang w:val="en-GB" w:eastAsia="en-US"/>
        </w:rPr>
        <w:t xml:space="preserve"> 1.</w:t>
      </w:r>
    </w:p>
    <w:p w14:paraId="28E932F4" w14:textId="77777777" w:rsidR="00895BE2" w:rsidRPr="001C6CCA" w:rsidRDefault="00895BE2" w:rsidP="005E5218">
      <w:pPr>
        <w:spacing w:before="0" w:after="120"/>
        <w:contextualSpacing/>
        <w:rPr>
          <w:szCs w:val="22"/>
          <w:lang w:val="en-GB" w:eastAsia="en-US"/>
        </w:rPr>
      </w:pPr>
    </w:p>
    <w:p w14:paraId="582DC8A1" w14:textId="5B31D370" w:rsidR="00C51116" w:rsidRPr="001C6CCA" w:rsidRDefault="00184A51" w:rsidP="000D3BB1">
      <w:pPr>
        <w:pStyle w:val="Heading3"/>
        <w:rPr>
          <w:lang w:val="en-GB" w:eastAsia="en-US"/>
        </w:rPr>
      </w:pPr>
      <w:bookmarkStart w:id="309" w:name="_Toc68078553"/>
      <w:bookmarkStart w:id="310" w:name="_Toc68180818"/>
      <w:bookmarkStart w:id="311" w:name="_Toc83630968"/>
      <w:r>
        <w:rPr>
          <w:lang w:val="en-GB" w:eastAsia="en-US"/>
        </w:rPr>
        <w:t xml:space="preserve">Nedostaci i </w:t>
      </w:r>
      <w:r w:rsidR="00090441">
        <w:rPr>
          <w:lang w:val="en-GB" w:eastAsia="en-US"/>
        </w:rPr>
        <w:t>potrebe</w:t>
      </w:r>
      <w:bookmarkEnd w:id="309"/>
      <w:bookmarkEnd w:id="310"/>
      <w:r w:rsidR="00E24841">
        <w:rPr>
          <w:lang w:val="en-GB" w:eastAsia="en-US"/>
        </w:rPr>
        <w:t xml:space="preserve"> za unapređenjem</w:t>
      </w:r>
      <w:bookmarkEnd w:id="311"/>
      <w:r w:rsidR="00E24841">
        <w:rPr>
          <w:lang w:val="en-GB" w:eastAsia="en-US"/>
        </w:rPr>
        <w:t xml:space="preserve"> </w:t>
      </w:r>
    </w:p>
    <w:p w14:paraId="79436EA1" w14:textId="4A2F7540" w:rsidR="009F01DB" w:rsidRPr="00184A51" w:rsidRDefault="00184A51" w:rsidP="005E5218">
      <w:pPr>
        <w:spacing w:before="0"/>
        <w:rPr>
          <w:szCs w:val="22"/>
          <w:lang w:val="en-GB" w:eastAsia="en-US"/>
        </w:rPr>
      </w:pPr>
      <w:bookmarkStart w:id="312" w:name="_Hlk67491644"/>
      <w:r w:rsidRPr="00184A51">
        <w:rPr>
          <w:szCs w:val="22"/>
          <w:lang w:val="en-GB" w:eastAsia="en-US"/>
        </w:rPr>
        <w:t xml:space="preserve">Osnovni </w:t>
      </w:r>
      <w:r w:rsidR="009F01DB">
        <w:rPr>
          <w:szCs w:val="22"/>
          <w:lang w:val="en-GB" w:eastAsia="en-US"/>
        </w:rPr>
        <w:t xml:space="preserve">nedostatak </w:t>
      </w:r>
      <w:r w:rsidRPr="00184A51">
        <w:rPr>
          <w:szCs w:val="22"/>
          <w:lang w:val="en-GB" w:eastAsia="en-US"/>
        </w:rPr>
        <w:t xml:space="preserve">u znanju </w:t>
      </w:r>
      <w:r w:rsidR="009F01DB">
        <w:rPr>
          <w:szCs w:val="22"/>
          <w:lang w:val="en-GB" w:eastAsia="en-US"/>
        </w:rPr>
        <w:t xml:space="preserve">odnosi se na </w:t>
      </w:r>
      <w:r w:rsidRPr="00184A51">
        <w:rPr>
          <w:szCs w:val="22"/>
          <w:lang w:val="en-GB" w:eastAsia="en-US"/>
        </w:rPr>
        <w:t>nedostatak podataka o nivoima, vremenu i prostoru raspod</w:t>
      </w:r>
      <w:r w:rsidR="009F01DB">
        <w:rPr>
          <w:szCs w:val="22"/>
          <w:lang w:val="en-GB" w:eastAsia="en-US"/>
        </w:rPr>
        <w:t>j</w:t>
      </w:r>
      <w:r w:rsidRPr="00184A51">
        <w:rPr>
          <w:szCs w:val="22"/>
          <w:lang w:val="en-GB" w:eastAsia="en-US"/>
        </w:rPr>
        <w:t xml:space="preserve">ele impulsivnog i kontinuiranog antropogenog zvuka u crnogorskim vodama. Tih podataka je vrlo malo ili ih uopšte nema. Uspostavljanje registra </w:t>
      </w:r>
      <w:r w:rsidR="009F01DB">
        <w:rPr>
          <w:szCs w:val="22"/>
          <w:lang w:val="en-GB" w:eastAsia="en-US"/>
        </w:rPr>
        <w:t>zvuka za impulsivne</w:t>
      </w:r>
      <w:r w:rsidRPr="00184A51">
        <w:rPr>
          <w:szCs w:val="22"/>
          <w:lang w:val="en-GB" w:eastAsia="en-US"/>
        </w:rPr>
        <w:t xml:space="preserve"> antropogene zvukove i program </w:t>
      </w:r>
      <w:r w:rsidR="009F01DB">
        <w:rPr>
          <w:szCs w:val="22"/>
          <w:lang w:val="en-GB" w:eastAsia="en-US"/>
        </w:rPr>
        <w:t>monitoring</w:t>
      </w:r>
      <w:r w:rsidR="00716E2C">
        <w:rPr>
          <w:szCs w:val="22"/>
          <w:lang w:val="en-GB" w:eastAsia="en-US"/>
        </w:rPr>
        <w:t>a</w:t>
      </w:r>
      <w:r w:rsidR="009F01DB">
        <w:rPr>
          <w:szCs w:val="22"/>
          <w:lang w:val="en-GB" w:eastAsia="en-US"/>
        </w:rPr>
        <w:t xml:space="preserve"> kontinuiranog</w:t>
      </w:r>
      <w:r w:rsidRPr="00184A51">
        <w:rPr>
          <w:szCs w:val="22"/>
          <w:lang w:val="en-GB" w:eastAsia="en-US"/>
        </w:rPr>
        <w:t xml:space="preserve"> zvuka neophodni su </w:t>
      </w:r>
      <w:r w:rsidR="009F01DB">
        <w:rPr>
          <w:szCs w:val="22"/>
          <w:lang w:val="en-GB" w:eastAsia="en-US"/>
        </w:rPr>
        <w:t>da se izrade što je prije moguće</w:t>
      </w:r>
      <w:r w:rsidRPr="00184A51">
        <w:rPr>
          <w:szCs w:val="22"/>
          <w:lang w:val="en-GB" w:eastAsia="en-US"/>
        </w:rPr>
        <w:t>.</w:t>
      </w:r>
    </w:p>
    <w:p w14:paraId="38DB721D" w14:textId="30D20DCC" w:rsidR="00184A51" w:rsidRPr="00184A51" w:rsidRDefault="00184A51" w:rsidP="00184A51">
      <w:pPr>
        <w:spacing w:before="0" w:after="0"/>
        <w:rPr>
          <w:szCs w:val="22"/>
          <w:lang w:val="en-GB" w:eastAsia="en-US"/>
        </w:rPr>
      </w:pPr>
      <w:r w:rsidRPr="00184A51">
        <w:rPr>
          <w:szCs w:val="22"/>
          <w:lang w:val="en-GB" w:eastAsia="en-US"/>
        </w:rPr>
        <w:t xml:space="preserve">Takođe, neophodan je nastavak </w:t>
      </w:r>
      <w:r w:rsidR="009F01DB">
        <w:rPr>
          <w:szCs w:val="22"/>
          <w:lang w:val="en-GB" w:eastAsia="en-US"/>
        </w:rPr>
        <w:t>monitoringa</w:t>
      </w:r>
      <w:r w:rsidRPr="00184A51">
        <w:rPr>
          <w:szCs w:val="22"/>
          <w:lang w:val="en-GB" w:eastAsia="en-US"/>
        </w:rPr>
        <w:t xml:space="preserve"> populacij</w:t>
      </w:r>
      <w:r w:rsidR="00716E2C">
        <w:rPr>
          <w:szCs w:val="22"/>
          <w:lang w:val="en-GB" w:eastAsia="en-US"/>
        </w:rPr>
        <w:t>a</w:t>
      </w:r>
      <w:r w:rsidRPr="00184A51">
        <w:rPr>
          <w:szCs w:val="22"/>
          <w:lang w:val="en-GB" w:eastAsia="en-US"/>
        </w:rPr>
        <w:t xml:space="preserve"> potencijalno ugroženih vrsta </w:t>
      </w:r>
      <w:r w:rsidR="009F01DB">
        <w:rPr>
          <w:lang w:val="sq-AL"/>
        </w:rPr>
        <w:t xml:space="preserve">Kljunasti delfini </w:t>
      </w:r>
      <w:r w:rsidR="009F01DB" w:rsidRPr="00BE76DB">
        <w:rPr>
          <w:rFonts w:cs="Calibri"/>
          <w:szCs w:val="20"/>
          <w:lang w:val="sq-AL"/>
        </w:rPr>
        <w:t>(</w:t>
      </w:r>
      <w:r w:rsidR="009F01DB" w:rsidRPr="00BE76DB">
        <w:rPr>
          <w:rFonts w:cs="Calibri"/>
          <w:i/>
          <w:iCs/>
          <w:szCs w:val="20"/>
          <w:lang w:val="sq-AL"/>
        </w:rPr>
        <w:t>Tursiops truncatus</w:t>
      </w:r>
      <w:r w:rsidR="009F01DB" w:rsidRPr="00BE76DB">
        <w:rPr>
          <w:rFonts w:cs="Calibri"/>
          <w:szCs w:val="20"/>
          <w:lang w:val="sq-AL"/>
        </w:rPr>
        <w:t>)</w:t>
      </w:r>
      <w:r w:rsidR="009F01DB">
        <w:rPr>
          <w:szCs w:val="22"/>
          <w:lang w:val="en-GB" w:eastAsia="en-US"/>
        </w:rPr>
        <w:t xml:space="preserve">, </w:t>
      </w:r>
      <w:r w:rsidR="009F01DB">
        <w:rPr>
          <w:lang w:val="sq-AL"/>
        </w:rPr>
        <w:t>P</w:t>
      </w:r>
      <w:r w:rsidR="009F01DB" w:rsidRPr="00A1647E">
        <w:rPr>
          <w:lang w:val="sq-AL"/>
        </w:rPr>
        <w:t>rugasti d</w:t>
      </w:r>
      <w:r w:rsidR="009F01DB">
        <w:rPr>
          <w:lang w:val="sq-AL"/>
        </w:rPr>
        <w:t xml:space="preserve">elfini </w:t>
      </w:r>
      <w:r w:rsidR="009F01DB" w:rsidRPr="00BE76DB">
        <w:rPr>
          <w:rFonts w:cs="Calibri"/>
          <w:szCs w:val="20"/>
          <w:lang w:val="sq-AL"/>
        </w:rPr>
        <w:t>(</w:t>
      </w:r>
      <w:r w:rsidR="009F01DB" w:rsidRPr="00BE76DB">
        <w:rPr>
          <w:rFonts w:cs="Calibri"/>
          <w:i/>
          <w:iCs/>
          <w:szCs w:val="20"/>
          <w:lang w:val="sq-AL"/>
        </w:rPr>
        <w:t>Stenella coeruleoalba</w:t>
      </w:r>
      <w:r w:rsidR="009F01DB" w:rsidRPr="00BE76DB">
        <w:rPr>
          <w:rFonts w:cs="Calibri"/>
          <w:iCs/>
          <w:szCs w:val="20"/>
          <w:lang w:val="sq-AL"/>
        </w:rPr>
        <w:t>)</w:t>
      </w:r>
      <w:r w:rsidR="009F01DB" w:rsidRPr="00184A51">
        <w:rPr>
          <w:szCs w:val="22"/>
          <w:lang w:val="en-GB" w:eastAsia="en-US"/>
        </w:rPr>
        <w:t xml:space="preserve"> </w:t>
      </w:r>
      <w:r w:rsidR="009F01DB">
        <w:rPr>
          <w:szCs w:val="22"/>
          <w:lang w:val="en-GB" w:eastAsia="en-US"/>
        </w:rPr>
        <w:t xml:space="preserve">i </w:t>
      </w:r>
      <w:r w:rsidR="009F01DB">
        <w:rPr>
          <w:lang w:val="sq-AL"/>
        </w:rPr>
        <w:t xml:space="preserve">Glavata </w:t>
      </w:r>
      <w:r w:rsidR="009F01DB" w:rsidRPr="00DD394C">
        <w:rPr>
          <w:lang w:val="sq-AL"/>
        </w:rPr>
        <w:t xml:space="preserve">morska kornjača </w:t>
      </w:r>
      <w:r w:rsidR="009F01DB" w:rsidRPr="00BE76DB">
        <w:rPr>
          <w:rFonts w:cs="Calibri"/>
          <w:szCs w:val="20"/>
          <w:lang w:val="sq-AL"/>
        </w:rPr>
        <w:t>(</w:t>
      </w:r>
      <w:r w:rsidR="009F01DB" w:rsidRPr="00BE76DB">
        <w:rPr>
          <w:rFonts w:cs="Calibri"/>
          <w:i/>
          <w:iCs/>
          <w:szCs w:val="20"/>
          <w:lang w:val="sq-AL"/>
        </w:rPr>
        <w:t>Caretta caretta</w:t>
      </w:r>
      <w:r w:rsidR="009F01DB" w:rsidRPr="00BE76DB">
        <w:rPr>
          <w:rFonts w:cs="Calibri"/>
          <w:szCs w:val="20"/>
          <w:lang w:val="sq-AL"/>
        </w:rPr>
        <w:t>)</w:t>
      </w:r>
      <w:r w:rsidR="009F01DB">
        <w:rPr>
          <w:rFonts w:cs="Calibri"/>
          <w:szCs w:val="20"/>
          <w:lang w:val="sq-AL"/>
        </w:rPr>
        <w:t xml:space="preserve">. </w:t>
      </w:r>
    </w:p>
    <w:p w14:paraId="2619836C" w14:textId="2BEF768A" w:rsidR="00F4619B" w:rsidRPr="001C6CCA" w:rsidRDefault="00184A51" w:rsidP="00184A51">
      <w:pPr>
        <w:spacing w:before="0" w:after="0"/>
        <w:rPr>
          <w:szCs w:val="22"/>
          <w:lang w:val="en-GB" w:eastAsia="en-US"/>
        </w:rPr>
      </w:pPr>
      <w:r w:rsidRPr="00184A51">
        <w:rPr>
          <w:szCs w:val="22"/>
          <w:lang w:val="en-GB" w:eastAsia="en-US"/>
        </w:rPr>
        <w:t xml:space="preserve">Uprkos mnogim istraživanjima </w:t>
      </w:r>
      <w:r w:rsidR="009F01DB">
        <w:rPr>
          <w:szCs w:val="22"/>
          <w:lang w:val="en-GB" w:eastAsia="en-US"/>
        </w:rPr>
        <w:t xml:space="preserve">koja su sprovedena </w:t>
      </w:r>
      <w:r w:rsidRPr="00184A51">
        <w:rPr>
          <w:szCs w:val="22"/>
          <w:lang w:val="en-GB" w:eastAsia="en-US"/>
        </w:rPr>
        <w:t>posl</w:t>
      </w:r>
      <w:r w:rsidR="009F01DB">
        <w:rPr>
          <w:szCs w:val="22"/>
          <w:lang w:val="en-GB" w:eastAsia="en-US"/>
        </w:rPr>
        <w:t>j</w:t>
      </w:r>
      <w:r w:rsidRPr="00184A51">
        <w:rPr>
          <w:szCs w:val="22"/>
          <w:lang w:val="en-GB" w:eastAsia="en-US"/>
        </w:rPr>
        <w:t xml:space="preserve">ednjih godina, </w:t>
      </w:r>
      <w:r w:rsidR="009F01DB">
        <w:rPr>
          <w:szCs w:val="22"/>
          <w:lang w:val="en-GB" w:eastAsia="en-US"/>
        </w:rPr>
        <w:t>još uvijek u potpunosti nisu shvaćeni uticaji</w:t>
      </w:r>
      <w:r w:rsidRPr="00184A51">
        <w:rPr>
          <w:szCs w:val="22"/>
          <w:lang w:val="en-GB" w:eastAsia="en-US"/>
        </w:rPr>
        <w:t xml:space="preserve"> podvodnog zvuka na morske organizme</w:t>
      </w:r>
      <w:r w:rsidR="009F01DB">
        <w:rPr>
          <w:szCs w:val="22"/>
          <w:lang w:val="en-GB" w:eastAsia="en-US"/>
        </w:rPr>
        <w:t>.</w:t>
      </w:r>
      <w:r w:rsidRPr="00184A51">
        <w:rPr>
          <w:szCs w:val="22"/>
          <w:lang w:val="en-GB" w:eastAsia="en-US"/>
        </w:rPr>
        <w:t xml:space="preserve"> Stoga su istraživački napori ključn</w:t>
      </w:r>
      <w:r w:rsidR="009F01DB">
        <w:rPr>
          <w:szCs w:val="22"/>
          <w:lang w:val="en-GB" w:eastAsia="en-US"/>
        </w:rPr>
        <w:t xml:space="preserve">ih stručnjaka koji su </w:t>
      </w:r>
      <w:r w:rsidRPr="00184A51">
        <w:rPr>
          <w:szCs w:val="22"/>
          <w:lang w:val="en-GB" w:eastAsia="en-US"/>
        </w:rPr>
        <w:t>angažovan</w:t>
      </w:r>
      <w:r w:rsidR="009F01DB">
        <w:rPr>
          <w:szCs w:val="22"/>
          <w:lang w:val="en-GB" w:eastAsia="en-US"/>
        </w:rPr>
        <w:t xml:space="preserve">i na </w:t>
      </w:r>
      <w:r w:rsidRPr="00184A51">
        <w:rPr>
          <w:szCs w:val="22"/>
          <w:lang w:val="en-GB" w:eastAsia="en-US"/>
        </w:rPr>
        <w:t>prim</w:t>
      </w:r>
      <w:r w:rsidR="009F01DB">
        <w:rPr>
          <w:szCs w:val="22"/>
          <w:lang w:val="en-GB" w:eastAsia="en-US"/>
        </w:rPr>
        <w:t>j</w:t>
      </w:r>
      <w:r w:rsidRPr="00184A51">
        <w:rPr>
          <w:szCs w:val="22"/>
          <w:lang w:val="en-GB" w:eastAsia="en-US"/>
        </w:rPr>
        <w:t xml:space="preserve">eni Deskriptora 11 od suštinskog značaja za premošćavanje </w:t>
      </w:r>
      <w:r w:rsidR="009F01DB">
        <w:rPr>
          <w:szCs w:val="22"/>
          <w:lang w:val="en-GB" w:eastAsia="en-US"/>
        </w:rPr>
        <w:t xml:space="preserve">nedostataka </w:t>
      </w:r>
      <w:r w:rsidRPr="00184A51">
        <w:rPr>
          <w:szCs w:val="22"/>
          <w:lang w:val="en-GB" w:eastAsia="en-US"/>
        </w:rPr>
        <w:t>u znanju koj</w:t>
      </w:r>
      <w:r w:rsidR="009F01DB">
        <w:rPr>
          <w:szCs w:val="22"/>
          <w:lang w:val="en-GB" w:eastAsia="en-US"/>
        </w:rPr>
        <w:t>e danas postoji</w:t>
      </w:r>
      <w:r w:rsidRPr="00184A51">
        <w:rPr>
          <w:szCs w:val="22"/>
          <w:lang w:val="en-GB" w:eastAsia="en-US"/>
        </w:rPr>
        <w:t xml:space="preserve">.Takođe je neophodna regionalna saradnja na koordiniranom pristupu </w:t>
      </w:r>
      <w:r w:rsidR="0033312D">
        <w:rPr>
          <w:szCs w:val="22"/>
          <w:lang w:val="en-GB" w:eastAsia="en-US"/>
        </w:rPr>
        <w:t>u Jadranskom moru za Deskriptor</w:t>
      </w:r>
      <w:r w:rsidRPr="00184A51">
        <w:rPr>
          <w:szCs w:val="22"/>
          <w:lang w:val="en-GB" w:eastAsia="en-US"/>
        </w:rPr>
        <w:t xml:space="preserve"> 11, kako je predviđeno </w:t>
      </w:r>
      <w:r w:rsidR="009F01DB">
        <w:rPr>
          <w:szCs w:val="22"/>
          <w:lang w:val="en-GB" w:eastAsia="en-US"/>
        </w:rPr>
        <w:t>ODMS</w:t>
      </w:r>
      <w:r w:rsidRPr="00184A51">
        <w:rPr>
          <w:szCs w:val="22"/>
          <w:lang w:val="en-GB" w:eastAsia="en-US"/>
        </w:rPr>
        <w:t>-om</w:t>
      </w:r>
      <w:r w:rsidR="0033312D">
        <w:rPr>
          <w:szCs w:val="22"/>
          <w:lang w:val="en-GB" w:eastAsia="en-US"/>
        </w:rPr>
        <w:t>.</w:t>
      </w:r>
      <w:r w:rsidRPr="00184A51">
        <w:rPr>
          <w:szCs w:val="22"/>
          <w:lang w:val="en-GB" w:eastAsia="en-US"/>
        </w:rPr>
        <w:t xml:space="preserve"> </w:t>
      </w:r>
    </w:p>
    <w:bookmarkEnd w:id="312"/>
    <w:p w14:paraId="16C5D3CA" w14:textId="77777777" w:rsidR="00C51116" w:rsidRPr="001C6CCA" w:rsidRDefault="00C51116" w:rsidP="000D3BB1">
      <w:pPr>
        <w:spacing w:before="0" w:after="0"/>
        <w:ind w:left="720"/>
        <w:contextualSpacing/>
        <w:jc w:val="left"/>
        <w:rPr>
          <w:szCs w:val="22"/>
          <w:lang w:val="en-GB" w:eastAsia="en-US"/>
        </w:rPr>
      </w:pPr>
    </w:p>
    <w:p w14:paraId="2063F361" w14:textId="3BD38B9E" w:rsidR="00021BA9" w:rsidRPr="001C6CCA" w:rsidRDefault="00021BA9" w:rsidP="000D3BB1">
      <w:pPr>
        <w:spacing w:before="0" w:after="0"/>
        <w:jc w:val="left"/>
        <w:rPr>
          <w:rFonts w:eastAsia="Calibri" w:cs="Calibri"/>
          <w:szCs w:val="22"/>
          <w:lang w:val="en-GB" w:eastAsia="en-US"/>
        </w:rPr>
      </w:pPr>
    </w:p>
    <w:p w14:paraId="3DA00DE1" w14:textId="404156A4" w:rsidR="00F4619B" w:rsidRPr="001C6CCA" w:rsidRDefault="00F4619B" w:rsidP="00F65CFF">
      <w:pPr>
        <w:spacing w:before="0" w:after="0"/>
        <w:jc w:val="left"/>
        <w:rPr>
          <w:rFonts w:eastAsia="Calibri" w:cs="Calibri"/>
          <w:sz w:val="20"/>
          <w:szCs w:val="20"/>
          <w:lang w:val="en-GB" w:eastAsia="en-US"/>
        </w:rPr>
      </w:pPr>
    </w:p>
    <w:p w14:paraId="25A5AC9E" w14:textId="5FDBF779" w:rsidR="00F4619B" w:rsidRPr="001C6CCA" w:rsidRDefault="00F4619B" w:rsidP="00F65CFF">
      <w:pPr>
        <w:spacing w:before="0" w:after="0"/>
        <w:jc w:val="left"/>
        <w:rPr>
          <w:rFonts w:eastAsia="Calibri" w:cs="Calibri"/>
          <w:sz w:val="20"/>
          <w:szCs w:val="20"/>
          <w:lang w:val="en-GB" w:eastAsia="en-US"/>
        </w:rPr>
      </w:pPr>
    </w:p>
    <w:p w14:paraId="14B1C124" w14:textId="024B2FF0" w:rsidR="00F4619B" w:rsidRPr="001C6CCA" w:rsidRDefault="00F4619B" w:rsidP="00F65CFF">
      <w:pPr>
        <w:spacing w:before="0" w:after="0"/>
        <w:jc w:val="left"/>
        <w:rPr>
          <w:rFonts w:eastAsia="Calibri" w:cs="Calibri"/>
          <w:sz w:val="20"/>
          <w:szCs w:val="20"/>
          <w:lang w:val="en-GB" w:eastAsia="en-US"/>
        </w:rPr>
      </w:pPr>
    </w:p>
    <w:p w14:paraId="197AC3F6" w14:textId="15BC6992" w:rsidR="00F4619B" w:rsidRPr="001C6CCA" w:rsidRDefault="00F4619B" w:rsidP="00F65CFF">
      <w:pPr>
        <w:spacing w:before="0" w:after="0"/>
        <w:jc w:val="left"/>
        <w:rPr>
          <w:rFonts w:eastAsia="Calibri" w:cs="Calibri"/>
          <w:sz w:val="20"/>
          <w:szCs w:val="20"/>
          <w:lang w:val="en-GB" w:eastAsia="en-US"/>
        </w:rPr>
      </w:pPr>
    </w:p>
    <w:p w14:paraId="782ACF2A" w14:textId="1D5A8941" w:rsidR="00F4619B" w:rsidRPr="001C6CCA" w:rsidRDefault="00F4619B" w:rsidP="00F65CFF">
      <w:pPr>
        <w:spacing w:before="0" w:after="0"/>
        <w:jc w:val="left"/>
        <w:rPr>
          <w:rFonts w:eastAsia="Calibri" w:cs="Calibri"/>
          <w:sz w:val="20"/>
          <w:szCs w:val="20"/>
          <w:lang w:val="en-GB" w:eastAsia="en-US"/>
        </w:rPr>
      </w:pPr>
    </w:p>
    <w:p w14:paraId="00CA403D" w14:textId="05AC96F3" w:rsidR="00F4619B" w:rsidRPr="001C6CCA" w:rsidRDefault="00F4619B" w:rsidP="00F65CFF">
      <w:pPr>
        <w:spacing w:before="0" w:after="0"/>
        <w:jc w:val="left"/>
        <w:rPr>
          <w:rFonts w:eastAsia="Calibri" w:cs="Calibri"/>
          <w:sz w:val="20"/>
          <w:szCs w:val="20"/>
          <w:lang w:val="en-GB" w:eastAsia="en-US"/>
        </w:rPr>
      </w:pPr>
    </w:p>
    <w:p w14:paraId="6016195E" w14:textId="01E362F7" w:rsidR="00F4619B" w:rsidRPr="001C6CCA" w:rsidRDefault="00F4619B" w:rsidP="00F65CFF">
      <w:pPr>
        <w:spacing w:before="0" w:after="0"/>
        <w:jc w:val="left"/>
        <w:rPr>
          <w:rFonts w:eastAsia="Calibri" w:cs="Calibri"/>
          <w:sz w:val="20"/>
          <w:szCs w:val="20"/>
          <w:lang w:val="en-GB" w:eastAsia="en-US"/>
        </w:rPr>
      </w:pPr>
    </w:p>
    <w:p w14:paraId="0B5856D4" w14:textId="351A445B" w:rsidR="00E32621" w:rsidRDefault="00E32621" w:rsidP="00F65CFF">
      <w:pPr>
        <w:spacing w:before="0" w:after="0"/>
        <w:jc w:val="left"/>
        <w:rPr>
          <w:rFonts w:eastAsia="Calibri" w:cs="Calibri"/>
          <w:sz w:val="20"/>
          <w:szCs w:val="20"/>
          <w:lang w:val="en-GB" w:eastAsia="en-US"/>
        </w:rPr>
      </w:pPr>
    </w:p>
    <w:p w14:paraId="4BBD1938" w14:textId="307D6218" w:rsidR="008B25AD" w:rsidRDefault="008B25AD" w:rsidP="00F65CFF">
      <w:pPr>
        <w:spacing w:before="0" w:after="0"/>
        <w:jc w:val="left"/>
        <w:rPr>
          <w:rFonts w:eastAsia="Calibri" w:cs="Calibri"/>
          <w:sz w:val="20"/>
          <w:szCs w:val="20"/>
          <w:lang w:val="en-GB" w:eastAsia="en-US"/>
        </w:rPr>
      </w:pPr>
    </w:p>
    <w:p w14:paraId="55290A02" w14:textId="2271E005" w:rsidR="008B25AD" w:rsidRDefault="008B25AD" w:rsidP="00F65CFF">
      <w:pPr>
        <w:spacing w:before="0" w:after="0"/>
        <w:jc w:val="left"/>
        <w:rPr>
          <w:rFonts w:eastAsia="Calibri" w:cs="Calibri"/>
          <w:sz w:val="20"/>
          <w:szCs w:val="20"/>
          <w:lang w:val="en-GB" w:eastAsia="en-US"/>
        </w:rPr>
      </w:pPr>
    </w:p>
    <w:p w14:paraId="05ABEBDF" w14:textId="2F848B80" w:rsidR="008B25AD" w:rsidRDefault="008B25AD" w:rsidP="00F65CFF">
      <w:pPr>
        <w:spacing w:before="0" w:after="0"/>
        <w:jc w:val="left"/>
        <w:rPr>
          <w:rFonts w:eastAsia="Calibri" w:cs="Calibri"/>
          <w:sz w:val="20"/>
          <w:szCs w:val="20"/>
          <w:lang w:val="en-GB" w:eastAsia="en-US"/>
        </w:rPr>
      </w:pPr>
    </w:p>
    <w:p w14:paraId="0AE87DE7" w14:textId="1432B693" w:rsidR="008B25AD" w:rsidRDefault="008B25AD" w:rsidP="00F65CFF">
      <w:pPr>
        <w:spacing w:before="0" w:after="0"/>
        <w:jc w:val="left"/>
        <w:rPr>
          <w:rFonts w:eastAsia="Calibri" w:cs="Calibri"/>
          <w:sz w:val="20"/>
          <w:szCs w:val="20"/>
          <w:lang w:val="en-GB" w:eastAsia="en-US"/>
        </w:rPr>
      </w:pPr>
    </w:p>
    <w:p w14:paraId="7892ECF5" w14:textId="37995EC0" w:rsidR="008B25AD" w:rsidRDefault="008B25AD" w:rsidP="00F65CFF">
      <w:pPr>
        <w:spacing w:before="0" w:after="0"/>
        <w:jc w:val="left"/>
        <w:rPr>
          <w:rFonts w:eastAsia="Calibri" w:cs="Calibri"/>
          <w:sz w:val="20"/>
          <w:szCs w:val="20"/>
          <w:lang w:val="en-GB" w:eastAsia="en-US"/>
        </w:rPr>
      </w:pPr>
    </w:p>
    <w:p w14:paraId="11D4CD62" w14:textId="2BD7F614" w:rsidR="008B25AD" w:rsidRDefault="008B25AD" w:rsidP="00F65CFF">
      <w:pPr>
        <w:spacing w:before="0" w:after="0"/>
        <w:jc w:val="left"/>
        <w:rPr>
          <w:rFonts w:eastAsia="Calibri" w:cs="Calibri"/>
          <w:sz w:val="20"/>
          <w:szCs w:val="20"/>
          <w:lang w:val="en-GB" w:eastAsia="en-US"/>
        </w:rPr>
      </w:pPr>
    </w:p>
    <w:p w14:paraId="17083010" w14:textId="3028A4A3" w:rsidR="008B25AD" w:rsidRDefault="008B25AD" w:rsidP="00F65CFF">
      <w:pPr>
        <w:spacing w:before="0" w:after="0"/>
        <w:jc w:val="left"/>
        <w:rPr>
          <w:rFonts w:eastAsia="Calibri" w:cs="Calibri"/>
          <w:sz w:val="20"/>
          <w:szCs w:val="20"/>
          <w:lang w:val="en-GB" w:eastAsia="en-US"/>
        </w:rPr>
      </w:pPr>
    </w:p>
    <w:p w14:paraId="2240DE5A" w14:textId="2D9EF412" w:rsidR="008B25AD" w:rsidRDefault="008B25AD" w:rsidP="00F65CFF">
      <w:pPr>
        <w:spacing w:before="0" w:after="0"/>
        <w:jc w:val="left"/>
        <w:rPr>
          <w:rFonts w:eastAsia="Calibri" w:cs="Calibri"/>
          <w:sz w:val="20"/>
          <w:szCs w:val="20"/>
          <w:lang w:val="en-GB" w:eastAsia="en-US"/>
        </w:rPr>
      </w:pPr>
    </w:p>
    <w:p w14:paraId="4606140E" w14:textId="723C3BCB" w:rsidR="008B25AD" w:rsidRDefault="008B25AD" w:rsidP="00F65CFF">
      <w:pPr>
        <w:spacing w:before="0" w:after="0"/>
        <w:jc w:val="left"/>
        <w:rPr>
          <w:rFonts w:eastAsia="Calibri" w:cs="Calibri"/>
          <w:sz w:val="20"/>
          <w:szCs w:val="20"/>
          <w:lang w:val="en-GB" w:eastAsia="en-US"/>
        </w:rPr>
      </w:pPr>
    </w:p>
    <w:p w14:paraId="0BCECB5E" w14:textId="175C88ED" w:rsidR="008B25AD" w:rsidRDefault="008B25AD" w:rsidP="00F65CFF">
      <w:pPr>
        <w:spacing w:before="0" w:after="0"/>
        <w:jc w:val="left"/>
        <w:rPr>
          <w:rFonts w:eastAsia="Calibri" w:cs="Calibri"/>
          <w:sz w:val="20"/>
          <w:szCs w:val="20"/>
          <w:lang w:val="en-GB" w:eastAsia="en-US"/>
        </w:rPr>
      </w:pPr>
    </w:p>
    <w:p w14:paraId="53FDB347" w14:textId="46D39A10" w:rsidR="008B25AD" w:rsidRDefault="008B25AD" w:rsidP="00F65CFF">
      <w:pPr>
        <w:spacing w:before="0" w:after="0"/>
        <w:jc w:val="left"/>
        <w:rPr>
          <w:rFonts w:eastAsia="Calibri" w:cs="Calibri"/>
          <w:sz w:val="20"/>
          <w:szCs w:val="20"/>
          <w:lang w:val="en-GB" w:eastAsia="en-US"/>
        </w:rPr>
      </w:pPr>
    </w:p>
    <w:p w14:paraId="3ECA2789" w14:textId="6C5B96CC" w:rsidR="008B25AD" w:rsidRDefault="008B25AD" w:rsidP="00F65CFF">
      <w:pPr>
        <w:spacing w:before="0" w:after="0"/>
        <w:jc w:val="left"/>
        <w:rPr>
          <w:rFonts w:eastAsia="Calibri" w:cs="Calibri"/>
          <w:sz w:val="20"/>
          <w:szCs w:val="20"/>
          <w:lang w:val="en-GB" w:eastAsia="en-US"/>
        </w:rPr>
      </w:pPr>
    </w:p>
    <w:p w14:paraId="10B4FCC2" w14:textId="0A5160A4" w:rsidR="008B25AD" w:rsidRDefault="008B25AD" w:rsidP="00F65CFF">
      <w:pPr>
        <w:spacing w:before="0" w:after="0"/>
        <w:jc w:val="left"/>
        <w:rPr>
          <w:rFonts w:eastAsia="Calibri" w:cs="Calibri"/>
          <w:sz w:val="20"/>
          <w:szCs w:val="20"/>
          <w:lang w:val="en-GB" w:eastAsia="en-US"/>
        </w:rPr>
      </w:pPr>
    </w:p>
    <w:p w14:paraId="6EF535F6" w14:textId="50241C05" w:rsidR="008B25AD" w:rsidRDefault="008B25AD" w:rsidP="00F65CFF">
      <w:pPr>
        <w:spacing w:before="0" w:after="0"/>
        <w:jc w:val="left"/>
        <w:rPr>
          <w:rFonts w:eastAsia="Calibri" w:cs="Calibri"/>
          <w:sz w:val="20"/>
          <w:szCs w:val="20"/>
          <w:lang w:val="en-GB" w:eastAsia="en-US"/>
        </w:rPr>
      </w:pPr>
    </w:p>
    <w:p w14:paraId="1453DD30" w14:textId="70592718" w:rsidR="008B25AD" w:rsidRDefault="008B25AD" w:rsidP="00F65CFF">
      <w:pPr>
        <w:spacing w:before="0" w:after="0"/>
        <w:jc w:val="left"/>
        <w:rPr>
          <w:rFonts w:eastAsia="Calibri" w:cs="Calibri"/>
          <w:sz w:val="20"/>
          <w:szCs w:val="20"/>
          <w:lang w:val="en-GB" w:eastAsia="en-US"/>
        </w:rPr>
      </w:pPr>
    </w:p>
    <w:p w14:paraId="273DA773" w14:textId="034DB7A1" w:rsidR="008B25AD" w:rsidRDefault="008B25AD" w:rsidP="00F65CFF">
      <w:pPr>
        <w:spacing w:before="0" w:after="0"/>
        <w:jc w:val="left"/>
        <w:rPr>
          <w:rFonts w:eastAsia="Calibri" w:cs="Calibri"/>
          <w:sz w:val="20"/>
          <w:szCs w:val="20"/>
          <w:lang w:val="en-GB" w:eastAsia="en-US"/>
        </w:rPr>
      </w:pPr>
    </w:p>
    <w:p w14:paraId="578A4E97" w14:textId="6FF5CC0C" w:rsidR="008B25AD" w:rsidRDefault="008B25AD" w:rsidP="00F65CFF">
      <w:pPr>
        <w:spacing w:before="0" w:after="0"/>
        <w:jc w:val="left"/>
        <w:rPr>
          <w:rFonts w:eastAsia="Calibri" w:cs="Calibri"/>
          <w:sz w:val="20"/>
          <w:szCs w:val="20"/>
          <w:lang w:val="en-GB" w:eastAsia="en-US"/>
        </w:rPr>
      </w:pPr>
    </w:p>
    <w:p w14:paraId="43A1ED5B" w14:textId="361BA5C9" w:rsidR="008B25AD" w:rsidRDefault="008B25AD" w:rsidP="00F65CFF">
      <w:pPr>
        <w:spacing w:before="0" w:after="0"/>
        <w:jc w:val="left"/>
        <w:rPr>
          <w:rFonts w:eastAsia="Calibri" w:cs="Calibri"/>
          <w:sz w:val="20"/>
          <w:szCs w:val="20"/>
          <w:lang w:val="en-GB" w:eastAsia="en-US"/>
        </w:rPr>
      </w:pPr>
    </w:p>
    <w:p w14:paraId="5DB3CECF" w14:textId="5611BD48" w:rsidR="008B25AD" w:rsidRDefault="008B25AD" w:rsidP="00F65CFF">
      <w:pPr>
        <w:spacing w:before="0" w:after="0"/>
        <w:jc w:val="left"/>
        <w:rPr>
          <w:rFonts w:eastAsia="Calibri" w:cs="Calibri"/>
          <w:sz w:val="20"/>
          <w:szCs w:val="20"/>
          <w:lang w:val="en-GB" w:eastAsia="en-US"/>
        </w:rPr>
      </w:pPr>
    </w:p>
    <w:p w14:paraId="01974415" w14:textId="231B93B3" w:rsidR="008B25AD" w:rsidRDefault="008B25AD" w:rsidP="00F65CFF">
      <w:pPr>
        <w:spacing w:before="0" w:after="0"/>
        <w:jc w:val="left"/>
        <w:rPr>
          <w:rFonts w:eastAsia="Calibri" w:cs="Calibri"/>
          <w:sz w:val="20"/>
          <w:szCs w:val="20"/>
          <w:lang w:val="en-GB" w:eastAsia="en-US"/>
        </w:rPr>
      </w:pPr>
    </w:p>
    <w:p w14:paraId="73FE0B19" w14:textId="73FCB7F3" w:rsidR="008B25AD" w:rsidRDefault="008B25AD" w:rsidP="00F65CFF">
      <w:pPr>
        <w:spacing w:before="0" w:after="0"/>
        <w:jc w:val="left"/>
        <w:rPr>
          <w:rFonts w:eastAsia="Calibri" w:cs="Calibri"/>
          <w:sz w:val="20"/>
          <w:szCs w:val="20"/>
          <w:lang w:val="en-GB" w:eastAsia="en-US"/>
        </w:rPr>
      </w:pPr>
    </w:p>
    <w:p w14:paraId="4129E33B" w14:textId="7EFF354E" w:rsidR="008B25AD" w:rsidRDefault="008B25AD" w:rsidP="00F65CFF">
      <w:pPr>
        <w:spacing w:before="0" w:after="0"/>
        <w:jc w:val="left"/>
        <w:rPr>
          <w:rFonts w:eastAsia="Calibri" w:cs="Calibri"/>
          <w:sz w:val="20"/>
          <w:szCs w:val="20"/>
          <w:lang w:val="en-GB" w:eastAsia="en-US"/>
        </w:rPr>
      </w:pPr>
    </w:p>
    <w:p w14:paraId="1FAD009A" w14:textId="4AFCD2CF" w:rsidR="008B25AD" w:rsidRDefault="008B25AD" w:rsidP="00F65CFF">
      <w:pPr>
        <w:spacing w:before="0" w:after="0"/>
        <w:jc w:val="left"/>
        <w:rPr>
          <w:rFonts w:eastAsia="Calibri" w:cs="Calibri"/>
          <w:sz w:val="20"/>
          <w:szCs w:val="20"/>
          <w:lang w:val="en-GB" w:eastAsia="en-US"/>
        </w:rPr>
      </w:pPr>
    </w:p>
    <w:p w14:paraId="6030383F" w14:textId="34EABC0D" w:rsidR="008B25AD" w:rsidRDefault="008B25AD" w:rsidP="00F65CFF">
      <w:pPr>
        <w:spacing w:before="0" w:after="0"/>
        <w:jc w:val="left"/>
        <w:rPr>
          <w:rFonts w:eastAsia="Calibri" w:cs="Calibri"/>
          <w:sz w:val="20"/>
          <w:szCs w:val="20"/>
          <w:lang w:val="en-GB" w:eastAsia="en-US"/>
        </w:rPr>
      </w:pPr>
    </w:p>
    <w:p w14:paraId="2C3D1F88" w14:textId="3FEF71F5" w:rsidR="008B25AD" w:rsidRDefault="008B25AD" w:rsidP="00F65CFF">
      <w:pPr>
        <w:spacing w:before="0" w:after="0"/>
        <w:jc w:val="left"/>
        <w:rPr>
          <w:rFonts w:eastAsia="Calibri" w:cs="Calibri"/>
          <w:sz w:val="20"/>
          <w:szCs w:val="20"/>
          <w:lang w:val="en-GB" w:eastAsia="en-US"/>
        </w:rPr>
      </w:pPr>
    </w:p>
    <w:p w14:paraId="5FF39DC4" w14:textId="1FF85946" w:rsidR="008B25AD" w:rsidRDefault="008B25AD" w:rsidP="00F65CFF">
      <w:pPr>
        <w:spacing w:before="0" w:after="0"/>
        <w:jc w:val="left"/>
        <w:rPr>
          <w:rFonts w:eastAsia="Calibri" w:cs="Calibri"/>
          <w:sz w:val="20"/>
          <w:szCs w:val="20"/>
          <w:lang w:val="en-GB" w:eastAsia="en-US"/>
        </w:rPr>
      </w:pPr>
    </w:p>
    <w:p w14:paraId="15858994" w14:textId="3EFBC09E" w:rsidR="008B25AD" w:rsidRDefault="008B25AD" w:rsidP="00F65CFF">
      <w:pPr>
        <w:spacing w:before="0" w:after="0"/>
        <w:jc w:val="left"/>
        <w:rPr>
          <w:rFonts w:eastAsia="Calibri" w:cs="Calibri"/>
          <w:sz w:val="20"/>
          <w:szCs w:val="20"/>
          <w:lang w:val="en-GB" w:eastAsia="en-US"/>
        </w:rPr>
      </w:pPr>
    </w:p>
    <w:p w14:paraId="5B193CAC" w14:textId="72397310" w:rsidR="008B25AD" w:rsidRDefault="008B25AD" w:rsidP="00F65CFF">
      <w:pPr>
        <w:spacing w:before="0" w:after="0"/>
        <w:jc w:val="left"/>
        <w:rPr>
          <w:rFonts w:eastAsia="Calibri" w:cs="Calibri"/>
          <w:sz w:val="20"/>
          <w:szCs w:val="20"/>
          <w:lang w:val="en-GB" w:eastAsia="en-US"/>
        </w:rPr>
      </w:pPr>
    </w:p>
    <w:p w14:paraId="21003230" w14:textId="1F921B34" w:rsidR="008B25AD" w:rsidRDefault="008B25AD" w:rsidP="00F65CFF">
      <w:pPr>
        <w:spacing w:before="0" w:after="0"/>
        <w:jc w:val="left"/>
        <w:rPr>
          <w:rFonts w:eastAsia="Calibri" w:cs="Calibri"/>
          <w:sz w:val="20"/>
          <w:szCs w:val="20"/>
          <w:lang w:val="en-GB" w:eastAsia="en-US"/>
        </w:rPr>
      </w:pPr>
    </w:p>
    <w:p w14:paraId="432A6378" w14:textId="4C36DAAB" w:rsidR="008B25AD" w:rsidRDefault="008B25AD" w:rsidP="00F65CFF">
      <w:pPr>
        <w:spacing w:before="0" w:after="0"/>
        <w:jc w:val="left"/>
        <w:rPr>
          <w:rFonts w:eastAsia="Calibri" w:cs="Calibri"/>
          <w:sz w:val="20"/>
          <w:szCs w:val="20"/>
          <w:lang w:val="en-GB" w:eastAsia="en-US"/>
        </w:rPr>
      </w:pPr>
    </w:p>
    <w:p w14:paraId="6F6FB76C" w14:textId="2BDC9A41" w:rsidR="008B25AD" w:rsidRDefault="008B25AD" w:rsidP="00F65CFF">
      <w:pPr>
        <w:spacing w:before="0" w:after="0"/>
        <w:jc w:val="left"/>
        <w:rPr>
          <w:rFonts w:eastAsia="Calibri" w:cs="Calibri"/>
          <w:sz w:val="20"/>
          <w:szCs w:val="20"/>
          <w:lang w:val="en-GB" w:eastAsia="en-US"/>
        </w:rPr>
      </w:pPr>
    </w:p>
    <w:p w14:paraId="4916785E" w14:textId="7E14964C" w:rsidR="008B25AD" w:rsidRDefault="008B25AD" w:rsidP="00F65CFF">
      <w:pPr>
        <w:spacing w:before="0" w:after="0"/>
        <w:jc w:val="left"/>
        <w:rPr>
          <w:rFonts w:eastAsia="Calibri" w:cs="Calibri"/>
          <w:sz w:val="20"/>
          <w:szCs w:val="20"/>
          <w:lang w:val="en-GB" w:eastAsia="en-US"/>
        </w:rPr>
      </w:pPr>
    </w:p>
    <w:p w14:paraId="76D6CDE1" w14:textId="29A51CB6" w:rsidR="008B25AD" w:rsidRDefault="008B25AD" w:rsidP="00F65CFF">
      <w:pPr>
        <w:spacing w:before="0" w:after="0"/>
        <w:jc w:val="left"/>
        <w:rPr>
          <w:rFonts w:eastAsia="Calibri" w:cs="Calibri"/>
          <w:sz w:val="20"/>
          <w:szCs w:val="20"/>
          <w:lang w:val="en-GB" w:eastAsia="en-US"/>
        </w:rPr>
      </w:pPr>
    </w:p>
    <w:p w14:paraId="3E4B4237" w14:textId="6838187C" w:rsidR="008B25AD" w:rsidRDefault="008B25AD" w:rsidP="00F65CFF">
      <w:pPr>
        <w:spacing w:before="0" w:after="0"/>
        <w:jc w:val="left"/>
        <w:rPr>
          <w:rFonts w:eastAsia="Calibri" w:cs="Calibri"/>
          <w:sz w:val="20"/>
          <w:szCs w:val="20"/>
          <w:lang w:val="en-GB" w:eastAsia="en-US"/>
        </w:rPr>
      </w:pPr>
    </w:p>
    <w:p w14:paraId="4B104B73" w14:textId="4B2B6506" w:rsidR="008B25AD" w:rsidRDefault="008B25AD" w:rsidP="00F65CFF">
      <w:pPr>
        <w:spacing w:before="0" w:after="0"/>
        <w:jc w:val="left"/>
        <w:rPr>
          <w:rFonts w:eastAsia="Calibri" w:cs="Calibri"/>
          <w:sz w:val="20"/>
          <w:szCs w:val="20"/>
          <w:lang w:val="en-GB" w:eastAsia="en-US"/>
        </w:rPr>
      </w:pPr>
    </w:p>
    <w:p w14:paraId="5ACF86BF" w14:textId="667138FB" w:rsidR="008B25AD" w:rsidRDefault="008B25AD" w:rsidP="00F65CFF">
      <w:pPr>
        <w:spacing w:before="0" w:after="0"/>
        <w:jc w:val="left"/>
        <w:rPr>
          <w:rFonts w:eastAsia="Calibri" w:cs="Calibri"/>
          <w:sz w:val="20"/>
          <w:szCs w:val="20"/>
          <w:lang w:val="en-GB" w:eastAsia="en-US"/>
        </w:rPr>
      </w:pPr>
    </w:p>
    <w:p w14:paraId="20A3EF18" w14:textId="6F1BB1C3" w:rsidR="008B25AD" w:rsidRDefault="008B25AD" w:rsidP="00F65CFF">
      <w:pPr>
        <w:spacing w:before="0" w:after="0"/>
        <w:jc w:val="left"/>
        <w:rPr>
          <w:rFonts w:eastAsia="Calibri" w:cs="Calibri"/>
          <w:sz w:val="20"/>
          <w:szCs w:val="20"/>
          <w:lang w:val="en-GB" w:eastAsia="en-US"/>
        </w:rPr>
      </w:pPr>
    </w:p>
    <w:p w14:paraId="147F775C" w14:textId="7912BF16" w:rsidR="008B25AD" w:rsidRDefault="008B25AD" w:rsidP="00F65CFF">
      <w:pPr>
        <w:spacing w:before="0" w:after="0"/>
        <w:jc w:val="left"/>
        <w:rPr>
          <w:rFonts w:eastAsia="Calibri" w:cs="Calibri"/>
          <w:sz w:val="20"/>
          <w:szCs w:val="20"/>
          <w:lang w:val="en-GB" w:eastAsia="en-US"/>
        </w:rPr>
      </w:pPr>
    </w:p>
    <w:p w14:paraId="5F39B7CF" w14:textId="444D741D" w:rsidR="008B25AD" w:rsidRDefault="008B25AD" w:rsidP="00F65CFF">
      <w:pPr>
        <w:spacing w:before="0" w:after="0"/>
        <w:jc w:val="left"/>
        <w:rPr>
          <w:rFonts w:eastAsia="Calibri" w:cs="Calibri"/>
          <w:sz w:val="20"/>
          <w:szCs w:val="20"/>
          <w:lang w:val="en-GB" w:eastAsia="en-US"/>
        </w:rPr>
      </w:pPr>
    </w:p>
    <w:p w14:paraId="6A6C564C" w14:textId="77777777" w:rsidR="008B25AD" w:rsidRDefault="008B25AD" w:rsidP="00F65CFF">
      <w:pPr>
        <w:spacing w:before="0" w:after="0"/>
        <w:jc w:val="left"/>
        <w:rPr>
          <w:rFonts w:eastAsia="Calibri" w:cs="Calibri"/>
          <w:sz w:val="20"/>
          <w:szCs w:val="20"/>
          <w:lang w:val="en-GB" w:eastAsia="en-US"/>
        </w:rPr>
      </w:pPr>
    </w:p>
    <w:p w14:paraId="577C8FCA" w14:textId="60A50D80" w:rsidR="008B25AD" w:rsidRDefault="008B25AD" w:rsidP="00F65CFF">
      <w:pPr>
        <w:spacing w:before="0" w:after="0"/>
        <w:jc w:val="left"/>
        <w:rPr>
          <w:rFonts w:eastAsia="Calibri" w:cs="Calibri"/>
          <w:sz w:val="20"/>
          <w:szCs w:val="20"/>
          <w:lang w:val="en-GB" w:eastAsia="en-US"/>
        </w:rPr>
      </w:pPr>
    </w:p>
    <w:p w14:paraId="3703CE87" w14:textId="2816E185" w:rsidR="008B25AD" w:rsidRDefault="008B25AD" w:rsidP="00F65CFF">
      <w:pPr>
        <w:spacing w:before="0" w:after="0"/>
        <w:jc w:val="left"/>
        <w:rPr>
          <w:rFonts w:eastAsia="Calibri" w:cs="Calibri"/>
          <w:sz w:val="20"/>
          <w:szCs w:val="20"/>
          <w:lang w:val="en-GB" w:eastAsia="en-US"/>
        </w:rPr>
      </w:pPr>
    </w:p>
    <w:p w14:paraId="10D661F1" w14:textId="77777777" w:rsidR="008B25AD" w:rsidRPr="001C6CCA" w:rsidRDefault="008B25AD" w:rsidP="00F65CFF">
      <w:pPr>
        <w:spacing w:before="0" w:after="0"/>
        <w:jc w:val="left"/>
        <w:rPr>
          <w:rFonts w:eastAsia="Calibri" w:cs="Calibri"/>
          <w:sz w:val="20"/>
          <w:szCs w:val="20"/>
          <w:lang w:val="en-GB" w:eastAsia="en-US"/>
        </w:rPr>
      </w:pPr>
    </w:p>
    <w:p w14:paraId="7233494F" w14:textId="77777777" w:rsidR="0033312D" w:rsidRDefault="0033312D" w:rsidP="00895BE2">
      <w:pPr>
        <w:spacing w:before="0" w:after="0"/>
        <w:rPr>
          <w:rFonts w:eastAsia="Calibri" w:cs="Calibri"/>
          <w:b/>
          <w:color w:val="365F91" w:themeColor="accent1" w:themeShade="BF"/>
          <w:sz w:val="36"/>
          <w:szCs w:val="36"/>
          <w:lang w:val="en-GB" w:eastAsia="en-US"/>
        </w:rPr>
      </w:pPr>
    </w:p>
    <w:p w14:paraId="34905B01" w14:textId="77777777" w:rsidR="0033312D" w:rsidRDefault="0033312D" w:rsidP="00F65CFF">
      <w:pPr>
        <w:spacing w:before="0" w:after="0"/>
        <w:jc w:val="center"/>
        <w:rPr>
          <w:rFonts w:eastAsia="Calibri" w:cs="Calibri"/>
          <w:b/>
          <w:color w:val="365F91" w:themeColor="accent1" w:themeShade="BF"/>
          <w:sz w:val="36"/>
          <w:szCs w:val="36"/>
          <w:lang w:val="en-GB" w:eastAsia="en-US"/>
        </w:rPr>
      </w:pPr>
    </w:p>
    <w:p w14:paraId="4419A0EB" w14:textId="0AEA69BB" w:rsidR="00F4619B" w:rsidRPr="001C6CCA" w:rsidRDefault="00184A51" w:rsidP="00F65CFF">
      <w:pPr>
        <w:spacing w:before="0" w:after="0"/>
        <w:jc w:val="center"/>
        <w:rPr>
          <w:rFonts w:eastAsia="Calibri" w:cs="Calibri"/>
          <w:b/>
          <w:color w:val="365F91" w:themeColor="accent1" w:themeShade="BF"/>
          <w:sz w:val="36"/>
          <w:szCs w:val="36"/>
          <w:lang w:val="en-GB" w:eastAsia="en-US"/>
        </w:rPr>
      </w:pPr>
      <w:r>
        <w:rPr>
          <w:rFonts w:eastAsia="Calibri" w:cs="Calibri"/>
          <w:b/>
          <w:color w:val="365F91" w:themeColor="accent1" w:themeShade="BF"/>
          <w:sz w:val="36"/>
          <w:szCs w:val="36"/>
          <w:lang w:val="en-GB" w:eastAsia="en-US"/>
        </w:rPr>
        <w:t xml:space="preserve">DIO </w:t>
      </w:r>
      <w:r w:rsidR="00F4619B" w:rsidRPr="001C6CCA">
        <w:rPr>
          <w:rFonts w:eastAsia="Calibri" w:cs="Calibri"/>
          <w:b/>
          <w:color w:val="365F91" w:themeColor="accent1" w:themeShade="BF"/>
          <w:sz w:val="36"/>
          <w:szCs w:val="36"/>
          <w:lang w:val="en-GB" w:eastAsia="en-US"/>
        </w:rPr>
        <w:t>II</w:t>
      </w:r>
    </w:p>
    <w:p w14:paraId="3459BDC8" w14:textId="77777777" w:rsidR="00F4619B" w:rsidRPr="001C6CCA" w:rsidRDefault="00F4619B" w:rsidP="00F65CFF">
      <w:pPr>
        <w:spacing w:before="0" w:after="0"/>
        <w:jc w:val="left"/>
        <w:rPr>
          <w:rFonts w:eastAsia="Calibri" w:cs="Calibri"/>
          <w:color w:val="365F91" w:themeColor="accent1" w:themeShade="BF"/>
          <w:sz w:val="20"/>
          <w:szCs w:val="20"/>
          <w:lang w:val="en-GB" w:eastAsia="en-US"/>
        </w:rPr>
      </w:pPr>
    </w:p>
    <w:p w14:paraId="4A0CBAC6" w14:textId="77777777" w:rsidR="0033312D" w:rsidRDefault="0033312D" w:rsidP="0033312D">
      <w:pPr>
        <w:autoSpaceDE w:val="0"/>
        <w:autoSpaceDN w:val="0"/>
        <w:adjustRightInd w:val="0"/>
        <w:spacing w:before="0" w:after="0" w:line="240" w:lineRule="auto"/>
        <w:jc w:val="center"/>
        <w:rPr>
          <w:rFonts w:eastAsia="Calibri"/>
          <w:b/>
          <w:color w:val="365F91" w:themeColor="accent1" w:themeShade="BF"/>
          <w:sz w:val="28"/>
          <w:szCs w:val="28"/>
          <w:lang w:val="en-GB" w:eastAsia="en-US"/>
        </w:rPr>
      </w:pPr>
    </w:p>
    <w:p w14:paraId="49187CF8" w14:textId="7B88A5E8" w:rsidR="00C95C60" w:rsidRPr="0033312D" w:rsidRDefault="0033312D" w:rsidP="0033312D">
      <w:pPr>
        <w:autoSpaceDE w:val="0"/>
        <w:autoSpaceDN w:val="0"/>
        <w:adjustRightInd w:val="0"/>
        <w:spacing w:before="0" w:after="0" w:line="240" w:lineRule="auto"/>
        <w:jc w:val="center"/>
        <w:rPr>
          <w:b/>
          <w:color w:val="365F91" w:themeColor="accent1" w:themeShade="BF"/>
          <w:sz w:val="28"/>
          <w:szCs w:val="28"/>
          <w:lang w:val="en-GB"/>
        </w:rPr>
      </w:pPr>
      <w:r w:rsidRPr="0033312D">
        <w:rPr>
          <w:b/>
          <w:color w:val="365F91" w:themeColor="accent1" w:themeShade="BF"/>
          <w:sz w:val="28"/>
          <w:szCs w:val="28"/>
          <w:lang w:val="en-GB"/>
        </w:rPr>
        <w:t xml:space="preserve">Deskriptori povezani sa </w:t>
      </w:r>
      <w:r w:rsidR="00CD795C">
        <w:rPr>
          <w:b/>
          <w:color w:val="365F91" w:themeColor="accent1" w:themeShade="BF"/>
          <w:sz w:val="28"/>
          <w:szCs w:val="28"/>
          <w:lang w:val="en-GB"/>
        </w:rPr>
        <w:t xml:space="preserve">odgovarajućim </w:t>
      </w:r>
      <w:r w:rsidRPr="0033312D">
        <w:rPr>
          <w:b/>
          <w:color w:val="365F91" w:themeColor="accent1" w:themeShade="BF"/>
          <w:sz w:val="28"/>
          <w:szCs w:val="28"/>
          <w:lang w:val="en-GB"/>
        </w:rPr>
        <w:t>elementima ekosistema: grupama vrsta ptica, sisara, gmizavaca, riba i glavonožaca (Deskriptor 1), pelagičn</w:t>
      </w:r>
      <w:r>
        <w:rPr>
          <w:b/>
          <w:color w:val="365F91" w:themeColor="accent1" w:themeShade="BF"/>
          <w:sz w:val="28"/>
          <w:szCs w:val="28"/>
          <w:lang w:val="en-GB"/>
        </w:rPr>
        <w:t>im</w:t>
      </w:r>
      <w:r w:rsidRPr="0033312D">
        <w:rPr>
          <w:b/>
          <w:color w:val="365F91" w:themeColor="accent1" w:themeShade="BF"/>
          <w:sz w:val="28"/>
          <w:szCs w:val="28"/>
          <w:lang w:val="en-GB"/>
        </w:rPr>
        <w:t xml:space="preserve"> staništ</w:t>
      </w:r>
      <w:r>
        <w:rPr>
          <w:b/>
          <w:color w:val="365F91" w:themeColor="accent1" w:themeShade="BF"/>
          <w:sz w:val="28"/>
          <w:szCs w:val="28"/>
          <w:lang w:val="en-GB"/>
        </w:rPr>
        <w:t>ima</w:t>
      </w:r>
      <w:r w:rsidRPr="0033312D">
        <w:rPr>
          <w:b/>
          <w:color w:val="365F91" w:themeColor="accent1" w:themeShade="BF"/>
          <w:sz w:val="28"/>
          <w:szCs w:val="28"/>
          <w:lang w:val="en-GB"/>
        </w:rPr>
        <w:t xml:space="preserve"> (Deskriptor 1), bento</w:t>
      </w:r>
      <w:r w:rsidR="0077485A">
        <w:rPr>
          <w:b/>
          <w:color w:val="365F91" w:themeColor="accent1" w:themeShade="BF"/>
          <w:sz w:val="28"/>
          <w:szCs w:val="28"/>
          <w:lang w:val="en-GB"/>
        </w:rPr>
        <w:t>s</w:t>
      </w:r>
      <w:r w:rsidRPr="0033312D">
        <w:rPr>
          <w:b/>
          <w:color w:val="365F91" w:themeColor="accent1" w:themeShade="BF"/>
          <w:sz w:val="28"/>
          <w:szCs w:val="28"/>
          <w:lang w:val="en-GB"/>
        </w:rPr>
        <w:t>k</w:t>
      </w:r>
      <w:r>
        <w:rPr>
          <w:b/>
          <w:color w:val="365F91" w:themeColor="accent1" w:themeShade="BF"/>
          <w:sz w:val="28"/>
          <w:szCs w:val="28"/>
          <w:lang w:val="en-GB"/>
        </w:rPr>
        <w:t>im</w:t>
      </w:r>
      <w:r w:rsidRPr="0033312D">
        <w:rPr>
          <w:b/>
          <w:color w:val="365F91" w:themeColor="accent1" w:themeShade="BF"/>
          <w:sz w:val="28"/>
          <w:szCs w:val="28"/>
          <w:lang w:val="en-GB"/>
        </w:rPr>
        <w:t xml:space="preserve"> staništ</w:t>
      </w:r>
      <w:r>
        <w:rPr>
          <w:b/>
          <w:color w:val="365F91" w:themeColor="accent1" w:themeShade="BF"/>
          <w:sz w:val="28"/>
          <w:szCs w:val="28"/>
          <w:lang w:val="en-GB"/>
        </w:rPr>
        <w:t>ima</w:t>
      </w:r>
      <w:r w:rsidRPr="0033312D">
        <w:rPr>
          <w:b/>
          <w:color w:val="365F91" w:themeColor="accent1" w:themeShade="BF"/>
          <w:sz w:val="28"/>
          <w:szCs w:val="28"/>
          <w:lang w:val="en-GB"/>
        </w:rPr>
        <w:t xml:space="preserve"> (Deskriptori 1 i 6) i ekosistemi</w:t>
      </w:r>
      <w:r>
        <w:rPr>
          <w:b/>
          <w:color w:val="365F91" w:themeColor="accent1" w:themeShade="BF"/>
          <w:sz w:val="28"/>
          <w:szCs w:val="28"/>
          <w:lang w:val="en-GB"/>
        </w:rPr>
        <w:t>ma</w:t>
      </w:r>
      <w:r w:rsidRPr="0033312D">
        <w:rPr>
          <w:b/>
          <w:color w:val="365F91" w:themeColor="accent1" w:themeShade="BF"/>
          <w:sz w:val="28"/>
          <w:szCs w:val="28"/>
          <w:lang w:val="en-GB"/>
        </w:rPr>
        <w:t xml:space="preserve">, uključujući </w:t>
      </w:r>
      <w:r w:rsidR="008C3D55">
        <w:rPr>
          <w:b/>
          <w:color w:val="365F91" w:themeColor="accent1" w:themeShade="BF"/>
          <w:sz w:val="28"/>
          <w:szCs w:val="28"/>
          <w:lang w:val="en-GB"/>
        </w:rPr>
        <w:t>prehrambene mreže</w:t>
      </w:r>
      <w:r w:rsidRPr="0033312D">
        <w:rPr>
          <w:b/>
          <w:color w:val="365F91" w:themeColor="accent1" w:themeShade="BF"/>
          <w:sz w:val="28"/>
          <w:szCs w:val="28"/>
          <w:lang w:val="en-GB"/>
        </w:rPr>
        <w:t xml:space="preserve"> (Deskriptori 1 i 4), kako je navedeno u Aneksu III Direktive 2008/56/EC (1).</w:t>
      </w:r>
    </w:p>
    <w:p w14:paraId="4B7F0A50" w14:textId="3E437160" w:rsidR="00C95C60" w:rsidRPr="001C6CCA" w:rsidRDefault="00C95C60" w:rsidP="00F65CFF">
      <w:pPr>
        <w:spacing w:before="0" w:after="0"/>
        <w:rPr>
          <w:rFonts w:eastAsiaTheme="minorHAnsi" w:cstheme="minorBidi"/>
          <w:b/>
          <w:sz w:val="20"/>
          <w:szCs w:val="20"/>
          <w:lang w:val="en-GB" w:eastAsia="en-US"/>
        </w:rPr>
      </w:pPr>
    </w:p>
    <w:p w14:paraId="3C614A51" w14:textId="7B6CCD94" w:rsidR="000D3BB1" w:rsidRPr="001C6CCA" w:rsidRDefault="000D3BB1" w:rsidP="00F65CFF">
      <w:pPr>
        <w:spacing w:before="0" w:after="0"/>
        <w:rPr>
          <w:rFonts w:eastAsiaTheme="minorHAnsi" w:cstheme="minorBidi"/>
          <w:b/>
          <w:sz w:val="20"/>
          <w:szCs w:val="20"/>
          <w:lang w:val="en-GB" w:eastAsia="en-US"/>
        </w:rPr>
      </w:pPr>
    </w:p>
    <w:p w14:paraId="787287D0" w14:textId="5CD139E9" w:rsidR="000D3BB1" w:rsidRPr="001C6CCA" w:rsidRDefault="000D3BB1" w:rsidP="00F65CFF">
      <w:pPr>
        <w:spacing w:before="0" w:after="0"/>
        <w:rPr>
          <w:rFonts w:eastAsiaTheme="minorHAnsi" w:cstheme="minorBidi"/>
          <w:b/>
          <w:sz w:val="20"/>
          <w:szCs w:val="20"/>
          <w:lang w:val="en-GB" w:eastAsia="en-US"/>
        </w:rPr>
      </w:pPr>
    </w:p>
    <w:p w14:paraId="61A78984" w14:textId="7353800A" w:rsidR="000D3BB1" w:rsidRPr="001C6CCA" w:rsidRDefault="000D3BB1" w:rsidP="00F65CFF">
      <w:pPr>
        <w:spacing w:before="0" w:after="0"/>
        <w:rPr>
          <w:rFonts w:eastAsiaTheme="minorHAnsi" w:cstheme="minorBidi"/>
          <w:b/>
          <w:sz w:val="20"/>
          <w:szCs w:val="20"/>
          <w:lang w:val="en-GB" w:eastAsia="en-US"/>
        </w:rPr>
      </w:pPr>
    </w:p>
    <w:p w14:paraId="6563FFD5" w14:textId="485A867D" w:rsidR="000D3BB1" w:rsidRPr="001C6CCA" w:rsidRDefault="000D3BB1" w:rsidP="00F65CFF">
      <w:pPr>
        <w:spacing w:before="0" w:after="0"/>
        <w:rPr>
          <w:rFonts w:eastAsiaTheme="minorHAnsi" w:cstheme="minorBidi"/>
          <w:b/>
          <w:sz w:val="20"/>
          <w:szCs w:val="20"/>
          <w:lang w:val="en-GB" w:eastAsia="en-US"/>
        </w:rPr>
      </w:pPr>
    </w:p>
    <w:p w14:paraId="53E649C4" w14:textId="44A8D4AC" w:rsidR="000D3BB1" w:rsidRPr="001C6CCA" w:rsidRDefault="000D3BB1" w:rsidP="00F65CFF">
      <w:pPr>
        <w:spacing w:before="0" w:after="0"/>
        <w:rPr>
          <w:rFonts w:eastAsiaTheme="minorHAnsi" w:cstheme="minorBidi"/>
          <w:b/>
          <w:sz w:val="20"/>
          <w:szCs w:val="20"/>
          <w:lang w:val="en-GB" w:eastAsia="en-US"/>
        </w:rPr>
      </w:pPr>
    </w:p>
    <w:p w14:paraId="1BF3969D" w14:textId="6AE5CD7D" w:rsidR="000D3BB1" w:rsidRPr="001C6CCA" w:rsidRDefault="000D3BB1" w:rsidP="00F65CFF">
      <w:pPr>
        <w:spacing w:before="0" w:after="0"/>
        <w:rPr>
          <w:rFonts w:eastAsiaTheme="minorHAnsi" w:cstheme="minorBidi"/>
          <w:b/>
          <w:sz w:val="20"/>
          <w:szCs w:val="20"/>
          <w:lang w:val="en-GB" w:eastAsia="en-US"/>
        </w:rPr>
      </w:pPr>
    </w:p>
    <w:p w14:paraId="0D09270E" w14:textId="332BF444" w:rsidR="000D3BB1" w:rsidRPr="001C6CCA" w:rsidRDefault="000D3BB1" w:rsidP="00F65CFF">
      <w:pPr>
        <w:spacing w:before="0" w:after="0"/>
        <w:rPr>
          <w:rFonts w:eastAsiaTheme="minorHAnsi" w:cstheme="minorBidi"/>
          <w:b/>
          <w:sz w:val="20"/>
          <w:szCs w:val="20"/>
          <w:lang w:val="en-GB" w:eastAsia="en-US"/>
        </w:rPr>
      </w:pPr>
    </w:p>
    <w:p w14:paraId="3846A6AD" w14:textId="097509C0" w:rsidR="000D3BB1" w:rsidRPr="001C6CCA" w:rsidRDefault="000D3BB1" w:rsidP="00F65CFF">
      <w:pPr>
        <w:spacing w:before="0" w:after="0"/>
        <w:rPr>
          <w:rFonts w:eastAsiaTheme="minorHAnsi" w:cstheme="minorBidi"/>
          <w:b/>
          <w:sz w:val="20"/>
          <w:szCs w:val="20"/>
          <w:lang w:val="en-GB" w:eastAsia="en-US"/>
        </w:rPr>
      </w:pPr>
    </w:p>
    <w:p w14:paraId="6A03C87D" w14:textId="2E2F5707" w:rsidR="000D3BB1" w:rsidRPr="001C6CCA" w:rsidRDefault="000D3BB1" w:rsidP="00F65CFF">
      <w:pPr>
        <w:spacing w:before="0" w:after="0"/>
        <w:rPr>
          <w:rFonts w:eastAsiaTheme="minorHAnsi" w:cstheme="minorBidi"/>
          <w:b/>
          <w:sz w:val="20"/>
          <w:szCs w:val="20"/>
          <w:lang w:val="en-GB" w:eastAsia="en-US"/>
        </w:rPr>
      </w:pPr>
    </w:p>
    <w:p w14:paraId="692A656E" w14:textId="2CBDE562" w:rsidR="000D3BB1" w:rsidRDefault="000D3BB1" w:rsidP="00F65CFF">
      <w:pPr>
        <w:spacing w:before="0" w:after="0"/>
        <w:rPr>
          <w:rFonts w:eastAsiaTheme="minorHAnsi" w:cstheme="minorBidi"/>
          <w:b/>
          <w:sz w:val="20"/>
          <w:szCs w:val="20"/>
          <w:lang w:val="en-GB" w:eastAsia="en-US"/>
        </w:rPr>
      </w:pPr>
    </w:p>
    <w:p w14:paraId="0C15BDE4" w14:textId="1CA362C1" w:rsidR="00895BE2" w:rsidRDefault="00895BE2" w:rsidP="00F65CFF">
      <w:pPr>
        <w:spacing w:before="0" w:after="0"/>
        <w:rPr>
          <w:rFonts w:eastAsiaTheme="minorHAnsi" w:cstheme="minorBidi"/>
          <w:b/>
          <w:sz w:val="20"/>
          <w:szCs w:val="20"/>
          <w:lang w:val="en-GB" w:eastAsia="en-US"/>
        </w:rPr>
      </w:pPr>
    </w:p>
    <w:p w14:paraId="431038B1" w14:textId="605BA914" w:rsidR="005E5218" w:rsidRDefault="005E5218" w:rsidP="00F65CFF">
      <w:pPr>
        <w:spacing w:before="0" w:after="0"/>
        <w:rPr>
          <w:rFonts w:eastAsiaTheme="minorHAnsi" w:cstheme="minorBidi"/>
          <w:b/>
          <w:sz w:val="20"/>
          <w:szCs w:val="20"/>
          <w:lang w:val="en-GB" w:eastAsia="en-US"/>
        </w:rPr>
      </w:pPr>
    </w:p>
    <w:p w14:paraId="377248BF" w14:textId="0B781DFD" w:rsidR="005E5218" w:rsidRDefault="005E5218" w:rsidP="00F65CFF">
      <w:pPr>
        <w:spacing w:before="0" w:after="0"/>
        <w:rPr>
          <w:rFonts w:eastAsiaTheme="minorHAnsi" w:cstheme="minorBidi"/>
          <w:b/>
          <w:sz w:val="20"/>
          <w:szCs w:val="20"/>
          <w:lang w:val="en-GB" w:eastAsia="en-US"/>
        </w:rPr>
      </w:pPr>
    </w:p>
    <w:p w14:paraId="1A2338AC" w14:textId="5441D615" w:rsidR="008B25AD" w:rsidRDefault="008B25AD" w:rsidP="00F65CFF">
      <w:pPr>
        <w:spacing w:before="0" w:after="0"/>
        <w:rPr>
          <w:rFonts w:eastAsiaTheme="minorHAnsi" w:cstheme="minorBidi"/>
          <w:b/>
          <w:sz w:val="20"/>
          <w:szCs w:val="20"/>
          <w:lang w:val="en-GB" w:eastAsia="en-US"/>
        </w:rPr>
      </w:pPr>
    </w:p>
    <w:p w14:paraId="7CBEB4EC" w14:textId="3B2FC502" w:rsidR="008B25AD" w:rsidRDefault="008B25AD" w:rsidP="00F65CFF">
      <w:pPr>
        <w:spacing w:before="0" w:after="0"/>
        <w:rPr>
          <w:rFonts w:eastAsiaTheme="minorHAnsi" w:cstheme="minorBidi"/>
          <w:b/>
          <w:sz w:val="20"/>
          <w:szCs w:val="20"/>
          <w:lang w:val="en-GB" w:eastAsia="en-US"/>
        </w:rPr>
      </w:pPr>
    </w:p>
    <w:p w14:paraId="32A5C08F" w14:textId="1BD8F7D5" w:rsidR="008B25AD" w:rsidRDefault="008B25AD" w:rsidP="00F65CFF">
      <w:pPr>
        <w:spacing w:before="0" w:after="0"/>
        <w:rPr>
          <w:rFonts w:eastAsiaTheme="minorHAnsi" w:cstheme="minorBidi"/>
          <w:b/>
          <w:sz w:val="20"/>
          <w:szCs w:val="20"/>
          <w:lang w:val="en-GB" w:eastAsia="en-US"/>
        </w:rPr>
      </w:pPr>
    </w:p>
    <w:p w14:paraId="6DA85D99" w14:textId="77777777" w:rsidR="008B25AD" w:rsidRDefault="008B25AD" w:rsidP="00F65CFF">
      <w:pPr>
        <w:spacing w:before="0" w:after="0"/>
        <w:rPr>
          <w:rFonts w:eastAsiaTheme="minorHAnsi" w:cstheme="minorBidi"/>
          <w:b/>
          <w:sz w:val="20"/>
          <w:szCs w:val="20"/>
          <w:lang w:val="en-GB" w:eastAsia="en-US"/>
        </w:rPr>
      </w:pPr>
    </w:p>
    <w:p w14:paraId="3E94FB8C" w14:textId="77777777" w:rsidR="005E5218" w:rsidRPr="001C6CCA" w:rsidRDefault="005E5218" w:rsidP="00F65CFF">
      <w:pPr>
        <w:spacing w:before="0" w:after="0"/>
        <w:rPr>
          <w:rFonts w:eastAsiaTheme="minorHAnsi" w:cstheme="minorBidi"/>
          <w:b/>
          <w:sz w:val="20"/>
          <w:szCs w:val="20"/>
          <w:lang w:val="en-GB" w:eastAsia="en-US"/>
        </w:rPr>
      </w:pPr>
    </w:p>
    <w:p w14:paraId="0F3F339B" w14:textId="54E3CD75" w:rsidR="000D3BB1" w:rsidRDefault="000D3BB1" w:rsidP="00F65CFF">
      <w:pPr>
        <w:spacing w:before="0" w:after="0"/>
        <w:rPr>
          <w:rFonts w:eastAsiaTheme="minorHAnsi" w:cstheme="minorBidi"/>
          <w:b/>
          <w:sz w:val="20"/>
          <w:szCs w:val="20"/>
          <w:lang w:val="en-GB" w:eastAsia="en-US"/>
        </w:rPr>
      </w:pPr>
    </w:p>
    <w:p w14:paraId="3DC025CB" w14:textId="77777777" w:rsidR="0033312D" w:rsidRDefault="0033312D" w:rsidP="00F65CFF">
      <w:pPr>
        <w:spacing w:before="0" w:after="0"/>
        <w:rPr>
          <w:rFonts w:eastAsiaTheme="minorHAnsi" w:cstheme="minorBidi"/>
          <w:b/>
          <w:sz w:val="20"/>
          <w:szCs w:val="20"/>
          <w:lang w:val="en-GB" w:eastAsia="en-US"/>
        </w:rPr>
      </w:pPr>
    </w:p>
    <w:p w14:paraId="5E8C4044" w14:textId="77777777" w:rsidR="0033312D" w:rsidRDefault="0033312D" w:rsidP="00F65CFF">
      <w:pPr>
        <w:spacing w:before="0" w:after="0"/>
        <w:rPr>
          <w:rFonts w:eastAsiaTheme="minorHAnsi" w:cstheme="minorBidi"/>
          <w:b/>
          <w:sz w:val="20"/>
          <w:szCs w:val="20"/>
          <w:lang w:val="en-GB" w:eastAsia="en-US"/>
        </w:rPr>
      </w:pPr>
    </w:p>
    <w:p w14:paraId="458A6AB0" w14:textId="77777777" w:rsidR="0033312D" w:rsidRDefault="0033312D" w:rsidP="00F65CFF">
      <w:pPr>
        <w:spacing w:before="0" w:after="0"/>
        <w:rPr>
          <w:rFonts w:eastAsiaTheme="minorHAnsi" w:cstheme="minorBidi"/>
          <w:b/>
          <w:sz w:val="20"/>
          <w:szCs w:val="20"/>
          <w:lang w:val="en-GB" w:eastAsia="en-US"/>
        </w:rPr>
      </w:pPr>
    </w:p>
    <w:p w14:paraId="58141D9F" w14:textId="27B4C858" w:rsidR="00184A51" w:rsidRPr="00184A51" w:rsidRDefault="00184A51" w:rsidP="00184A51">
      <w:pPr>
        <w:pStyle w:val="Heading1"/>
        <w:rPr>
          <w:lang w:val="en-GB"/>
        </w:rPr>
      </w:pPr>
      <w:bookmarkStart w:id="313" w:name="_Toc83630969"/>
      <w:bookmarkStart w:id="314" w:name="_Hlk67849333"/>
      <w:r w:rsidRPr="00184A51">
        <w:rPr>
          <w:lang w:val="en-GB"/>
        </w:rPr>
        <w:t xml:space="preserve">DESKRIPTORI </w:t>
      </w:r>
      <w:r w:rsidR="00CD795C">
        <w:rPr>
          <w:lang w:val="en-GB"/>
        </w:rPr>
        <w:t>PO</w:t>
      </w:r>
      <w:r w:rsidRPr="00184A51">
        <w:rPr>
          <w:lang w:val="en-GB"/>
        </w:rPr>
        <w:t xml:space="preserve">VEZANI SA </w:t>
      </w:r>
      <w:r w:rsidR="00CD795C">
        <w:rPr>
          <w:lang w:val="en-GB"/>
        </w:rPr>
        <w:t>ODGOVARAJUĆIM</w:t>
      </w:r>
      <w:r w:rsidRPr="00184A51">
        <w:rPr>
          <w:lang w:val="en-GB"/>
        </w:rPr>
        <w:t xml:space="preserve"> ELEMENTIMA EKOSISTEMA</w:t>
      </w:r>
      <w:bookmarkEnd w:id="313"/>
    </w:p>
    <w:bookmarkEnd w:id="314"/>
    <w:p w14:paraId="148DED39" w14:textId="58B7A613" w:rsidR="002E4264" w:rsidRPr="00B35C1D" w:rsidRDefault="00CD795C" w:rsidP="00CD795C">
      <w:pPr>
        <w:rPr>
          <w:rFonts w:cs="Calibri"/>
          <w:color w:val="000000"/>
          <w:szCs w:val="22"/>
          <w:lang w:val="en-GB"/>
        </w:rPr>
      </w:pPr>
      <w:r>
        <w:rPr>
          <w:rFonts w:cs="Calibri"/>
          <w:color w:val="000000"/>
          <w:szCs w:val="22"/>
          <w:lang w:val="en-GB"/>
        </w:rPr>
        <w:t xml:space="preserve">U ovom dijelu razmatrani su </w:t>
      </w:r>
      <w:r w:rsidR="00B35C1D" w:rsidRPr="00B35C1D">
        <w:rPr>
          <w:rFonts w:cs="Calibri"/>
          <w:color w:val="000000"/>
          <w:szCs w:val="22"/>
          <w:lang w:val="en-GB"/>
        </w:rPr>
        <w:t>deskriptor</w:t>
      </w:r>
      <w:r>
        <w:rPr>
          <w:rFonts w:cs="Calibri"/>
          <w:color w:val="000000"/>
          <w:szCs w:val="22"/>
          <w:lang w:val="en-GB"/>
        </w:rPr>
        <w:t>i koji su povezani sa odgovarajućim</w:t>
      </w:r>
      <w:r w:rsidR="00B35C1D" w:rsidRPr="00B35C1D">
        <w:rPr>
          <w:rFonts w:cs="Calibri"/>
          <w:color w:val="000000"/>
          <w:szCs w:val="22"/>
          <w:lang w:val="en-GB"/>
        </w:rPr>
        <w:t xml:space="preserve"> elementima ekosistema: </w:t>
      </w:r>
      <w:r w:rsidRPr="00CD795C">
        <w:rPr>
          <w:rFonts w:cs="Calibri"/>
          <w:color w:val="000000"/>
          <w:szCs w:val="22"/>
          <w:lang w:val="en-GB"/>
        </w:rPr>
        <w:t xml:space="preserve">grupama vrsta ptica, sisara, gmizavaca, riba i </w:t>
      </w:r>
      <w:r w:rsidR="0074640B">
        <w:rPr>
          <w:rFonts w:cs="Calibri"/>
          <w:color w:val="000000"/>
          <w:szCs w:val="22"/>
          <w:lang w:val="en-GB"/>
        </w:rPr>
        <w:t>rakova</w:t>
      </w:r>
      <w:r w:rsidRPr="00CD795C">
        <w:rPr>
          <w:rFonts w:cs="Calibri"/>
          <w:color w:val="000000"/>
          <w:szCs w:val="22"/>
          <w:lang w:val="en-GB"/>
        </w:rPr>
        <w:t xml:space="preserve"> (</w:t>
      </w:r>
      <w:r>
        <w:rPr>
          <w:rFonts w:cs="Calibri"/>
          <w:color w:val="000000"/>
          <w:szCs w:val="22"/>
          <w:lang w:val="en-GB"/>
        </w:rPr>
        <w:t>deskriptor</w:t>
      </w:r>
      <w:r w:rsidRPr="00CD795C">
        <w:rPr>
          <w:rFonts w:cs="Calibri"/>
          <w:color w:val="000000"/>
          <w:szCs w:val="22"/>
          <w:lang w:val="en-GB"/>
        </w:rPr>
        <w:t xml:space="preserve"> 1.), pelagičnim staništima (</w:t>
      </w:r>
      <w:r>
        <w:rPr>
          <w:rFonts w:cs="Calibri"/>
          <w:color w:val="000000"/>
          <w:szCs w:val="22"/>
          <w:lang w:val="en-GB"/>
        </w:rPr>
        <w:t>deskriptor</w:t>
      </w:r>
      <w:r w:rsidRPr="00CD795C">
        <w:rPr>
          <w:rFonts w:cs="Calibri"/>
          <w:color w:val="000000"/>
          <w:szCs w:val="22"/>
          <w:lang w:val="en-GB"/>
        </w:rPr>
        <w:t xml:space="preserve"> 1.), bentoskim staništima (</w:t>
      </w:r>
      <w:r>
        <w:rPr>
          <w:rFonts w:cs="Calibri"/>
          <w:color w:val="000000"/>
          <w:szCs w:val="22"/>
          <w:lang w:val="en-GB"/>
        </w:rPr>
        <w:t>deskriptori</w:t>
      </w:r>
      <w:r w:rsidRPr="00CD795C">
        <w:rPr>
          <w:rFonts w:cs="Calibri"/>
          <w:color w:val="000000"/>
          <w:szCs w:val="22"/>
          <w:lang w:val="en-GB"/>
        </w:rPr>
        <w:t xml:space="preserve"> 1 i 6) i ekosistemima, uključujući </w:t>
      </w:r>
      <w:r w:rsidR="004F26E3">
        <w:rPr>
          <w:rFonts w:cs="Calibri"/>
          <w:color w:val="000000"/>
          <w:szCs w:val="22"/>
          <w:lang w:val="en-GB"/>
        </w:rPr>
        <w:t>mreže ishrane</w:t>
      </w:r>
      <w:r w:rsidRPr="00CD795C">
        <w:rPr>
          <w:rFonts w:cs="Calibri"/>
          <w:color w:val="000000"/>
          <w:szCs w:val="22"/>
          <w:lang w:val="en-GB"/>
        </w:rPr>
        <w:t xml:space="preserve"> (</w:t>
      </w:r>
      <w:r>
        <w:rPr>
          <w:rFonts w:cs="Calibri"/>
          <w:color w:val="000000"/>
          <w:szCs w:val="22"/>
          <w:lang w:val="en-GB"/>
        </w:rPr>
        <w:t>deskriptori</w:t>
      </w:r>
      <w:r w:rsidRPr="00CD795C">
        <w:rPr>
          <w:rFonts w:cs="Calibri"/>
          <w:color w:val="000000"/>
          <w:szCs w:val="22"/>
          <w:lang w:val="en-GB"/>
        </w:rPr>
        <w:t xml:space="preserve"> 1 i 4), u skladu sa </w:t>
      </w:r>
      <w:r w:rsidR="00B35C1D" w:rsidRPr="00B35C1D">
        <w:rPr>
          <w:rFonts w:cs="Calibri"/>
          <w:color w:val="000000"/>
          <w:szCs w:val="22"/>
          <w:lang w:val="en-GB"/>
        </w:rPr>
        <w:t>Aneks</w:t>
      </w:r>
      <w:r>
        <w:rPr>
          <w:rFonts w:cs="Calibri"/>
          <w:color w:val="000000"/>
          <w:szCs w:val="22"/>
          <w:lang w:val="en-GB"/>
        </w:rPr>
        <w:t>om</w:t>
      </w:r>
      <w:r w:rsidR="00B35C1D" w:rsidRPr="00B35C1D">
        <w:rPr>
          <w:rFonts w:cs="Calibri"/>
          <w:color w:val="000000"/>
          <w:szCs w:val="22"/>
          <w:lang w:val="en-GB"/>
        </w:rPr>
        <w:t xml:space="preserve"> III Direktive 2008/56 / EC. </w:t>
      </w:r>
      <w:r w:rsidR="00D35594">
        <w:rPr>
          <w:rFonts w:cs="Calibri"/>
          <w:color w:val="000000"/>
          <w:szCs w:val="22"/>
          <w:lang w:val="en-GB"/>
        </w:rPr>
        <w:t xml:space="preserve"> </w:t>
      </w:r>
      <w:r w:rsidR="00B35C1D" w:rsidRPr="00B35C1D">
        <w:rPr>
          <w:rFonts w:cs="Calibri"/>
          <w:color w:val="000000"/>
          <w:szCs w:val="22"/>
          <w:lang w:val="en-GB"/>
        </w:rPr>
        <w:t>Deskriptori 1, 4 i 6 često se smatraju „</w:t>
      </w:r>
      <w:r>
        <w:rPr>
          <w:rFonts w:cs="Calibri"/>
          <w:color w:val="000000"/>
          <w:szCs w:val="22"/>
          <w:lang w:val="en-GB"/>
        </w:rPr>
        <w:t>deskriptorima stanja“</w:t>
      </w:r>
      <w:r w:rsidR="00B35C1D" w:rsidRPr="00B35C1D">
        <w:rPr>
          <w:rFonts w:cs="Calibri"/>
          <w:color w:val="000000"/>
          <w:szCs w:val="22"/>
          <w:lang w:val="en-GB"/>
        </w:rPr>
        <w:t xml:space="preserve">, na koje </w:t>
      </w:r>
      <w:r w:rsidR="00D35594">
        <w:rPr>
          <w:rFonts w:cs="Calibri"/>
          <w:color w:val="000000"/>
          <w:szCs w:val="22"/>
          <w:lang w:val="en-GB"/>
        </w:rPr>
        <w:t xml:space="preserve">utiču, vrlo često kumulativno, drugi deskriptori </w:t>
      </w:r>
      <w:r w:rsidR="00B35C1D" w:rsidRPr="00B35C1D">
        <w:rPr>
          <w:rFonts w:cs="Calibri"/>
          <w:color w:val="000000"/>
          <w:szCs w:val="22"/>
          <w:lang w:val="en-GB"/>
        </w:rPr>
        <w:t xml:space="preserve"> koji se fokusiraju na pritiske i uticaje</w:t>
      </w:r>
      <w:r w:rsidR="00D35594">
        <w:rPr>
          <w:rFonts w:cs="Calibri"/>
          <w:color w:val="000000"/>
          <w:szCs w:val="22"/>
          <w:lang w:val="en-GB"/>
        </w:rPr>
        <w:t>.</w:t>
      </w:r>
      <w:r w:rsidR="00045A24">
        <w:rPr>
          <w:rFonts w:cs="Calibri"/>
          <w:color w:val="000000"/>
          <w:szCs w:val="22"/>
          <w:lang w:val="en-GB"/>
        </w:rPr>
        <w:t xml:space="preserve"> </w:t>
      </w:r>
      <w:r w:rsidR="00B35C1D" w:rsidRPr="00B35C1D">
        <w:rPr>
          <w:rFonts w:cs="Calibri"/>
          <w:color w:val="000000"/>
          <w:szCs w:val="22"/>
          <w:lang w:val="en-GB"/>
        </w:rPr>
        <w:t>Da bi se osigurala dosl</w:t>
      </w:r>
      <w:r w:rsidR="00D35594">
        <w:rPr>
          <w:rFonts w:cs="Calibri"/>
          <w:color w:val="000000"/>
          <w:szCs w:val="22"/>
          <w:lang w:val="en-GB"/>
        </w:rPr>
        <w:t>j</w:t>
      </w:r>
      <w:r w:rsidR="00B35C1D" w:rsidRPr="00B35C1D">
        <w:rPr>
          <w:rFonts w:cs="Calibri"/>
          <w:color w:val="000000"/>
          <w:szCs w:val="22"/>
          <w:lang w:val="en-GB"/>
        </w:rPr>
        <w:t>ednost između proc</w:t>
      </w:r>
      <w:r w:rsidR="00045A24">
        <w:rPr>
          <w:rFonts w:cs="Calibri"/>
          <w:color w:val="000000"/>
          <w:szCs w:val="22"/>
          <w:lang w:val="en-GB"/>
        </w:rPr>
        <w:t>j</w:t>
      </w:r>
      <w:r w:rsidR="00B35C1D" w:rsidRPr="00B35C1D">
        <w:rPr>
          <w:rFonts w:cs="Calibri"/>
          <w:color w:val="000000"/>
          <w:szCs w:val="22"/>
          <w:lang w:val="en-GB"/>
        </w:rPr>
        <w:t>ena ovih deskriptora, mora postojati saradnja između onih koji rade na pritiscima i uticajima i onih koji rade na proc</w:t>
      </w:r>
      <w:r w:rsidR="00045A24">
        <w:rPr>
          <w:rFonts w:cs="Calibri"/>
          <w:color w:val="000000"/>
          <w:szCs w:val="22"/>
          <w:lang w:val="en-GB"/>
        </w:rPr>
        <w:t>j</w:t>
      </w:r>
      <w:r w:rsidR="00B35C1D" w:rsidRPr="00B35C1D">
        <w:rPr>
          <w:rFonts w:cs="Calibri"/>
          <w:color w:val="000000"/>
          <w:szCs w:val="22"/>
          <w:lang w:val="en-GB"/>
        </w:rPr>
        <w:t xml:space="preserve">eni stanja morskih ekosistema i </w:t>
      </w:r>
      <w:r w:rsidR="00045A24">
        <w:rPr>
          <w:rFonts w:cs="Calibri"/>
          <w:color w:val="000000"/>
          <w:szCs w:val="22"/>
          <w:lang w:val="en-GB"/>
        </w:rPr>
        <w:t xml:space="preserve">njihovih </w:t>
      </w:r>
      <w:r w:rsidR="00B35C1D" w:rsidRPr="00B35C1D">
        <w:rPr>
          <w:rFonts w:cs="Calibri"/>
          <w:color w:val="000000"/>
          <w:szCs w:val="22"/>
          <w:lang w:val="en-GB"/>
        </w:rPr>
        <w:t>biodiverziteta. Pored toga, potrebne su informacije o intenzitetu, distribuciji i obimu uticaja na biodiverzitet dobijene proc</w:t>
      </w:r>
      <w:r w:rsidR="00045A24">
        <w:rPr>
          <w:rFonts w:cs="Calibri"/>
          <w:color w:val="000000"/>
          <w:szCs w:val="22"/>
          <w:lang w:val="en-GB"/>
        </w:rPr>
        <w:t>j</w:t>
      </w:r>
      <w:r w:rsidR="00B35C1D" w:rsidRPr="00B35C1D">
        <w:rPr>
          <w:rFonts w:cs="Calibri"/>
          <w:color w:val="000000"/>
          <w:szCs w:val="22"/>
          <w:lang w:val="en-GB"/>
        </w:rPr>
        <w:t>enama drugih deskriptora u obliku koji se može direktno povezati sa komponentama biodiverziteta. Sm</w:t>
      </w:r>
      <w:r w:rsidR="00045A24">
        <w:rPr>
          <w:rFonts w:cs="Calibri"/>
          <w:color w:val="000000"/>
          <w:szCs w:val="22"/>
          <w:lang w:val="en-GB"/>
        </w:rPr>
        <w:t>j</w:t>
      </w:r>
      <w:r w:rsidR="00B35C1D" w:rsidRPr="00B35C1D">
        <w:rPr>
          <w:rFonts w:cs="Calibri"/>
          <w:color w:val="000000"/>
          <w:szCs w:val="22"/>
          <w:lang w:val="en-GB"/>
        </w:rPr>
        <w:t>ernice za biodiverzitet organizovane su oko različitih nivoa biološke organizacije, što se ogleda u Odluci Komisije 2017/848 o kriterijumima i pokazateljima i izv</w:t>
      </w:r>
      <w:r w:rsidR="00045A24">
        <w:rPr>
          <w:rFonts w:cs="Calibri"/>
          <w:color w:val="000000"/>
          <w:szCs w:val="22"/>
          <w:lang w:val="en-GB"/>
        </w:rPr>
        <w:t>j</w:t>
      </w:r>
      <w:r w:rsidR="00B35C1D" w:rsidRPr="00B35C1D">
        <w:rPr>
          <w:rFonts w:cs="Calibri"/>
          <w:color w:val="000000"/>
          <w:szCs w:val="22"/>
          <w:lang w:val="en-GB"/>
        </w:rPr>
        <w:t>eštaju ICES/JRC Radne grupe 1</w:t>
      </w:r>
      <w:r w:rsidR="00045A24" w:rsidRPr="001C6CCA">
        <w:rPr>
          <w:rStyle w:val="FootnoteReference"/>
          <w:szCs w:val="22"/>
          <w:lang w:val="en-GB" w:eastAsia="en-US"/>
        </w:rPr>
        <w:footnoteReference w:id="58"/>
      </w:r>
      <w:r w:rsidR="00045A24" w:rsidRPr="001C6CCA">
        <w:rPr>
          <w:rFonts w:cs="Calibri"/>
          <w:szCs w:val="22"/>
          <w:lang w:val="en-GB" w:eastAsia="en-US"/>
        </w:rPr>
        <w:t xml:space="preserve"> </w:t>
      </w:r>
      <w:r w:rsidR="00B35C1D" w:rsidRPr="00B35C1D">
        <w:rPr>
          <w:rFonts w:cs="Calibri"/>
          <w:color w:val="000000"/>
          <w:szCs w:val="22"/>
          <w:lang w:val="en-GB"/>
        </w:rPr>
        <w:t xml:space="preserve"> (Tabela 3.1).</w:t>
      </w:r>
    </w:p>
    <w:p w14:paraId="33727738" w14:textId="77777777" w:rsidR="00B35C1D" w:rsidRPr="001C6CCA" w:rsidRDefault="00B35C1D" w:rsidP="00F65CFF">
      <w:pPr>
        <w:autoSpaceDE w:val="0"/>
        <w:autoSpaceDN w:val="0"/>
        <w:adjustRightInd w:val="0"/>
        <w:spacing w:before="0" w:after="0"/>
        <w:rPr>
          <w:rFonts w:cs="Stag Sans Light"/>
          <w:color w:val="000000"/>
          <w:sz w:val="20"/>
          <w:szCs w:val="20"/>
          <w:lang w:val="en-GB"/>
        </w:rPr>
      </w:pPr>
    </w:p>
    <w:p w14:paraId="0024CB49" w14:textId="2A655947" w:rsidR="00045A24" w:rsidRPr="00045A24" w:rsidRDefault="002E4264" w:rsidP="000D3BB1">
      <w:pPr>
        <w:autoSpaceDE w:val="0"/>
        <w:autoSpaceDN w:val="0"/>
        <w:adjustRightInd w:val="0"/>
        <w:spacing w:before="0"/>
        <w:rPr>
          <w:b/>
          <w:bCs/>
          <w:szCs w:val="22"/>
          <w:lang w:val="en-GB"/>
        </w:rPr>
      </w:pPr>
      <w:bookmarkStart w:id="315" w:name="_Toc83643197"/>
      <w:r w:rsidRPr="00CE1E84">
        <w:rPr>
          <w:b/>
          <w:bCs/>
          <w:szCs w:val="22"/>
          <w:lang w:val="en-GB"/>
        </w:rPr>
        <w:t>Tab</w:t>
      </w:r>
      <w:r w:rsidR="00045A24" w:rsidRPr="00CE1E84">
        <w:rPr>
          <w:b/>
          <w:bCs/>
          <w:szCs w:val="22"/>
          <w:lang w:val="en-GB"/>
        </w:rPr>
        <w:t>ela</w:t>
      </w:r>
      <w:r w:rsidRPr="00CE1E84">
        <w:rPr>
          <w:b/>
          <w:bCs/>
          <w:szCs w:val="22"/>
          <w:lang w:val="en-GB"/>
        </w:rPr>
        <w:t xml:space="preserve"> </w:t>
      </w:r>
      <w:r w:rsidR="004D6D17" w:rsidRPr="00CE1E84">
        <w:rPr>
          <w:b/>
          <w:szCs w:val="22"/>
        </w:rPr>
        <w:fldChar w:fldCharType="begin"/>
      </w:r>
      <w:r w:rsidR="004D6D17" w:rsidRPr="00CE1E84">
        <w:rPr>
          <w:b/>
          <w:szCs w:val="22"/>
        </w:rPr>
        <w:instrText xml:space="preserve"> STYLEREF 1 \s </w:instrText>
      </w:r>
      <w:r w:rsidR="004D6D17" w:rsidRPr="00CE1E84">
        <w:rPr>
          <w:b/>
          <w:szCs w:val="22"/>
        </w:rPr>
        <w:fldChar w:fldCharType="separate"/>
      </w:r>
      <w:r w:rsidR="000D1E20">
        <w:rPr>
          <w:b/>
          <w:noProof/>
          <w:szCs w:val="22"/>
        </w:rPr>
        <w:t>3</w:t>
      </w:r>
      <w:r w:rsidR="004D6D17" w:rsidRPr="00CE1E84">
        <w:rPr>
          <w:b/>
          <w:szCs w:val="22"/>
        </w:rPr>
        <w:fldChar w:fldCharType="end"/>
      </w:r>
      <w:r w:rsidR="004D6D17" w:rsidRPr="00CE1E84">
        <w:rPr>
          <w:b/>
          <w:szCs w:val="22"/>
        </w:rPr>
        <w:t>.</w:t>
      </w:r>
      <w:r w:rsidR="004D6D17" w:rsidRPr="00CE1E84">
        <w:rPr>
          <w:b/>
          <w:szCs w:val="22"/>
        </w:rPr>
        <w:fldChar w:fldCharType="begin"/>
      </w:r>
      <w:r w:rsidR="004D6D17" w:rsidRPr="00CE1E84">
        <w:rPr>
          <w:b/>
          <w:szCs w:val="22"/>
        </w:rPr>
        <w:instrText xml:space="preserve"> SEQ Table \* ARABIC \s 1 </w:instrText>
      </w:r>
      <w:r w:rsidR="004D6D17" w:rsidRPr="00CE1E84">
        <w:rPr>
          <w:b/>
          <w:szCs w:val="22"/>
        </w:rPr>
        <w:fldChar w:fldCharType="separate"/>
      </w:r>
      <w:r w:rsidR="000D1E20">
        <w:rPr>
          <w:b/>
          <w:noProof/>
          <w:szCs w:val="22"/>
        </w:rPr>
        <w:t>1</w:t>
      </w:r>
      <w:r w:rsidR="004D6D17" w:rsidRPr="00CE1E84">
        <w:rPr>
          <w:b/>
          <w:szCs w:val="22"/>
        </w:rPr>
        <w:fldChar w:fldCharType="end"/>
      </w:r>
      <w:r w:rsidR="004D6D17" w:rsidRPr="00CE1E84">
        <w:rPr>
          <w:b/>
          <w:szCs w:val="22"/>
        </w:rPr>
        <w:t>.</w:t>
      </w:r>
      <w:r w:rsidR="004D6D17" w:rsidRPr="00CE1E84">
        <w:rPr>
          <w:rFonts w:eastAsia="Calibri" w:cs="Calibri"/>
          <w:b/>
          <w:szCs w:val="22"/>
          <w:lang w:val="en-GB" w:eastAsia="en-US"/>
        </w:rPr>
        <w:t xml:space="preserve"> </w:t>
      </w:r>
      <w:r w:rsidR="00045A24" w:rsidRPr="00CE1E84">
        <w:rPr>
          <w:b/>
          <w:bCs/>
          <w:szCs w:val="22"/>
          <w:lang w:val="en-GB"/>
        </w:rPr>
        <w:t>Odnos</w:t>
      </w:r>
      <w:r w:rsidR="00045A24" w:rsidRPr="00045A24">
        <w:rPr>
          <w:b/>
          <w:bCs/>
          <w:szCs w:val="22"/>
          <w:lang w:val="en-GB"/>
        </w:rPr>
        <w:t xml:space="preserve"> između</w:t>
      </w:r>
      <w:r w:rsidR="00045A24">
        <w:rPr>
          <w:b/>
          <w:bCs/>
          <w:szCs w:val="22"/>
          <w:lang w:val="en-GB"/>
        </w:rPr>
        <w:t xml:space="preserve"> </w:t>
      </w:r>
      <w:r w:rsidR="009A2662" w:rsidRPr="001C6CCA">
        <w:rPr>
          <w:b/>
          <w:bCs/>
          <w:szCs w:val="22"/>
          <w:lang w:val="en-GB"/>
        </w:rPr>
        <w:t>HBDSEG</w:t>
      </w:r>
      <w:r w:rsidR="009A2662" w:rsidRPr="001C6CCA">
        <w:rPr>
          <w:rStyle w:val="FootnoteReference"/>
          <w:b/>
          <w:bCs/>
          <w:szCs w:val="22"/>
          <w:lang w:val="en-GB"/>
        </w:rPr>
        <w:footnoteReference w:id="59"/>
      </w:r>
      <w:r w:rsidR="009A2662" w:rsidRPr="001C6CCA">
        <w:rPr>
          <w:b/>
          <w:bCs/>
          <w:szCs w:val="22"/>
          <w:lang w:val="en-GB"/>
        </w:rPr>
        <w:t xml:space="preserve"> </w:t>
      </w:r>
      <w:r w:rsidR="009A2662" w:rsidRPr="00045A24">
        <w:rPr>
          <w:b/>
          <w:bCs/>
          <w:szCs w:val="22"/>
          <w:lang w:val="en-GB"/>
        </w:rPr>
        <w:t xml:space="preserve">komponenata </w:t>
      </w:r>
      <w:r w:rsidR="00045A24" w:rsidRPr="00045A24">
        <w:rPr>
          <w:b/>
          <w:bCs/>
          <w:szCs w:val="22"/>
          <w:lang w:val="en-GB"/>
        </w:rPr>
        <w:t xml:space="preserve">podgrupe biodiverziteta i </w:t>
      </w:r>
      <w:r w:rsidR="00045A24">
        <w:rPr>
          <w:b/>
          <w:bCs/>
          <w:szCs w:val="22"/>
          <w:lang w:val="en-GB"/>
        </w:rPr>
        <w:t>ODMS</w:t>
      </w:r>
      <w:r w:rsidR="00045A24" w:rsidRPr="00045A24">
        <w:rPr>
          <w:b/>
          <w:bCs/>
          <w:szCs w:val="22"/>
          <w:lang w:val="en-GB"/>
        </w:rPr>
        <w:t xml:space="preserve"> deskriptora biodiverziteta</w:t>
      </w:r>
      <w:bookmarkEnd w:id="315"/>
    </w:p>
    <w:tbl>
      <w:tblPr>
        <w:tblStyle w:val="TableGrid5"/>
        <w:tblW w:w="0" w:type="auto"/>
        <w:jc w:val="center"/>
        <w:tblLayout w:type="fixed"/>
        <w:tblLook w:val="04A0" w:firstRow="1" w:lastRow="0" w:firstColumn="1" w:lastColumn="0" w:noHBand="0" w:noVBand="1"/>
      </w:tblPr>
      <w:tblGrid>
        <w:gridCol w:w="3266"/>
        <w:gridCol w:w="1701"/>
        <w:gridCol w:w="851"/>
        <w:gridCol w:w="850"/>
        <w:gridCol w:w="2258"/>
      </w:tblGrid>
      <w:tr w:rsidR="00117FB1" w:rsidRPr="001C6CCA" w14:paraId="09F58CF4" w14:textId="77777777" w:rsidTr="00740F40">
        <w:trPr>
          <w:jc w:val="center"/>
        </w:trPr>
        <w:tc>
          <w:tcPr>
            <w:tcW w:w="8926" w:type="dxa"/>
            <w:gridSpan w:val="5"/>
            <w:shd w:val="clear" w:color="auto" w:fill="1F497D" w:themeFill="text2"/>
          </w:tcPr>
          <w:p w14:paraId="1896E141" w14:textId="77777777" w:rsidR="00117FB1" w:rsidRDefault="00045A24" w:rsidP="00045A24">
            <w:pPr>
              <w:spacing w:before="0" w:after="0" w:line="240" w:lineRule="auto"/>
              <w:jc w:val="center"/>
              <w:rPr>
                <w:b/>
                <w:color w:val="FFFFFF"/>
                <w:lang w:val="en-GB" w:eastAsia="en-US"/>
              </w:rPr>
            </w:pPr>
            <w:bookmarkStart w:id="316" w:name="_Hlk72009324"/>
            <w:r w:rsidRPr="00045A24">
              <w:rPr>
                <w:b/>
                <w:color w:val="FFFFFF"/>
                <w:lang w:val="en-GB" w:eastAsia="en-US"/>
              </w:rPr>
              <w:t>Elementi i deskriptori biodiverziteta</w:t>
            </w:r>
          </w:p>
          <w:p w14:paraId="6976B473" w14:textId="1ED97CD6" w:rsidR="00045A24" w:rsidRPr="001C6CCA" w:rsidRDefault="00045A24" w:rsidP="00045A24">
            <w:pPr>
              <w:spacing w:before="0" w:after="0" w:line="240" w:lineRule="auto"/>
              <w:jc w:val="center"/>
              <w:rPr>
                <w:sz w:val="20"/>
                <w:szCs w:val="20"/>
                <w:lang w:val="en-GB" w:eastAsia="en-US"/>
              </w:rPr>
            </w:pPr>
          </w:p>
        </w:tc>
      </w:tr>
      <w:tr w:rsidR="00117FB1" w:rsidRPr="001C6CCA" w14:paraId="068437E5" w14:textId="77777777" w:rsidTr="0014556F">
        <w:trPr>
          <w:jc w:val="center"/>
        </w:trPr>
        <w:tc>
          <w:tcPr>
            <w:tcW w:w="3266" w:type="dxa"/>
            <w:shd w:val="clear" w:color="auto" w:fill="8DB3E2" w:themeFill="text2" w:themeFillTint="66"/>
          </w:tcPr>
          <w:p w14:paraId="12CEDB5B" w14:textId="77777777" w:rsidR="00045A24" w:rsidRPr="00045A24" w:rsidRDefault="00045A24" w:rsidP="00045A24">
            <w:pPr>
              <w:spacing w:before="0" w:after="0" w:line="240" w:lineRule="auto"/>
              <w:jc w:val="left"/>
              <w:rPr>
                <w:b/>
                <w:sz w:val="20"/>
                <w:szCs w:val="20"/>
                <w:lang w:val="en-GB" w:eastAsia="en-US"/>
              </w:rPr>
            </w:pPr>
            <w:r w:rsidRPr="00045A24">
              <w:rPr>
                <w:b/>
                <w:sz w:val="20"/>
                <w:szCs w:val="20"/>
                <w:lang w:val="en-GB" w:eastAsia="en-US"/>
              </w:rPr>
              <w:t>Vrste i staništa</w:t>
            </w:r>
          </w:p>
          <w:p w14:paraId="2C2D12B5" w14:textId="4B0E53CD" w:rsidR="00117FB1" w:rsidRPr="00045A24" w:rsidRDefault="00117FB1" w:rsidP="00045A24">
            <w:pPr>
              <w:spacing w:before="0" w:after="0" w:line="240" w:lineRule="auto"/>
              <w:jc w:val="left"/>
              <w:rPr>
                <w:b/>
                <w:sz w:val="20"/>
                <w:szCs w:val="20"/>
                <w:lang w:val="en-GB" w:eastAsia="en-US"/>
              </w:rPr>
            </w:pPr>
          </w:p>
        </w:tc>
        <w:tc>
          <w:tcPr>
            <w:tcW w:w="1701" w:type="dxa"/>
            <w:shd w:val="clear" w:color="auto" w:fill="8DB3E2" w:themeFill="text2" w:themeFillTint="66"/>
          </w:tcPr>
          <w:p w14:paraId="583367B8" w14:textId="5BDFA876" w:rsidR="00117FB1" w:rsidRPr="00045A24" w:rsidRDefault="00045A24" w:rsidP="00045A24">
            <w:pPr>
              <w:spacing w:before="0" w:after="0" w:line="240" w:lineRule="auto"/>
              <w:jc w:val="left"/>
              <w:rPr>
                <w:b/>
                <w:sz w:val="20"/>
                <w:szCs w:val="20"/>
                <w:lang w:val="en-GB" w:eastAsia="en-US"/>
              </w:rPr>
            </w:pPr>
            <w:r>
              <w:rPr>
                <w:b/>
                <w:sz w:val="20"/>
                <w:szCs w:val="20"/>
                <w:lang w:val="en-GB" w:eastAsia="en-US"/>
              </w:rPr>
              <w:t>Komponente podgrupa</w:t>
            </w:r>
          </w:p>
        </w:tc>
        <w:tc>
          <w:tcPr>
            <w:tcW w:w="3959" w:type="dxa"/>
            <w:gridSpan w:val="3"/>
            <w:shd w:val="clear" w:color="auto" w:fill="8DB3E2" w:themeFill="text2" w:themeFillTint="66"/>
          </w:tcPr>
          <w:p w14:paraId="471EE000" w14:textId="6091FE8F" w:rsidR="00117FB1" w:rsidRPr="00045A24" w:rsidRDefault="00045A24" w:rsidP="00F65CFF">
            <w:pPr>
              <w:spacing w:before="0" w:after="0" w:line="240" w:lineRule="auto"/>
              <w:jc w:val="center"/>
              <w:rPr>
                <w:b/>
                <w:sz w:val="20"/>
                <w:szCs w:val="20"/>
                <w:lang w:val="en-GB" w:eastAsia="en-US"/>
              </w:rPr>
            </w:pPr>
            <w:r w:rsidRPr="00045A24">
              <w:rPr>
                <w:b/>
                <w:sz w:val="20"/>
                <w:szCs w:val="20"/>
                <w:lang w:val="en-GB" w:eastAsia="en-US"/>
              </w:rPr>
              <w:t>Relevantnost deskriptora</w:t>
            </w:r>
          </w:p>
        </w:tc>
      </w:tr>
      <w:tr w:rsidR="007B038D" w:rsidRPr="001C6CCA" w14:paraId="6781558E" w14:textId="77777777" w:rsidTr="005610D6">
        <w:trPr>
          <w:jc w:val="center"/>
        </w:trPr>
        <w:tc>
          <w:tcPr>
            <w:tcW w:w="3266" w:type="dxa"/>
            <w:vMerge w:val="restart"/>
          </w:tcPr>
          <w:p w14:paraId="089C6682" w14:textId="77777777" w:rsidR="00D60714" w:rsidRPr="00D60714" w:rsidRDefault="00D60714" w:rsidP="00D60714">
            <w:pPr>
              <w:spacing w:before="0" w:after="0" w:line="240" w:lineRule="auto"/>
              <w:jc w:val="left"/>
              <w:rPr>
                <w:b/>
                <w:sz w:val="20"/>
                <w:szCs w:val="20"/>
                <w:lang w:val="en-GB" w:eastAsia="en-US"/>
              </w:rPr>
            </w:pPr>
            <w:r w:rsidRPr="00D60714">
              <w:rPr>
                <w:b/>
                <w:sz w:val="20"/>
                <w:szCs w:val="20"/>
                <w:lang w:val="en-GB" w:eastAsia="en-US"/>
              </w:rPr>
              <w:t>Veoma pokretne vrste</w:t>
            </w:r>
          </w:p>
          <w:p w14:paraId="399BF087" w14:textId="5EFFF333" w:rsidR="00D60714" w:rsidRPr="001C6CCA" w:rsidRDefault="00D60714" w:rsidP="00D60714">
            <w:pPr>
              <w:spacing w:before="0" w:after="0" w:line="240" w:lineRule="auto"/>
              <w:jc w:val="left"/>
              <w:rPr>
                <w:sz w:val="20"/>
                <w:szCs w:val="20"/>
                <w:lang w:val="en-GB" w:eastAsia="en-US"/>
              </w:rPr>
            </w:pPr>
            <w:r w:rsidRPr="00D60714">
              <w:rPr>
                <w:b/>
                <w:sz w:val="20"/>
                <w:szCs w:val="20"/>
                <w:lang w:val="en-GB" w:eastAsia="en-US"/>
              </w:rPr>
              <w:t xml:space="preserve">Pojedinačne vrste sa obje liste, </w:t>
            </w:r>
            <w:r w:rsidRPr="00D60714">
              <w:rPr>
                <w:sz w:val="20"/>
                <w:szCs w:val="20"/>
                <w:lang w:val="en-GB" w:eastAsia="en-US"/>
              </w:rPr>
              <w:t xml:space="preserve">poput onih </w:t>
            </w:r>
            <w:r>
              <w:rPr>
                <w:sz w:val="20"/>
                <w:szCs w:val="20"/>
                <w:lang w:val="en-GB" w:eastAsia="en-US"/>
              </w:rPr>
              <w:t xml:space="preserve">definisanih u zakonodavstvu </w:t>
            </w:r>
            <w:r w:rsidRPr="00D60714">
              <w:rPr>
                <w:sz w:val="20"/>
                <w:szCs w:val="20"/>
                <w:lang w:val="en-GB" w:eastAsia="en-US"/>
              </w:rPr>
              <w:t xml:space="preserve">Zajednice ili međunarodnim sporazumima, i </w:t>
            </w:r>
            <w:r w:rsidRPr="00D60714">
              <w:rPr>
                <w:b/>
                <w:sz w:val="20"/>
                <w:szCs w:val="20"/>
                <w:lang w:val="en-GB" w:eastAsia="en-US"/>
              </w:rPr>
              <w:t>funkcionalne grupe</w:t>
            </w:r>
            <w:r w:rsidRPr="00D60714">
              <w:rPr>
                <w:sz w:val="20"/>
                <w:szCs w:val="20"/>
                <w:lang w:val="en-GB" w:eastAsia="en-US"/>
              </w:rPr>
              <w:t xml:space="preserve"> koje predstavljaju glavne grupe visoko pokretnih taksona</w:t>
            </w:r>
          </w:p>
        </w:tc>
        <w:tc>
          <w:tcPr>
            <w:tcW w:w="1701" w:type="dxa"/>
          </w:tcPr>
          <w:p w14:paraId="2E672F87" w14:textId="495C2854" w:rsidR="007B038D" w:rsidRPr="001C6CCA" w:rsidRDefault="00D60714" w:rsidP="00F65CFF">
            <w:pPr>
              <w:spacing w:before="0" w:after="0" w:line="240" w:lineRule="auto"/>
              <w:jc w:val="left"/>
              <w:rPr>
                <w:sz w:val="20"/>
                <w:szCs w:val="20"/>
                <w:lang w:val="en-GB" w:eastAsia="en-US"/>
              </w:rPr>
            </w:pPr>
            <w:r>
              <w:rPr>
                <w:sz w:val="20"/>
                <w:szCs w:val="20"/>
                <w:lang w:val="en-GB" w:eastAsia="en-US"/>
              </w:rPr>
              <w:t>Ptice</w:t>
            </w:r>
          </w:p>
          <w:p w14:paraId="479728A2" w14:textId="77777777" w:rsidR="007B038D" w:rsidRPr="001C6CCA" w:rsidRDefault="007B038D" w:rsidP="00F65CFF">
            <w:pPr>
              <w:spacing w:before="0" w:after="0" w:line="240" w:lineRule="auto"/>
              <w:jc w:val="left"/>
              <w:rPr>
                <w:sz w:val="20"/>
                <w:szCs w:val="20"/>
                <w:lang w:val="en-GB" w:eastAsia="en-US"/>
              </w:rPr>
            </w:pPr>
          </w:p>
        </w:tc>
        <w:tc>
          <w:tcPr>
            <w:tcW w:w="851" w:type="dxa"/>
            <w:vMerge w:val="restart"/>
            <w:textDirection w:val="btLr"/>
          </w:tcPr>
          <w:p w14:paraId="1E52DA3A" w14:textId="404F1292" w:rsidR="007B038D" w:rsidRPr="001C6CCA" w:rsidRDefault="007B038D" w:rsidP="00D60714">
            <w:pPr>
              <w:spacing w:before="0" w:after="0" w:line="240" w:lineRule="auto"/>
              <w:ind w:left="113" w:right="113"/>
              <w:jc w:val="center"/>
              <w:rPr>
                <w:sz w:val="20"/>
                <w:szCs w:val="20"/>
                <w:lang w:val="en-GB" w:eastAsia="en-US"/>
              </w:rPr>
            </w:pPr>
            <w:r w:rsidRPr="001C6CCA">
              <w:rPr>
                <w:sz w:val="20"/>
                <w:szCs w:val="20"/>
                <w:lang w:val="en-GB" w:eastAsia="en-US"/>
              </w:rPr>
              <w:t>D 1  Biodivers</w:t>
            </w:r>
            <w:r w:rsidR="00D60714">
              <w:rPr>
                <w:sz w:val="20"/>
                <w:szCs w:val="20"/>
                <w:lang w:val="en-GB" w:eastAsia="en-US"/>
              </w:rPr>
              <w:t>zitet</w:t>
            </w:r>
          </w:p>
          <w:p w14:paraId="6B8AB50A" w14:textId="24923B44" w:rsidR="007B038D" w:rsidRPr="001C6CCA" w:rsidRDefault="007B038D" w:rsidP="00F65CFF">
            <w:pPr>
              <w:spacing w:before="0" w:after="0" w:line="240" w:lineRule="auto"/>
              <w:ind w:left="113" w:right="113"/>
              <w:jc w:val="left"/>
              <w:rPr>
                <w:sz w:val="20"/>
                <w:szCs w:val="20"/>
                <w:lang w:val="en-GB" w:eastAsia="en-US"/>
              </w:rPr>
            </w:pPr>
            <w:r w:rsidRPr="001C6CCA">
              <w:rPr>
                <w:sz w:val="20"/>
                <w:szCs w:val="20"/>
                <w:lang w:val="en-GB" w:eastAsia="en-US"/>
              </w:rPr>
              <w:t xml:space="preserve">                                  </w:t>
            </w:r>
          </w:p>
          <w:p w14:paraId="435035E5" w14:textId="77777777" w:rsidR="007B038D" w:rsidRPr="001C6CCA" w:rsidRDefault="007B038D" w:rsidP="00F65CFF">
            <w:pPr>
              <w:spacing w:before="0" w:after="0" w:line="240" w:lineRule="auto"/>
              <w:ind w:left="113" w:right="113"/>
              <w:jc w:val="left"/>
              <w:rPr>
                <w:sz w:val="20"/>
                <w:szCs w:val="20"/>
                <w:lang w:val="en-GB" w:eastAsia="en-US"/>
              </w:rPr>
            </w:pPr>
          </w:p>
          <w:p w14:paraId="7730765E" w14:textId="77777777" w:rsidR="007B038D" w:rsidRPr="001C6CCA" w:rsidRDefault="007B038D" w:rsidP="00F65CFF">
            <w:pPr>
              <w:spacing w:before="0" w:after="0" w:line="240" w:lineRule="auto"/>
              <w:ind w:left="113" w:right="113"/>
              <w:jc w:val="left"/>
              <w:rPr>
                <w:sz w:val="20"/>
                <w:szCs w:val="20"/>
                <w:lang w:val="en-GB" w:eastAsia="en-US"/>
              </w:rPr>
            </w:pPr>
          </w:p>
          <w:p w14:paraId="1939EEBC" w14:textId="77777777" w:rsidR="007B038D" w:rsidRPr="001C6CCA" w:rsidRDefault="007B038D" w:rsidP="00F65CFF">
            <w:pPr>
              <w:spacing w:before="0" w:after="0" w:line="240" w:lineRule="auto"/>
              <w:ind w:left="113" w:right="113"/>
              <w:jc w:val="left"/>
              <w:rPr>
                <w:sz w:val="20"/>
                <w:szCs w:val="20"/>
                <w:lang w:val="en-GB" w:eastAsia="en-US"/>
              </w:rPr>
            </w:pPr>
          </w:p>
          <w:p w14:paraId="5E885C11" w14:textId="77777777" w:rsidR="007B038D" w:rsidRPr="001C6CCA" w:rsidRDefault="007B038D" w:rsidP="00F65CFF">
            <w:pPr>
              <w:spacing w:before="0" w:after="0" w:line="240" w:lineRule="auto"/>
              <w:ind w:left="113" w:right="113"/>
              <w:jc w:val="left"/>
              <w:rPr>
                <w:sz w:val="20"/>
                <w:szCs w:val="20"/>
                <w:lang w:val="en-GB" w:eastAsia="en-US"/>
              </w:rPr>
            </w:pPr>
            <w:r w:rsidRPr="001C6CCA">
              <w:rPr>
                <w:sz w:val="20"/>
                <w:szCs w:val="20"/>
                <w:lang w:val="en-GB" w:eastAsia="en-US"/>
              </w:rPr>
              <w:t xml:space="preserve">D 1  Biodiversity </w:t>
            </w:r>
          </w:p>
          <w:p w14:paraId="3040D3BD" w14:textId="77777777" w:rsidR="007B038D" w:rsidRPr="001C6CCA" w:rsidRDefault="007B038D" w:rsidP="00F65CFF">
            <w:pPr>
              <w:spacing w:before="0" w:after="0" w:line="240" w:lineRule="auto"/>
              <w:ind w:left="113" w:right="113"/>
              <w:jc w:val="left"/>
              <w:rPr>
                <w:sz w:val="20"/>
                <w:szCs w:val="20"/>
                <w:lang w:val="en-GB" w:eastAsia="en-US"/>
              </w:rPr>
            </w:pPr>
          </w:p>
          <w:p w14:paraId="4207D227" w14:textId="77777777" w:rsidR="007B038D" w:rsidRPr="001C6CCA" w:rsidRDefault="007B038D" w:rsidP="00F65CFF">
            <w:pPr>
              <w:spacing w:before="0" w:after="0" w:line="240" w:lineRule="auto"/>
              <w:ind w:left="113" w:right="113"/>
              <w:jc w:val="left"/>
              <w:rPr>
                <w:sz w:val="20"/>
                <w:szCs w:val="20"/>
                <w:lang w:val="en-GB" w:eastAsia="en-US"/>
              </w:rPr>
            </w:pPr>
          </w:p>
          <w:p w14:paraId="4115E980" w14:textId="77777777" w:rsidR="007B038D" w:rsidRPr="001C6CCA" w:rsidRDefault="007B038D" w:rsidP="00F65CFF">
            <w:pPr>
              <w:spacing w:before="0" w:after="0" w:line="240" w:lineRule="auto"/>
              <w:ind w:left="113" w:right="113"/>
              <w:jc w:val="left"/>
              <w:rPr>
                <w:sz w:val="20"/>
                <w:szCs w:val="20"/>
                <w:lang w:val="en-GB" w:eastAsia="en-US"/>
              </w:rPr>
            </w:pPr>
          </w:p>
        </w:tc>
        <w:tc>
          <w:tcPr>
            <w:tcW w:w="850" w:type="dxa"/>
            <w:vMerge w:val="restart"/>
            <w:textDirection w:val="btLr"/>
          </w:tcPr>
          <w:p w14:paraId="00ABAA59" w14:textId="2B936296" w:rsidR="007B038D" w:rsidRPr="001C6CCA" w:rsidRDefault="007B038D" w:rsidP="00D60714">
            <w:pPr>
              <w:spacing w:before="0" w:after="0" w:line="240" w:lineRule="auto"/>
              <w:ind w:left="113" w:right="113"/>
              <w:jc w:val="center"/>
              <w:rPr>
                <w:sz w:val="20"/>
                <w:szCs w:val="20"/>
                <w:lang w:val="en-GB" w:eastAsia="en-US"/>
              </w:rPr>
            </w:pPr>
            <w:r w:rsidRPr="001C6CCA">
              <w:rPr>
                <w:sz w:val="20"/>
                <w:szCs w:val="20"/>
                <w:lang w:val="en-GB" w:eastAsia="en-US"/>
              </w:rPr>
              <w:t xml:space="preserve">D 4  </w:t>
            </w:r>
            <w:r w:rsidR="00D60714">
              <w:rPr>
                <w:sz w:val="20"/>
                <w:szCs w:val="20"/>
                <w:lang w:val="en-GB" w:eastAsia="en-US"/>
              </w:rPr>
              <w:t>Lanac ishrane</w:t>
            </w:r>
          </w:p>
        </w:tc>
        <w:tc>
          <w:tcPr>
            <w:tcW w:w="2258" w:type="dxa"/>
            <w:vMerge w:val="restart"/>
            <w:shd w:val="clear" w:color="auto" w:fill="F2F2F2" w:themeFill="background1" w:themeFillShade="F2"/>
          </w:tcPr>
          <w:p w14:paraId="54B2B973" w14:textId="77777777" w:rsidR="007B038D" w:rsidRPr="001C6CCA" w:rsidRDefault="007B038D" w:rsidP="00F65CFF">
            <w:pPr>
              <w:spacing w:before="0" w:after="0" w:line="240" w:lineRule="auto"/>
              <w:jc w:val="left"/>
              <w:rPr>
                <w:sz w:val="20"/>
                <w:szCs w:val="20"/>
                <w:lang w:val="en-GB" w:eastAsia="en-US"/>
              </w:rPr>
            </w:pPr>
          </w:p>
        </w:tc>
      </w:tr>
      <w:tr w:rsidR="007B038D" w:rsidRPr="001C6CCA" w14:paraId="38E984C6" w14:textId="77777777" w:rsidTr="005610D6">
        <w:trPr>
          <w:jc w:val="center"/>
        </w:trPr>
        <w:tc>
          <w:tcPr>
            <w:tcW w:w="3266" w:type="dxa"/>
            <w:vMerge/>
          </w:tcPr>
          <w:p w14:paraId="67BC19A7" w14:textId="77777777" w:rsidR="007B038D" w:rsidRPr="001C6CCA" w:rsidRDefault="007B038D" w:rsidP="002079B4">
            <w:pPr>
              <w:spacing w:before="0" w:after="0" w:line="240" w:lineRule="auto"/>
              <w:jc w:val="left"/>
              <w:rPr>
                <w:sz w:val="20"/>
                <w:szCs w:val="20"/>
                <w:lang w:val="en-GB" w:eastAsia="en-US"/>
              </w:rPr>
            </w:pPr>
          </w:p>
        </w:tc>
        <w:tc>
          <w:tcPr>
            <w:tcW w:w="1701" w:type="dxa"/>
          </w:tcPr>
          <w:p w14:paraId="3630F92E" w14:textId="203FDA44" w:rsidR="007B038D" w:rsidRPr="001C6CCA" w:rsidRDefault="00D60714" w:rsidP="00F65CFF">
            <w:pPr>
              <w:spacing w:before="0" w:after="0" w:line="240" w:lineRule="auto"/>
              <w:jc w:val="left"/>
              <w:rPr>
                <w:sz w:val="20"/>
                <w:szCs w:val="20"/>
                <w:lang w:val="en-GB" w:eastAsia="en-US"/>
              </w:rPr>
            </w:pPr>
            <w:r>
              <w:rPr>
                <w:sz w:val="20"/>
                <w:szCs w:val="20"/>
                <w:lang w:val="en-GB" w:eastAsia="en-US"/>
              </w:rPr>
              <w:t>Sisari i gmizavci</w:t>
            </w:r>
          </w:p>
          <w:p w14:paraId="0FD42791" w14:textId="77777777" w:rsidR="007B038D" w:rsidRPr="001C6CCA" w:rsidRDefault="007B038D" w:rsidP="00F65CFF">
            <w:pPr>
              <w:spacing w:before="0" w:after="0" w:line="240" w:lineRule="auto"/>
              <w:jc w:val="left"/>
              <w:rPr>
                <w:sz w:val="20"/>
                <w:szCs w:val="20"/>
                <w:lang w:val="en-GB" w:eastAsia="en-US"/>
              </w:rPr>
            </w:pPr>
          </w:p>
        </w:tc>
        <w:tc>
          <w:tcPr>
            <w:tcW w:w="851" w:type="dxa"/>
            <w:vMerge/>
          </w:tcPr>
          <w:p w14:paraId="58FE8E96" w14:textId="77777777" w:rsidR="007B038D" w:rsidRPr="001C6CCA" w:rsidRDefault="007B038D" w:rsidP="00F65CFF">
            <w:pPr>
              <w:spacing w:before="0" w:after="0" w:line="240" w:lineRule="auto"/>
              <w:jc w:val="left"/>
              <w:rPr>
                <w:sz w:val="20"/>
                <w:szCs w:val="20"/>
                <w:lang w:val="en-GB" w:eastAsia="en-US"/>
              </w:rPr>
            </w:pPr>
          </w:p>
        </w:tc>
        <w:tc>
          <w:tcPr>
            <w:tcW w:w="850" w:type="dxa"/>
            <w:vMerge/>
          </w:tcPr>
          <w:p w14:paraId="38B0F113" w14:textId="77777777" w:rsidR="007B038D" w:rsidRPr="001C6CCA" w:rsidRDefault="007B038D" w:rsidP="00F65CFF">
            <w:pPr>
              <w:spacing w:before="0" w:after="0" w:line="240" w:lineRule="auto"/>
              <w:jc w:val="left"/>
              <w:rPr>
                <w:sz w:val="20"/>
                <w:szCs w:val="20"/>
                <w:lang w:val="en-GB" w:eastAsia="en-US"/>
              </w:rPr>
            </w:pPr>
          </w:p>
        </w:tc>
        <w:tc>
          <w:tcPr>
            <w:tcW w:w="2258" w:type="dxa"/>
            <w:vMerge/>
            <w:shd w:val="clear" w:color="auto" w:fill="F2F2F2" w:themeFill="background1" w:themeFillShade="F2"/>
          </w:tcPr>
          <w:p w14:paraId="771D44E9" w14:textId="77777777" w:rsidR="007B038D" w:rsidRPr="001C6CCA" w:rsidRDefault="007B038D" w:rsidP="00F65CFF">
            <w:pPr>
              <w:spacing w:before="0" w:after="0" w:line="240" w:lineRule="auto"/>
              <w:jc w:val="left"/>
              <w:rPr>
                <w:sz w:val="20"/>
                <w:szCs w:val="20"/>
                <w:lang w:val="en-GB" w:eastAsia="en-US"/>
              </w:rPr>
            </w:pPr>
          </w:p>
        </w:tc>
      </w:tr>
      <w:tr w:rsidR="007B038D" w:rsidRPr="001C6CCA" w14:paraId="7D3A9FFF" w14:textId="77777777" w:rsidTr="005610D6">
        <w:trPr>
          <w:jc w:val="center"/>
        </w:trPr>
        <w:tc>
          <w:tcPr>
            <w:tcW w:w="3266" w:type="dxa"/>
            <w:vMerge/>
          </w:tcPr>
          <w:p w14:paraId="71976995" w14:textId="77777777" w:rsidR="007B038D" w:rsidRPr="001C6CCA" w:rsidRDefault="007B038D" w:rsidP="002079B4">
            <w:pPr>
              <w:spacing w:before="0" w:after="0" w:line="240" w:lineRule="auto"/>
              <w:jc w:val="left"/>
              <w:rPr>
                <w:sz w:val="20"/>
                <w:szCs w:val="20"/>
                <w:lang w:val="en-GB" w:eastAsia="en-US"/>
              </w:rPr>
            </w:pPr>
          </w:p>
        </w:tc>
        <w:tc>
          <w:tcPr>
            <w:tcW w:w="1701" w:type="dxa"/>
          </w:tcPr>
          <w:p w14:paraId="58BA682C" w14:textId="656CEC5C" w:rsidR="007B038D" w:rsidRPr="001C6CCA" w:rsidRDefault="00D60714" w:rsidP="00F65CFF">
            <w:pPr>
              <w:spacing w:before="0" w:after="0" w:line="240" w:lineRule="auto"/>
              <w:jc w:val="left"/>
              <w:rPr>
                <w:sz w:val="20"/>
                <w:szCs w:val="20"/>
                <w:lang w:val="en-GB" w:eastAsia="en-US"/>
              </w:rPr>
            </w:pPr>
            <w:r>
              <w:rPr>
                <w:sz w:val="20"/>
                <w:szCs w:val="20"/>
                <w:lang w:val="en-GB" w:eastAsia="en-US"/>
              </w:rPr>
              <w:t>Ribe</w:t>
            </w:r>
          </w:p>
        </w:tc>
        <w:tc>
          <w:tcPr>
            <w:tcW w:w="851" w:type="dxa"/>
            <w:vMerge/>
          </w:tcPr>
          <w:p w14:paraId="023B4152" w14:textId="77777777" w:rsidR="007B038D" w:rsidRPr="001C6CCA" w:rsidRDefault="007B038D" w:rsidP="00F65CFF">
            <w:pPr>
              <w:spacing w:before="0" w:after="0" w:line="240" w:lineRule="auto"/>
              <w:jc w:val="left"/>
              <w:rPr>
                <w:sz w:val="20"/>
                <w:szCs w:val="20"/>
                <w:lang w:val="en-GB" w:eastAsia="en-US"/>
              </w:rPr>
            </w:pPr>
          </w:p>
        </w:tc>
        <w:tc>
          <w:tcPr>
            <w:tcW w:w="850" w:type="dxa"/>
            <w:vMerge/>
          </w:tcPr>
          <w:p w14:paraId="36459864" w14:textId="77777777" w:rsidR="007B038D" w:rsidRPr="001C6CCA" w:rsidRDefault="007B038D" w:rsidP="00F65CFF">
            <w:pPr>
              <w:spacing w:before="0" w:after="0" w:line="240" w:lineRule="auto"/>
              <w:jc w:val="left"/>
              <w:rPr>
                <w:sz w:val="20"/>
                <w:szCs w:val="20"/>
                <w:lang w:val="en-GB" w:eastAsia="en-US"/>
              </w:rPr>
            </w:pPr>
          </w:p>
        </w:tc>
        <w:tc>
          <w:tcPr>
            <w:tcW w:w="2258" w:type="dxa"/>
            <w:vMerge/>
            <w:shd w:val="clear" w:color="auto" w:fill="F2F2F2" w:themeFill="background1" w:themeFillShade="F2"/>
          </w:tcPr>
          <w:p w14:paraId="26F4179D" w14:textId="77777777" w:rsidR="007B038D" w:rsidRPr="001C6CCA" w:rsidRDefault="007B038D" w:rsidP="00F65CFF">
            <w:pPr>
              <w:spacing w:before="0" w:after="0" w:line="240" w:lineRule="auto"/>
              <w:jc w:val="left"/>
              <w:rPr>
                <w:sz w:val="20"/>
                <w:szCs w:val="20"/>
                <w:lang w:val="en-GB" w:eastAsia="en-US"/>
              </w:rPr>
            </w:pPr>
          </w:p>
        </w:tc>
      </w:tr>
      <w:tr w:rsidR="00117FB1" w:rsidRPr="001C6CCA" w14:paraId="691FFE47" w14:textId="77777777" w:rsidTr="005610D6">
        <w:trPr>
          <w:trHeight w:val="786"/>
          <w:jc w:val="center"/>
        </w:trPr>
        <w:tc>
          <w:tcPr>
            <w:tcW w:w="3266" w:type="dxa"/>
            <w:vMerge w:val="restart"/>
          </w:tcPr>
          <w:p w14:paraId="58EEAD50" w14:textId="77777777" w:rsidR="00D60714" w:rsidRPr="00D60714" w:rsidRDefault="00D60714" w:rsidP="00D60714">
            <w:pPr>
              <w:spacing w:before="0" w:after="0" w:line="240" w:lineRule="auto"/>
              <w:jc w:val="left"/>
              <w:rPr>
                <w:b/>
                <w:sz w:val="20"/>
                <w:szCs w:val="20"/>
                <w:lang w:val="en-GB" w:eastAsia="en-US"/>
              </w:rPr>
            </w:pPr>
            <w:r w:rsidRPr="00D60714">
              <w:rPr>
                <w:b/>
                <w:sz w:val="20"/>
                <w:szCs w:val="20"/>
                <w:lang w:val="en-GB" w:eastAsia="en-US"/>
              </w:rPr>
              <w:t>Staništa</w:t>
            </w:r>
          </w:p>
          <w:p w14:paraId="53749092" w14:textId="0F22D2FE" w:rsidR="00D60714" w:rsidRPr="001C6CCA" w:rsidRDefault="00D60714" w:rsidP="00D60714">
            <w:pPr>
              <w:spacing w:before="0" w:after="0" w:line="240" w:lineRule="auto"/>
              <w:jc w:val="left"/>
              <w:rPr>
                <w:sz w:val="20"/>
                <w:szCs w:val="20"/>
                <w:lang w:val="en-GB" w:eastAsia="en-US"/>
              </w:rPr>
            </w:pPr>
            <w:r w:rsidRPr="00D60714">
              <w:rPr>
                <w:sz w:val="20"/>
                <w:szCs w:val="20"/>
                <w:lang w:val="en-GB" w:eastAsia="en-US"/>
              </w:rPr>
              <w:t xml:space="preserve">Oba posebna tipa staništa (navedena u zakonodavstvu Zajednice ili međunarodnim konvencijama) i </w:t>
            </w:r>
            <w:r w:rsidRPr="00D60714">
              <w:rPr>
                <w:b/>
                <w:sz w:val="20"/>
                <w:szCs w:val="20"/>
                <w:lang w:val="en-GB" w:eastAsia="en-US"/>
              </w:rPr>
              <w:t>pretežna staništa</w:t>
            </w:r>
            <w:r w:rsidRPr="00D60714">
              <w:rPr>
                <w:sz w:val="20"/>
                <w:szCs w:val="20"/>
                <w:lang w:val="en-GB" w:eastAsia="en-US"/>
              </w:rPr>
              <w:t xml:space="preserve"> koja pokrivaju staništa </w:t>
            </w:r>
            <w:r w:rsidRPr="00D60714">
              <w:rPr>
                <w:b/>
                <w:sz w:val="20"/>
                <w:szCs w:val="20"/>
                <w:lang w:val="en-GB" w:eastAsia="en-US"/>
              </w:rPr>
              <w:t>morskog dna</w:t>
            </w:r>
            <w:r w:rsidRPr="00D60714">
              <w:rPr>
                <w:sz w:val="20"/>
                <w:szCs w:val="20"/>
                <w:lang w:val="en-GB" w:eastAsia="en-US"/>
              </w:rPr>
              <w:t xml:space="preserve"> i </w:t>
            </w:r>
            <w:r w:rsidRPr="00D60714">
              <w:rPr>
                <w:b/>
                <w:sz w:val="20"/>
                <w:szCs w:val="20"/>
                <w:lang w:val="en-GB" w:eastAsia="en-US"/>
              </w:rPr>
              <w:t>vodenog stuba</w:t>
            </w:r>
            <w:r w:rsidRPr="00D60714">
              <w:rPr>
                <w:sz w:val="20"/>
                <w:szCs w:val="20"/>
                <w:lang w:val="en-GB" w:eastAsia="en-US"/>
              </w:rPr>
              <w:t xml:space="preserve">, uključujući i njihove povezane biološke zajednice (npr. Plankton, makro alge, </w:t>
            </w:r>
            <w:r w:rsidR="004F26E3">
              <w:rPr>
                <w:sz w:val="20"/>
                <w:szCs w:val="20"/>
                <w:lang w:val="en-GB" w:eastAsia="en-US"/>
              </w:rPr>
              <w:t xml:space="preserve">morske trave </w:t>
            </w:r>
            <w:r w:rsidRPr="00AA6D51">
              <w:rPr>
                <w:sz w:val="20"/>
                <w:szCs w:val="20"/>
                <w:lang w:val="en-GB" w:eastAsia="en-US"/>
              </w:rPr>
              <w:t>i</w:t>
            </w:r>
            <w:r w:rsidRPr="00D60714">
              <w:rPr>
                <w:sz w:val="20"/>
                <w:szCs w:val="20"/>
                <w:lang w:val="en-GB" w:eastAsia="en-US"/>
              </w:rPr>
              <w:t xml:space="preserve"> bentoska fauna)</w:t>
            </w:r>
          </w:p>
        </w:tc>
        <w:tc>
          <w:tcPr>
            <w:tcW w:w="1701" w:type="dxa"/>
          </w:tcPr>
          <w:p w14:paraId="3E8B7FF7" w14:textId="61F970D1" w:rsidR="00117FB1" w:rsidRPr="001C6CCA" w:rsidRDefault="00D60714" w:rsidP="00F65CFF">
            <w:pPr>
              <w:spacing w:before="0" w:after="0" w:line="240" w:lineRule="auto"/>
              <w:jc w:val="left"/>
              <w:rPr>
                <w:sz w:val="20"/>
                <w:szCs w:val="20"/>
                <w:lang w:val="en-GB" w:eastAsia="en-US"/>
              </w:rPr>
            </w:pPr>
            <w:r>
              <w:rPr>
                <w:sz w:val="20"/>
                <w:szCs w:val="20"/>
                <w:lang w:val="en-GB" w:eastAsia="en-US"/>
              </w:rPr>
              <w:t>P</w:t>
            </w:r>
            <w:r w:rsidRPr="00D60714">
              <w:rPr>
                <w:sz w:val="20"/>
                <w:szCs w:val="20"/>
                <w:lang w:val="en-GB" w:eastAsia="en-US"/>
              </w:rPr>
              <w:t>elagičn</w:t>
            </w:r>
            <w:r>
              <w:rPr>
                <w:sz w:val="20"/>
                <w:szCs w:val="20"/>
                <w:lang w:val="en-GB" w:eastAsia="en-US"/>
              </w:rPr>
              <w:t>a staništa</w:t>
            </w:r>
            <w:r w:rsidRPr="00D60714">
              <w:rPr>
                <w:sz w:val="20"/>
                <w:szCs w:val="20"/>
                <w:lang w:val="en-GB" w:eastAsia="en-US"/>
              </w:rPr>
              <w:t xml:space="preserve"> </w:t>
            </w:r>
            <w:r w:rsidR="00117FB1" w:rsidRPr="001C6CCA">
              <w:rPr>
                <w:sz w:val="20"/>
                <w:szCs w:val="20"/>
                <w:lang w:val="en-GB" w:eastAsia="en-US"/>
              </w:rPr>
              <w:t>(</w:t>
            </w:r>
            <w:r>
              <w:rPr>
                <w:sz w:val="20"/>
                <w:szCs w:val="20"/>
                <w:lang w:val="en-GB" w:eastAsia="en-US"/>
              </w:rPr>
              <w:t>Vodeni stub</w:t>
            </w:r>
            <w:r w:rsidR="00117FB1" w:rsidRPr="001C6CCA">
              <w:rPr>
                <w:sz w:val="20"/>
                <w:szCs w:val="20"/>
                <w:lang w:val="en-GB" w:eastAsia="en-US"/>
              </w:rPr>
              <w:t>)</w:t>
            </w:r>
          </w:p>
          <w:p w14:paraId="08B909CA" w14:textId="20CBAF04" w:rsidR="002E4264" w:rsidRPr="001C6CCA" w:rsidRDefault="00117FB1" w:rsidP="00F65CFF">
            <w:pPr>
              <w:spacing w:before="0" w:after="0" w:line="240" w:lineRule="auto"/>
              <w:jc w:val="left"/>
              <w:rPr>
                <w:sz w:val="20"/>
                <w:szCs w:val="20"/>
                <w:lang w:val="en-GB" w:eastAsia="en-US"/>
              </w:rPr>
            </w:pPr>
            <w:r w:rsidRPr="001C6CCA">
              <w:rPr>
                <w:sz w:val="20"/>
                <w:szCs w:val="20"/>
                <w:lang w:val="en-GB" w:eastAsia="en-US"/>
              </w:rPr>
              <w:t xml:space="preserve"> </w:t>
            </w:r>
          </w:p>
        </w:tc>
        <w:tc>
          <w:tcPr>
            <w:tcW w:w="851" w:type="dxa"/>
            <w:vMerge/>
          </w:tcPr>
          <w:p w14:paraId="3DB942CE" w14:textId="77777777" w:rsidR="00117FB1" w:rsidRPr="001C6CCA" w:rsidRDefault="00117FB1" w:rsidP="00F65CFF">
            <w:pPr>
              <w:spacing w:before="0" w:after="0" w:line="240" w:lineRule="auto"/>
              <w:jc w:val="left"/>
              <w:rPr>
                <w:sz w:val="20"/>
                <w:szCs w:val="20"/>
                <w:lang w:val="en-GB" w:eastAsia="en-US"/>
              </w:rPr>
            </w:pPr>
          </w:p>
        </w:tc>
        <w:tc>
          <w:tcPr>
            <w:tcW w:w="850" w:type="dxa"/>
            <w:vMerge/>
          </w:tcPr>
          <w:p w14:paraId="0744AA10" w14:textId="77777777" w:rsidR="00117FB1" w:rsidRPr="001C6CCA" w:rsidRDefault="00117FB1" w:rsidP="00F65CFF">
            <w:pPr>
              <w:spacing w:before="0" w:after="0" w:line="240" w:lineRule="auto"/>
              <w:jc w:val="left"/>
              <w:rPr>
                <w:sz w:val="20"/>
                <w:szCs w:val="20"/>
                <w:lang w:val="en-GB" w:eastAsia="en-US"/>
              </w:rPr>
            </w:pPr>
          </w:p>
        </w:tc>
        <w:tc>
          <w:tcPr>
            <w:tcW w:w="2258" w:type="dxa"/>
            <w:vMerge w:val="restart"/>
            <w:textDirection w:val="btLr"/>
          </w:tcPr>
          <w:p w14:paraId="48897B0E" w14:textId="4C1A9D88" w:rsidR="00117FB1" w:rsidRPr="001C6CCA" w:rsidRDefault="00117FB1" w:rsidP="00F65CFF">
            <w:pPr>
              <w:spacing w:before="0" w:after="0" w:line="240" w:lineRule="auto"/>
              <w:ind w:left="113" w:right="113"/>
              <w:jc w:val="center"/>
              <w:rPr>
                <w:sz w:val="20"/>
                <w:szCs w:val="20"/>
                <w:lang w:val="en-GB" w:eastAsia="en-US"/>
              </w:rPr>
            </w:pPr>
            <w:r w:rsidRPr="001C6CCA">
              <w:rPr>
                <w:sz w:val="20"/>
                <w:szCs w:val="20"/>
                <w:lang w:val="en-GB" w:eastAsia="en-US"/>
              </w:rPr>
              <w:t xml:space="preserve">D 6 </w:t>
            </w:r>
            <w:r w:rsidR="00D60714" w:rsidRPr="00D60714">
              <w:rPr>
                <w:sz w:val="20"/>
                <w:szCs w:val="20"/>
                <w:lang w:val="en-GB" w:eastAsia="en-US"/>
              </w:rPr>
              <w:t>Integritet morskog dna</w:t>
            </w:r>
          </w:p>
          <w:p w14:paraId="61FCDF3D" w14:textId="77777777" w:rsidR="00116EE4" w:rsidRPr="001C6CCA" w:rsidRDefault="00116EE4" w:rsidP="00F65CFF">
            <w:pPr>
              <w:spacing w:before="0" w:after="0" w:line="240" w:lineRule="auto"/>
              <w:ind w:left="113" w:right="113"/>
              <w:jc w:val="left"/>
              <w:rPr>
                <w:sz w:val="20"/>
                <w:szCs w:val="20"/>
                <w:lang w:val="en-GB" w:eastAsia="en-US"/>
              </w:rPr>
            </w:pPr>
          </w:p>
          <w:p w14:paraId="703CD764" w14:textId="47413E41" w:rsidR="00116EE4" w:rsidRPr="001C6CCA" w:rsidRDefault="00950EFA" w:rsidP="00F65CFF">
            <w:pPr>
              <w:spacing w:before="0" w:after="0" w:line="240" w:lineRule="auto"/>
              <w:ind w:left="113" w:right="113"/>
              <w:jc w:val="left"/>
              <w:rPr>
                <w:sz w:val="20"/>
                <w:szCs w:val="20"/>
                <w:lang w:val="en-GB" w:eastAsia="en-US"/>
              </w:rPr>
            </w:pPr>
            <w:r>
              <w:rPr>
                <w:sz w:val="20"/>
                <w:szCs w:val="20"/>
                <w:lang w:val="en-GB" w:eastAsia="en-US"/>
              </w:rPr>
              <w:t xml:space="preserve">                                               </w:t>
            </w:r>
          </w:p>
        </w:tc>
      </w:tr>
      <w:tr w:rsidR="00117FB1" w:rsidRPr="001C6CCA" w14:paraId="7DFC3176" w14:textId="77777777" w:rsidTr="005610D6">
        <w:trPr>
          <w:jc w:val="center"/>
        </w:trPr>
        <w:tc>
          <w:tcPr>
            <w:tcW w:w="3266" w:type="dxa"/>
            <w:vMerge/>
          </w:tcPr>
          <w:p w14:paraId="0B6AD9D0" w14:textId="77777777" w:rsidR="00117FB1" w:rsidRPr="001C6CCA" w:rsidRDefault="00117FB1" w:rsidP="00F65CFF">
            <w:pPr>
              <w:spacing w:before="0" w:after="0" w:line="240" w:lineRule="auto"/>
              <w:jc w:val="left"/>
              <w:rPr>
                <w:sz w:val="20"/>
                <w:szCs w:val="20"/>
                <w:lang w:val="en-GB" w:eastAsia="en-US"/>
              </w:rPr>
            </w:pPr>
          </w:p>
        </w:tc>
        <w:tc>
          <w:tcPr>
            <w:tcW w:w="1701" w:type="dxa"/>
          </w:tcPr>
          <w:p w14:paraId="73D63B4E" w14:textId="77777777" w:rsidR="002E4264" w:rsidRPr="001C6CCA" w:rsidRDefault="002E4264" w:rsidP="00F65CFF">
            <w:pPr>
              <w:spacing w:before="0" w:after="0" w:line="240" w:lineRule="auto"/>
              <w:jc w:val="left"/>
              <w:rPr>
                <w:sz w:val="20"/>
                <w:szCs w:val="20"/>
                <w:lang w:val="en-GB" w:eastAsia="en-US"/>
              </w:rPr>
            </w:pPr>
          </w:p>
          <w:p w14:paraId="1D32C93F" w14:textId="0B232318" w:rsidR="00117FB1" w:rsidRDefault="00117FB1" w:rsidP="00F65CFF">
            <w:pPr>
              <w:spacing w:before="0" w:after="0" w:line="240" w:lineRule="auto"/>
              <w:jc w:val="left"/>
              <w:rPr>
                <w:sz w:val="20"/>
                <w:szCs w:val="20"/>
                <w:lang w:val="en-GB" w:eastAsia="en-US"/>
              </w:rPr>
            </w:pPr>
            <w:r w:rsidRPr="001C6CCA">
              <w:rPr>
                <w:sz w:val="20"/>
                <w:szCs w:val="20"/>
                <w:lang w:val="en-GB" w:eastAsia="en-US"/>
              </w:rPr>
              <w:t>B</w:t>
            </w:r>
            <w:r w:rsidR="00D60714">
              <w:rPr>
                <w:sz w:val="20"/>
                <w:szCs w:val="20"/>
                <w:lang w:val="en-GB" w:eastAsia="en-US"/>
              </w:rPr>
              <w:t>ento</w:t>
            </w:r>
            <w:r w:rsidR="0077485A">
              <w:rPr>
                <w:sz w:val="20"/>
                <w:szCs w:val="20"/>
                <w:lang w:val="en-GB" w:eastAsia="en-US"/>
              </w:rPr>
              <w:t>s</w:t>
            </w:r>
            <w:r w:rsidR="00D60714">
              <w:rPr>
                <w:sz w:val="20"/>
                <w:szCs w:val="20"/>
                <w:lang w:val="en-GB" w:eastAsia="en-US"/>
              </w:rPr>
              <w:t xml:space="preserve">ka </w:t>
            </w:r>
            <w:r w:rsidR="0077485A">
              <w:rPr>
                <w:sz w:val="20"/>
                <w:szCs w:val="20"/>
                <w:lang w:val="en-GB" w:eastAsia="en-US"/>
              </w:rPr>
              <w:t xml:space="preserve"> stanista</w:t>
            </w:r>
          </w:p>
          <w:p w14:paraId="5FE964F2" w14:textId="77777777" w:rsidR="00D60714" w:rsidRPr="001C6CCA" w:rsidRDefault="00D60714" w:rsidP="00F65CFF">
            <w:pPr>
              <w:spacing w:before="0" w:after="0" w:line="240" w:lineRule="auto"/>
              <w:jc w:val="left"/>
              <w:rPr>
                <w:sz w:val="20"/>
                <w:szCs w:val="20"/>
                <w:lang w:val="en-GB" w:eastAsia="en-US"/>
              </w:rPr>
            </w:pPr>
          </w:p>
          <w:p w14:paraId="1EDC59C9" w14:textId="41C32607" w:rsidR="00117FB1" w:rsidRDefault="004F26E3" w:rsidP="00F65CFF">
            <w:pPr>
              <w:spacing w:before="0" w:after="0" w:line="240" w:lineRule="auto"/>
              <w:jc w:val="left"/>
              <w:rPr>
                <w:sz w:val="20"/>
                <w:szCs w:val="20"/>
                <w:lang w:val="en-GB" w:eastAsia="en-US"/>
              </w:rPr>
            </w:pPr>
            <w:r>
              <w:rPr>
                <w:sz w:val="20"/>
                <w:szCs w:val="20"/>
                <w:lang w:val="en-GB" w:eastAsia="en-US"/>
              </w:rPr>
              <w:t>stjenoviti</w:t>
            </w:r>
            <w:r w:rsidR="00D60714" w:rsidRPr="00D60714">
              <w:rPr>
                <w:sz w:val="20"/>
                <w:szCs w:val="20"/>
                <w:lang w:val="en-GB" w:eastAsia="en-US"/>
              </w:rPr>
              <w:t xml:space="preserve"> i biogeni greben</w:t>
            </w:r>
          </w:p>
          <w:p w14:paraId="7B5AA7EF" w14:textId="77777777" w:rsidR="00D60714" w:rsidRPr="001C6CCA" w:rsidRDefault="00D60714" w:rsidP="00F65CFF">
            <w:pPr>
              <w:spacing w:before="0" w:after="0" w:line="240" w:lineRule="auto"/>
              <w:jc w:val="left"/>
              <w:rPr>
                <w:sz w:val="20"/>
                <w:szCs w:val="20"/>
                <w:lang w:val="en-GB" w:eastAsia="en-US"/>
              </w:rPr>
            </w:pPr>
          </w:p>
          <w:p w14:paraId="066D392F" w14:textId="06A0DDAD" w:rsidR="00117FB1" w:rsidRPr="001C6CCA" w:rsidRDefault="00117FB1" w:rsidP="00F65CFF">
            <w:pPr>
              <w:spacing w:before="0" w:after="0" w:line="240" w:lineRule="auto"/>
              <w:jc w:val="left"/>
              <w:rPr>
                <w:sz w:val="20"/>
                <w:szCs w:val="20"/>
                <w:lang w:val="en-GB" w:eastAsia="en-US"/>
              </w:rPr>
            </w:pPr>
            <w:r w:rsidRPr="001C6CCA">
              <w:rPr>
                <w:sz w:val="20"/>
                <w:szCs w:val="20"/>
                <w:lang w:val="en-GB" w:eastAsia="en-US"/>
              </w:rPr>
              <w:t>Sediment</w:t>
            </w:r>
          </w:p>
        </w:tc>
        <w:tc>
          <w:tcPr>
            <w:tcW w:w="851" w:type="dxa"/>
            <w:vMerge/>
          </w:tcPr>
          <w:p w14:paraId="2737664A" w14:textId="77777777" w:rsidR="00117FB1" w:rsidRPr="001C6CCA" w:rsidRDefault="00117FB1" w:rsidP="00F65CFF">
            <w:pPr>
              <w:spacing w:before="0" w:after="0" w:line="240" w:lineRule="auto"/>
              <w:jc w:val="left"/>
              <w:rPr>
                <w:sz w:val="20"/>
                <w:szCs w:val="20"/>
                <w:lang w:val="en-GB" w:eastAsia="en-US"/>
              </w:rPr>
            </w:pPr>
          </w:p>
        </w:tc>
        <w:tc>
          <w:tcPr>
            <w:tcW w:w="850" w:type="dxa"/>
            <w:vMerge/>
          </w:tcPr>
          <w:p w14:paraId="135BF0CA" w14:textId="77777777" w:rsidR="00117FB1" w:rsidRPr="001C6CCA" w:rsidRDefault="00117FB1" w:rsidP="00F65CFF">
            <w:pPr>
              <w:spacing w:before="0" w:after="0" w:line="240" w:lineRule="auto"/>
              <w:jc w:val="left"/>
              <w:rPr>
                <w:sz w:val="20"/>
                <w:szCs w:val="20"/>
                <w:lang w:val="en-GB" w:eastAsia="en-US"/>
              </w:rPr>
            </w:pPr>
          </w:p>
        </w:tc>
        <w:tc>
          <w:tcPr>
            <w:tcW w:w="2258" w:type="dxa"/>
            <w:vMerge/>
          </w:tcPr>
          <w:p w14:paraId="493128EF" w14:textId="77777777" w:rsidR="00117FB1" w:rsidRPr="001C6CCA" w:rsidRDefault="00117FB1" w:rsidP="00F65CFF">
            <w:pPr>
              <w:spacing w:before="0" w:after="0" w:line="240" w:lineRule="auto"/>
              <w:jc w:val="left"/>
              <w:rPr>
                <w:sz w:val="20"/>
                <w:szCs w:val="20"/>
                <w:lang w:val="en-GB" w:eastAsia="en-US"/>
              </w:rPr>
            </w:pPr>
          </w:p>
        </w:tc>
      </w:tr>
      <w:bookmarkEnd w:id="316"/>
    </w:tbl>
    <w:p w14:paraId="6C6A23EF" w14:textId="481E0391" w:rsidR="007B038D" w:rsidRPr="001C6CCA" w:rsidRDefault="007B038D" w:rsidP="00F65CFF">
      <w:pPr>
        <w:spacing w:after="0"/>
        <w:rPr>
          <w:sz w:val="20"/>
          <w:szCs w:val="20"/>
          <w:lang w:val="en-GB" w:eastAsia="en-US"/>
        </w:rPr>
      </w:pPr>
    </w:p>
    <w:p w14:paraId="4B6E9F2A" w14:textId="77777777" w:rsidR="0077485A" w:rsidRPr="001C6CCA" w:rsidRDefault="0077485A" w:rsidP="00F65CFF">
      <w:pPr>
        <w:spacing w:after="0"/>
        <w:rPr>
          <w:sz w:val="20"/>
          <w:szCs w:val="20"/>
          <w:lang w:val="en-GB" w:eastAsia="en-US"/>
        </w:rPr>
      </w:pPr>
    </w:p>
    <w:p w14:paraId="0EDA0603" w14:textId="4043A7F1" w:rsidR="00221AB8" w:rsidRPr="001C6CCA" w:rsidRDefault="009A0227" w:rsidP="00F65CFF">
      <w:pPr>
        <w:spacing w:after="0"/>
        <w:rPr>
          <w:sz w:val="20"/>
          <w:szCs w:val="20"/>
          <w:lang w:val="en-GB" w:eastAsia="en-US"/>
        </w:rPr>
      </w:pPr>
      <w:r w:rsidRPr="001C6CCA">
        <w:rPr>
          <w:rFonts w:cs="Stag Sans Semibold"/>
          <w:b/>
          <w:bCs/>
          <w:noProof/>
          <w:color w:val="000000"/>
          <w:sz w:val="20"/>
          <w:szCs w:val="20"/>
          <w:lang w:eastAsia="en-US"/>
        </w:rPr>
        <mc:AlternateContent>
          <mc:Choice Requires="wps">
            <w:drawing>
              <wp:anchor distT="0" distB="0" distL="114300" distR="114300" simplePos="0" relativeHeight="251776000" behindDoc="0" locked="0" layoutInCell="1" allowOverlap="1" wp14:anchorId="48343D05" wp14:editId="0FCE070A">
                <wp:simplePos x="0" y="0"/>
                <wp:positionH relativeFrom="margin">
                  <wp:align>right</wp:align>
                </wp:positionH>
                <wp:positionV relativeFrom="paragraph">
                  <wp:posOffset>-65405</wp:posOffset>
                </wp:positionV>
                <wp:extent cx="5775960" cy="655320"/>
                <wp:effectExtent l="0" t="0" r="0" b="0"/>
                <wp:wrapNone/>
                <wp:docPr id="1" name="Rectangle: Rounded Corners 1"/>
                <wp:cNvGraphicFramePr/>
                <a:graphic xmlns:a="http://schemas.openxmlformats.org/drawingml/2006/main">
                  <a:graphicData uri="http://schemas.microsoft.com/office/word/2010/wordprocessingShape">
                    <wps:wsp>
                      <wps:cNvSpPr/>
                      <wps:spPr>
                        <a:xfrm>
                          <a:off x="0" y="0"/>
                          <a:ext cx="5775960" cy="655320"/>
                        </a:xfrm>
                        <a:prstGeom prst="roundRect">
                          <a:avLst/>
                        </a:prstGeom>
                        <a:solidFill>
                          <a:srgbClr val="4F81BD">
                            <a:lumMod val="20000"/>
                            <a:lumOff val="80000"/>
                            <a:alpha val="84000"/>
                          </a:srgbClr>
                        </a:solidFill>
                        <a:ln w="25400" cap="flat" cmpd="sng" algn="ctr">
                          <a:noFill/>
                          <a:prstDash val="solid"/>
                        </a:ln>
                        <a:effectLst/>
                      </wps:spPr>
                      <wps:txbx>
                        <w:txbxContent>
                          <w:p w14:paraId="287D1D3C" w14:textId="6FD3C810" w:rsidR="00515997" w:rsidRPr="003B559E" w:rsidRDefault="00515997" w:rsidP="0077485A">
                            <w:pPr>
                              <w:spacing w:after="0" w:line="240" w:lineRule="auto"/>
                              <w:textAlignment w:val="baseline"/>
                              <w:rPr>
                                <w:rFonts w:ascii="Arial" w:hAnsi="Arial" w:cs="Arial"/>
                                <w:color w:val="000000"/>
                                <w:sz w:val="24"/>
                                <w:lang w:val="sr-Latn-RS" w:eastAsia="hr-HR"/>
                              </w:rPr>
                            </w:pPr>
                            <w:r>
                              <w:rPr>
                                <w:rFonts w:eastAsia="Calibri" w:cs="Calibri"/>
                                <w:b/>
                                <w:color w:val="000000"/>
                                <w:szCs w:val="22"/>
                                <w:lang w:val="sr-Latn-ME" w:eastAsia="en-US"/>
                              </w:rPr>
                              <w:t>Definicija GES-a za D</w:t>
                            </w:r>
                            <w:r w:rsidRPr="0077485A">
                              <w:rPr>
                                <w:rFonts w:eastAsia="Calibri" w:cs="Calibri"/>
                                <w:b/>
                                <w:color w:val="000000"/>
                                <w:szCs w:val="22"/>
                                <w:lang w:val="sr-Latn-ME" w:eastAsia="en-US"/>
                              </w:rPr>
                              <w:t>eskriptor 1:</w:t>
                            </w:r>
                            <w:r w:rsidRPr="0077485A">
                              <w:rPr>
                                <w:rFonts w:eastAsia="Calibri" w:cs="Calibri"/>
                                <w:b/>
                                <w:i/>
                                <w:color w:val="000000"/>
                                <w:szCs w:val="22"/>
                                <w:lang w:val="sr-Latn-ME" w:eastAsia="en-US"/>
                              </w:rPr>
                              <w:t xml:space="preserve"> Biodiverzitet </w:t>
                            </w:r>
                            <w:r>
                              <w:rPr>
                                <w:rFonts w:eastAsia="Calibri" w:cs="Calibri"/>
                                <w:b/>
                                <w:i/>
                                <w:color w:val="000000"/>
                                <w:szCs w:val="22"/>
                                <w:lang w:val="sr-Latn-ME" w:eastAsia="en-US"/>
                              </w:rPr>
                              <w:t xml:space="preserve">se održava, i </w:t>
                            </w:r>
                            <w:r w:rsidRPr="0077485A">
                              <w:rPr>
                                <w:rFonts w:eastAsia="Calibri" w:cs="Calibri"/>
                                <w:b/>
                                <w:i/>
                                <w:color w:val="000000"/>
                                <w:szCs w:val="22"/>
                                <w:lang w:val="sr-Latn-ME" w:eastAsia="en-US"/>
                              </w:rPr>
                              <w:t xml:space="preserve">rasprostranjenost i abundancija vrsta </w:t>
                            </w:r>
                            <w:r>
                              <w:rPr>
                                <w:rFonts w:eastAsia="Calibri" w:cs="Calibri"/>
                                <w:b/>
                                <w:i/>
                                <w:color w:val="000000"/>
                                <w:szCs w:val="22"/>
                                <w:lang w:val="sr-Latn-ME" w:eastAsia="en-US"/>
                              </w:rPr>
                              <w:t xml:space="preserve">je </w:t>
                            </w:r>
                            <w:r w:rsidRPr="0077485A">
                              <w:rPr>
                                <w:rFonts w:eastAsia="Calibri" w:cs="Calibri"/>
                                <w:b/>
                                <w:i/>
                                <w:color w:val="000000"/>
                                <w:szCs w:val="22"/>
                                <w:lang w:val="sr-Latn-ME" w:eastAsia="en-US"/>
                              </w:rPr>
                              <w:t>u skladu su sa dominantnim</w:t>
                            </w:r>
                            <w:r>
                              <w:rPr>
                                <w:rFonts w:eastAsia="Calibri" w:cs="Calibri"/>
                                <w:b/>
                                <w:i/>
                                <w:color w:val="000000"/>
                                <w:szCs w:val="22"/>
                                <w:lang w:val="sr-Latn-ME" w:eastAsia="en-US"/>
                              </w:rPr>
                              <w:t xml:space="preserve"> uslovima, </w:t>
                            </w:r>
                            <w:r w:rsidRPr="0077485A">
                              <w:rPr>
                                <w:rFonts w:eastAsia="Calibri" w:cs="Calibri"/>
                                <w:b/>
                                <w:i/>
                                <w:color w:val="000000"/>
                                <w:szCs w:val="22"/>
                                <w:lang w:val="sr-Latn-ME" w:eastAsia="en-US"/>
                              </w:rPr>
                              <w:t>a na tip staništa antropogeni uticaji ne utiču negativno.</w:t>
                            </w:r>
                          </w:p>
                          <w:p w14:paraId="0F4385A9" w14:textId="472D1B4C" w:rsidR="00515997" w:rsidRPr="00213CF0" w:rsidRDefault="00515997" w:rsidP="00951AE4">
                            <w:pPr>
                              <w:rPr>
                                <w:rFonts w:cs="Calibri"/>
                                <w:b/>
                                <w:i/>
                                <w:color w:val="000000" w:themeColor="text1"/>
                                <w:szCs w:val="22"/>
                                <w:lang w:val="hr-H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343D05" id="Rectangle: Rounded Corners 1" o:spid="_x0000_s1062" style="position:absolute;left:0;text-align:left;margin-left:403.6pt;margin-top:-5.15pt;width:454.8pt;height:51.6pt;z-index:251776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" fillcolor="#dce6f2" stroked="f" strokeweight="2pt">
                <v:fill opacity="54998f"/>
                <v:textbox>
                  <w:txbxContent>
                    <w:p w14:paraId="287D1D3C" w14:textId="6FD3C810" w:rsidR="00515997" w:rsidRPr="003B559E" w:rsidRDefault="00515997" w:rsidP="0077485A">
                      <w:pPr>
                        <w:spacing w:after="0" w:line="240" w:lineRule="auto"/>
                        <w:textAlignment w:val="baseline"/>
                        <w:rPr>
                          <w:rFonts w:ascii="Arial" w:hAnsi="Arial" w:cs="Arial"/>
                          <w:color w:val="000000"/>
                          <w:sz w:val="24"/>
                          <w:lang w:val="sr-Latn-RS" w:eastAsia="hr-HR"/>
                        </w:rPr>
                      </w:pPr>
                      <w:r>
                        <w:rPr>
                          <w:rFonts w:eastAsia="Calibri" w:cs="Calibri"/>
                          <w:b/>
                          <w:color w:val="000000"/>
                          <w:szCs w:val="22"/>
                          <w:lang w:val="sr-Latn-ME" w:eastAsia="en-US"/>
                        </w:rPr>
                        <w:t>Definicija GES-a za D</w:t>
                      </w:r>
                      <w:r w:rsidRPr="0077485A">
                        <w:rPr>
                          <w:rFonts w:eastAsia="Calibri" w:cs="Calibri"/>
                          <w:b/>
                          <w:color w:val="000000"/>
                          <w:szCs w:val="22"/>
                          <w:lang w:val="sr-Latn-ME" w:eastAsia="en-US"/>
                        </w:rPr>
                        <w:t>eskriptor 1:</w:t>
                      </w:r>
                      <w:r w:rsidRPr="0077485A">
                        <w:rPr>
                          <w:rFonts w:eastAsia="Calibri" w:cs="Calibri"/>
                          <w:b/>
                          <w:i/>
                          <w:color w:val="000000"/>
                          <w:szCs w:val="22"/>
                          <w:lang w:val="sr-Latn-ME" w:eastAsia="en-US"/>
                        </w:rPr>
                        <w:t xml:space="preserve"> Biodiverzitet </w:t>
                      </w:r>
                      <w:r>
                        <w:rPr>
                          <w:rFonts w:eastAsia="Calibri" w:cs="Calibri"/>
                          <w:b/>
                          <w:i/>
                          <w:color w:val="000000"/>
                          <w:szCs w:val="22"/>
                          <w:lang w:val="sr-Latn-ME" w:eastAsia="en-US"/>
                        </w:rPr>
                        <w:t xml:space="preserve">se održava, i </w:t>
                      </w:r>
                      <w:r w:rsidRPr="0077485A">
                        <w:rPr>
                          <w:rFonts w:eastAsia="Calibri" w:cs="Calibri"/>
                          <w:b/>
                          <w:i/>
                          <w:color w:val="000000"/>
                          <w:szCs w:val="22"/>
                          <w:lang w:val="sr-Latn-ME" w:eastAsia="en-US"/>
                        </w:rPr>
                        <w:t xml:space="preserve">rasprostranjenost i abundancija vrsta </w:t>
                      </w:r>
                      <w:r>
                        <w:rPr>
                          <w:rFonts w:eastAsia="Calibri" w:cs="Calibri"/>
                          <w:b/>
                          <w:i/>
                          <w:color w:val="000000"/>
                          <w:szCs w:val="22"/>
                          <w:lang w:val="sr-Latn-ME" w:eastAsia="en-US"/>
                        </w:rPr>
                        <w:t xml:space="preserve">je </w:t>
                      </w:r>
                      <w:r w:rsidRPr="0077485A">
                        <w:rPr>
                          <w:rFonts w:eastAsia="Calibri" w:cs="Calibri"/>
                          <w:b/>
                          <w:i/>
                          <w:color w:val="000000"/>
                          <w:szCs w:val="22"/>
                          <w:lang w:val="sr-Latn-ME" w:eastAsia="en-US"/>
                        </w:rPr>
                        <w:t>u skladu su sa dominantnim</w:t>
                      </w:r>
                      <w:r>
                        <w:rPr>
                          <w:rFonts w:eastAsia="Calibri" w:cs="Calibri"/>
                          <w:b/>
                          <w:i/>
                          <w:color w:val="000000"/>
                          <w:szCs w:val="22"/>
                          <w:lang w:val="sr-Latn-ME" w:eastAsia="en-US"/>
                        </w:rPr>
                        <w:t xml:space="preserve"> uslovima, </w:t>
                      </w:r>
                      <w:r w:rsidRPr="0077485A">
                        <w:rPr>
                          <w:rFonts w:eastAsia="Calibri" w:cs="Calibri"/>
                          <w:b/>
                          <w:i/>
                          <w:color w:val="000000"/>
                          <w:szCs w:val="22"/>
                          <w:lang w:val="sr-Latn-ME" w:eastAsia="en-US"/>
                        </w:rPr>
                        <w:t>a na tip staništa antropogeni uticaji ne utiču negativno.</w:t>
                      </w:r>
                    </w:p>
                    <w:p w14:paraId="0F4385A9" w14:textId="472D1B4C" w:rsidR="00515997" w:rsidRPr="00213CF0" w:rsidRDefault="00515997" w:rsidP="00951AE4">
                      <w:pPr>
                        <w:rPr>
                          <w:rFonts w:cs="Calibri"/>
                          <w:b/>
                          <w:i/>
                          <w:color w:val="000000" w:themeColor="text1"/>
                          <w:szCs w:val="22"/>
                          <w:lang w:val="hr-HR"/>
                          <w14:textOutline w14:w="9525" w14:cap="rnd" w14:cmpd="sng" w14:algn="ctr">
                            <w14:noFill/>
                            <w14:prstDash w14:val="solid"/>
                            <w14:bevel/>
                          </w14:textOutline>
                        </w:rPr>
                      </w:pPr>
                    </w:p>
                  </w:txbxContent>
                </v:textbox>
                <w10:wrap anchorx="margin"/>
              </v:roundrect>
            </w:pict>
          </mc:Fallback>
        </mc:AlternateContent>
      </w:r>
    </w:p>
    <w:p w14:paraId="17CD47C2" w14:textId="77777777" w:rsidR="009A0227" w:rsidRDefault="009A0227" w:rsidP="00F65CFF">
      <w:pPr>
        <w:spacing w:after="0"/>
        <w:rPr>
          <w:b/>
          <w:color w:val="365F91" w:themeColor="accent1" w:themeShade="BF"/>
          <w:sz w:val="24"/>
          <w:lang w:val="en-GB" w:eastAsia="en-US"/>
        </w:rPr>
      </w:pPr>
    </w:p>
    <w:p w14:paraId="27A79849" w14:textId="5D71B0A7" w:rsidR="00EC028C" w:rsidRPr="00076324" w:rsidRDefault="00076324" w:rsidP="00265DAE">
      <w:pPr>
        <w:spacing w:after="0"/>
        <w:rPr>
          <w:b/>
          <w:color w:val="365F91" w:themeColor="accent1" w:themeShade="BF"/>
          <w:sz w:val="24"/>
          <w:lang w:val="en-GB" w:eastAsia="en-US"/>
        </w:rPr>
      </w:pPr>
      <w:r w:rsidRPr="00076324">
        <w:rPr>
          <w:b/>
          <w:color w:val="365F91" w:themeColor="accent1" w:themeShade="BF"/>
          <w:sz w:val="24"/>
          <w:lang w:val="en-GB" w:eastAsia="en-US"/>
        </w:rPr>
        <w:t>Zakonodav</w:t>
      </w:r>
      <w:r w:rsidR="0074640B">
        <w:rPr>
          <w:b/>
          <w:color w:val="365F91" w:themeColor="accent1" w:themeShade="BF"/>
          <w:sz w:val="24"/>
          <w:lang w:val="en-GB" w:eastAsia="en-US"/>
        </w:rPr>
        <w:t>stvo</w:t>
      </w:r>
      <w:r w:rsidRPr="00076324">
        <w:rPr>
          <w:b/>
          <w:color w:val="365F91" w:themeColor="accent1" w:themeShade="BF"/>
          <w:sz w:val="24"/>
          <w:lang w:val="en-GB" w:eastAsia="en-US"/>
        </w:rPr>
        <w:t xml:space="preserve"> </w:t>
      </w:r>
      <w:r>
        <w:rPr>
          <w:b/>
          <w:color w:val="365F91" w:themeColor="accent1" w:themeShade="BF"/>
          <w:sz w:val="24"/>
          <w:lang w:val="en-GB" w:eastAsia="en-US"/>
        </w:rPr>
        <w:t xml:space="preserve">koje se odnosi na </w:t>
      </w:r>
      <w:r w:rsidRPr="00076324">
        <w:rPr>
          <w:b/>
          <w:color w:val="365F91" w:themeColor="accent1" w:themeShade="BF"/>
          <w:sz w:val="24"/>
          <w:lang w:val="en-GB" w:eastAsia="en-US"/>
        </w:rPr>
        <w:t>sve elemente ekosistema</w:t>
      </w:r>
    </w:p>
    <w:p w14:paraId="12EAA429" w14:textId="3911A21B" w:rsidR="00265DAE" w:rsidRPr="001C6CCA" w:rsidRDefault="0077485A" w:rsidP="00265DAE">
      <w:pPr>
        <w:spacing w:after="0"/>
        <w:rPr>
          <w:b/>
          <w:szCs w:val="22"/>
          <w:lang w:val="en-GB" w:eastAsia="en-US"/>
        </w:rPr>
      </w:pPr>
      <w:r>
        <w:rPr>
          <w:b/>
          <w:szCs w:val="22"/>
          <w:lang w:val="en-GB" w:eastAsia="en-US"/>
        </w:rPr>
        <w:t>Nacionalni nivo</w:t>
      </w:r>
    </w:p>
    <w:p w14:paraId="7F4E90E1" w14:textId="77777777" w:rsidR="0077485A" w:rsidRPr="00076324" w:rsidRDefault="0077485A" w:rsidP="00076324">
      <w:pPr>
        <w:spacing w:before="0" w:after="0"/>
        <w:jc w:val="left"/>
        <w:rPr>
          <w:rFonts w:eastAsia="Calibri" w:cs="Calibri"/>
          <w:szCs w:val="22"/>
          <w:lang w:val="en-GB" w:eastAsia="hr-HR"/>
        </w:rPr>
      </w:pPr>
    </w:p>
    <w:p w14:paraId="43FE9C5F" w14:textId="1FC262A1" w:rsidR="0077485A" w:rsidRPr="0077485A" w:rsidRDefault="0077485A" w:rsidP="00C52E6F">
      <w:pPr>
        <w:pStyle w:val="ListParagraph"/>
        <w:numPr>
          <w:ilvl w:val="0"/>
          <w:numId w:val="50"/>
        </w:numPr>
        <w:spacing w:before="0" w:after="0"/>
        <w:jc w:val="left"/>
        <w:rPr>
          <w:rFonts w:eastAsia="Calibri" w:cs="Calibri"/>
          <w:szCs w:val="22"/>
          <w:lang w:val="en-GB" w:eastAsia="hr-HR"/>
        </w:rPr>
      </w:pPr>
      <w:r>
        <w:rPr>
          <w:rFonts w:eastAsia="Calibri" w:cs="Calibri"/>
          <w:szCs w:val="22"/>
          <w:lang w:val="en-GB" w:eastAsia="hr-HR"/>
        </w:rPr>
        <w:t>Z</w:t>
      </w:r>
      <w:r w:rsidRPr="0077485A">
        <w:rPr>
          <w:rFonts w:eastAsia="Calibri" w:cs="Calibri"/>
          <w:szCs w:val="22"/>
          <w:lang w:val="en-GB" w:eastAsia="hr-HR"/>
        </w:rPr>
        <w:t>akon o zaštiti prirode („Službeni list CG“, br. 54/16);</w:t>
      </w:r>
    </w:p>
    <w:p w14:paraId="19C1C773" w14:textId="0418F224" w:rsidR="0077485A" w:rsidRPr="0077485A" w:rsidRDefault="0077485A" w:rsidP="00C52E6F">
      <w:pPr>
        <w:pStyle w:val="ListParagraph"/>
        <w:numPr>
          <w:ilvl w:val="0"/>
          <w:numId w:val="50"/>
        </w:numPr>
        <w:spacing w:before="0" w:after="0"/>
        <w:jc w:val="left"/>
        <w:rPr>
          <w:rFonts w:eastAsia="Calibri" w:cs="Calibri"/>
          <w:szCs w:val="22"/>
          <w:lang w:val="en-GB" w:eastAsia="hr-HR"/>
        </w:rPr>
      </w:pPr>
      <w:r w:rsidRPr="0077485A">
        <w:rPr>
          <w:rFonts w:eastAsia="Calibri" w:cs="Calibri"/>
          <w:szCs w:val="22"/>
          <w:lang w:val="en-GB" w:eastAsia="hr-HR"/>
        </w:rPr>
        <w:t>Zakon o životnoj sredini (Službeni list Crne Gore br. 52/16);</w:t>
      </w:r>
    </w:p>
    <w:p w14:paraId="3A0D3F93" w14:textId="61FFB54F" w:rsidR="0077485A" w:rsidRPr="0077485A" w:rsidRDefault="0077485A" w:rsidP="00C52E6F">
      <w:pPr>
        <w:pStyle w:val="ListParagraph"/>
        <w:numPr>
          <w:ilvl w:val="0"/>
          <w:numId w:val="50"/>
        </w:numPr>
        <w:spacing w:before="0" w:after="0"/>
        <w:jc w:val="left"/>
        <w:rPr>
          <w:rFonts w:eastAsia="Calibri" w:cs="Calibri"/>
          <w:szCs w:val="22"/>
          <w:lang w:val="en-GB" w:eastAsia="hr-HR"/>
        </w:rPr>
      </w:pPr>
      <w:r w:rsidRPr="0077485A">
        <w:rPr>
          <w:rFonts w:eastAsia="Calibri" w:cs="Calibri"/>
          <w:szCs w:val="22"/>
          <w:lang w:val="en-GB" w:eastAsia="hr-HR"/>
        </w:rPr>
        <w:t>Zakon o zaštiti morsk</w:t>
      </w:r>
      <w:r>
        <w:rPr>
          <w:rFonts w:eastAsia="Calibri" w:cs="Calibri"/>
          <w:szCs w:val="22"/>
          <w:lang w:val="en-GB" w:eastAsia="hr-HR"/>
        </w:rPr>
        <w:t>e sredine</w:t>
      </w:r>
      <w:r w:rsidRPr="0077485A">
        <w:rPr>
          <w:rFonts w:eastAsia="Calibri" w:cs="Calibri"/>
          <w:szCs w:val="22"/>
          <w:lang w:val="en-GB" w:eastAsia="hr-HR"/>
        </w:rPr>
        <w:t xml:space="preserve"> („Službeni list CG“, br. 73/19);</w:t>
      </w:r>
    </w:p>
    <w:p w14:paraId="294CB81B" w14:textId="6634838C" w:rsidR="0077485A" w:rsidRPr="0077485A" w:rsidRDefault="0077485A" w:rsidP="00C52E6F">
      <w:pPr>
        <w:pStyle w:val="ListParagraph"/>
        <w:numPr>
          <w:ilvl w:val="0"/>
          <w:numId w:val="50"/>
        </w:numPr>
        <w:spacing w:before="0" w:after="0"/>
        <w:jc w:val="left"/>
        <w:rPr>
          <w:rFonts w:eastAsia="Calibri" w:cs="Calibri"/>
          <w:szCs w:val="22"/>
          <w:lang w:val="en-GB" w:eastAsia="hr-HR"/>
        </w:rPr>
      </w:pPr>
      <w:r w:rsidRPr="0077485A">
        <w:rPr>
          <w:rFonts w:eastAsia="Calibri" w:cs="Calibri"/>
          <w:szCs w:val="22"/>
          <w:lang w:val="en-GB" w:eastAsia="hr-HR"/>
        </w:rPr>
        <w:t>Zakon o strateškoj proc</w:t>
      </w:r>
      <w:r>
        <w:rPr>
          <w:rFonts w:eastAsia="Calibri" w:cs="Calibri"/>
          <w:szCs w:val="22"/>
          <w:lang w:val="en-GB" w:eastAsia="hr-HR"/>
        </w:rPr>
        <w:t>j</w:t>
      </w:r>
      <w:r w:rsidRPr="0077485A">
        <w:rPr>
          <w:rFonts w:eastAsia="Calibri" w:cs="Calibri"/>
          <w:szCs w:val="22"/>
          <w:lang w:val="en-GB" w:eastAsia="hr-HR"/>
        </w:rPr>
        <w:t>eni uticaja na životnu sredinu („Službeni list CG“, br. 80/05, 59/11, 52/16);</w:t>
      </w:r>
    </w:p>
    <w:p w14:paraId="7F3FA524" w14:textId="0906AD07" w:rsidR="0077485A" w:rsidRPr="0077485A" w:rsidRDefault="0077485A" w:rsidP="00C52E6F">
      <w:pPr>
        <w:pStyle w:val="ListParagraph"/>
        <w:numPr>
          <w:ilvl w:val="0"/>
          <w:numId w:val="50"/>
        </w:numPr>
        <w:spacing w:before="0" w:after="0"/>
        <w:jc w:val="left"/>
        <w:rPr>
          <w:rFonts w:eastAsia="Calibri" w:cs="Calibri"/>
          <w:szCs w:val="22"/>
          <w:lang w:val="en-GB" w:eastAsia="hr-HR"/>
        </w:rPr>
      </w:pPr>
      <w:r w:rsidRPr="0077485A">
        <w:rPr>
          <w:rFonts w:eastAsia="Calibri" w:cs="Calibri"/>
          <w:szCs w:val="22"/>
          <w:lang w:val="en-GB" w:eastAsia="hr-HR"/>
        </w:rPr>
        <w:t>Zakona o integrisanom sprječavanju i kontroli zagađivanja životne sredine („Službeni list CG“, br. 80/05, 54/09, 40/11, 42/15, 54/16);</w:t>
      </w:r>
    </w:p>
    <w:p w14:paraId="47AF6544" w14:textId="774237F8" w:rsidR="0077485A" w:rsidRPr="0077485A" w:rsidRDefault="0077485A" w:rsidP="00C52E6F">
      <w:pPr>
        <w:pStyle w:val="ListParagraph"/>
        <w:numPr>
          <w:ilvl w:val="0"/>
          <w:numId w:val="50"/>
        </w:numPr>
        <w:spacing w:before="0" w:after="0"/>
        <w:jc w:val="left"/>
        <w:rPr>
          <w:rFonts w:eastAsia="Calibri" w:cs="Calibri"/>
          <w:szCs w:val="22"/>
          <w:lang w:val="en-GB" w:eastAsia="hr-HR"/>
        </w:rPr>
      </w:pPr>
      <w:r>
        <w:rPr>
          <w:rFonts w:eastAsia="Calibri" w:cs="Calibri"/>
          <w:szCs w:val="22"/>
          <w:lang w:val="en-GB" w:eastAsia="hr-HR"/>
        </w:rPr>
        <w:t>Zakon o moru</w:t>
      </w:r>
      <w:r w:rsidRPr="0077485A">
        <w:rPr>
          <w:rFonts w:eastAsia="Calibri" w:cs="Calibri"/>
          <w:szCs w:val="22"/>
          <w:lang w:val="en-GB" w:eastAsia="hr-HR"/>
        </w:rPr>
        <w:t xml:space="preserve"> („Službeni list CG“, br. 17 / 07,06 / 08, 40/11);</w:t>
      </w:r>
    </w:p>
    <w:p w14:paraId="2ECCC00A" w14:textId="43427B4E" w:rsidR="0077485A" w:rsidRPr="0077485A" w:rsidRDefault="00076324" w:rsidP="00C52E6F">
      <w:pPr>
        <w:pStyle w:val="ListParagraph"/>
        <w:numPr>
          <w:ilvl w:val="0"/>
          <w:numId w:val="50"/>
        </w:numPr>
        <w:spacing w:before="0" w:after="0"/>
        <w:jc w:val="left"/>
        <w:rPr>
          <w:rFonts w:eastAsia="Calibri" w:cs="Calibri"/>
          <w:szCs w:val="22"/>
          <w:lang w:val="en-GB" w:eastAsia="hr-HR"/>
        </w:rPr>
      </w:pPr>
      <w:r w:rsidRPr="00076324">
        <w:rPr>
          <w:rFonts w:eastAsia="Calibri" w:cs="Calibri"/>
          <w:szCs w:val="22"/>
          <w:lang w:val="en-GB" w:eastAsia="hr-HR"/>
        </w:rPr>
        <w:t>Zakon o stranim i invazivnim stranim vrstama biljaka, životinja i gljiva</w:t>
      </w:r>
      <w:r w:rsidR="0077485A" w:rsidRPr="0077485A">
        <w:rPr>
          <w:rFonts w:eastAsia="Calibri" w:cs="Calibri"/>
          <w:szCs w:val="22"/>
          <w:lang w:val="en-GB" w:eastAsia="hr-HR"/>
        </w:rPr>
        <w:t>. Ovaj zakon je usvojen 2019. godine („Službeni list Crne Gore“, broj 18/2019).</w:t>
      </w:r>
    </w:p>
    <w:p w14:paraId="46FBB7D5" w14:textId="089F2E40" w:rsidR="0077485A" w:rsidRPr="001C6CCA" w:rsidRDefault="00076324" w:rsidP="00C52E6F">
      <w:pPr>
        <w:pStyle w:val="ListParagraph"/>
        <w:numPr>
          <w:ilvl w:val="0"/>
          <w:numId w:val="50"/>
        </w:numPr>
        <w:spacing w:before="0" w:after="0"/>
        <w:jc w:val="left"/>
        <w:rPr>
          <w:rFonts w:eastAsia="Calibri" w:cs="Calibri"/>
          <w:szCs w:val="22"/>
          <w:lang w:val="en-GB" w:eastAsia="hr-HR"/>
        </w:rPr>
      </w:pPr>
      <w:r w:rsidRPr="00076324">
        <w:rPr>
          <w:rFonts w:eastAsia="Calibri" w:cs="Calibri"/>
          <w:szCs w:val="22"/>
          <w:lang w:val="en-GB" w:eastAsia="hr-HR"/>
        </w:rPr>
        <w:t>Pravilnik o kriterijumima i metodološkim standardima za određivanje dobrog stan</w:t>
      </w:r>
      <w:r>
        <w:rPr>
          <w:rFonts w:eastAsia="Calibri" w:cs="Calibri"/>
          <w:szCs w:val="22"/>
          <w:lang w:val="en-GB" w:eastAsia="hr-HR"/>
        </w:rPr>
        <w:t xml:space="preserve">ja i monitoringu morske sredine </w:t>
      </w:r>
      <w:r w:rsidR="0077485A" w:rsidRPr="0077485A">
        <w:rPr>
          <w:rFonts w:eastAsia="Calibri" w:cs="Calibri"/>
          <w:szCs w:val="22"/>
          <w:lang w:val="en-GB" w:eastAsia="hr-HR"/>
        </w:rPr>
        <w:t>(„Službeni list Crne Gore“, br. 036/21)</w:t>
      </w:r>
    </w:p>
    <w:p w14:paraId="0CB57073" w14:textId="77777777" w:rsidR="00EC028C" w:rsidRDefault="00EC028C" w:rsidP="00F65CFF">
      <w:pPr>
        <w:spacing w:after="0"/>
        <w:rPr>
          <w:b/>
          <w:szCs w:val="22"/>
          <w:lang w:val="en-GB" w:eastAsia="en-US"/>
        </w:rPr>
      </w:pPr>
    </w:p>
    <w:p w14:paraId="78858CBA" w14:textId="73BAE092" w:rsidR="00221AB8" w:rsidRDefault="00076324" w:rsidP="00F65CFF">
      <w:pPr>
        <w:spacing w:after="0"/>
        <w:rPr>
          <w:b/>
          <w:szCs w:val="22"/>
          <w:lang w:val="en-GB" w:eastAsia="en-US"/>
        </w:rPr>
      </w:pPr>
      <w:r>
        <w:rPr>
          <w:b/>
          <w:szCs w:val="22"/>
          <w:lang w:val="en-GB" w:eastAsia="en-US"/>
        </w:rPr>
        <w:t>Međunarodni nivo</w:t>
      </w:r>
    </w:p>
    <w:p w14:paraId="0281EDD4" w14:textId="77777777" w:rsidR="009936B5" w:rsidRPr="00816A1C" w:rsidRDefault="009936B5"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 xml:space="preserve">Okvirna direktiva </w:t>
      </w:r>
      <w:r>
        <w:rPr>
          <w:rFonts w:ascii="Calibri-BoldItalic" w:hAnsi="Calibri-BoldItalic" w:cs="Calibri-BoldItalic"/>
          <w:iCs/>
          <w:color w:val="000000"/>
          <w:szCs w:val="22"/>
          <w:lang w:val="en-GB"/>
        </w:rPr>
        <w:t>o morskoj strategiji (2008/56/</w:t>
      </w:r>
      <w:r w:rsidRPr="00816A1C">
        <w:rPr>
          <w:rFonts w:ascii="Calibri-BoldItalic" w:hAnsi="Calibri-BoldItalic" w:cs="Calibri-BoldItalic"/>
          <w:iCs/>
          <w:color w:val="000000"/>
          <w:szCs w:val="22"/>
          <w:lang w:val="en-GB"/>
        </w:rPr>
        <w:t>EC);</w:t>
      </w:r>
    </w:p>
    <w:p w14:paraId="4D8D9F0E" w14:textId="0E68B6D8" w:rsidR="009936B5" w:rsidRPr="00816A1C" w:rsidRDefault="009936B5"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Komisije (EU) 2017/845 o izm</w:t>
      </w:r>
      <w:r>
        <w:rPr>
          <w:rFonts w:ascii="Calibri-BoldItalic" w:hAnsi="Calibri-BoldItalic" w:cs="Calibri-BoldItalic"/>
          <w:iCs/>
          <w:color w:val="000000"/>
          <w:szCs w:val="22"/>
          <w:lang w:val="en-GB"/>
        </w:rPr>
        <w:t>j</w:t>
      </w:r>
      <w:r w:rsidRPr="00816A1C">
        <w:rPr>
          <w:rFonts w:ascii="Calibri-BoldItalic" w:hAnsi="Calibri-BoldItalic" w:cs="Calibri-BoldItalic"/>
          <w:iCs/>
          <w:color w:val="000000"/>
          <w:szCs w:val="22"/>
          <w:lang w:val="en-GB"/>
        </w:rPr>
        <w:t xml:space="preserve">enama i </w:t>
      </w:r>
      <w:r w:rsidR="006C79D7">
        <w:rPr>
          <w:rFonts w:ascii="Calibri-BoldItalic" w:hAnsi="Calibri-BoldItalic" w:cs="Calibri-BoldItalic"/>
          <w:iCs/>
          <w:color w:val="000000"/>
          <w:szCs w:val="22"/>
          <w:lang w:val="en-GB"/>
        </w:rPr>
        <w:t>dopunama Direktive 2008/56/ EC);</w:t>
      </w:r>
    </w:p>
    <w:p w14:paraId="4D1BA90A" w14:textId="1D1BBE86" w:rsidR="009936B5" w:rsidRDefault="009936B5"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Odluka Komisije (EU) 2017/848</w:t>
      </w:r>
      <w:r w:rsidR="006C79D7">
        <w:rPr>
          <w:rFonts w:ascii="Calibri-BoldItalic" w:hAnsi="Calibri-BoldItalic" w:cs="Calibri-BoldItalic"/>
          <w:iCs/>
          <w:color w:val="000000"/>
          <w:szCs w:val="22"/>
          <w:lang w:val="en-GB"/>
        </w:rPr>
        <w:t>;</w:t>
      </w:r>
    </w:p>
    <w:p w14:paraId="11349414" w14:textId="428C5814" w:rsidR="006C79D7" w:rsidRPr="006C79D7" w:rsidRDefault="006C79D7" w:rsidP="00C52E6F">
      <w:pPr>
        <w:pStyle w:val="ListParagraph"/>
        <w:numPr>
          <w:ilvl w:val="0"/>
          <w:numId w:val="54"/>
        </w:numPr>
        <w:spacing w:before="0" w:after="0"/>
        <w:rPr>
          <w:rFonts w:ascii="Calibri-BoldItalic" w:hAnsi="Calibri-BoldItalic" w:cs="Calibri-BoldItalic"/>
          <w:iCs/>
          <w:color w:val="000000"/>
          <w:szCs w:val="22"/>
          <w:lang w:val="en-GB"/>
        </w:rPr>
      </w:pPr>
      <w:r>
        <w:rPr>
          <w:rFonts w:ascii="Calibri-BoldItalic" w:hAnsi="Calibri-BoldItalic" w:cs="Calibri-BoldItalic"/>
          <w:iCs/>
          <w:color w:val="000000"/>
          <w:szCs w:val="22"/>
          <w:lang w:val="en-GB"/>
        </w:rPr>
        <w:t xml:space="preserve">Direktiva o pticama </w:t>
      </w:r>
      <w:r w:rsidRPr="001C6CCA">
        <w:rPr>
          <w:rFonts w:cs="Calibri"/>
          <w:color w:val="000000"/>
          <w:szCs w:val="22"/>
          <w:lang w:val="en-GB" w:eastAsia="en-US"/>
        </w:rPr>
        <w:t>(2009/147/EC);</w:t>
      </w:r>
    </w:p>
    <w:p w14:paraId="7C1024B0" w14:textId="77777777" w:rsidR="006C79D7" w:rsidRPr="00816A1C" w:rsidRDefault="006C79D7"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o staništima (92/43/EEC);</w:t>
      </w:r>
    </w:p>
    <w:p w14:paraId="7F566107" w14:textId="77777777" w:rsidR="006C79D7" w:rsidRPr="00816A1C" w:rsidRDefault="006C79D7" w:rsidP="00C52E6F">
      <w:pPr>
        <w:pStyle w:val="ListParagraph"/>
        <w:numPr>
          <w:ilvl w:val="0"/>
          <w:numId w:val="54"/>
        </w:numPr>
        <w:spacing w:before="0" w:after="0"/>
        <w:rPr>
          <w:rFonts w:ascii="Calibri-BoldItalic" w:hAnsi="Calibri-BoldItalic" w:cs="Calibri-BoldItalic"/>
          <w:iCs/>
          <w:color w:val="000000"/>
          <w:szCs w:val="22"/>
          <w:lang w:val="en-GB"/>
        </w:rPr>
      </w:pPr>
      <w:r>
        <w:rPr>
          <w:rFonts w:ascii="Calibri-BoldItalic" w:hAnsi="Calibri-BoldItalic" w:cs="Calibri-BoldItalic"/>
          <w:iCs/>
          <w:color w:val="000000"/>
          <w:szCs w:val="22"/>
          <w:lang w:val="en-GB"/>
        </w:rPr>
        <w:t>O</w:t>
      </w:r>
      <w:r w:rsidRPr="00816A1C">
        <w:rPr>
          <w:rFonts w:ascii="Calibri-BoldItalic" w:hAnsi="Calibri-BoldItalic" w:cs="Calibri-BoldItalic"/>
          <w:iCs/>
          <w:color w:val="000000"/>
          <w:szCs w:val="22"/>
          <w:lang w:val="en-GB"/>
        </w:rPr>
        <w:t>kvirna direktiva o vodama (2000/60/EC);</w:t>
      </w:r>
    </w:p>
    <w:p w14:paraId="085D3D95" w14:textId="439E0501" w:rsidR="006C79D7" w:rsidRDefault="006C79D7" w:rsidP="00C52E6F">
      <w:pPr>
        <w:pStyle w:val="ListParagraph"/>
        <w:numPr>
          <w:ilvl w:val="0"/>
          <w:numId w:val="54"/>
        </w:numPr>
        <w:spacing w:before="0" w:after="0"/>
        <w:rPr>
          <w:rFonts w:ascii="Calibri-BoldItalic" w:hAnsi="Calibri-BoldItalic" w:cs="Calibri-BoldItalic"/>
          <w:iCs/>
          <w:color w:val="000000"/>
          <w:szCs w:val="22"/>
          <w:lang w:val="en-GB"/>
        </w:rPr>
      </w:pPr>
      <w:r w:rsidRPr="006C79D7">
        <w:rPr>
          <w:rFonts w:ascii="Calibri-BoldItalic" w:hAnsi="Calibri-BoldItalic" w:cs="Calibri-BoldItalic"/>
          <w:iCs/>
          <w:color w:val="000000"/>
          <w:szCs w:val="22"/>
          <w:lang w:val="en-GB"/>
        </w:rPr>
        <w:t>Direktiva o proc</w:t>
      </w:r>
      <w:r>
        <w:rPr>
          <w:rFonts w:ascii="Calibri-BoldItalic" w:hAnsi="Calibri-BoldItalic" w:cs="Calibri-BoldItalic"/>
          <w:iCs/>
          <w:color w:val="000000"/>
          <w:szCs w:val="22"/>
          <w:lang w:val="en-GB"/>
        </w:rPr>
        <w:t>j</w:t>
      </w:r>
      <w:r w:rsidRPr="006C79D7">
        <w:rPr>
          <w:rFonts w:ascii="Calibri-BoldItalic" w:hAnsi="Calibri-BoldItalic" w:cs="Calibri-BoldItalic"/>
          <w:iCs/>
          <w:color w:val="000000"/>
          <w:szCs w:val="22"/>
          <w:lang w:val="en-GB"/>
        </w:rPr>
        <w:t>eni uticaja na životnu sredinu</w:t>
      </w:r>
      <w:r>
        <w:rPr>
          <w:rFonts w:ascii="Calibri-BoldItalic" w:hAnsi="Calibri-BoldItalic" w:cs="Calibri-BoldItalic"/>
          <w:iCs/>
          <w:color w:val="000000"/>
          <w:szCs w:val="22"/>
          <w:lang w:val="en-GB"/>
        </w:rPr>
        <w:t xml:space="preserve"> </w:t>
      </w:r>
      <w:r w:rsidRPr="001C6CCA">
        <w:rPr>
          <w:rFonts w:cs="Calibri"/>
          <w:color w:val="000000"/>
          <w:szCs w:val="22"/>
          <w:lang w:val="en-GB" w:eastAsia="en-US"/>
        </w:rPr>
        <w:t>(2011/92/EU);</w:t>
      </w:r>
    </w:p>
    <w:p w14:paraId="281B7E51" w14:textId="77777777" w:rsidR="006C79D7" w:rsidRPr="00816A1C" w:rsidRDefault="006C79D7"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o strateškoj proc</w:t>
      </w:r>
      <w:r>
        <w:rPr>
          <w:rFonts w:ascii="Calibri-BoldItalic" w:hAnsi="Calibri-BoldItalic" w:cs="Calibri-BoldItalic"/>
          <w:iCs/>
          <w:color w:val="000000"/>
          <w:szCs w:val="22"/>
          <w:lang w:val="en-GB"/>
        </w:rPr>
        <w:t>j</w:t>
      </w:r>
      <w:r w:rsidRPr="00816A1C">
        <w:rPr>
          <w:rFonts w:ascii="Calibri-BoldItalic" w:hAnsi="Calibri-BoldItalic" w:cs="Calibri-BoldItalic"/>
          <w:iCs/>
          <w:color w:val="000000"/>
          <w:szCs w:val="22"/>
          <w:lang w:val="en-GB"/>
        </w:rPr>
        <w:t>eni uticaja na životnu sredinu (2001/42</w:t>
      </w:r>
      <w:r>
        <w:rPr>
          <w:rFonts w:ascii="Calibri-BoldItalic" w:hAnsi="Calibri-BoldItalic" w:cs="Calibri-BoldItalic"/>
          <w:iCs/>
          <w:color w:val="000000"/>
          <w:szCs w:val="22"/>
          <w:lang w:val="en-GB"/>
        </w:rPr>
        <w:t>/</w:t>
      </w:r>
      <w:r w:rsidRPr="00816A1C">
        <w:rPr>
          <w:rFonts w:ascii="Calibri-BoldItalic" w:hAnsi="Calibri-BoldItalic" w:cs="Calibri-BoldItalic"/>
          <w:iCs/>
          <w:color w:val="000000"/>
          <w:szCs w:val="22"/>
          <w:lang w:val="en-GB"/>
        </w:rPr>
        <w:t>EC);</w:t>
      </w:r>
    </w:p>
    <w:p w14:paraId="57067BA8" w14:textId="0BC10F19" w:rsidR="006C79D7" w:rsidRDefault="006C79D7" w:rsidP="00C52E6F">
      <w:pPr>
        <w:pStyle w:val="ListParagraph"/>
        <w:numPr>
          <w:ilvl w:val="0"/>
          <w:numId w:val="54"/>
        </w:numPr>
        <w:spacing w:before="0" w:after="0"/>
        <w:rPr>
          <w:rFonts w:ascii="Calibri-BoldItalic" w:hAnsi="Calibri-BoldItalic" w:cs="Calibri-BoldItalic"/>
          <w:iCs/>
          <w:color w:val="000000"/>
          <w:szCs w:val="22"/>
          <w:lang w:val="en-GB"/>
        </w:rPr>
      </w:pPr>
      <w:r w:rsidRPr="006C79D7">
        <w:rPr>
          <w:rFonts w:ascii="Calibri-BoldItalic" w:hAnsi="Calibri-BoldItalic" w:cs="Calibri-BoldItalic"/>
          <w:iCs/>
          <w:color w:val="000000"/>
          <w:szCs w:val="22"/>
          <w:lang w:val="en-GB"/>
        </w:rPr>
        <w:t>Zajednička rib</w:t>
      </w:r>
      <w:r>
        <w:rPr>
          <w:rFonts w:ascii="Calibri-BoldItalic" w:hAnsi="Calibri-BoldItalic" w:cs="Calibri-BoldItalic"/>
          <w:iCs/>
          <w:color w:val="000000"/>
          <w:szCs w:val="22"/>
          <w:lang w:val="en-GB"/>
        </w:rPr>
        <w:t>arska</w:t>
      </w:r>
      <w:r w:rsidRPr="006C79D7">
        <w:rPr>
          <w:rFonts w:ascii="Calibri-BoldItalic" w:hAnsi="Calibri-BoldItalic" w:cs="Calibri-BoldItalic"/>
          <w:iCs/>
          <w:color w:val="000000"/>
          <w:szCs w:val="22"/>
          <w:lang w:val="en-GB"/>
        </w:rPr>
        <w:t xml:space="preserve"> politika (1380/2013);</w:t>
      </w:r>
    </w:p>
    <w:p w14:paraId="3A27641F" w14:textId="77777777" w:rsidR="006C79D7" w:rsidRPr="00816A1C" w:rsidRDefault="006C79D7" w:rsidP="00C52E6F">
      <w:pPr>
        <w:pStyle w:val="ListParagraph"/>
        <w:numPr>
          <w:ilvl w:val="0"/>
          <w:numId w:val="54"/>
        </w:numPr>
        <w:spacing w:before="0" w:after="0"/>
        <w:rPr>
          <w:rFonts w:ascii="Calibri-BoldItalic" w:hAnsi="Calibri-BoldItalic" w:cs="Calibri-BoldItalic"/>
          <w:iCs/>
          <w:color w:val="000000"/>
          <w:szCs w:val="22"/>
          <w:lang w:val="en-GB"/>
        </w:rPr>
      </w:pPr>
      <w:r w:rsidRPr="00816A1C">
        <w:rPr>
          <w:rFonts w:ascii="Calibri-BoldItalic" w:hAnsi="Calibri-BoldItalic" w:cs="Calibri-BoldItalic"/>
          <w:iCs/>
          <w:color w:val="000000"/>
          <w:szCs w:val="22"/>
          <w:lang w:val="en-GB"/>
        </w:rPr>
        <w:t>Direktiva o odgovornosti za životnu sredinu (2004/35/EC) (sa izm</w:t>
      </w:r>
      <w:r>
        <w:rPr>
          <w:rFonts w:ascii="Calibri-BoldItalic" w:hAnsi="Calibri-BoldItalic" w:cs="Calibri-BoldItalic"/>
          <w:iCs/>
          <w:color w:val="000000"/>
          <w:szCs w:val="22"/>
          <w:lang w:val="en-GB"/>
        </w:rPr>
        <w:t>j</w:t>
      </w:r>
      <w:r w:rsidRPr="00816A1C">
        <w:rPr>
          <w:rFonts w:ascii="Calibri-BoldItalic" w:hAnsi="Calibri-BoldItalic" w:cs="Calibri-BoldItalic"/>
          <w:iCs/>
          <w:color w:val="000000"/>
          <w:szCs w:val="22"/>
          <w:lang w:val="en-GB"/>
        </w:rPr>
        <w:t>enama i dopunama).</w:t>
      </w:r>
    </w:p>
    <w:p w14:paraId="677B0512" w14:textId="54E318BC" w:rsidR="006C79D7" w:rsidRDefault="006C79D7" w:rsidP="00C52E6F">
      <w:pPr>
        <w:pStyle w:val="ListParagraph"/>
        <w:numPr>
          <w:ilvl w:val="0"/>
          <w:numId w:val="54"/>
        </w:numPr>
        <w:spacing w:before="0" w:after="0"/>
        <w:rPr>
          <w:rFonts w:ascii="Calibri-BoldItalic" w:hAnsi="Calibri-BoldItalic" w:cs="Calibri-BoldItalic"/>
          <w:iCs/>
          <w:color w:val="000000"/>
          <w:szCs w:val="22"/>
          <w:lang w:val="en-GB"/>
        </w:rPr>
      </w:pPr>
      <w:r w:rsidRPr="006C79D7">
        <w:rPr>
          <w:rFonts w:ascii="Calibri-BoldItalic" w:hAnsi="Calibri-BoldItalic" w:cs="Calibri-BoldItalic"/>
          <w:iCs/>
          <w:color w:val="000000"/>
          <w:szCs w:val="22"/>
          <w:lang w:val="en-GB"/>
        </w:rPr>
        <w:t>Direktiva o sigurnosti priobalnih naftnih i gasnih operacija na moru (2013/30/EU).</w:t>
      </w:r>
    </w:p>
    <w:p w14:paraId="6DA9BB59" w14:textId="74EB1FBC" w:rsidR="006C79D7" w:rsidRDefault="006C79D7" w:rsidP="00C52E6F">
      <w:pPr>
        <w:pStyle w:val="ListParagraph"/>
        <w:numPr>
          <w:ilvl w:val="0"/>
          <w:numId w:val="54"/>
        </w:numPr>
        <w:spacing w:before="0" w:after="0"/>
        <w:rPr>
          <w:rFonts w:ascii="Calibri-BoldItalic" w:hAnsi="Calibri-BoldItalic" w:cs="Calibri-BoldItalic"/>
          <w:iCs/>
          <w:color w:val="000000"/>
          <w:szCs w:val="22"/>
          <w:lang w:val="en-GB"/>
        </w:rPr>
      </w:pPr>
      <w:r>
        <w:rPr>
          <w:rFonts w:ascii="Calibri-BoldItalic" w:hAnsi="Calibri-BoldItalic" w:cs="Calibri-BoldItalic"/>
          <w:iCs/>
          <w:color w:val="000000"/>
          <w:szCs w:val="22"/>
          <w:lang w:val="en-GB"/>
        </w:rPr>
        <w:t xml:space="preserve">Regulativa Savjeta (EC) br. 812/2004 </w:t>
      </w:r>
      <w:r w:rsidRPr="006C79D7">
        <w:rPr>
          <w:rFonts w:ascii="Calibri-BoldItalic" w:hAnsi="Calibri-BoldItalic" w:cs="Calibri-BoldItalic"/>
          <w:iCs/>
          <w:color w:val="000000"/>
          <w:szCs w:val="22"/>
          <w:lang w:val="en-GB"/>
        </w:rPr>
        <w:t>o utvrđivanju m</w:t>
      </w:r>
      <w:r>
        <w:rPr>
          <w:rFonts w:ascii="Calibri-BoldItalic" w:hAnsi="Calibri-BoldItalic" w:cs="Calibri-BoldItalic"/>
          <w:iCs/>
          <w:color w:val="000000"/>
          <w:szCs w:val="22"/>
          <w:lang w:val="en-GB"/>
        </w:rPr>
        <w:t>j</w:t>
      </w:r>
      <w:r w:rsidRPr="006C79D7">
        <w:rPr>
          <w:rFonts w:ascii="Calibri-BoldItalic" w:hAnsi="Calibri-BoldItalic" w:cs="Calibri-BoldItalic"/>
          <w:iCs/>
          <w:color w:val="000000"/>
          <w:szCs w:val="22"/>
          <w:lang w:val="en-GB"/>
        </w:rPr>
        <w:t>era u vezi sa slučajnim ulovom kitova u ribarstvu.</w:t>
      </w:r>
    </w:p>
    <w:p w14:paraId="6DEB8E04" w14:textId="43001FD4" w:rsidR="006C79D7" w:rsidRPr="006C79D7" w:rsidRDefault="006C79D7" w:rsidP="00C52E6F">
      <w:pPr>
        <w:pStyle w:val="ListParagraph"/>
        <w:numPr>
          <w:ilvl w:val="0"/>
          <w:numId w:val="54"/>
        </w:numPr>
        <w:spacing w:before="0" w:after="0"/>
        <w:rPr>
          <w:rFonts w:ascii="Calibri-BoldItalic" w:hAnsi="Calibri-BoldItalic" w:cs="Calibri-BoldItalic"/>
          <w:iCs/>
          <w:color w:val="000000"/>
          <w:szCs w:val="22"/>
          <w:lang w:val="en-GB"/>
        </w:rPr>
      </w:pPr>
      <w:r w:rsidRPr="006C79D7">
        <w:rPr>
          <w:rFonts w:ascii="Calibri-BoldItalic" w:hAnsi="Calibri-BoldItalic" w:cs="Calibri-BoldItalic"/>
          <w:iCs/>
          <w:color w:val="000000"/>
          <w:szCs w:val="22"/>
          <w:lang w:val="en-GB"/>
        </w:rPr>
        <w:t xml:space="preserve">Konvencija o biodiverzitetu (BDC, UN, 1992) Barselonska konvencija (1976), izmijenjena amandmanima </w:t>
      </w:r>
      <w:r w:rsidRPr="001C6CCA">
        <w:rPr>
          <w:rFonts w:cs="Calibri"/>
          <w:color w:val="000000"/>
          <w:szCs w:val="22"/>
          <w:lang w:val="en-GB" w:eastAsia="en-US"/>
        </w:rPr>
        <w:t>(UNEP</w:t>
      </w:r>
      <w:r>
        <w:rPr>
          <w:rFonts w:cs="Calibri"/>
          <w:color w:val="000000"/>
          <w:szCs w:val="22"/>
          <w:lang w:val="en-GB" w:eastAsia="en-US"/>
        </w:rPr>
        <w:t xml:space="preserve"> </w:t>
      </w:r>
      <w:r w:rsidRPr="001C6CCA">
        <w:rPr>
          <w:rFonts w:cs="Calibri"/>
          <w:color w:val="000000"/>
          <w:szCs w:val="22"/>
          <w:lang w:val="en-GB" w:eastAsia="en-US"/>
        </w:rPr>
        <w:t>(OCA)/MED IG.6/7)</w:t>
      </w:r>
      <w:r w:rsidRPr="001C6CCA">
        <w:rPr>
          <w:rStyle w:val="FootnoteReference"/>
          <w:color w:val="000000"/>
          <w:szCs w:val="22"/>
          <w:lang w:val="en-GB" w:eastAsia="en-US"/>
        </w:rPr>
        <w:footnoteReference w:id="60"/>
      </w:r>
      <w:r w:rsidRPr="001C6CCA">
        <w:rPr>
          <w:rFonts w:cs="Calibri"/>
          <w:color w:val="000000"/>
          <w:szCs w:val="22"/>
          <w:lang w:val="en-GB" w:eastAsia="en-US"/>
        </w:rPr>
        <w:t xml:space="preserve"> .</w:t>
      </w:r>
    </w:p>
    <w:p w14:paraId="6E6891C6" w14:textId="77777777" w:rsidR="002079B4" w:rsidRPr="001C6CCA" w:rsidRDefault="002079B4" w:rsidP="00265DAE">
      <w:pPr>
        <w:pStyle w:val="ListParagraph"/>
        <w:spacing w:after="0"/>
        <w:rPr>
          <w:rFonts w:cs="Calibri"/>
          <w:color w:val="000000"/>
          <w:szCs w:val="22"/>
          <w:lang w:val="en-GB" w:eastAsia="en-US"/>
        </w:rPr>
      </w:pPr>
    </w:p>
    <w:p w14:paraId="0AF6C865" w14:textId="1CBE0F04" w:rsidR="000D3BB1" w:rsidRPr="001C6CCA" w:rsidRDefault="004550B8" w:rsidP="000D3BB1">
      <w:pPr>
        <w:pStyle w:val="Heading2"/>
        <w:ind w:left="567" w:hanging="567"/>
        <w:rPr>
          <w:lang w:val="en-GB" w:eastAsia="en-US"/>
        </w:rPr>
      </w:pPr>
      <w:bookmarkStart w:id="317" w:name="_Toc83630970"/>
      <w:r>
        <w:rPr>
          <w:lang w:val="en-GB" w:eastAsia="en-US"/>
        </w:rPr>
        <w:t>GRUPE VRSTA</w:t>
      </w:r>
      <w:r w:rsidR="001C6020">
        <w:rPr>
          <w:lang w:val="en-GB" w:eastAsia="en-US"/>
        </w:rPr>
        <w:t xml:space="preserve"> (DESKRIPTOR 1)</w:t>
      </w:r>
      <w:bookmarkEnd w:id="317"/>
    </w:p>
    <w:p w14:paraId="024F4160" w14:textId="0126810E" w:rsidR="004550B8" w:rsidRDefault="004550B8" w:rsidP="00886187">
      <w:pPr>
        <w:pStyle w:val="Default"/>
        <w:jc w:val="both"/>
        <w:rPr>
          <w:rFonts w:ascii="Calibri" w:hAnsi="Calibri" w:cs="Calibri"/>
          <w:sz w:val="22"/>
          <w:szCs w:val="22"/>
          <w:lang w:val="en-GB"/>
        </w:rPr>
      </w:pPr>
      <w:r w:rsidRPr="004550B8">
        <w:rPr>
          <w:rFonts w:ascii="Calibri" w:hAnsi="Calibri" w:cs="Calibri"/>
          <w:sz w:val="22"/>
          <w:szCs w:val="22"/>
          <w:lang w:val="en-GB"/>
        </w:rPr>
        <w:t xml:space="preserve">Grupe </w:t>
      </w:r>
      <w:r w:rsidR="001C6020">
        <w:rPr>
          <w:rFonts w:ascii="Calibri" w:hAnsi="Calibri" w:cs="Calibri"/>
          <w:sz w:val="22"/>
          <w:szCs w:val="22"/>
          <w:lang w:val="en-GB"/>
        </w:rPr>
        <w:t xml:space="preserve">mobilnih </w:t>
      </w:r>
      <w:r w:rsidRPr="004550B8">
        <w:rPr>
          <w:rFonts w:ascii="Calibri" w:hAnsi="Calibri" w:cs="Calibri"/>
          <w:sz w:val="22"/>
          <w:szCs w:val="22"/>
          <w:lang w:val="en-GB"/>
        </w:rPr>
        <w:t>vrsta uključuju morske ptice, morske sisare, morske kornjače i ribe (u vezi sa Deskriptorom 1).</w:t>
      </w:r>
    </w:p>
    <w:p w14:paraId="7BA9F74E" w14:textId="2515BE38" w:rsidR="008D3F6E" w:rsidRPr="001C6CCA" w:rsidRDefault="004550B8" w:rsidP="005610D6">
      <w:pPr>
        <w:pStyle w:val="Heading3"/>
        <w:rPr>
          <w:lang w:val="en-GB" w:eastAsia="en-US"/>
        </w:rPr>
      </w:pPr>
      <w:bookmarkStart w:id="318" w:name="_Toc68180821"/>
      <w:bookmarkStart w:id="319" w:name="_Toc83630971"/>
      <w:r>
        <w:rPr>
          <w:lang w:val="en-GB"/>
        </w:rPr>
        <w:t>Morske p</w:t>
      </w:r>
      <w:r w:rsidR="000A2FFC">
        <w:rPr>
          <w:lang w:val="en-GB"/>
        </w:rPr>
        <w:t>tice</w:t>
      </w:r>
      <w:bookmarkEnd w:id="318"/>
      <w:bookmarkEnd w:id="319"/>
    </w:p>
    <w:p w14:paraId="428157E8" w14:textId="082D05E8" w:rsidR="008D3F6E" w:rsidRPr="001C6CCA" w:rsidRDefault="004550B8" w:rsidP="009A0227">
      <w:pPr>
        <w:autoSpaceDE w:val="0"/>
        <w:autoSpaceDN w:val="0"/>
        <w:adjustRightInd w:val="0"/>
        <w:spacing w:before="0" w:after="160"/>
        <w:rPr>
          <w:rFonts w:eastAsia="Calibri" w:cs="Calibri"/>
          <w:b/>
          <w:color w:val="000000"/>
          <w:szCs w:val="22"/>
          <w:lang w:val="en-GB" w:eastAsia="en-US"/>
        </w:rPr>
      </w:pPr>
      <w:r>
        <w:rPr>
          <w:rFonts w:eastAsia="Calibri" w:cs="Calibri"/>
          <w:b/>
          <w:color w:val="000000"/>
          <w:szCs w:val="22"/>
          <w:lang w:val="en-GB" w:eastAsia="en-US"/>
        </w:rPr>
        <w:t>Uvod</w:t>
      </w:r>
      <w:r w:rsidR="008D3F6E" w:rsidRPr="001C6CCA">
        <w:rPr>
          <w:rFonts w:eastAsia="Calibri" w:cs="Calibri"/>
          <w:b/>
          <w:color w:val="000000"/>
          <w:szCs w:val="22"/>
          <w:lang w:val="en-GB" w:eastAsia="en-US"/>
        </w:rPr>
        <w:t xml:space="preserve"> </w:t>
      </w:r>
    </w:p>
    <w:p w14:paraId="2A638DED" w14:textId="57DCFA25" w:rsidR="004550B8" w:rsidRPr="004550B8" w:rsidRDefault="004550B8" w:rsidP="004550B8">
      <w:pPr>
        <w:spacing w:before="0" w:after="160" w:line="259" w:lineRule="auto"/>
        <w:rPr>
          <w:rFonts w:eastAsia="Calibri"/>
          <w:szCs w:val="22"/>
          <w:lang w:val="hr-HR" w:eastAsia="en-US"/>
        </w:rPr>
      </w:pPr>
      <w:bookmarkStart w:id="320" w:name="_Hlk67899958"/>
      <w:r w:rsidRPr="004550B8">
        <w:rPr>
          <w:rFonts w:eastAsia="Calibri"/>
          <w:szCs w:val="22"/>
          <w:lang w:val="hr-HR" w:eastAsia="en-US"/>
        </w:rPr>
        <w:t xml:space="preserve">Jedna od glavnih karakteristika zajednice mediteranskih morskih ptica je veliki broj endemskih </w:t>
      </w:r>
      <w:r>
        <w:rPr>
          <w:rFonts w:eastAsia="Calibri"/>
          <w:szCs w:val="22"/>
          <w:lang w:val="hr-HR" w:eastAsia="en-US"/>
        </w:rPr>
        <w:t>taksona</w:t>
      </w:r>
      <w:r w:rsidRPr="004550B8">
        <w:rPr>
          <w:rFonts w:eastAsia="Calibri"/>
          <w:szCs w:val="22"/>
          <w:lang w:val="hr-HR" w:eastAsia="en-US"/>
        </w:rPr>
        <w:t>, uprkos malo</w:t>
      </w:r>
      <w:r>
        <w:rPr>
          <w:rFonts w:eastAsia="Calibri"/>
          <w:szCs w:val="22"/>
          <w:lang w:val="hr-HR" w:eastAsia="en-US"/>
        </w:rPr>
        <w:t>m diverzitetu</w:t>
      </w:r>
      <w:r w:rsidRPr="004550B8">
        <w:rPr>
          <w:rFonts w:eastAsia="Calibri"/>
          <w:szCs w:val="22"/>
          <w:lang w:val="hr-HR" w:eastAsia="en-US"/>
        </w:rPr>
        <w:t xml:space="preserve">i i gustini naseljenosti; ovo je u skladu sa ekosistemom niske produktivnosti u poređenju sa otvorenim okeanima </w:t>
      </w:r>
      <w:r w:rsidRPr="00C9445A">
        <w:rPr>
          <w:rFonts w:eastAsia="Calibri"/>
          <w:szCs w:val="22"/>
          <w:lang w:val="hr-HR" w:eastAsia="en-US"/>
        </w:rPr>
        <w:t>(UNEP-MAP-RAC/SPA, (b) 2015</w:t>
      </w:r>
      <w:r>
        <w:rPr>
          <w:rStyle w:val="FootnoteReference"/>
          <w:rFonts w:eastAsia="Calibri"/>
          <w:szCs w:val="22"/>
          <w:lang w:val="hr-HR" w:eastAsia="en-US"/>
        </w:rPr>
        <w:footnoteReference w:id="61"/>
      </w:r>
      <w:r w:rsidRPr="00C9445A">
        <w:rPr>
          <w:rFonts w:eastAsia="Calibri"/>
          <w:szCs w:val="22"/>
          <w:lang w:val="hr-HR" w:eastAsia="en-US"/>
        </w:rPr>
        <w:t>).</w:t>
      </w:r>
    </w:p>
    <w:p w14:paraId="3D8A7B2D" w14:textId="243B3B27" w:rsidR="004550B8" w:rsidRPr="00C9445A" w:rsidRDefault="004550B8" w:rsidP="004550B8">
      <w:pPr>
        <w:spacing w:before="0" w:after="160" w:line="259" w:lineRule="auto"/>
        <w:rPr>
          <w:rFonts w:eastAsia="Calibri"/>
          <w:szCs w:val="22"/>
          <w:lang w:val="hr-HR" w:eastAsia="en-US"/>
        </w:rPr>
      </w:pPr>
      <w:r w:rsidRPr="004550B8">
        <w:rPr>
          <w:rFonts w:eastAsia="Calibri"/>
          <w:szCs w:val="22"/>
          <w:lang w:val="hr-HR" w:eastAsia="en-US"/>
        </w:rPr>
        <w:t xml:space="preserve">Prava zajednica morskih ptica u Jadranskom moru </w:t>
      </w:r>
      <w:r w:rsidRPr="00C9445A">
        <w:rPr>
          <w:rFonts w:eastAsia="Calibri"/>
          <w:szCs w:val="22"/>
          <w:lang w:val="hr-HR" w:eastAsia="en-US"/>
        </w:rPr>
        <w:t>(</w:t>
      </w:r>
      <w:r w:rsidRPr="00C9445A">
        <w:rPr>
          <w:rFonts w:eastAsia="Calibri"/>
          <w:i/>
          <w:iCs/>
          <w:szCs w:val="22"/>
          <w:lang w:val="hr-HR" w:eastAsia="en-US"/>
        </w:rPr>
        <w:t>Calonectris diomedea</w:t>
      </w:r>
      <w:r w:rsidRPr="00C9445A">
        <w:rPr>
          <w:rFonts w:eastAsia="Calibri"/>
          <w:szCs w:val="22"/>
          <w:lang w:val="hr-HR" w:eastAsia="en-US"/>
        </w:rPr>
        <w:t xml:space="preserve">, </w:t>
      </w:r>
      <w:r w:rsidRPr="00C9445A">
        <w:rPr>
          <w:rFonts w:eastAsia="Calibri"/>
          <w:i/>
          <w:iCs/>
          <w:szCs w:val="22"/>
          <w:lang w:val="hr-HR" w:eastAsia="en-US"/>
        </w:rPr>
        <w:t>Puffinus yelkouan</w:t>
      </w:r>
      <w:r w:rsidRPr="00C9445A">
        <w:rPr>
          <w:rFonts w:eastAsia="Calibri"/>
          <w:szCs w:val="22"/>
          <w:lang w:val="hr-HR" w:eastAsia="en-US"/>
        </w:rPr>
        <w:t xml:space="preserve">, </w:t>
      </w:r>
      <w:r w:rsidRPr="00C9445A">
        <w:rPr>
          <w:rFonts w:eastAsia="Calibri"/>
          <w:i/>
          <w:iCs/>
          <w:szCs w:val="22"/>
          <w:lang w:val="hr-HR" w:eastAsia="en-US"/>
        </w:rPr>
        <w:t xml:space="preserve">Phalacrocorax aristotelis desmarestii </w:t>
      </w:r>
      <w:r w:rsidRPr="00C9445A">
        <w:rPr>
          <w:rFonts w:eastAsia="Calibri"/>
          <w:szCs w:val="22"/>
          <w:lang w:val="hr-HR" w:eastAsia="en-US"/>
        </w:rPr>
        <w:t xml:space="preserve">and </w:t>
      </w:r>
      <w:r w:rsidRPr="00C9445A">
        <w:rPr>
          <w:rFonts w:eastAsia="Calibri"/>
          <w:i/>
          <w:iCs/>
          <w:szCs w:val="22"/>
          <w:lang w:val="hr-HR" w:eastAsia="en-US"/>
        </w:rPr>
        <w:t>Larus audouinii</w:t>
      </w:r>
      <w:r w:rsidRPr="00C9445A">
        <w:rPr>
          <w:rFonts w:eastAsia="Calibri"/>
          <w:szCs w:val="22"/>
          <w:lang w:val="hr-HR" w:eastAsia="en-US"/>
        </w:rPr>
        <w:t>)</w:t>
      </w:r>
      <w:r>
        <w:rPr>
          <w:rFonts w:eastAsia="Calibri"/>
          <w:szCs w:val="22"/>
          <w:lang w:val="hr-HR" w:eastAsia="en-US"/>
        </w:rPr>
        <w:t xml:space="preserve">  predstavlja samo mali dio</w:t>
      </w:r>
      <w:r w:rsidRPr="004550B8">
        <w:rPr>
          <w:rFonts w:eastAsia="Calibri"/>
          <w:szCs w:val="22"/>
          <w:lang w:val="hr-HR" w:eastAsia="en-US"/>
        </w:rPr>
        <w:t xml:space="preserve"> svih morskih ptica </w:t>
      </w:r>
      <w:r>
        <w:rPr>
          <w:rFonts w:eastAsia="Calibri"/>
          <w:szCs w:val="22"/>
          <w:lang w:val="hr-HR" w:eastAsia="en-US"/>
        </w:rPr>
        <w:t xml:space="preserve">zabilježenih </w:t>
      </w:r>
      <w:r w:rsidRPr="004550B8">
        <w:rPr>
          <w:rFonts w:eastAsia="Calibri"/>
          <w:szCs w:val="22"/>
          <w:lang w:val="hr-HR" w:eastAsia="en-US"/>
        </w:rPr>
        <w:t xml:space="preserve">u Sredozemlju. Glavna staništa pravih morskih ptica na Jadranu nalaze se u centralnom i sjevernom dijelu Jadrana, dok se njihovo pojavljivanje u crnogorskom dijelu </w:t>
      </w:r>
      <w:r>
        <w:rPr>
          <w:rFonts w:eastAsia="Calibri"/>
          <w:szCs w:val="22"/>
          <w:lang w:val="hr-HR" w:eastAsia="en-US"/>
        </w:rPr>
        <w:t xml:space="preserve">Jadrana sporadično registruje </w:t>
      </w:r>
      <w:r w:rsidRPr="004550B8">
        <w:rPr>
          <w:rFonts w:eastAsia="Calibri"/>
          <w:szCs w:val="22"/>
          <w:lang w:val="hr-HR" w:eastAsia="en-US"/>
        </w:rPr>
        <w:t>van sezone razmnožavanja. Imaju status „r</w:t>
      </w:r>
      <w:r>
        <w:rPr>
          <w:rFonts w:eastAsia="Calibri"/>
          <w:szCs w:val="22"/>
          <w:lang w:val="hr-HR" w:eastAsia="en-US"/>
        </w:rPr>
        <w:t>ij</w:t>
      </w:r>
      <w:r w:rsidRPr="004550B8">
        <w:rPr>
          <w:rFonts w:eastAsia="Calibri"/>
          <w:szCs w:val="22"/>
          <w:lang w:val="hr-HR" w:eastAsia="en-US"/>
        </w:rPr>
        <w:t>etk</w:t>
      </w:r>
      <w:r>
        <w:rPr>
          <w:rFonts w:eastAsia="Calibri"/>
          <w:szCs w:val="22"/>
          <w:lang w:val="hr-HR" w:eastAsia="en-US"/>
        </w:rPr>
        <w:t>ih</w:t>
      </w:r>
      <w:r w:rsidRPr="004550B8">
        <w:rPr>
          <w:rFonts w:eastAsia="Calibri"/>
          <w:szCs w:val="22"/>
          <w:lang w:val="hr-HR" w:eastAsia="en-US"/>
        </w:rPr>
        <w:t>“ ili „slučajn</w:t>
      </w:r>
      <w:r>
        <w:rPr>
          <w:rFonts w:eastAsia="Calibri"/>
          <w:szCs w:val="22"/>
          <w:lang w:val="hr-HR" w:eastAsia="en-US"/>
        </w:rPr>
        <w:t>ih“ vrsta</w:t>
      </w:r>
      <w:r w:rsidRPr="004550B8">
        <w:rPr>
          <w:rFonts w:eastAsia="Calibri"/>
          <w:szCs w:val="22"/>
          <w:lang w:val="hr-HR" w:eastAsia="en-US"/>
        </w:rPr>
        <w:t xml:space="preserve"> ptica u ornitofauni Crne Gore (Saveljić i Jovićević, 2015).</w:t>
      </w:r>
    </w:p>
    <w:bookmarkEnd w:id="320"/>
    <w:p w14:paraId="5F3185E3" w14:textId="48B72C13" w:rsidR="008D3F6E" w:rsidRPr="001C6CCA" w:rsidRDefault="009A2662" w:rsidP="00683BCB">
      <w:pPr>
        <w:pStyle w:val="Heading4"/>
        <w:rPr>
          <w:rFonts w:eastAsia="Calibri"/>
          <w:lang w:val="en-GB" w:eastAsia="en-US"/>
        </w:rPr>
      </w:pPr>
      <w:r>
        <w:rPr>
          <w:rFonts w:eastAsia="Calibri"/>
          <w:lang w:val="en-GB" w:eastAsia="en-US"/>
        </w:rPr>
        <w:t>Relevantni p</w:t>
      </w:r>
      <w:r w:rsidR="004550B8">
        <w:rPr>
          <w:rFonts w:eastAsia="Calibri"/>
          <w:lang w:val="en-GB" w:eastAsia="en-US"/>
        </w:rPr>
        <w:t>ritisci i uticaji</w:t>
      </w:r>
    </w:p>
    <w:p w14:paraId="6A99341A" w14:textId="7FA868DC" w:rsidR="004550B8" w:rsidRPr="004550B8" w:rsidRDefault="004550B8" w:rsidP="004550B8">
      <w:pPr>
        <w:autoSpaceDE w:val="0"/>
        <w:autoSpaceDN w:val="0"/>
        <w:adjustRightInd w:val="0"/>
        <w:spacing w:before="0" w:after="0"/>
        <w:rPr>
          <w:rFonts w:eastAsia="Calibri" w:cs="Calibri"/>
          <w:color w:val="000000"/>
          <w:szCs w:val="22"/>
          <w:shd w:val="clear" w:color="auto" w:fill="FFFFFF"/>
          <w:lang w:val="en-GB" w:eastAsia="en-US"/>
        </w:rPr>
      </w:pPr>
      <w:r w:rsidRPr="004550B8">
        <w:rPr>
          <w:rFonts w:eastAsia="Calibri" w:cs="Calibri"/>
          <w:color w:val="000000"/>
          <w:szCs w:val="22"/>
          <w:shd w:val="clear" w:color="auto" w:fill="FFFFFF"/>
          <w:lang w:val="en-GB" w:eastAsia="en-US"/>
        </w:rPr>
        <w:t>Od šesnaest pritisaka za koje je utvrđeno da imaju potencijalni uticaj na populacije morskih ptica, pet najznačajnijih su: klimatske prom</w:t>
      </w:r>
      <w:r w:rsidR="006858B6">
        <w:rPr>
          <w:rFonts w:eastAsia="Calibri" w:cs="Calibri"/>
          <w:color w:val="000000"/>
          <w:szCs w:val="22"/>
          <w:shd w:val="clear" w:color="auto" w:fill="FFFFFF"/>
          <w:lang w:val="en-GB" w:eastAsia="en-US"/>
        </w:rPr>
        <w:t>j</w:t>
      </w:r>
      <w:r w:rsidRPr="004550B8">
        <w:rPr>
          <w:rFonts w:eastAsia="Calibri" w:cs="Calibri"/>
          <w:color w:val="000000"/>
          <w:szCs w:val="22"/>
          <w:shd w:val="clear" w:color="auto" w:fill="FFFFFF"/>
          <w:lang w:val="en-GB" w:eastAsia="en-US"/>
        </w:rPr>
        <w:t>ene, zagađenje opasnim supstancama, uklanjanje vrsta (ciljnih i neciljnih), oštećenje staništa i gubitak staništa.</w:t>
      </w:r>
    </w:p>
    <w:p w14:paraId="3FF48F6E" w14:textId="1F3DE65D" w:rsidR="004550B8" w:rsidRPr="004550B8" w:rsidRDefault="004550B8" w:rsidP="004550B8">
      <w:pPr>
        <w:autoSpaceDE w:val="0"/>
        <w:autoSpaceDN w:val="0"/>
        <w:adjustRightInd w:val="0"/>
        <w:spacing w:before="0" w:after="0"/>
        <w:rPr>
          <w:rFonts w:eastAsia="Calibri" w:cs="Calibri"/>
          <w:color w:val="000000"/>
          <w:szCs w:val="22"/>
          <w:shd w:val="clear" w:color="auto" w:fill="FFFFFF"/>
          <w:lang w:val="en-GB" w:eastAsia="en-US"/>
        </w:rPr>
      </w:pPr>
      <w:r w:rsidRPr="004550B8">
        <w:rPr>
          <w:rFonts w:eastAsia="Calibri" w:cs="Calibri"/>
          <w:color w:val="000000"/>
          <w:szCs w:val="22"/>
          <w:shd w:val="clear" w:color="auto" w:fill="FFFFFF"/>
          <w:lang w:val="en-GB" w:eastAsia="en-US"/>
        </w:rPr>
        <w:t>Pored klimatskih promjena i uklanjanja ciljnih i neciljanih vrsta ribolovom, identifikovano je još pet pritisaka koji imaju pote</w:t>
      </w:r>
      <w:r w:rsidR="00B1178A">
        <w:rPr>
          <w:rFonts w:eastAsia="Calibri" w:cs="Calibri"/>
          <w:color w:val="000000"/>
          <w:szCs w:val="22"/>
          <w:shd w:val="clear" w:color="auto" w:fill="FFFFFF"/>
          <w:lang w:val="en-GB" w:eastAsia="en-US"/>
        </w:rPr>
        <w:t xml:space="preserve">ncijalne uticaje na populacije </w:t>
      </w:r>
      <w:r w:rsidRPr="004550B8">
        <w:rPr>
          <w:rFonts w:eastAsia="Calibri" w:cs="Calibri"/>
          <w:color w:val="000000"/>
          <w:szCs w:val="22"/>
          <w:shd w:val="clear" w:color="auto" w:fill="FFFFFF"/>
          <w:lang w:val="en-GB" w:eastAsia="en-US"/>
        </w:rPr>
        <w:t>morskih ptica</w:t>
      </w:r>
      <w:r w:rsidR="00B1178A">
        <w:rPr>
          <w:rFonts w:eastAsia="Calibri" w:cs="Calibri"/>
          <w:color w:val="000000"/>
          <w:szCs w:val="22"/>
          <w:shd w:val="clear" w:color="auto" w:fill="FFFFFF"/>
          <w:lang w:val="en-GB" w:eastAsia="en-US"/>
        </w:rPr>
        <w:t xml:space="preserve"> u Crnoj Gori</w:t>
      </w:r>
      <w:r w:rsidRPr="004550B8">
        <w:rPr>
          <w:rFonts w:eastAsia="Calibri" w:cs="Calibri"/>
          <w:color w:val="000000"/>
          <w:szCs w:val="22"/>
          <w:shd w:val="clear" w:color="auto" w:fill="FFFFFF"/>
          <w:lang w:val="en-GB" w:eastAsia="en-US"/>
        </w:rPr>
        <w:t xml:space="preserve"> (kontaminacija opasnim supstancama, </w:t>
      </w:r>
      <w:r w:rsidR="00B1178A">
        <w:rPr>
          <w:rFonts w:eastAsia="Calibri" w:cs="Calibri"/>
          <w:color w:val="000000"/>
          <w:szCs w:val="22"/>
          <w:shd w:val="clear" w:color="auto" w:fill="FFFFFF"/>
          <w:lang w:val="en-GB" w:eastAsia="en-US"/>
        </w:rPr>
        <w:t>otpad, vizuelni poremećaji, unos stranih vrsta</w:t>
      </w:r>
      <w:r w:rsidRPr="004550B8">
        <w:rPr>
          <w:rFonts w:eastAsia="Calibri" w:cs="Calibri"/>
          <w:color w:val="000000"/>
          <w:szCs w:val="22"/>
          <w:shd w:val="clear" w:color="auto" w:fill="FFFFFF"/>
          <w:lang w:val="en-GB" w:eastAsia="en-US"/>
        </w:rPr>
        <w:t>, gubitak staništa) (tabela 3.2).</w:t>
      </w:r>
    </w:p>
    <w:p w14:paraId="6922542E" w14:textId="77777777" w:rsidR="008D3F6E" w:rsidRPr="001C6CCA" w:rsidRDefault="008D3F6E" w:rsidP="00F65CFF">
      <w:pPr>
        <w:autoSpaceDE w:val="0"/>
        <w:autoSpaceDN w:val="0"/>
        <w:adjustRightInd w:val="0"/>
        <w:spacing w:before="0" w:after="0"/>
        <w:rPr>
          <w:rFonts w:eastAsia="Calibri"/>
          <w:color w:val="000000"/>
          <w:sz w:val="20"/>
          <w:szCs w:val="20"/>
          <w:shd w:val="clear" w:color="auto" w:fill="FFFFFF"/>
          <w:lang w:val="en-GB" w:eastAsia="en-US"/>
        </w:rPr>
      </w:pPr>
    </w:p>
    <w:p w14:paraId="70518331" w14:textId="41CFC1CE" w:rsidR="008D3F6E" w:rsidRPr="004D6D17" w:rsidRDefault="008D3F6E" w:rsidP="0067490C">
      <w:pPr>
        <w:spacing w:line="240" w:lineRule="auto"/>
        <w:rPr>
          <w:rFonts w:eastAsia="Calibri" w:cs="Calibri"/>
          <w:b/>
          <w:szCs w:val="22"/>
          <w:lang w:val="en-GB" w:eastAsia="en-US"/>
        </w:rPr>
      </w:pPr>
      <w:bookmarkStart w:id="321" w:name="_Toc83643198"/>
      <w:r w:rsidRPr="004D6D17">
        <w:rPr>
          <w:rFonts w:eastAsia="Calibri"/>
          <w:b/>
          <w:color w:val="000000"/>
          <w:szCs w:val="22"/>
          <w:shd w:val="clear" w:color="auto" w:fill="FFFFFF"/>
          <w:lang w:val="en-GB" w:eastAsia="en-US"/>
        </w:rPr>
        <w:t>Tab</w:t>
      </w:r>
      <w:r w:rsidR="00B1178A">
        <w:rPr>
          <w:rFonts w:eastAsia="Calibri"/>
          <w:b/>
          <w:color w:val="000000"/>
          <w:szCs w:val="22"/>
          <w:shd w:val="clear" w:color="auto" w:fill="FFFFFF"/>
          <w:lang w:val="en-GB" w:eastAsia="en-US"/>
        </w:rPr>
        <w:t>ela</w:t>
      </w:r>
      <w:r w:rsidR="00683BCB" w:rsidRPr="004D6D17">
        <w:rPr>
          <w:rFonts w:eastAsia="Calibri"/>
          <w:b/>
          <w:color w:val="000000"/>
          <w:szCs w:val="22"/>
          <w:shd w:val="clear" w:color="auto" w:fill="FFFFFF"/>
          <w:lang w:val="en-GB" w:eastAsia="en-US"/>
        </w:rPr>
        <w:t xml:space="preserve"> </w:t>
      </w:r>
      <w:r w:rsidR="004D6D17" w:rsidRPr="004D6D17">
        <w:rPr>
          <w:b/>
          <w:szCs w:val="22"/>
        </w:rPr>
        <w:fldChar w:fldCharType="begin"/>
      </w:r>
      <w:r w:rsidR="004D6D17" w:rsidRPr="004D6D17">
        <w:rPr>
          <w:b/>
          <w:szCs w:val="22"/>
        </w:rPr>
        <w:instrText xml:space="preserve"> STYLEREF 1 \s </w:instrText>
      </w:r>
      <w:r w:rsidR="004D6D17" w:rsidRPr="004D6D17">
        <w:rPr>
          <w:b/>
          <w:szCs w:val="22"/>
        </w:rPr>
        <w:fldChar w:fldCharType="separate"/>
      </w:r>
      <w:r w:rsidR="000D1E20">
        <w:rPr>
          <w:b/>
          <w:noProof/>
          <w:szCs w:val="22"/>
        </w:rPr>
        <w:t>3</w:t>
      </w:r>
      <w:r w:rsidR="004D6D17" w:rsidRPr="004D6D17">
        <w:rPr>
          <w:b/>
          <w:szCs w:val="22"/>
        </w:rPr>
        <w:fldChar w:fldCharType="end"/>
      </w:r>
      <w:r w:rsidR="004D6D17" w:rsidRPr="004D6D17">
        <w:rPr>
          <w:b/>
          <w:szCs w:val="22"/>
        </w:rPr>
        <w:t>.</w:t>
      </w:r>
      <w:r w:rsidR="004D6D17" w:rsidRPr="004D6D17">
        <w:rPr>
          <w:b/>
          <w:szCs w:val="22"/>
        </w:rPr>
        <w:fldChar w:fldCharType="begin"/>
      </w:r>
      <w:r w:rsidR="004D6D17" w:rsidRPr="004D6D17">
        <w:rPr>
          <w:b/>
          <w:szCs w:val="22"/>
        </w:rPr>
        <w:instrText xml:space="preserve"> SEQ Table \* ARABIC \s 1 </w:instrText>
      </w:r>
      <w:r w:rsidR="004D6D17" w:rsidRPr="004D6D17">
        <w:rPr>
          <w:b/>
          <w:szCs w:val="22"/>
        </w:rPr>
        <w:fldChar w:fldCharType="separate"/>
      </w:r>
      <w:r w:rsidR="000D1E20">
        <w:rPr>
          <w:b/>
          <w:noProof/>
          <w:szCs w:val="22"/>
        </w:rPr>
        <w:t>2</w:t>
      </w:r>
      <w:r w:rsidR="004D6D17" w:rsidRPr="004D6D17">
        <w:rPr>
          <w:b/>
          <w:szCs w:val="22"/>
        </w:rPr>
        <w:fldChar w:fldCharType="end"/>
      </w:r>
      <w:r w:rsidR="004D6D17" w:rsidRPr="004D6D17">
        <w:rPr>
          <w:b/>
          <w:szCs w:val="22"/>
        </w:rPr>
        <w:t>.</w:t>
      </w:r>
      <w:r w:rsidR="004D6D17" w:rsidRPr="004D6D17">
        <w:rPr>
          <w:rFonts w:eastAsia="Calibri" w:cs="Calibri"/>
          <w:b/>
          <w:szCs w:val="22"/>
          <w:lang w:val="en-GB" w:eastAsia="en-US"/>
        </w:rPr>
        <w:t xml:space="preserve"> </w:t>
      </w:r>
      <w:r w:rsidR="00B1178A" w:rsidRPr="00B1178A">
        <w:rPr>
          <w:rFonts w:eastAsia="Calibri" w:cs="Calibri"/>
          <w:b/>
          <w:szCs w:val="22"/>
          <w:lang w:val="en-GB" w:eastAsia="en-US"/>
        </w:rPr>
        <w:t xml:space="preserve">Pregled najvažnijih pritisaka i aktivnosti </w:t>
      </w:r>
      <w:r w:rsidR="00B1178A">
        <w:rPr>
          <w:rFonts w:eastAsia="Calibri" w:cs="Calibri"/>
          <w:b/>
          <w:szCs w:val="22"/>
          <w:lang w:val="en-GB" w:eastAsia="en-US"/>
        </w:rPr>
        <w:t xml:space="preserve">koje utiču na </w:t>
      </w:r>
      <w:r w:rsidR="00B1178A" w:rsidRPr="00B1178A">
        <w:rPr>
          <w:rFonts w:eastAsia="Calibri" w:cs="Calibri"/>
          <w:b/>
          <w:szCs w:val="22"/>
          <w:lang w:val="en-GB" w:eastAsia="en-US"/>
        </w:rPr>
        <w:t xml:space="preserve">morske ptice </w:t>
      </w:r>
      <w:r w:rsidR="009A2662">
        <w:rPr>
          <w:rFonts w:eastAsia="Calibri" w:cs="Calibri"/>
          <w:b/>
          <w:szCs w:val="22"/>
          <w:lang w:val="en-GB" w:eastAsia="en-US"/>
        </w:rPr>
        <w:t xml:space="preserve">u crnogorskom dijelu </w:t>
      </w:r>
      <w:r w:rsidR="00B1178A">
        <w:rPr>
          <w:rFonts w:eastAsia="Calibri" w:cs="Calibri"/>
          <w:b/>
          <w:szCs w:val="22"/>
          <w:lang w:val="en-GB" w:eastAsia="en-US"/>
        </w:rPr>
        <w:t>Jadran</w:t>
      </w:r>
      <w:r w:rsidR="009A2662">
        <w:rPr>
          <w:rFonts w:eastAsia="Calibri" w:cs="Calibri"/>
          <w:b/>
          <w:szCs w:val="22"/>
          <w:lang w:val="en-GB" w:eastAsia="en-US"/>
        </w:rPr>
        <w:t>a.</w:t>
      </w:r>
      <w:bookmarkEnd w:id="321"/>
    </w:p>
    <w:tbl>
      <w:tblPr>
        <w:tblStyle w:val="GolderTable7"/>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248"/>
        <w:gridCol w:w="4768"/>
      </w:tblGrid>
      <w:tr w:rsidR="008D3F6E" w:rsidRPr="001C6CCA" w14:paraId="41F8CE87" w14:textId="77777777" w:rsidTr="00740F40">
        <w:trPr>
          <w:tblHeader/>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0222EC62" w14:textId="77777777" w:rsidR="008D3F6E" w:rsidRPr="00740F40" w:rsidRDefault="008D3F6E" w:rsidP="00F65CFF">
            <w:pPr>
              <w:autoSpaceDE w:val="0"/>
              <w:autoSpaceDN w:val="0"/>
              <w:adjustRightInd w:val="0"/>
              <w:spacing w:before="0" w:after="0" w:line="240" w:lineRule="auto"/>
              <w:rPr>
                <w:rFonts w:cs="Calibri"/>
                <w:b/>
                <w:color w:val="FFFFFF" w:themeColor="background1"/>
                <w:shd w:val="clear" w:color="auto" w:fill="FFFFFF"/>
                <w:lang w:val="en-GB" w:eastAsia="en-US"/>
              </w:rPr>
            </w:pPr>
          </w:p>
          <w:p w14:paraId="10D32F91" w14:textId="5B5FC406" w:rsidR="008D3F6E" w:rsidRPr="00740F40" w:rsidRDefault="00B1178A" w:rsidP="00B1178A">
            <w:pPr>
              <w:autoSpaceDE w:val="0"/>
              <w:autoSpaceDN w:val="0"/>
              <w:adjustRightInd w:val="0"/>
              <w:spacing w:before="0" w:after="0" w:line="240" w:lineRule="auto"/>
              <w:rPr>
                <w:rFonts w:cs="Calibri"/>
                <w:b/>
                <w:color w:val="FFFFFF" w:themeColor="background1"/>
                <w:shd w:val="clear" w:color="auto" w:fill="8DB3E2" w:themeFill="text2" w:themeFillTint="66"/>
                <w:lang w:val="en-GB" w:eastAsia="en-US"/>
              </w:rPr>
            </w:pPr>
            <w:r w:rsidRPr="00740F40">
              <w:rPr>
                <w:rFonts w:cs="Calibri"/>
                <w:b/>
                <w:color w:val="FFFFFF" w:themeColor="background1"/>
                <w:shd w:val="clear" w:color="auto" w:fill="1F497D" w:themeFill="text2"/>
                <w:lang w:val="en-GB" w:eastAsia="en-US"/>
              </w:rPr>
              <w:t>Relativni pritisci</w:t>
            </w:r>
          </w:p>
        </w:tc>
        <w:tc>
          <w:tcPr>
            <w:tcW w:w="47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0689466F" w14:textId="77777777" w:rsidR="00B1178A" w:rsidRPr="00740F40" w:rsidRDefault="00B1178A" w:rsidP="00F65CFF">
            <w:pPr>
              <w:autoSpaceDE w:val="0"/>
              <w:autoSpaceDN w:val="0"/>
              <w:adjustRightInd w:val="0"/>
              <w:spacing w:before="0" w:after="0" w:line="240" w:lineRule="auto"/>
              <w:rPr>
                <w:rFonts w:cs="Calibri"/>
                <w:b/>
                <w:color w:val="FFFFFF" w:themeColor="background1"/>
                <w:shd w:val="clear" w:color="auto" w:fill="8DB3E2" w:themeFill="text2" w:themeFillTint="66"/>
                <w:lang w:val="en-GB" w:eastAsia="en-US"/>
              </w:rPr>
            </w:pPr>
          </w:p>
          <w:p w14:paraId="10D4777E" w14:textId="0FE2B011" w:rsidR="008D3F6E" w:rsidRPr="00740F40" w:rsidRDefault="00B1178A" w:rsidP="00F65CFF">
            <w:pPr>
              <w:autoSpaceDE w:val="0"/>
              <w:autoSpaceDN w:val="0"/>
              <w:adjustRightInd w:val="0"/>
              <w:spacing w:before="0" w:after="0" w:line="240" w:lineRule="auto"/>
              <w:rPr>
                <w:color w:val="FFFFFF" w:themeColor="background1"/>
                <w:shd w:val="clear" w:color="auto" w:fill="FFFFFF"/>
                <w:lang w:val="en-GB" w:eastAsia="en-US"/>
              </w:rPr>
            </w:pPr>
            <w:r w:rsidRPr="00740F40">
              <w:rPr>
                <w:rFonts w:cs="Calibri"/>
                <w:b/>
                <w:color w:val="FFFFFF" w:themeColor="background1"/>
                <w:shd w:val="clear" w:color="auto" w:fill="1F497D" w:themeFill="text2"/>
                <w:lang w:val="en-GB" w:eastAsia="en-US"/>
              </w:rPr>
              <w:t>Korišćenje/aktivnost odgovorna za pritiske</w:t>
            </w:r>
          </w:p>
        </w:tc>
      </w:tr>
      <w:tr w:rsidR="008D3F6E" w:rsidRPr="001C6CCA" w14:paraId="5BA01830" w14:textId="77777777" w:rsidTr="00740F40">
        <w:tc>
          <w:tcPr>
            <w:tcW w:w="4248" w:type="dxa"/>
            <w:tcBorders>
              <w:top w:val="single" w:sz="4" w:space="0" w:color="FFFFFF" w:themeColor="background1"/>
            </w:tcBorders>
          </w:tcPr>
          <w:p w14:paraId="1A1D1C65" w14:textId="77777777" w:rsidR="008A7B65" w:rsidRDefault="008A7B65" w:rsidP="008A7B65">
            <w:pPr>
              <w:autoSpaceDE w:val="0"/>
              <w:autoSpaceDN w:val="0"/>
              <w:adjustRightInd w:val="0"/>
              <w:spacing w:before="0" w:after="0" w:line="240" w:lineRule="auto"/>
              <w:rPr>
                <w:rFonts w:cs="Calibri"/>
                <w:color w:val="000000"/>
                <w:sz w:val="20"/>
                <w:szCs w:val="20"/>
                <w:shd w:val="clear" w:color="auto" w:fill="FFFFFF"/>
                <w:lang w:val="en-GB" w:eastAsia="en-US"/>
              </w:rPr>
            </w:pPr>
            <w:r>
              <w:rPr>
                <w:rFonts w:cs="Calibri"/>
                <w:color w:val="000000"/>
                <w:sz w:val="20"/>
                <w:szCs w:val="20"/>
                <w:shd w:val="clear" w:color="auto" w:fill="FFFFFF"/>
                <w:lang w:val="en-GB" w:eastAsia="en-US"/>
              </w:rPr>
              <w:t>E</w:t>
            </w:r>
            <w:r w:rsidRPr="008A7B65">
              <w:rPr>
                <w:rFonts w:cs="Calibri"/>
                <w:color w:val="000000"/>
                <w:sz w:val="20"/>
                <w:szCs w:val="20"/>
                <w:shd w:val="clear" w:color="auto" w:fill="FFFFFF"/>
                <w:lang w:val="en-GB" w:eastAsia="en-US"/>
              </w:rPr>
              <w:t>kstrakcija divljih vrsta ili njihova smrtnost/povreda, uključujući ciljane i druge vrste</w:t>
            </w:r>
            <w:r>
              <w:rPr>
                <w:rFonts w:cs="Calibri"/>
                <w:color w:val="000000"/>
                <w:sz w:val="20"/>
                <w:szCs w:val="20"/>
                <w:shd w:val="clear" w:color="auto" w:fill="FFFFFF"/>
                <w:lang w:val="en-GB" w:eastAsia="en-US"/>
              </w:rPr>
              <w:t xml:space="preserve"> </w:t>
            </w:r>
            <w:r w:rsidRPr="004550B8">
              <w:rPr>
                <w:rFonts w:cs="Calibri"/>
                <w:color w:val="000000"/>
                <w:sz w:val="20"/>
                <w:szCs w:val="20"/>
                <w:shd w:val="clear" w:color="auto" w:fill="FFFFFF"/>
                <w:lang w:val="en-GB" w:eastAsia="en-US"/>
              </w:rPr>
              <w:t>koje žive u divljini (direktna smrtnost)</w:t>
            </w:r>
          </w:p>
          <w:p w14:paraId="0117DBE7" w14:textId="69D70516" w:rsidR="008A7B65" w:rsidRPr="001C6CCA" w:rsidRDefault="008A7B65" w:rsidP="00F65CFF">
            <w:pPr>
              <w:autoSpaceDE w:val="0"/>
              <w:autoSpaceDN w:val="0"/>
              <w:adjustRightInd w:val="0"/>
              <w:spacing w:before="0" w:after="0" w:line="240" w:lineRule="auto"/>
              <w:rPr>
                <w:rFonts w:cs="Calibri"/>
                <w:color w:val="000000"/>
                <w:sz w:val="20"/>
                <w:szCs w:val="20"/>
                <w:shd w:val="clear" w:color="auto" w:fill="FFFFFF"/>
                <w:lang w:val="en-GB" w:eastAsia="en-US"/>
              </w:rPr>
            </w:pPr>
          </w:p>
        </w:tc>
        <w:tc>
          <w:tcPr>
            <w:tcW w:w="4768" w:type="dxa"/>
            <w:tcBorders>
              <w:top w:val="single" w:sz="4" w:space="0" w:color="FFFFFF" w:themeColor="background1"/>
            </w:tcBorders>
          </w:tcPr>
          <w:p w14:paraId="1C45EB3D" w14:textId="77777777" w:rsidR="00B1178A" w:rsidRPr="004550B8" w:rsidRDefault="00B1178A" w:rsidP="00B1178A">
            <w:pPr>
              <w:autoSpaceDE w:val="0"/>
              <w:autoSpaceDN w:val="0"/>
              <w:adjustRightInd w:val="0"/>
              <w:spacing w:before="0" w:after="0" w:line="240" w:lineRule="auto"/>
              <w:rPr>
                <w:rFonts w:cs="Calibri"/>
                <w:color w:val="000000"/>
                <w:sz w:val="20"/>
                <w:szCs w:val="20"/>
                <w:shd w:val="clear" w:color="auto" w:fill="FFFFFF"/>
                <w:lang w:val="en-GB" w:eastAsia="en-US"/>
              </w:rPr>
            </w:pPr>
            <w:r w:rsidRPr="004550B8">
              <w:rPr>
                <w:rFonts w:cs="Calibri"/>
                <w:color w:val="000000"/>
                <w:sz w:val="20"/>
                <w:szCs w:val="20"/>
                <w:shd w:val="clear" w:color="auto" w:fill="FFFFFF"/>
                <w:lang w:val="en-GB" w:eastAsia="en-US"/>
              </w:rPr>
              <w:t>Ribolov i ulov školjki</w:t>
            </w:r>
          </w:p>
          <w:p w14:paraId="0B5BCBA4" w14:textId="23B2C540" w:rsidR="008D3F6E" w:rsidRPr="001C6CCA" w:rsidRDefault="008D3F6E" w:rsidP="00F65CFF">
            <w:pPr>
              <w:autoSpaceDE w:val="0"/>
              <w:autoSpaceDN w:val="0"/>
              <w:adjustRightInd w:val="0"/>
              <w:spacing w:before="0" w:after="0" w:line="240" w:lineRule="auto"/>
              <w:rPr>
                <w:rFonts w:cs="Calibri"/>
                <w:color w:val="000000"/>
                <w:sz w:val="20"/>
                <w:szCs w:val="20"/>
                <w:shd w:val="clear" w:color="auto" w:fill="FFFFFF"/>
                <w:lang w:val="en-GB" w:eastAsia="en-US"/>
              </w:rPr>
            </w:pPr>
          </w:p>
        </w:tc>
      </w:tr>
      <w:tr w:rsidR="008D3F6E" w:rsidRPr="001C6CCA" w14:paraId="07ED293A" w14:textId="77777777" w:rsidTr="00683BCB">
        <w:tc>
          <w:tcPr>
            <w:tcW w:w="4248" w:type="dxa"/>
          </w:tcPr>
          <w:p w14:paraId="27CCC4F7" w14:textId="3A52D72F" w:rsidR="008D3F6E" w:rsidRPr="001C6CCA" w:rsidRDefault="00B1178A" w:rsidP="00F65CFF">
            <w:pPr>
              <w:autoSpaceDE w:val="0"/>
              <w:autoSpaceDN w:val="0"/>
              <w:adjustRightInd w:val="0"/>
              <w:spacing w:before="0" w:after="0" w:line="240" w:lineRule="auto"/>
              <w:rPr>
                <w:rFonts w:cs="Calibri"/>
                <w:color w:val="000000"/>
                <w:sz w:val="20"/>
                <w:szCs w:val="20"/>
                <w:shd w:val="clear" w:color="auto" w:fill="FFFFFF"/>
                <w:lang w:val="en-GB" w:eastAsia="en-US"/>
              </w:rPr>
            </w:pPr>
            <w:r w:rsidRPr="004550B8">
              <w:rPr>
                <w:rFonts w:cs="Calibri"/>
                <w:color w:val="000000"/>
                <w:sz w:val="20"/>
                <w:szCs w:val="20"/>
                <w:shd w:val="clear" w:color="auto" w:fill="FFFFFF"/>
                <w:lang w:val="en-GB" w:eastAsia="en-US"/>
              </w:rPr>
              <w:t>Izdvajanje ili stopa smrtnosti/povreda vrsta (ciljnih i neciljnih) koje žive u divljini (</w:t>
            </w:r>
            <w:r>
              <w:rPr>
                <w:rFonts w:cs="Calibri"/>
                <w:color w:val="000000"/>
                <w:sz w:val="20"/>
                <w:szCs w:val="20"/>
                <w:shd w:val="clear" w:color="auto" w:fill="FFFFFF"/>
                <w:lang w:val="en-GB" w:eastAsia="en-US"/>
              </w:rPr>
              <w:t>preko lanca ishrane</w:t>
            </w:r>
            <w:r w:rsidRPr="004550B8">
              <w:rPr>
                <w:rFonts w:cs="Calibri"/>
                <w:color w:val="000000"/>
                <w:sz w:val="20"/>
                <w:szCs w:val="20"/>
                <w:shd w:val="clear" w:color="auto" w:fill="FFFFFF"/>
                <w:lang w:val="en-GB" w:eastAsia="en-US"/>
              </w:rPr>
              <w:t>)</w:t>
            </w:r>
          </w:p>
        </w:tc>
        <w:tc>
          <w:tcPr>
            <w:tcW w:w="4768" w:type="dxa"/>
          </w:tcPr>
          <w:p w14:paraId="589C0347" w14:textId="77777777" w:rsidR="00B1178A" w:rsidRPr="004550B8" w:rsidRDefault="00B1178A" w:rsidP="00B1178A">
            <w:pPr>
              <w:autoSpaceDE w:val="0"/>
              <w:autoSpaceDN w:val="0"/>
              <w:adjustRightInd w:val="0"/>
              <w:spacing w:before="0" w:after="0" w:line="240" w:lineRule="auto"/>
              <w:rPr>
                <w:rFonts w:cs="Calibri"/>
                <w:color w:val="000000"/>
                <w:sz w:val="20"/>
                <w:szCs w:val="20"/>
                <w:shd w:val="clear" w:color="auto" w:fill="FFFFFF"/>
                <w:lang w:val="en-GB" w:eastAsia="en-US"/>
              </w:rPr>
            </w:pPr>
            <w:r w:rsidRPr="004550B8">
              <w:rPr>
                <w:rFonts w:cs="Calibri"/>
                <w:color w:val="000000"/>
                <w:sz w:val="20"/>
                <w:szCs w:val="20"/>
                <w:shd w:val="clear" w:color="auto" w:fill="FFFFFF"/>
                <w:lang w:val="en-GB" w:eastAsia="en-US"/>
              </w:rPr>
              <w:t>Ribolov i ulov školjki</w:t>
            </w:r>
          </w:p>
          <w:p w14:paraId="75ACF984" w14:textId="415E4579" w:rsidR="008D3F6E" w:rsidRPr="001C6CCA" w:rsidRDefault="008D3F6E" w:rsidP="00F65CFF">
            <w:pPr>
              <w:autoSpaceDE w:val="0"/>
              <w:autoSpaceDN w:val="0"/>
              <w:adjustRightInd w:val="0"/>
              <w:spacing w:before="0" w:after="0" w:line="240" w:lineRule="auto"/>
              <w:rPr>
                <w:rFonts w:cs="Calibri"/>
                <w:color w:val="000000"/>
                <w:sz w:val="20"/>
                <w:szCs w:val="20"/>
                <w:shd w:val="clear" w:color="auto" w:fill="FFFFFF"/>
                <w:lang w:val="en-GB" w:eastAsia="en-US"/>
              </w:rPr>
            </w:pPr>
          </w:p>
        </w:tc>
      </w:tr>
      <w:tr w:rsidR="0054797C" w:rsidRPr="001C6CCA" w14:paraId="3E4D1AF9" w14:textId="77777777" w:rsidTr="00683BCB">
        <w:tc>
          <w:tcPr>
            <w:tcW w:w="4248" w:type="dxa"/>
            <w:vMerge w:val="restart"/>
          </w:tcPr>
          <w:p w14:paraId="25CADC68" w14:textId="7F73C5CA" w:rsidR="0054797C" w:rsidRPr="001C6CCA" w:rsidRDefault="00B1178A" w:rsidP="00F65CFF">
            <w:pPr>
              <w:autoSpaceDE w:val="0"/>
              <w:autoSpaceDN w:val="0"/>
              <w:adjustRightInd w:val="0"/>
              <w:spacing w:before="0" w:after="0" w:line="240" w:lineRule="auto"/>
              <w:rPr>
                <w:rFonts w:cs="Calibri"/>
                <w:color w:val="000000"/>
                <w:sz w:val="20"/>
                <w:szCs w:val="20"/>
                <w:shd w:val="clear" w:color="auto" w:fill="FFFFFF"/>
                <w:lang w:val="en-GB" w:eastAsia="en-US"/>
              </w:rPr>
            </w:pPr>
            <w:r w:rsidRPr="004550B8">
              <w:rPr>
                <w:rFonts w:cs="Calibri"/>
                <w:color w:val="000000"/>
                <w:sz w:val="20"/>
                <w:szCs w:val="20"/>
                <w:shd w:val="clear" w:color="auto" w:fill="FFFFFF"/>
                <w:lang w:val="en-GB" w:eastAsia="en-US"/>
              </w:rPr>
              <w:t>Uznemir</w:t>
            </w:r>
            <w:r>
              <w:rPr>
                <w:rFonts w:cs="Calibri"/>
                <w:color w:val="000000"/>
                <w:sz w:val="20"/>
                <w:szCs w:val="20"/>
                <w:shd w:val="clear" w:color="auto" w:fill="FFFFFF"/>
                <w:lang w:val="en-GB" w:eastAsia="en-US"/>
              </w:rPr>
              <w:t xml:space="preserve">avanje </w:t>
            </w:r>
            <w:r w:rsidRPr="004550B8">
              <w:rPr>
                <w:rFonts w:cs="Calibri"/>
                <w:color w:val="000000"/>
                <w:sz w:val="20"/>
                <w:szCs w:val="20"/>
                <w:shd w:val="clear" w:color="auto" w:fill="FFFFFF"/>
                <w:lang w:val="en-GB" w:eastAsia="en-US"/>
              </w:rPr>
              <w:t xml:space="preserve">(npr. </w:t>
            </w:r>
            <w:r>
              <w:rPr>
                <w:rFonts w:cs="Calibri"/>
                <w:color w:val="000000"/>
                <w:sz w:val="20"/>
                <w:szCs w:val="20"/>
                <w:shd w:val="clear" w:color="auto" w:fill="FFFFFF"/>
                <w:lang w:val="en-GB" w:eastAsia="en-US"/>
              </w:rPr>
              <w:t xml:space="preserve">mjesta na kojima se </w:t>
            </w:r>
            <w:r w:rsidRPr="004550B8">
              <w:rPr>
                <w:rFonts w:cs="Calibri"/>
                <w:color w:val="000000"/>
                <w:sz w:val="20"/>
                <w:szCs w:val="20"/>
                <w:shd w:val="clear" w:color="auto" w:fill="FFFFFF"/>
                <w:lang w:val="en-GB" w:eastAsia="en-US"/>
              </w:rPr>
              <w:t>razmnožavaju, odmaraju i</w:t>
            </w:r>
            <w:r>
              <w:rPr>
                <w:rFonts w:cs="Calibri"/>
                <w:color w:val="000000"/>
                <w:sz w:val="20"/>
                <w:szCs w:val="20"/>
                <w:shd w:val="clear" w:color="auto" w:fill="FFFFFF"/>
                <w:lang w:val="en-GB" w:eastAsia="en-US"/>
              </w:rPr>
              <w:t xml:space="preserve"> hrane) zbog ljudskog prisustva</w:t>
            </w:r>
          </w:p>
        </w:tc>
        <w:tc>
          <w:tcPr>
            <w:tcW w:w="4768" w:type="dxa"/>
          </w:tcPr>
          <w:p w14:paraId="7276454A" w14:textId="7C7834E4" w:rsidR="0054797C" w:rsidRPr="001C6CCA" w:rsidRDefault="00B1178A" w:rsidP="00F65CFF">
            <w:pPr>
              <w:autoSpaceDE w:val="0"/>
              <w:autoSpaceDN w:val="0"/>
              <w:adjustRightInd w:val="0"/>
              <w:spacing w:before="0" w:after="0" w:line="240" w:lineRule="auto"/>
              <w:rPr>
                <w:rFonts w:cs="Calibri"/>
                <w:color w:val="000000"/>
                <w:sz w:val="20"/>
                <w:szCs w:val="20"/>
                <w:shd w:val="clear" w:color="auto" w:fill="FFFFFF"/>
                <w:lang w:val="en-GB" w:eastAsia="en-US"/>
              </w:rPr>
            </w:pPr>
            <w:r w:rsidRPr="004550B8">
              <w:rPr>
                <w:rFonts w:cs="Calibri"/>
                <w:color w:val="000000"/>
                <w:sz w:val="20"/>
                <w:szCs w:val="20"/>
                <w:shd w:val="clear" w:color="auto" w:fill="FFFFFF"/>
                <w:lang w:val="en-GB" w:eastAsia="en-US"/>
              </w:rPr>
              <w:t xml:space="preserve">Turizam i </w:t>
            </w:r>
            <w:r>
              <w:rPr>
                <w:rFonts w:cs="Calibri"/>
                <w:color w:val="000000"/>
                <w:sz w:val="20"/>
                <w:szCs w:val="20"/>
                <w:shd w:val="clear" w:color="auto" w:fill="FFFFFF"/>
                <w:lang w:val="en-GB" w:eastAsia="en-US"/>
              </w:rPr>
              <w:t>slobodne aktivnosti</w:t>
            </w:r>
          </w:p>
        </w:tc>
      </w:tr>
      <w:tr w:rsidR="0054797C" w:rsidRPr="001C6CCA" w14:paraId="25F7608C" w14:textId="77777777" w:rsidTr="00683BCB">
        <w:tc>
          <w:tcPr>
            <w:tcW w:w="4248" w:type="dxa"/>
            <w:vMerge/>
          </w:tcPr>
          <w:p w14:paraId="2F109C4C" w14:textId="77777777" w:rsidR="0054797C" w:rsidRPr="001C6CCA" w:rsidRDefault="0054797C" w:rsidP="00F65CFF">
            <w:pPr>
              <w:autoSpaceDE w:val="0"/>
              <w:autoSpaceDN w:val="0"/>
              <w:adjustRightInd w:val="0"/>
              <w:spacing w:before="0" w:after="0" w:line="240" w:lineRule="auto"/>
              <w:rPr>
                <w:rFonts w:cs="Calibri"/>
                <w:color w:val="000000"/>
                <w:sz w:val="20"/>
                <w:szCs w:val="20"/>
                <w:shd w:val="clear" w:color="auto" w:fill="FFFFFF"/>
                <w:lang w:val="en-GB" w:eastAsia="en-US"/>
              </w:rPr>
            </w:pPr>
          </w:p>
        </w:tc>
        <w:tc>
          <w:tcPr>
            <w:tcW w:w="4768" w:type="dxa"/>
          </w:tcPr>
          <w:p w14:paraId="2B48E148" w14:textId="5A5991A2" w:rsidR="0054797C" w:rsidRPr="001C6CCA" w:rsidRDefault="00B1178A" w:rsidP="00F65CFF">
            <w:pPr>
              <w:autoSpaceDE w:val="0"/>
              <w:autoSpaceDN w:val="0"/>
              <w:adjustRightInd w:val="0"/>
              <w:spacing w:before="0" w:after="0" w:line="240" w:lineRule="auto"/>
              <w:rPr>
                <w:rFonts w:cs="Calibri"/>
                <w:color w:val="000000"/>
                <w:sz w:val="20"/>
                <w:szCs w:val="20"/>
                <w:shd w:val="clear" w:color="auto" w:fill="FFFFFF"/>
                <w:lang w:val="en-GB" w:eastAsia="en-US"/>
              </w:rPr>
            </w:pPr>
            <w:r>
              <w:rPr>
                <w:rFonts w:cs="Calibri"/>
                <w:color w:val="000000"/>
                <w:sz w:val="20"/>
                <w:szCs w:val="20"/>
                <w:shd w:val="clear" w:color="auto" w:fill="FFFFFF"/>
                <w:lang w:val="en-GB" w:eastAsia="en-US"/>
              </w:rPr>
              <w:t>Lov i sakupljanje u druge svrhe</w:t>
            </w:r>
          </w:p>
        </w:tc>
      </w:tr>
      <w:tr w:rsidR="0054797C" w:rsidRPr="001C6CCA" w14:paraId="0673B19C" w14:textId="77777777" w:rsidTr="00683BCB">
        <w:tc>
          <w:tcPr>
            <w:tcW w:w="4248" w:type="dxa"/>
            <w:vMerge/>
          </w:tcPr>
          <w:p w14:paraId="4A9230AD" w14:textId="77777777" w:rsidR="0054797C" w:rsidRPr="001C6CCA" w:rsidRDefault="0054797C" w:rsidP="00F65CFF">
            <w:pPr>
              <w:autoSpaceDE w:val="0"/>
              <w:autoSpaceDN w:val="0"/>
              <w:adjustRightInd w:val="0"/>
              <w:spacing w:before="0" w:after="0" w:line="240" w:lineRule="auto"/>
              <w:rPr>
                <w:rFonts w:cs="Calibri"/>
                <w:color w:val="000000"/>
                <w:sz w:val="20"/>
                <w:szCs w:val="20"/>
                <w:shd w:val="clear" w:color="auto" w:fill="FFFFFF"/>
                <w:lang w:val="en-GB" w:eastAsia="en-US"/>
              </w:rPr>
            </w:pPr>
          </w:p>
        </w:tc>
        <w:tc>
          <w:tcPr>
            <w:tcW w:w="4768" w:type="dxa"/>
          </w:tcPr>
          <w:p w14:paraId="0D2FBD3B" w14:textId="77777777" w:rsidR="00B1178A" w:rsidRPr="004550B8" w:rsidRDefault="00B1178A" w:rsidP="00B1178A">
            <w:pPr>
              <w:autoSpaceDE w:val="0"/>
              <w:autoSpaceDN w:val="0"/>
              <w:adjustRightInd w:val="0"/>
              <w:spacing w:before="0" w:after="0" w:line="240" w:lineRule="auto"/>
              <w:rPr>
                <w:rFonts w:cs="Calibri"/>
                <w:color w:val="000000"/>
                <w:sz w:val="20"/>
                <w:szCs w:val="20"/>
                <w:shd w:val="clear" w:color="auto" w:fill="FFFFFF"/>
                <w:lang w:val="en-GB" w:eastAsia="en-US"/>
              </w:rPr>
            </w:pPr>
            <w:r w:rsidRPr="004550B8">
              <w:rPr>
                <w:rFonts w:cs="Calibri"/>
                <w:color w:val="000000"/>
                <w:sz w:val="20"/>
                <w:szCs w:val="20"/>
                <w:shd w:val="clear" w:color="auto" w:fill="FFFFFF"/>
                <w:lang w:val="en-GB" w:eastAsia="en-US"/>
              </w:rPr>
              <w:t>Obalna odbrana i zaštita od poplava</w:t>
            </w:r>
          </w:p>
          <w:p w14:paraId="65624811" w14:textId="6FDD05AD" w:rsidR="0054797C" w:rsidRPr="001C6CCA" w:rsidRDefault="0054797C" w:rsidP="00F65CFF">
            <w:pPr>
              <w:autoSpaceDE w:val="0"/>
              <w:autoSpaceDN w:val="0"/>
              <w:adjustRightInd w:val="0"/>
              <w:spacing w:before="0" w:after="0" w:line="240" w:lineRule="auto"/>
              <w:rPr>
                <w:rFonts w:cs="Calibri"/>
                <w:color w:val="000000"/>
                <w:sz w:val="20"/>
                <w:szCs w:val="20"/>
                <w:shd w:val="clear" w:color="auto" w:fill="FFFFFF"/>
                <w:lang w:val="en-GB" w:eastAsia="en-US"/>
              </w:rPr>
            </w:pPr>
          </w:p>
        </w:tc>
      </w:tr>
      <w:tr w:rsidR="008D3F6E" w:rsidRPr="001C6CCA" w14:paraId="2A2C775E" w14:textId="77777777" w:rsidTr="00683BCB">
        <w:tc>
          <w:tcPr>
            <w:tcW w:w="4248" w:type="dxa"/>
          </w:tcPr>
          <w:p w14:paraId="1E3FA916" w14:textId="63CECD5F" w:rsidR="008D3F6E" w:rsidRPr="001C6CCA" w:rsidRDefault="00B1178A" w:rsidP="00F65CFF">
            <w:pPr>
              <w:autoSpaceDE w:val="0"/>
              <w:autoSpaceDN w:val="0"/>
              <w:adjustRightInd w:val="0"/>
              <w:spacing w:before="0" w:after="0" w:line="240" w:lineRule="auto"/>
              <w:rPr>
                <w:rFonts w:cs="Calibri"/>
                <w:color w:val="000000"/>
                <w:sz w:val="20"/>
                <w:szCs w:val="20"/>
                <w:shd w:val="clear" w:color="auto" w:fill="FFFFFF"/>
                <w:lang w:val="en-GB" w:eastAsia="en-US"/>
              </w:rPr>
            </w:pPr>
            <w:r>
              <w:rPr>
                <w:rFonts w:cs="Calibri"/>
                <w:color w:val="000000"/>
                <w:sz w:val="20"/>
                <w:szCs w:val="20"/>
                <w:shd w:val="clear" w:color="auto" w:fill="FFFFFF"/>
                <w:lang w:val="en-GB" w:eastAsia="en-US"/>
              </w:rPr>
              <w:t>Morski otpad</w:t>
            </w:r>
          </w:p>
        </w:tc>
        <w:tc>
          <w:tcPr>
            <w:tcW w:w="4768" w:type="dxa"/>
          </w:tcPr>
          <w:p w14:paraId="0B467CC0" w14:textId="332EA230" w:rsidR="008D3F6E" w:rsidRPr="00B1178A" w:rsidRDefault="00B1178A" w:rsidP="00F65CFF">
            <w:pPr>
              <w:autoSpaceDE w:val="0"/>
              <w:autoSpaceDN w:val="0"/>
              <w:adjustRightInd w:val="0"/>
              <w:spacing w:before="0" w:after="0" w:line="240" w:lineRule="auto"/>
              <w:rPr>
                <w:rFonts w:cs="Calibri"/>
                <w:color w:val="000000"/>
                <w:sz w:val="20"/>
                <w:szCs w:val="20"/>
                <w:shd w:val="clear" w:color="auto" w:fill="FFFFFF"/>
                <w:lang w:val="en-GB" w:eastAsia="en-US"/>
              </w:rPr>
            </w:pPr>
            <w:r>
              <w:rPr>
                <w:rFonts w:cs="Calibri"/>
                <w:color w:val="000000"/>
                <w:sz w:val="20"/>
                <w:szCs w:val="20"/>
                <w:shd w:val="clear" w:color="auto" w:fill="FFFFFF"/>
                <w:lang w:val="en-GB" w:eastAsia="en-US"/>
              </w:rPr>
              <w:t>Pogleda</w:t>
            </w:r>
            <w:r w:rsidR="0074640B">
              <w:rPr>
                <w:rFonts w:cs="Calibri"/>
                <w:color w:val="000000"/>
                <w:sz w:val="20"/>
                <w:szCs w:val="20"/>
                <w:shd w:val="clear" w:color="auto" w:fill="FFFFFF"/>
                <w:lang w:val="en-GB" w:eastAsia="en-US"/>
              </w:rPr>
              <w:t>ti</w:t>
            </w:r>
            <w:r>
              <w:rPr>
                <w:rFonts w:cs="Calibri"/>
                <w:color w:val="000000"/>
                <w:sz w:val="20"/>
                <w:szCs w:val="20"/>
                <w:shd w:val="clear" w:color="auto" w:fill="FFFFFF"/>
                <w:lang w:val="en-GB" w:eastAsia="en-US"/>
              </w:rPr>
              <w:t xml:space="preserve"> tabelu 2.50 (D10)</w:t>
            </w:r>
          </w:p>
        </w:tc>
      </w:tr>
      <w:tr w:rsidR="008D3F6E" w:rsidRPr="001C6CCA" w14:paraId="15C93039" w14:textId="77777777" w:rsidTr="00683BCB">
        <w:tc>
          <w:tcPr>
            <w:tcW w:w="4248" w:type="dxa"/>
          </w:tcPr>
          <w:p w14:paraId="06EC0BAC" w14:textId="3DDF2A94" w:rsidR="008D3F6E" w:rsidRPr="001C6CCA" w:rsidRDefault="00B1178A" w:rsidP="00B1178A">
            <w:pPr>
              <w:autoSpaceDE w:val="0"/>
              <w:autoSpaceDN w:val="0"/>
              <w:adjustRightInd w:val="0"/>
              <w:spacing w:before="0" w:after="0" w:line="240" w:lineRule="auto"/>
              <w:rPr>
                <w:rFonts w:cs="Calibri"/>
                <w:color w:val="000000"/>
                <w:sz w:val="20"/>
                <w:szCs w:val="20"/>
                <w:shd w:val="clear" w:color="auto" w:fill="FFFFFF"/>
                <w:lang w:val="en-GB" w:eastAsia="en-US"/>
              </w:rPr>
            </w:pPr>
            <w:r w:rsidRPr="004550B8">
              <w:rPr>
                <w:rFonts w:cs="Calibri"/>
                <w:color w:val="000000"/>
                <w:sz w:val="20"/>
                <w:szCs w:val="20"/>
                <w:shd w:val="clear" w:color="auto" w:fill="FFFFFF"/>
                <w:lang w:val="en-GB" w:eastAsia="en-US"/>
              </w:rPr>
              <w:t>Uvođenje drugih opasnih supstanci (</w:t>
            </w:r>
            <w:r>
              <w:rPr>
                <w:rFonts w:cs="Calibri"/>
                <w:color w:val="000000"/>
                <w:sz w:val="20"/>
                <w:szCs w:val="20"/>
                <w:shd w:val="clear" w:color="auto" w:fill="FFFFFF"/>
                <w:lang w:val="en-GB" w:eastAsia="en-US"/>
              </w:rPr>
              <w:t>nafta</w:t>
            </w:r>
            <w:r w:rsidRPr="004550B8">
              <w:rPr>
                <w:rFonts w:cs="Calibri"/>
                <w:color w:val="000000"/>
                <w:sz w:val="20"/>
                <w:szCs w:val="20"/>
                <w:shd w:val="clear" w:color="auto" w:fill="FFFFFF"/>
                <w:lang w:val="en-GB" w:eastAsia="en-US"/>
              </w:rPr>
              <w:t>- incidenti, zagađenje organskim i</w:t>
            </w:r>
            <w:r>
              <w:rPr>
                <w:rFonts w:cs="Calibri"/>
                <w:color w:val="000000"/>
                <w:sz w:val="20"/>
                <w:szCs w:val="20"/>
                <w:shd w:val="clear" w:color="auto" w:fill="FFFFFF"/>
                <w:lang w:val="en-GB" w:eastAsia="en-US"/>
              </w:rPr>
              <w:t xml:space="preserve"> anoranskim supstancama), morski otpad</w:t>
            </w:r>
          </w:p>
        </w:tc>
        <w:tc>
          <w:tcPr>
            <w:tcW w:w="4768" w:type="dxa"/>
          </w:tcPr>
          <w:p w14:paraId="2DEEEEE2" w14:textId="77777777" w:rsidR="00B1178A" w:rsidRPr="004550B8" w:rsidRDefault="00B1178A" w:rsidP="00B1178A">
            <w:pPr>
              <w:autoSpaceDE w:val="0"/>
              <w:autoSpaceDN w:val="0"/>
              <w:adjustRightInd w:val="0"/>
              <w:spacing w:before="0" w:after="0" w:line="240" w:lineRule="auto"/>
              <w:rPr>
                <w:rFonts w:cs="Calibri"/>
                <w:color w:val="000000"/>
                <w:sz w:val="20"/>
                <w:szCs w:val="20"/>
                <w:shd w:val="clear" w:color="auto" w:fill="FFFFFF"/>
                <w:lang w:val="en-GB" w:eastAsia="en-US"/>
              </w:rPr>
            </w:pPr>
            <w:r w:rsidRPr="004550B8">
              <w:rPr>
                <w:rFonts w:cs="Calibri"/>
                <w:color w:val="000000"/>
                <w:sz w:val="20"/>
                <w:szCs w:val="20"/>
                <w:shd w:val="clear" w:color="auto" w:fill="FFFFFF"/>
                <w:lang w:val="en-GB" w:eastAsia="en-US"/>
              </w:rPr>
              <w:t xml:space="preserve">Transport - </w:t>
            </w:r>
            <w:r>
              <w:rPr>
                <w:rFonts w:cs="Calibri"/>
                <w:color w:val="000000"/>
                <w:sz w:val="20"/>
                <w:szCs w:val="20"/>
                <w:shd w:val="clear" w:color="auto" w:fill="FFFFFF"/>
                <w:lang w:val="en-GB" w:eastAsia="en-US"/>
              </w:rPr>
              <w:t>šiping</w:t>
            </w:r>
          </w:p>
          <w:p w14:paraId="288873A4" w14:textId="7B37FCEC" w:rsidR="008D3F6E" w:rsidRPr="001C6CCA" w:rsidRDefault="008D3F6E" w:rsidP="00F65CFF">
            <w:pPr>
              <w:autoSpaceDE w:val="0"/>
              <w:autoSpaceDN w:val="0"/>
              <w:adjustRightInd w:val="0"/>
              <w:spacing w:before="0" w:after="0" w:line="240" w:lineRule="auto"/>
              <w:rPr>
                <w:rFonts w:cs="Calibri"/>
                <w:color w:val="000000"/>
                <w:sz w:val="20"/>
                <w:szCs w:val="20"/>
                <w:shd w:val="clear" w:color="auto" w:fill="FFFFFF"/>
                <w:lang w:val="en-GB" w:eastAsia="en-US"/>
              </w:rPr>
            </w:pPr>
          </w:p>
        </w:tc>
      </w:tr>
      <w:tr w:rsidR="003A6AB0" w:rsidRPr="001C6CCA" w14:paraId="5FFAF438" w14:textId="77777777" w:rsidTr="00683BCB">
        <w:tc>
          <w:tcPr>
            <w:tcW w:w="4248" w:type="dxa"/>
          </w:tcPr>
          <w:p w14:paraId="1B86337D" w14:textId="396C4219" w:rsidR="003A6AB0" w:rsidRPr="001C6CCA" w:rsidRDefault="00B1178A" w:rsidP="00F65CFF">
            <w:pPr>
              <w:autoSpaceDE w:val="0"/>
              <w:autoSpaceDN w:val="0"/>
              <w:adjustRightInd w:val="0"/>
              <w:spacing w:before="0" w:after="0" w:line="240" w:lineRule="auto"/>
              <w:rPr>
                <w:rFonts w:cs="Calibri"/>
                <w:color w:val="000000"/>
                <w:sz w:val="20"/>
                <w:szCs w:val="20"/>
                <w:shd w:val="clear" w:color="auto" w:fill="FFFFFF"/>
                <w:lang w:val="en-GB" w:eastAsia="en-US"/>
              </w:rPr>
            </w:pPr>
            <w:r w:rsidRPr="004550B8">
              <w:rPr>
                <w:rFonts w:cs="Calibri"/>
                <w:color w:val="000000"/>
                <w:sz w:val="20"/>
                <w:szCs w:val="20"/>
                <w:shd w:val="clear" w:color="auto" w:fill="FFFFFF"/>
                <w:lang w:val="en-GB" w:eastAsia="en-US"/>
              </w:rPr>
              <w:t xml:space="preserve">Unos ili širenje </w:t>
            </w:r>
            <w:r>
              <w:rPr>
                <w:rFonts w:cs="Calibri"/>
                <w:color w:val="000000"/>
                <w:sz w:val="20"/>
                <w:szCs w:val="20"/>
                <w:shd w:val="clear" w:color="auto" w:fill="FFFFFF"/>
                <w:lang w:val="en-GB" w:eastAsia="en-US"/>
              </w:rPr>
              <w:t>stranih vrsta</w:t>
            </w:r>
          </w:p>
        </w:tc>
        <w:tc>
          <w:tcPr>
            <w:tcW w:w="4768" w:type="dxa"/>
          </w:tcPr>
          <w:p w14:paraId="06720A1F" w14:textId="25EB33E2" w:rsidR="003A6AB0" w:rsidRPr="001C6CCA" w:rsidRDefault="00B1178A" w:rsidP="00F65CFF">
            <w:pPr>
              <w:autoSpaceDE w:val="0"/>
              <w:autoSpaceDN w:val="0"/>
              <w:adjustRightInd w:val="0"/>
              <w:spacing w:before="0" w:after="0" w:line="240" w:lineRule="auto"/>
              <w:rPr>
                <w:rFonts w:cs="Calibri"/>
                <w:color w:val="000000"/>
                <w:sz w:val="20"/>
                <w:szCs w:val="20"/>
                <w:shd w:val="clear" w:color="auto" w:fill="FFFFFF"/>
                <w:lang w:val="en-GB" w:eastAsia="en-US"/>
              </w:rPr>
            </w:pPr>
            <w:r w:rsidRPr="004550B8">
              <w:rPr>
                <w:rFonts w:cs="Calibri"/>
                <w:color w:val="000000"/>
                <w:sz w:val="20"/>
                <w:szCs w:val="20"/>
                <w:shd w:val="clear" w:color="auto" w:fill="FFFFFF"/>
                <w:lang w:val="en-GB" w:eastAsia="en-US"/>
              </w:rPr>
              <w:t xml:space="preserve">Prenos </w:t>
            </w:r>
            <w:r>
              <w:rPr>
                <w:rFonts w:cs="Calibri"/>
                <w:color w:val="000000"/>
                <w:sz w:val="20"/>
                <w:szCs w:val="20"/>
                <w:shd w:val="clear" w:color="auto" w:fill="FFFFFF"/>
                <w:lang w:val="en-GB" w:eastAsia="en-US"/>
              </w:rPr>
              <w:t>stranih</w:t>
            </w:r>
            <w:r w:rsidRPr="004550B8">
              <w:rPr>
                <w:rFonts w:cs="Calibri"/>
                <w:color w:val="000000"/>
                <w:sz w:val="20"/>
                <w:szCs w:val="20"/>
                <w:shd w:val="clear" w:color="auto" w:fill="FFFFFF"/>
                <w:lang w:val="en-GB" w:eastAsia="en-US"/>
              </w:rPr>
              <w:t xml:space="preserve"> vrsta sa brodova </w:t>
            </w:r>
          </w:p>
        </w:tc>
      </w:tr>
      <w:tr w:rsidR="008D3F6E" w:rsidRPr="001C6CCA" w14:paraId="35600A64" w14:textId="77777777" w:rsidTr="00683BCB">
        <w:tc>
          <w:tcPr>
            <w:tcW w:w="4248" w:type="dxa"/>
          </w:tcPr>
          <w:p w14:paraId="0FEF8A03" w14:textId="4ADD6398" w:rsidR="004550B8" w:rsidRPr="001C6CCA" w:rsidRDefault="004550B8" w:rsidP="004550B8">
            <w:pPr>
              <w:autoSpaceDE w:val="0"/>
              <w:autoSpaceDN w:val="0"/>
              <w:adjustRightInd w:val="0"/>
              <w:spacing w:before="0" w:after="0" w:line="240" w:lineRule="auto"/>
              <w:rPr>
                <w:rFonts w:cs="Calibri"/>
                <w:color w:val="000000"/>
                <w:sz w:val="20"/>
                <w:szCs w:val="20"/>
                <w:shd w:val="clear" w:color="auto" w:fill="FFFFFF"/>
                <w:lang w:val="en-GB" w:eastAsia="en-US"/>
              </w:rPr>
            </w:pPr>
            <w:r w:rsidRPr="004550B8">
              <w:rPr>
                <w:rFonts w:cs="Calibri"/>
                <w:color w:val="000000"/>
                <w:sz w:val="20"/>
                <w:szCs w:val="20"/>
                <w:shd w:val="clear" w:color="auto" w:fill="FFFFFF"/>
                <w:lang w:val="en-GB" w:eastAsia="en-US"/>
              </w:rPr>
              <w:t>Propadanje staništa i gubitak staništa</w:t>
            </w:r>
          </w:p>
        </w:tc>
        <w:tc>
          <w:tcPr>
            <w:tcW w:w="4768" w:type="dxa"/>
          </w:tcPr>
          <w:p w14:paraId="738E4E55" w14:textId="3CB8D756" w:rsidR="004550B8" w:rsidRPr="001C6CCA" w:rsidRDefault="004550B8" w:rsidP="004550B8">
            <w:pPr>
              <w:autoSpaceDE w:val="0"/>
              <w:autoSpaceDN w:val="0"/>
              <w:adjustRightInd w:val="0"/>
              <w:spacing w:before="0" w:after="0" w:line="240" w:lineRule="auto"/>
              <w:rPr>
                <w:rFonts w:cs="Calibri"/>
                <w:color w:val="000000"/>
                <w:sz w:val="20"/>
                <w:szCs w:val="20"/>
                <w:shd w:val="clear" w:color="auto" w:fill="FFFFFF"/>
                <w:lang w:val="en-GB" w:eastAsia="en-US"/>
              </w:rPr>
            </w:pPr>
            <w:r w:rsidRPr="004550B8">
              <w:rPr>
                <w:rFonts w:cs="Calibri"/>
                <w:color w:val="000000"/>
                <w:sz w:val="20"/>
                <w:szCs w:val="20"/>
                <w:shd w:val="clear" w:color="auto" w:fill="FFFFFF"/>
                <w:lang w:val="en-GB" w:eastAsia="en-US"/>
              </w:rPr>
              <w:t>Pogleda</w:t>
            </w:r>
            <w:r w:rsidR="00DE3BED">
              <w:rPr>
                <w:rFonts w:cs="Calibri"/>
                <w:color w:val="000000"/>
                <w:sz w:val="20"/>
                <w:szCs w:val="20"/>
                <w:shd w:val="clear" w:color="auto" w:fill="FFFFFF"/>
                <w:lang w:val="en-GB" w:eastAsia="en-US"/>
              </w:rPr>
              <w:t>ti</w:t>
            </w:r>
            <w:r w:rsidRPr="004550B8">
              <w:rPr>
                <w:rFonts w:cs="Calibri"/>
                <w:color w:val="000000"/>
                <w:sz w:val="20"/>
                <w:szCs w:val="20"/>
                <w:shd w:val="clear" w:color="auto" w:fill="FFFFFF"/>
                <w:lang w:val="en-GB" w:eastAsia="en-US"/>
              </w:rPr>
              <w:t xml:space="preserve"> tabelu 3.19</w:t>
            </w:r>
          </w:p>
        </w:tc>
      </w:tr>
    </w:tbl>
    <w:p w14:paraId="700383C0" w14:textId="51E262DF" w:rsidR="00B716B9" w:rsidRPr="001C6CCA" w:rsidRDefault="00B716B9" w:rsidP="00F65CFF">
      <w:pPr>
        <w:autoSpaceDE w:val="0"/>
        <w:autoSpaceDN w:val="0"/>
        <w:adjustRightInd w:val="0"/>
        <w:spacing w:before="0" w:after="0" w:line="240" w:lineRule="auto"/>
        <w:rPr>
          <w:rFonts w:eastAsia="Calibri"/>
          <w:color w:val="000000"/>
          <w:sz w:val="20"/>
          <w:szCs w:val="20"/>
          <w:shd w:val="clear" w:color="auto" w:fill="FFFFFF"/>
          <w:lang w:val="en-GB" w:eastAsia="en-US"/>
        </w:rPr>
      </w:pPr>
    </w:p>
    <w:p w14:paraId="03084324" w14:textId="556D65EB" w:rsidR="00B1178A" w:rsidRDefault="00DC062D" w:rsidP="00DC062D">
      <w:pPr>
        <w:pStyle w:val="Heading4"/>
        <w:rPr>
          <w:rFonts w:eastAsia="Calibri"/>
          <w:szCs w:val="20"/>
          <w:lang w:val="en-GB" w:eastAsia="en-US"/>
        </w:rPr>
      </w:pPr>
      <w:r w:rsidRPr="00DC062D">
        <w:rPr>
          <w:rFonts w:eastAsia="Calibri"/>
          <w:bCs/>
          <w:szCs w:val="22"/>
          <w:lang w:val="en-GB" w:eastAsia="en-US"/>
        </w:rPr>
        <w:t xml:space="preserve">Rezime </w:t>
      </w:r>
      <w:r w:rsidR="009A2662">
        <w:rPr>
          <w:rFonts w:eastAsia="Calibri"/>
          <w:bCs/>
          <w:szCs w:val="22"/>
          <w:lang w:val="en-GB" w:eastAsia="en-US"/>
        </w:rPr>
        <w:t xml:space="preserve">stanja </w:t>
      </w:r>
      <w:r w:rsidR="00487A6A">
        <w:rPr>
          <w:rFonts w:eastAsia="Calibri"/>
          <w:bCs/>
          <w:szCs w:val="22"/>
          <w:lang w:val="en-GB" w:eastAsia="en-US"/>
        </w:rPr>
        <w:t>morsk</w:t>
      </w:r>
      <w:r w:rsidR="001C6020">
        <w:rPr>
          <w:rFonts w:eastAsia="Calibri"/>
          <w:bCs/>
          <w:szCs w:val="22"/>
          <w:lang w:val="en-GB" w:eastAsia="en-US"/>
        </w:rPr>
        <w:t>ih</w:t>
      </w:r>
      <w:r w:rsidR="00487A6A">
        <w:rPr>
          <w:rFonts w:eastAsia="Calibri"/>
          <w:bCs/>
          <w:szCs w:val="22"/>
          <w:lang w:val="en-GB" w:eastAsia="en-US"/>
        </w:rPr>
        <w:t xml:space="preserve"> ptic</w:t>
      </w:r>
      <w:r w:rsidR="001C6020">
        <w:rPr>
          <w:rFonts w:eastAsia="Calibri"/>
          <w:bCs/>
          <w:szCs w:val="22"/>
          <w:lang w:val="en-GB" w:eastAsia="en-US"/>
        </w:rPr>
        <w:t>a</w:t>
      </w:r>
      <w:r w:rsidR="00487A6A">
        <w:rPr>
          <w:rFonts w:eastAsia="Calibri"/>
          <w:bCs/>
          <w:szCs w:val="22"/>
          <w:lang w:val="en-GB" w:eastAsia="en-US"/>
        </w:rPr>
        <w:t xml:space="preserve"> na osnovu P</w:t>
      </w:r>
      <w:r w:rsidRPr="00DC062D">
        <w:rPr>
          <w:rFonts w:eastAsia="Calibri"/>
          <w:bCs/>
          <w:szCs w:val="22"/>
          <w:lang w:val="en-GB" w:eastAsia="en-US"/>
        </w:rPr>
        <w:t>očetne procjen</w:t>
      </w:r>
      <w:r w:rsidR="00A7512E">
        <w:rPr>
          <w:rFonts w:eastAsia="Calibri"/>
          <w:bCs/>
          <w:szCs w:val="22"/>
          <w:lang w:val="en-GB" w:eastAsia="en-US"/>
        </w:rPr>
        <w:t>e</w:t>
      </w:r>
      <w:r w:rsidR="00B1178A" w:rsidRPr="00DC062D">
        <w:rPr>
          <w:rFonts w:eastAsia="Calibri"/>
          <w:szCs w:val="20"/>
          <w:lang w:val="en-GB" w:eastAsia="en-US"/>
        </w:rPr>
        <w:t xml:space="preserve"> </w:t>
      </w:r>
    </w:p>
    <w:p w14:paraId="29D3FABA" w14:textId="39A620FB" w:rsidR="006107D0" w:rsidRPr="00B1178A" w:rsidRDefault="004550B8" w:rsidP="006107D0">
      <w:pPr>
        <w:spacing w:before="0" w:after="120"/>
        <w:rPr>
          <w:rFonts w:eastAsia="Calibri"/>
          <w:lang w:val="en-GB"/>
        </w:rPr>
      </w:pPr>
      <w:r w:rsidRPr="004550B8">
        <w:rPr>
          <w:rFonts w:eastAsia="Calibri"/>
          <w:bCs/>
          <w:szCs w:val="22"/>
          <w:lang w:val="en-GB" w:eastAsia="en-US"/>
        </w:rPr>
        <w:t>Pregled i status morskih i priobalnih ptica Crne Gore prema Aneksu II SPA/BD protokola Barselonske konvencije dat je u Početnoj procjeni stanja morsk</w:t>
      </w:r>
      <w:r w:rsidR="006107D0">
        <w:rPr>
          <w:rFonts w:eastAsia="Calibri"/>
          <w:bCs/>
          <w:szCs w:val="22"/>
          <w:lang w:val="en-GB" w:eastAsia="en-US"/>
        </w:rPr>
        <w:t>e sredine</w:t>
      </w:r>
      <w:r w:rsidRPr="004550B8">
        <w:rPr>
          <w:rFonts w:eastAsia="Calibri"/>
          <w:bCs/>
          <w:szCs w:val="22"/>
          <w:lang w:val="en-GB" w:eastAsia="en-US"/>
        </w:rPr>
        <w:t xml:space="preserve"> Crne Gore 2020.</w:t>
      </w:r>
      <w:r w:rsidR="006107D0">
        <w:rPr>
          <w:rFonts w:eastAsia="Calibri"/>
          <w:bCs/>
          <w:szCs w:val="22"/>
          <w:lang w:val="en-GB" w:eastAsia="en-US"/>
        </w:rPr>
        <w:t xml:space="preserve"> godine.</w:t>
      </w:r>
      <w:r w:rsidRPr="004550B8">
        <w:rPr>
          <w:rFonts w:eastAsia="Calibri"/>
          <w:bCs/>
          <w:szCs w:val="22"/>
          <w:lang w:val="en-GB" w:eastAsia="en-US"/>
        </w:rPr>
        <w:t xml:space="preserve"> Među 25 </w:t>
      </w:r>
      <w:r w:rsidR="006107D0">
        <w:rPr>
          <w:rFonts w:eastAsia="Calibri"/>
          <w:bCs/>
          <w:szCs w:val="22"/>
          <w:lang w:val="en-GB" w:eastAsia="en-US"/>
        </w:rPr>
        <w:t>vrsta navedenih u Aneksu II SPA/</w:t>
      </w:r>
      <w:r w:rsidRPr="004550B8">
        <w:rPr>
          <w:rFonts w:eastAsia="Calibri"/>
          <w:bCs/>
          <w:szCs w:val="22"/>
          <w:lang w:val="en-GB" w:eastAsia="en-US"/>
        </w:rPr>
        <w:t>BD protokol</w:t>
      </w:r>
      <w:r w:rsidR="006107D0">
        <w:rPr>
          <w:rFonts w:eastAsia="Calibri"/>
          <w:bCs/>
          <w:szCs w:val="22"/>
          <w:lang w:val="en-GB" w:eastAsia="en-US"/>
        </w:rPr>
        <w:t>a</w:t>
      </w:r>
      <w:r w:rsidRPr="004550B8">
        <w:rPr>
          <w:rFonts w:eastAsia="Calibri"/>
          <w:bCs/>
          <w:szCs w:val="22"/>
          <w:lang w:val="en-GB" w:eastAsia="en-US"/>
        </w:rPr>
        <w:t xml:space="preserve">, </w:t>
      </w:r>
      <w:r w:rsidR="006107D0" w:rsidRPr="006B594E">
        <w:rPr>
          <w:rFonts w:cstheme="minorHAnsi"/>
          <w:lang w:val="sr-Latn-ME"/>
        </w:rPr>
        <w:t xml:space="preserve">19 </w:t>
      </w:r>
      <w:r w:rsidR="006107D0">
        <w:rPr>
          <w:rFonts w:cstheme="minorHAnsi"/>
          <w:lang w:val="sr-Latn-ME"/>
        </w:rPr>
        <w:t xml:space="preserve">vrsta ptica </w:t>
      </w:r>
      <w:r w:rsidR="006107D0" w:rsidRPr="006B594E">
        <w:rPr>
          <w:rFonts w:cstheme="minorHAnsi"/>
          <w:lang w:val="sr-Latn-ME"/>
        </w:rPr>
        <w:t>se redovno posmatra u Crnoj Gori, uključujući 8 gn</w:t>
      </w:r>
      <w:r w:rsidR="006107D0">
        <w:rPr>
          <w:rFonts w:cstheme="minorHAnsi"/>
          <w:lang w:val="sr-Latn-ME"/>
        </w:rPr>
        <w:t>j</w:t>
      </w:r>
      <w:r w:rsidR="006107D0" w:rsidRPr="006B594E">
        <w:rPr>
          <w:rFonts w:cstheme="minorHAnsi"/>
          <w:lang w:val="sr-Latn-ME"/>
        </w:rPr>
        <w:t>ezdarica</w:t>
      </w:r>
      <w:r w:rsidRPr="004550B8">
        <w:rPr>
          <w:rFonts w:eastAsia="Calibri"/>
          <w:bCs/>
          <w:szCs w:val="22"/>
          <w:lang w:val="en-GB" w:eastAsia="en-US"/>
        </w:rPr>
        <w:t xml:space="preserve"> (tabela 3.3). </w:t>
      </w:r>
      <w:r w:rsidR="006107D0" w:rsidRPr="006107D0">
        <w:rPr>
          <w:lang w:val="sr-Latn-ME"/>
        </w:rPr>
        <w:t xml:space="preserve">Pojavljivanje </w:t>
      </w:r>
      <w:r w:rsidR="006107D0" w:rsidRPr="00994A14">
        <w:rPr>
          <w:lang w:val="sr-Latn-ME"/>
        </w:rPr>
        <w:t>pravih pučinskih morskih</w:t>
      </w:r>
      <w:r w:rsidR="006107D0">
        <w:rPr>
          <w:lang w:val="sr-Latn-ME"/>
        </w:rPr>
        <w:t xml:space="preserve"> p</w:t>
      </w:r>
      <w:r w:rsidR="006107D0" w:rsidRPr="006B594E">
        <w:rPr>
          <w:lang w:val="sr-Latn-ME"/>
        </w:rPr>
        <w:t xml:space="preserve">tica u Crnoj Gori registruje se sporadično </w:t>
      </w:r>
      <w:r w:rsidR="006107D0" w:rsidRPr="006B594E">
        <w:rPr>
          <w:bCs/>
          <w:lang w:val="sr-Latn-ME"/>
        </w:rPr>
        <w:t xml:space="preserve">i to van sezone gniježđenja, kada skitaju Jadranom. </w:t>
      </w:r>
      <w:r w:rsidRPr="004550B8">
        <w:rPr>
          <w:rFonts w:eastAsia="Calibri"/>
          <w:bCs/>
          <w:szCs w:val="22"/>
          <w:lang w:val="en-GB" w:eastAsia="en-US"/>
        </w:rPr>
        <w:t xml:space="preserve">Ove vrste ptica </w:t>
      </w:r>
      <w:r w:rsidR="006107D0">
        <w:rPr>
          <w:rFonts w:eastAsia="Calibri"/>
          <w:bCs/>
          <w:szCs w:val="22"/>
          <w:lang w:val="en-GB" w:eastAsia="en-US"/>
        </w:rPr>
        <w:t xml:space="preserve">uočene su </w:t>
      </w:r>
      <w:r w:rsidRPr="004550B8">
        <w:rPr>
          <w:rFonts w:eastAsia="Calibri"/>
          <w:bCs/>
          <w:szCs w:val="22"/>
          <w:lang w:val="en-GB" w:eastAsia="en-US"/>
        </w:rPr>
        <w:t>u delti</w:t>
      </w:r>
      <w:r w:rsidR="006107D0">
        <w:rPr>
          <w:rFonts w:eastAsia="Calibri"/>
          <w:bCs/>
          <w:szCs w:val="22"/>
          <w:lang w:val="en-GB" w:eastAsia="en-US"/>
        </w:rPr>
        <w:t xml:space="preserve"> rijeke</w:t>
      </w:r>
      <w:r w:rsidRPr="004550B8">
        <w:rPr>
          <w:rFonts w:eastAsia="Calibri"/>
          <w:bCs/>
          <w:szCs w:val="22"/>
          <w:lang w:val="en-GB" w:eastAsia="en-US"/>
        </w:rPr>
        <w:t xml:space="preserve"> Bojane, na otvorenom moru, </w:t>
      </w:r>
      <w:r w:rsidR="00AA1558" w:rsidRPr="006B594E">
        <w:rPr>
          <w:bCs/>
          <w:lang w:val="sr-Latn-ME"/>
        </w:rPr>
        <w:t xml:space="preserve">postoji </w:t>
      </w:r>
      <w:r w:rsidR="00AA1558">
        <w:rPr>
          <w:bCs/>
          <w:lang w:val="sr-Latn-ME"/>
        </w:rPr>
        <w:t xml:space="preserve">i </w:t>
      </w:r>
      <w:r w:rsidR="00AA1558" w:rsidRPr="006B594E">
        <w:rPr>
          <w:bCs/>
          <w:lang w:val="sr-Latn-ME"/>
        </w:rPr>
        <w:t>jedan nalaz posmatranja</w:t>
      </w:r>
      <w:r w:rsidR="006107D0">
        <w:rPr>
          <w:rFonts w:eastAsia="Calibri"/>
          <w:bCs/>
          <w:szCs w:val="22"/>
          <w:lang w:val="en-GB" w:eastAsia="en-US"/>
        </w:rPr>
        <w:t xml:space="preserve"> vrste </w:t>
      </w:r>
      <w:r w:rsidR="006107D0" w:rsidRPr="001C6CCA">
        <w:rPr>
          <w:rFonts w:eastAsia="Calibri"/>
          <w:i/>
          <w:iCs/>
          <w:szCs w:val="20"/>
          <w:lang w:val="en-GB" w:eastAsia="en-US"/>
        </w:rPr>
        <w:t xml:space="preserve">Larus audouinii </w:t>
      </w:r>
      <w:r w:rsidRPr="004550B8">
        <w:rPr>
          <w:rFonts w:eastAsia="Calibri"/>
          <w:bCs/>
          <w:szCs w:val="22"/>
          <w:lang w:val="en-GB" w:eastAsia="en-US"/>
        </w:rPr>
        <w:t xml:space="preserve">u moru ispred </w:t>
      </w:r>
      <w:r w:rsidR="006107D0" w:rsidRPr="006107D0">
        <w:rPr>
          <w:rFonts w:eastAsia="Calibri"/>
          <w:bCs/>
          <w:szCs w:val="22"/>
          <w:lang w:val="en-GB" w:eastAsia="en-US"/>
        </w:rPr>
        <w:t>Specijalnog ornitološkog rezervata Tivatska solila</w:t>
      </w:r>
      <w:r w:rsidR="006107D0">
        <w:rPr>
          <w:rFonts w:eastAsia="Calibri"/>
          <w:bCs/>
          <w:szCs w:val="22"/>
          <w:lang w:val="en-GB" w:eastAsia="en-US"/>
        </w:rPr>
        <w:t>.</w:t>
      </w:r>
    </w:p>
    <w:p w14:paraId="05F4EF60" w14:textId="77F6D578" w:rsidR="008D3F6E" w:rsidRPr="00D3152F" w:rsidRDefault="008D3F6E" w:rsidP="00CB52A6">
      <w:pPr>
        <w:autoSpaceDE w:val="0"/>
        <w:autoSpaceDN w:val="0"/>
        <w:adjustRightInd w:val="0"/>
        <w:spacing w:before="0" w:line="240" w:lineRule="auto"/>
        <w:rPr>
          <w:rFonts w:eastAsia="Calibri"/>
          <w:i/>
          <w:color w:val="000000"/>
          <w:szCs w:val="22"/>
          <w:shd w:val="clear" w:color="auto" w:fill="FFFFFF"/>
          <w:lang w:val="en-GB" w:eastAsia="en-US"/>
        </w:rPr>
      </w:pPr>
      <w:bookmarkStart w:id="322" w:name="_Toc83643199"/>
      <w:r w:rsidRPr="001C6CCA">
        <w:rPr>
          <w:rFonts w:eastAsia="Calibri"/>
          <w:b/>
          <w:bCs/>
          <w:szCs w:val="22"/>
          <w:lang w:val="en-GB" w:eastAsia="en-US"/>
        </w:rPr>
        <w:t>Tab</w:t>
      </w:r>
      <w:r w:rsidR="009936B5">
        <w:rPr>
          <w:rFonts w:eastAsia="Calibri"/>
          <w:b/>
          <w:bCs/>
          <w:szCs w:val="22"/>
          <w:lang w:val="en-GB" w:eastAsia="en-US"/>
        </w:rPr>
        <w:t>ela</w:t>
      </w:r>
      <w:r w:rsidRPr="001C6CCA">
        <w:rPr>
          <w:rFonts w:eastAsia="Calibri"/>
          <w:b/>
          <w:bCs/>
          <w:szCs w:val="22"/>
          <w:lang w:val="en-GB" w:eastAsia="en-US"/>
        </w:rPr>
        <w:t xml:space="preserve"> </w:t>
      </w:r>
      <w:r w:rsidR="004D6D17" w:rsidRPr="00D932B6">
        <w:rPr>
          <w:b/>
          <w:szCs w:val="22"/>
        </w:rPr>
        <w:fldChar w:fldCharType="begin"/>
      </w:r>
      <w:r w:rsidR="004D6D17" w:rsidRPr="00D932B6">
        <w:rPr>
          <w:b/>
          <w:szCs w:val="22"/>
        </w:rPr>
        <w:instrText xml:space="preserve"> STYLEREF 1 \s </w:instrText>
      </w:r>
      <w:r w:rsidR="004D6D17" w:rsidRPr="00D932B6">
        <w:rPr>
          <w:b/>
          <w:szCs w:val="22"/>
        </w:rPr>
        <w:fldChar w:fldCharType="separate"/>
      </w:r>
      <w:r w:rsidR="000D1E20">
        <w:rPr>
          <w:b/>
          <w:noProof/>
          <w:szCs w:val="22"/>
        </w:rPr>
        <w:t>3</w:t>
      </w:r>
      <w:r w:rsidR="004D6D17" w:rsidRPr="00D932B6">
        <w:rPr>
          <w:b/>
          <w:szCs w:val="22"/>
        </w:rPr>
        <w:fldChar w:fldCharType="end"/>
      </w:r>
      <w:r w:rsidR="004D6D17" w:rsidRPr="00D932B6">
        <w:rPr>
          <w:b/>
          <w:szCs w:val="22"/>
        </w:rPr>
        <w:t>.</w:t>
      </w:r>
      <w:r w:rsidR="004D6D17" w:rsidRPr="00D932B6">
        <w:rPr>
          <w:b/>
          <w:szCs w:val="22"/>
        </w:rPr>
        <w:fldChar w:fldCharType="begin"/>
      </w:r>
      <w:r w:rsidR="004D6D17" w:rsidRPr="00D932B6">
        <w:rPr>
          <w:b/>
          <w:szCs w:val="22"/>
        </w:rPr>
        <w:instrText xml:space="preserve"> SEQ Table \* ARABIC \s 1 </w:instrText>
      </w:r>
      <w:r w:rsidR="004D6D17" w:rsidRPr="00D932B6">
        <w:rPr>
          <w:b/>
          <w:szCs w:val="22"/>
        </w:rPr>
        <w:fldChar w:fldCharType="separate"/>
      </w:r>
      <w:r w:rsidR="000D1E20">
        <w:rPr>
          <w:b/>
          <w:noProof/>
          <w:szCs w:val="22"/>
        </w:rPr>
        <w:t>3</w:t>
      </w:r>
      <w:r w:rsidR="004D6D17" w:rsidRPr="00D932B6">
        <w:rPr>
          <w:b/>
          <w:szCs w:val="22"/>
        </w:rPr>
        <w:fldChar w:fldCharType="end"/>
      </w:r>
      <w:r w:rsidR="004D6D17">
        <w:rPr>
          <w:b/>
          <w:szCs w:val="22"/>
        </w:rPr>
        <w:t>.</w:t>
      </w:r>
      <w:r w:rsidR="004D6D17" w:rsidRPr="001C6CCA">
        <w:rPr>
          <w:rFonts w:eastAsia="Calibri" w:cs="Calibri"/>
          <w:b/>
          <w:szCs w:val="22"/>
          <w:lang w:val="en-GB" w:eastAsia="en-US"/>
        </w:rPr>
        <w:t xml:space="preserve"> </w:t>
      </w:r>
      <w:r w:rsidR="009936B5" w:rsidRPr="006B594E">
        <w:rPr>
          <w:rFonts w:cstheme="minorHAnsi"/>
          <w:b/>
          <w:lang w:val="sr-Latn-ME"/>
        </w:rPr>
        <w:t xml:space="preserve">Lista obalnih </w:t>
      </w:r>
      <w:r w:rsidR="009936B5">
        <w:rPr>
          <w:rFonts w:cstheme="minorHAnsi"/>
          <w:b/>
          <w:lang w:val="sr-Latn-ME"/>
        </w:rPr>
        <w:t>i</w:t>
      </w:r>
      <w:r w:rsidR="009936B5" w:rsidRPr="006B594E">
        <w:rPr>
          <w:rFonts w:cstheme="minorHAnsi"/>
          <w:b/>
          <w:lang w:val="sr-Latn-ME"/>
        </w:rPr>
        <w:t xml:space="preserve"> morskih ptica Crne Gore sa Aneksa II Protokola </w:t>
      </w:r>
      <w:r w:rsidR="00AF405E">
        <w:rPr>
          <w:rFonts w:cstheme="minorHAnsi"/>
          <w:b/>
          <w:lang w:val="sr-Latn-ME"/>
        </w:rPr>
        <w:t xml:space="preserve">Barselonske konvencije </w:t>
      </w:r>
      <w:r w:rsidR="009936B5" w:rsidRPr="006B594E">
        <w:rPr>
          <w:rFonts w:cstheme="minorHAnsi"/>
          <w:b/>
          <w:lang w:val="sr-Latn-ME"/>
        </w:rPr>
        <w:t xml:space="preserve">o zaštiti </w:t>
      </w:r>
      <w:r w:rsidR="00001745">
        <w:rPr>
          <w:rFonts w:cstheme="minorHAnsi"/>
          <w:b/>
          <w:lang w:val="sr-Latn-ME"/>
        </w:rPr>
        <w:t>posebno</w:t>
      </w:r>
      <w:r w:rsidR="009936B5" w:rsidRPr="006B594E">
        <w:rPr>
          <w:rFonts w:cstheme="minorHAnsi"/>
          <w:b/>
          <w:lang w:val="sr-Latn-ME"/>
        </w:rPr>
        <w:t xml:space="preserve"> zaštićenih područja </w:t>
      </w:r>
      <w:r w:rsidR="009936B5">
        <w:rPr>
          <w:rFonts w:cstheme="minorHAnsi"/>
          <w:b/>
          <w:lang w:val="sr-Latn-ME"/>
        </w:rPr>
        <w:t>i</w:t>
      </w:r>
      <w:r w:rsidR="009936B5" w:rsidRPr="006B594E">
        <w:rPr>
          <w:rFonts w:cstheme="minorHAnsi"/>
          <w:b/>
          <w:lang w:val="sr-Latn-ME"/>
        </w:rPr>
        <w:t xml:space="preserve"> biodiverziteta </w:t>
      </w:r>
      <w:r w:rsidR="00AF405E">
        <w:rPr>
          <w:rFonts w:cstheme="minorHAnsi"/>
          <w:b/>
          <w:lang w:val="sr-Latn-ME"/>
        </w:rPr>
        <w:t>Mediterana</w:t>
      </w:r>
      <w:r w:rsidR="00931899" w:rsidRPr="001C6CCA">
        <w:rPr>
          <w:rStyle w:val="FootnoteReference"/>
          <w:rFonts w:eastAsia="Calibri"/>
          <w:b/>
          <w:bCs/>
          <w:szCs w:val="22"/>
          <w:lang w:val="en-GB" w:eastAsia="en-US"/>
        </w:rPr>
        <w:footnoteReference w:id="62"/>
      </w:r>
      <w:r w:rsidRPr="001C6CCA">
        <w:rPr>
          <w:rFonts w:eastAsia="Calibri"/>
          <w:b/>
          <w:bCs/>
          <w:szCs w:val="22"/>
          <w:lang w:val="en-GB" w:eastAsia="en-US"/>
        </w:rPr>
        <w:t xml:space="preserve">. </w:t>
      </w:r>
      <w:r w:rsidR="00DC062D" w:rsidRPr="00DC062D">
        <w:rPr>
          <w:rFonts w:eastAsia="Calibri"/>
          <w:bCs/>
          <w:i/>
          <w:szCs w:val="22"/>
          <w:lang w:val="en-GB" w:eastAsia="en-US"/>
        </w:rPr>
        <w:t>Izvor: Početna procjena stanja morsk</w:t>
      </w:r>
      <w:r w:rsidR="00DC062D">
        <w:rPr>
          <w:rFonts w:eastAsia="Calibri"/>
          <w:bCs/>
          <w:i/>
          <w:szCs w:val="22"/>
          <w:lang w:val="en-GB" w:eastAsia="en-US"/>
        </w:rPr>
        <w:t>e sredine</w:t>
      </w:r>
      <w:r w:rsidR="00DC062D" w:rsidRPr="00DC062D">
        <w:rPr>
          <w:rFonts w:eastAsia="Calibri"/>
          <w:bCs/>
          <w:i/>
          <w:szCs w:val="22"/>
          <w:lang w:val="en-GB" w:eastAsia="en-US"/>
        </w:rPr>
        <w:t xml:space="preserve"> Crne Gore, 2020.</w:t>
      </w:r>
      <w:bookmarkEnd w:id="322"/>
    </w:p>
    <w:tbl>
      <w:tblPr>
        <w:tblStyle w:val="GridTable4-Accent52"/>
        <w:tblW w:w="8926" w:type="dxa"/>
        <w:tblLook w:val="04A0" w:firstRow="1" w:lastRow="0" w:firstColumn="1" w:lastColumn="0" w:noHBand="0" w:noVBand="1"/>
      </w:tblPr>
      <w:tblGrid>
        <w:gridCol w:w="3738"/>
        <w:gridCol w:w="1644"/>
        <w:gridCol w:w="2126"/>
        <w:gridCol w:w="1418"/>
      </w:tblGrid>
      <w:tr w:rsidR="009936B5" w:rsidRPr="001C6CCA" w14:paraId="1C0BC61E" w14:textId="77777777" w:rsidTr="009936B5">
        <w:trPr>
          <w:cnfStyle w:val="100000000000" w:firstRow="1" w:lastRow="0" w:firstColumn="0" w:lastColumn="0" w:oddVBand="0" w:evenVBand="0" w:oddHBand="0" w:evenHBand="0" w:firstRowFirstColumn="0" w:firstRowLastColumn="0" w:lastRowFirstColumn="0" w:lastRowLastColumn="0"/>
          <w:trHeight w:val="296"/>
          <w:tblHeader/>
        </w:trPr>
        <w:tc>
          <w:tcPr>
            <w:cnfStyle w:val="001000000000" w:firstRow="0" w:lastRow="0" w:firstColumn="1" w:lastColumn="0" w:oddVBand="0" w:evenVBand="0" w:oddHBand="0" w:evenHBand="0" w:firstRowFirstColumn="0" w:firstRowLastColumn="0" w:lastRowFirstColumn="0" w:lastRowLastColumn="0"/>
            <w:tcW w:w="3738" w:type="dxa"/>
            <w:shd w:val="clear" w:color="auto" w:fill="365F91" w:themeFill="accent1" w:themeFillShade="BF"/>
            <w:noWrap/>
            <w:hideMark/>
          </w:tcPr>
          <w:p w14:paraId="208FE887" w14:textId="4EB80BB5" w:rsidR="009936B5" w:rsidRPr="001C6CCA" w:rsidRDefault="009936B5" w:rsidP="009936B5">
            <w:pPr>
              <w:spacing w:before="0" w:after="0" w:line="360" w:lineRule="auto"/>
              <w:rPr>
                <w:rFonts w:cs="Calibri"/>
                <w:color w:val="FFFFFF" w:themeColor="background1"/>
                <w:sz w:val="20"/>
                <w:szCs w:val="20"/>
                <w:lang w:val="en-GB" w:eastAsia="en-US"/>
              </w:rPr>
            </w:pPr>
            <w:r w:rsidRPr="007465C8">
              <w:rPr>
                <w:rFonts w:cstheme="minorHAnsi"/>
                <w:bCs w:val="0"/>
                <w:color w:val="FFFFFF" w:themeColor="background1"/>
                <w:sz w:val="20"/>
                <w:szCs w:val="20"/>
                <w:lang w:val="sr-Latn-ME" w:eastAsia="en-US"/>
              </w:rPr>
              <w:t>Vrste</w:t>
            </w:r>
          </w:p>
        </w:tc>
        <w:tc>
          <w:tcPr>
            <w:tcW w:w="1644" w:type="dxa"/>
            <w:shd w:val="clear" w:color="auto" w:fill="365F91" w:themeFill="accent1" w:themeFillShade="BF"/>
            <w:hideMark/>
          </w:tcPr>
          <w:p w14:paraId="4BD854CA" w14:textId="4B782E4E" w:rsidR="009936B5" w:rsidRPr="001C6CCA" w:rsidRDefault="009936B5" w:rsidP="009936B5">
            <w:pPr>
              <w:spacing w:before="0" w:after="0" w:line="360" w:lineRule="auto"/>
              <w:jc w:val="center"/>
              <w:cnfStyle w:val="100000000000" w:firstRow="1" w:lastRow="0" w:firstColumn="0" w:lastColumn="0" w:oddVBand="0" w:evenVBand="0" w:oddHBand="0" w:evenHBand="0" w:firstRowFirstColumn="0" w:firstRowLastColumn="0" w:lastRowFirstColumn="0" w:lastRowLastColumn="0"/>
              <w:rPr>
                <w:rFonts w:cs="Calibri"/>
                <w:color w:val="FFFFFF" w:themeColor="background1"/>
                <w:sz w:val="20"/>
                <w:szCs w:val="20"/>
                <w:lang w:val="en-GB" w:eastAsia="en-US"/>
              </w:rPr>
            </w:pPr>
            <w:r w:rsidRPr="007465C8">
              <w:rPr>
                <w:rFonts w:cstheme="minorHAnsi"/>
                <w:bCs w:val="0"/>
                <w:color w:val="FFFFFF" w:themeColor="background1"/>
                <w:sz w:val="20"/>
                <w:szCs w:val="20"/>
                <w:lang w:val="sr-Latn-ME" w:eastAsia="en-US"/>
              </w:rPr>
              <w:t>Broj gnijzdećih parova</w:t>
            </w:r>
          </w:p>
        </w:tc>
        <w:tc>
          <w:tcPr>
            <w:tcW w:w="2126" w:type="dxa"/>
            <w:shd w:val="clear" w:color="auto" w:fill="365F91" w:themeFill="accent1" w:themeFillShade="BF"/>
            <w:hideMark/>
          </w:tcPr>
          <w:p w14:paraId="4539A9BE" w14:textId="63E01A9F" w:rsidR="009936B5" w:rsidRPr="001C6CCA" w:rsidRDefault="009936B5" w:rsidP="009936B5">
            <w:pPr>
              <w:spacing w:before="0" w:after="0" w:line="360" w:lineRule="auto"/>
              <w:jc w:val="center"/>
              <w:cnfStyle w:val="100000000000" w:firstRow="1" w:lastRow="0" w:firstColumn="0" w:lastColumn="0" w:oddVBand="0" w:evenVBand="0" w:oddHBand="0" w:evenHBand="0" w:firstRowFirstColumn="0" w:firstRowLastColumn="0" w:lastRowFirstColumn="0" w:lastRowLastColumn="0"/>
              <w:rPr>
                <w:rFonts w:cs="Calibri"/>
                <w:color w:val="FFFFFF" w:themeColor="background1"/>
                <w:sz w:val="20"/>
                <w:szCs w:val="20"/>
                <w:lang w:val="en-GB" w:eastAsia="en-US"/>
              </w:rPr>
            </w:pPr>
            <w:r w:rsidRPr="007465C8">
              <w:rPr>
                <w:rFonts w:cstheme="minorHAnsi"/>
                <w:bCs w:val="0"/>
                <w:color w:val="FFFFFF" w:themeColor="background1"/>
                <w:sz w:val="20"/>
                <w:szCs w:val="20"/>
                <w:lang w:val="sr-Latn-ME" w:eastAsia="en-US"/>
              </w:rPr>
              <w:t>Zimujuća populacija</w:t>
            </w:r>
          </w:p>
        </w:tc>
        <w:tc>
          <w:tcPr>
            <w:tcW w:w="1418" w:type="dxa"/>
            <w:shd w:val="clear" w:color="auto" w:fill="365F91" w:themeFill="accent1" w:themeFillShade="BF"/>
            <w:noWrap/>
            <w:hideMark/>
          </w:tcPr>
          <w:p w14:paraId="5031A820" w14:textId="31DFF3DA" w:rsidR="009936B5" w:rsidRPr="001C6CCA" w:rsidRDefault="009936B5" w:rsidP="009936B5">
            <w:pPr>
              <w:spacing w:before="0" w:after="0" w:line="360" w:lineRule="auto"/>
              <w:jc w:val="center"/>
              <w:cnfStyle w:val="100000000000" w:firstRow="1" w:lastRow="0" w:firstColumn="0" w:lastColumn="0" w:oddVBand="0" w:evenVBand="0" w:oddHBand="0" w:evenHBand="0" w:firstRowFirstColumn="0" w:firstRowLastColumn="0" w:lastRowFirstColumn="0" w:lastRowLastColumn="0"/>
              <w:rPr>
                <w:rFonts w:cs="Calibri"/>
                <w:color w:val="FFFFFF" w:themeColor="background1"/>
                <w:sz w:val="20"/>
                <w:szCs w:val="20"/>
                <w:lang w:val="en-GB" w:eastAsia="en-US"/>
              </w:rPr>
            </w:pPr>
            <w:r w:rsidRPr="007465C8">
              <w:rPr>
                <w:rFonts w:cstheme="minorHAnsi"/>
                <w:bCs w:val="0"/>
                <w:color w:val="FFFFFF" w:themeColor="background1"/>
                <w:sz w:val="20"/>
                <w:szCs w:val="20"/>
                <w:lang w:val="sr-Latn-ME" w:eastAsia="en-US"/>
              </w:rPr>
              <w:t>Trendovi</w:t>
            </w:r>
          </w:p>
        </w:tc>
      </w:tr>
      <w:tr w:rsidR="009936B5" w:rsidRPr="001C6CCA" w14:paraId="10DFCC44" w14:textId="77777777" w:rsidTr="00C17AD2">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0ABC355C" w14:textId="5EEB5389" w:rsidR="009936B5" w:rsidRPr="001C6CCA" w:rsidRDefault="009936B5" w:rsidP="009936B5">
            <w:pPr>
              <w:spacing w:before="0" w:after="0" w:line="240" w:lineRule="auto"/>
              <w:jc w:val="left"/>
              <w:rPr>
                <w:rFonts w:cs="Calibri"/>
                <w:i/>
                <w:color w:val="000000"/>
                <w:sz w:val="20"/>
                <w:szCs w:val="20"/>
                <w:lang w:val="en-GB" w:eastAsia="en-US"/>
              </w:rPr>
            </w:pPr>
            <w:r>
              <w:rPr>
                <w:rFonts w:cstheme="minorHAnsi"/>
                <w:color w:val="000000"/>
                <w:sz w:val="20"/>
                <w:szCs w:val="20"/>
                <w:lang w:val="sr-Latn-ME" w:eastAsia="en-US"/>
              </w:rPr>
              <w:t>Veliki zovoj</w:t>
            </w:r>
            <w:r w:rsidRPr="006B594E">
              <w:rPr>
                <w:rFonts w:cstheme="minorHAnsi"/>
                <w:color w:val="000000"/>
                <w:sz w:val="20"/>
                <w:szCs w:val="20"/>
                <w:lang w:val="sr-Latn-ME" w:eastAsia="en-US"/>
              </w:rPr>
              <w:t xml:space="preserve"> (</w:t>
            </w:r>
            <w:r w:rsidRPr="006B594E">
              <w:rPr>
                <w:rFonts w:cstheme="minorHAnsi"/>
                <w:i/>
                <w:color w:val="000000"/>
                <w:sz w:val="20"/>
                <w:szCs w:val="20"/>
                <w:lang w:val="sr-Latn-ME" w:eastAsia="en-US"/>
              </w:rPr>
              <w:t>Calonectris diomedea</w:t>
            </w:r>
          </w:p>
        </w:tc>
        <w:tc>
          <w:tcPr>
            <w:tcW w:w="1644" w:type="dxa"/>
            <w:noWrap/>
            <w:hideMark/>
          </w:tcPr>
          <w:p w14:paraId="7157B055" w14:textId="77777777"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2126" w:type="dxa"/>
            <w:noWrap/>
            <w:hideMark/>
          </w:tcPr>
          <w:p w14:paraId="4C14A9A2" w14:textId="646E7C37"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0A7292">
              <w:rPr>
                <w:rFonts w:cstheme="minorHAnsi"/>
                <w:color w:val="000000"/>
                <w:sz w:val="20"/>
                <w:szCs w:val="20"/>
                <w:lang w:val="sr-Latn-ME" w:eastAsia="en-US"/>
              </w:rPr>
              <w:t>nepoznato</w:t>
            </w:r>
          </w:p>
        </w:tc>
        <w:tc>
          <w:tcPr>
            <w:tcW w:w="1418" w:type="dxa"/>
            <w:noWrap/>
            <w:hideMark/>
          </w:tcPr>
          <w:p w14:paraId="4FBC9653" w14:textId="3F4661B0"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CD1E46">
              <w:rPr>
                <w:rFonts w:cstheme="minorHAnsi"/>
                <w:color w:val="000000"/>
                <w:sz w:val="20"/>
                <w:szCs w:val="20"/>
                <w:lang w:val="sr-Latn-ME" w:eastAsia="en-US"/>
              </w:rPr>
              <w:t>nepoznato</w:t>
            </w:r>
          </w:p>
        </w:tc>
      </w:tr>
      <w:tr w:rsidR="009936B5" w:rsidRPr="001C6CCA" w14:paraId="3B5C5CC1" w14:textId="77777777" w:rsidTr="00C17AD2">
        <w:trPr>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74AC0592" w14:textId="1C5387B9" w:rsidR="009936B5" w:rsidRPr="001C6CCA" w:rsidRDefault="009936B5" w:rsidP="009936B5">
            <w:pPr>
              <w:spacing w:before="0" w:after="0" w:line="360" w:lineRule="auto"/>
              <w:rPr>
                <w:rFonts w:cs="Calibri"/>
                <w:i/>
                <w:color w:val="000000"/>
                <w:sz w:val="20"/>
                <w:szCs w:val="20"/>
                <w:lang w:val="en-GB" w:eastAsia="en-US"/>
              </w:rPr>
            </w:pPr>
            <w:r>
              <w:rPr>
                <w:rFonts w:cstheme="minorHAnsi"/>
                <w:color w:val="000000"/>
                <w:sz w:val="20"/>
                <w:szCs w:val="20"/>
                <w:lang w:val="sr-Latn-ME" w:eastAsia="en-US"/>
              </w:rPr>
              <w:t>Zovoj</w:t>
            </w:r>
            <w:r w:rsidRPr="006B594E">
              <w:rPr>
                <w:rFonts w:cstheme="minorHAnsi"/>
                <w:i/>
                <w:color w:val="000000"/>
                <w:sz w:val="20"/>
                <w:szCs w:val="20"/>
                <w:lang w:val="sr-Latn-ME" w:eastAsia="en-US"/>
              </w:rPr>
              <w:t xml:space="preserve"> (Puffinus yelkouan)</w:t>
            </w:r>
          </w:p>
        </w:tc>
        <w:tc>
          <w:tcPr>
            <w:tcW w:w="1644" w:type="dxa"/>
            <w:noWrap/>
            <w:hideMark/>
          </w:tcPr>
          <w:p w14:paraId="065EAD13" w14:textId="77777777"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2126" w:type="dxa"/>
            <w:noWrap/>
            <w:hideMark/>
          </w:tcPr>
          <w:p w14:paraId="79226F44" w14:textId="0665201E"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0A7292">
              <w:rPr>
                <w:rFonts w:cstheme="minorHAnsi"/>
                <w:color w:val="000000"/>
                <w:sz w:val="20"/>
                <w:szCs w:val="20"/>
                <w:lang w:val="sr-Latn-ME" w:eastAsia="en-US"/>
              </w:rPr>
              <w:t>nepoznato</w:t>
            </w:r>
          </w:p>
        </w:tc>
        <w:tc>
          <w:tcPr>
            <w:tcW w:w="1418" w:type="dxa"/>
            <w:noWrap/>
            <w:hideMark/>
          </w:tcPr>
          <w:p w14:paraId="39137AD7" w14:textId="4EFBB3BD"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CD1E46">
              <w:rPr>
                <w:rFonts w:cstheme="minorHAnsi"/>
                <w:color w:val="000000"/>
                <w:sz w:val="20"/>
                <w:szCs w:val="20"/>
                <w:lang w:val="sr-Latn-ME" w:eastAsia="en-US"/>
              </w:rPr>
              <w:t>nepoznato</w:t>
            </w:r>
          </w:p>
        </w:tc>
      </w:tr>
      <w:tr w:rsidR="009936B5" w:rsidRPr="001C6CCA" w14:paraId="656D1D06" w14:textId="77777777" w:rsidTr="00C17AD2">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615F1900" w14:textId="71022772" w:rsidR="009936B5" w:rsidRPr="001C6CCA" w:rsidRDefault="009936B5" w:rsidP="009936B5">
            <w:pPr>
              <w:spacing w:before="0" w:after="0" w:line="360" w:lineRule="auto"/>
              <w:rPr>
                <w:rFonts w:cs="Calibri"/>
                <w:i/>
                <w:color w:val="000000"/>
                <w:sz w:val="20"/>
                <w:szCs w:val="20"/>
                <w:lang w:val="en-GB" w:eastAsia="en-US"/>
              </w:rPr>
            </w:pPr>
            <w:r>
              <w:rPr>
                <w:rFonts w:cstheme="minorHAnsi"/>
                <w:color w:val="000000"/>
                <w:sz w:val="20"/>
                <w:szCs w:val="20"/>
                <w:lang w:val="sr-Latn-ME" w:eastAsia="en-US"/>
              </w:rPr>
              <w:t>Morski vranac</w:t>
            </w:r>
            <w:r w:rsidRPr="006B594E">
              <w:rPr>
                <w:rFonts w:cstheme="minorHAnsi"/>
                <w:i/>
                <w:color w:val="000000"/>
                <w:sz w:val="20"/>
                <w:szCs w:val="20"/>
                <w:lang w:val="sr-Latn-ME" w:eastAsia="en-US"/>
              </w:rPr>
              <w:t xml:space="preserve"> (Phalacrocorax aristotelis) </w:t>
            </w:r>
          </w:p>
        </w:tc>
        <w:tc>
          <w:tcPr>
            <w:tcW w:w="1644" w:type="dxa"/>
            <w:noWrap/>
            <w:hideMark/>
          </w:tcPr>
          <w:p w14:paraId="184EFA61" w14:textId="77777777"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2126" w:type="dxa"/>
            <w:noWrap/>
            <w:hideMark/>
          </w:tcPr>
          <w:p w14:paraId="28E82BDD" w14:textId="0A179235"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0A7292">
              <w:rPr>
                <w:rFonts w:cstheme="minorHAnsi"/>
                <w:color w:val="000000"/>
                <w:sz w:val="20"/>
                <w:szCs w:val="20"/>
                <w:lang w:val="sr-Latn-ME" w:eastAsia="en-US"/>
              </w:rPr>
              <w:t>nepoznato</w:t>
            </w:r>
          </w:p>
        </w:tc>
        <w:tc>
          <w:tcPr>
            <w:tcW w:w="1418" w:type="dxa"/>
            <w:noWrap/>
            <w:hideMark/>
          </w:tcPr>
          <w:p w14:paraId="6DE781D8" w14:textId="7A607BCA"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CD1E46">
              <w:rPr>
                <w:rFonts w:cstheme="minorHAnsi"/>
                <w:color w:val="000000"/>
                <w:sz w:val="20"/>
                <w:szCs w:val="20"/>
                <w:lang w:val="sr-Latn-ME" w:eastAsia="en-US"/>
              </w:rPr>
              <w:t>nepoznato</w:t>
            </w:r>
          </w:p>
        </w:tc>
      </w:tr>
      <w:tr w:rsidR="009936B5" w:rsidRPr="001C6CCA" w14:paraId="18174D3F" w14:textId="77777777" w:rsidTr="00C17AD2">
        <w:trPr>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25FF5C34" w14:textId="53E8AA7F" w:rsidR="009936B5" w:rsidRPr="001C6CCA" w:rsidRDefault="009936B5" w:rsidP="009936B5">
            <w:pPr>
              <w:spacing w:before="0" w:after="0" w:line="360" w:lineRule="auto"/>
              <w:rPr>
                <w:rFonts w:cs="Calibri"/>
                <w:i/>
                <w:color w:val="000000"/>
                <w:sz w:val="20"/>
                <w:szCs w:val="20"/>
                <w:lang w:val="en-GB" w:eastAsia="en-US"/>
              </w:rPr>
            </w:pPr>
            <w:r>
              <w:rPr>
                <w:rFonts w:cstheme="minorHAnsi"/>
                <w:color w:val="000000"/>
                <w:sz w:val="20"/>
                <w:szCs w:val="20"/>
                <w:lang w:val="sr-Latn-ME" w:eastAsia="en-US"/>
              </w:rPr>
              <w:t>Fendak</w:t>
            </w:r>
            <w:r w:rsidRPr="006B594E">
              <w:rPr>
                <w:rFonts w:cstheme="minorHAnsi"/>
                <w:i/>
                <w:color w:val="000000"/>
                <w:sz w:val="20"/>
                <w:szCs w:val="20"/>
                <w:lang w:val="sr-Latn-ME" w:eastAsia="en-US"/>
              </w:rPr>
              <w:t xml:space="preserve"> (Microcarbo pygmeus)</w:t>
            </w:r>
          </w:p>
        </w:tc>
        <w:tc>
          <w:tcPr>
            <w:tcW w:w="1644" w:type="dxa"/>
            <w:noWrap/>
            <w:hideMark/>
          </w:tcPr>
          <w:p w14:paraId="5080F561" w14:textId="77777777"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3500 bp</w:t>
            </w:r>
          </w:p>
        </w:tc>
        <w:tc>
          <w:tcPr>
            <w:tcW w:w="2126" w:type="dxa"/>
            <w:noWrap/>
            <w:hideMark/>
          </w:tcPr>
          <w:p w14:paraId="7E5276CE" w14:textId="618739BC" w:rsidR="009936B5" w:rsidRPr="001C6CCA" w:rsidRDefault="00AA1558"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Pr>
                <w:rFonts w:cs="Calibri"/>
                <w:color w:val="000000"/>
                <w:sz w:val="20"/>
                <w:szCs w:val="20"/>
                <w:lang w:val="en-GB" w:eastAsia="en-US"/>
              </w:rPr>
              <w:t>do</w:t>
            </w:r>
            <w:r w:rsidR="009936B5" w:rsidRPr="001C6CCA">
              <w:rPr>
                <w:rFonts w:cs="Calibri"/>
                <w:color w:val="000000"/>
                <w:sz w:val="20"/>
                <w:szCs w:val="20"/>
                <w:lang w:val="en-GB" w:eastAsia="en-US"/>
              </w:rPr>
              <w:t xml:space="preserve"> 7000</w:t>
            </w:r>
          </w:p>
        </w:tc>
        <w:tc>
          <w:tcPr>
            <w:tcW w:w="1418" w:type="dxa"/>
            <w:noWrap/>
            <w:hideMark/>
          </w:tcPr>
          <w:p w14:paraId="3CA4C49B" w14:textId="41464FFA"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Pr>
                <w:rFonts w:cstheme="minorHAnsi"/>
                <w:color w:val="000000"/>
                <w:sz w:val="20"/>
                <w:szCs w:val="20"/>
                <w:lang w:val="sr-Latn-ME" w:eastAsia="en-US"/>
              </w:rPr>
              <w:t>u porastu</w:t>
            </w:r>
          </w:p>
        </w:tc>
      </w:tr>
      <w:tr w:rsidR="008D3F6E" w:rsidRPr="001C6CCA" w14:paraId="2EE36DD3" w14:textId="77777777" w:rsidTr="00C17AD2">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50FB22AF" w14:textId="5DCB0311" w:rsidR="008D3F6E" w:rsidRPr="001C6CCA" w:rsidRDefault="004550B8" w:rsidP="00F65CFF">
            <w:pPr>
              <w:spacing w:before="0" w:after="0" w:line="240" w:lineRule="auto"/>
              <w:jc w:val="left"/>
              <w:rPr>
                <w:rFonts w:cs="Calibri"/>
                <w:i/>
                <w:color w:val="000000"/>
                <w:sz w:val="20"/>
                <w:szCs w:val="20"/>
                <w:lang w:val="en-GB" w:eastAsia="en-US"/>
              </w:rPr>
            </w:pPr>
            <w:r>
              <w:rPr>
                <w:rFonts w:cs="Calibri"/>
                <w:color w:val="000000"/>
                <w:sz w:val="20"/>
                <w:szCs w:val="20"/>
                <w:lang w:val="en-GB" w:eastAsia="en-US"/>
              </w:rPr>
              <w:t xml:space="preserve">Ružičasti pelican </w:t>
            </w:r>
            <w:r w:rsidR="008D3F6E" w:rsidRPr="001C6CCA">
              <w:rPr>
                <w:rFonts w:cs="Calibri"/>
                <w:i/>
                <w:color w:val="000000"/>
                <w:sz w:val="20"/>
                <w:szCs w:val="20"/>
                <w:lang w:val="en-GB" w:eastAsia="en-US"/>
              </w:rPr>
              <w:t xml:space="preserve"> (Pelecanus onocrotalus)</w:t>
            </w:r>
          </w:p>
        </w:tc>
        <w:tc>
          <w:tcPr>
            <w:tcW w:w="1644" w:type="dxa"/>
            <w:noWrap/>
            <w:hideMark/>
          </w:tcPr>
          <w:p w14:paraId="4D6E6146" w14:textId="77777777" w:rsidR="008D3F6E" w:rsidRPr="001C6CCA" w:rsidRDefault="008D3F6E" w:rsidP="00F65CFF">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2126" w:type="dxa"/>
            <w:noWrap/>
            <w:hideMark/>
          </w:tcPr>
          <w:p w14:paraId="1E96A222" w14:textId="03203139" w:rsidR="008D3F6E" w:rsidRPr="001C6CCA" w:rsidRDefault="00AA1558" w:rsidP="00F65CFF">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Pr>
                <w:rFonts w:cs="Calibri"/>
                <w:color w:val="000000"/>
                <w:sz w:val="20"/>
                <w:szCs w:val="20"/>
                <w:lang w:val="en-GB" w:eastAsia="en-US"/>
              </w:rPr>
              <w:t>do</w:t>
            </w:r>
            <w:r w:rsidR="008D3F6E" w:rsidRPr="001C6CCA">
              <w:rPr>
                <w:rFonts w:cs="Calibri"/>
                <w:color w:val="000000"/>
                <w:sz w:val="20"/>
                <w:szCs w:val="20"/>
                <w:lang w:val="en-GB" w:eastAsia="en-US"/>
              </w:rPr>
              <w:t xml:space="preserve"> 10</w:t>
            </w:r>
          </w:p>
        </w:tc>
        <w:tc>
          <w:tcPr>
            <w:tcW w:w="1418" w:type="dxa"/>
            <w:noWrap/>
            <w:hideMark/>
          </w:tcPr>
          <w:p w14:paraId="13D6B4D1" w14:textId="0BCEFBBE" w:rsidR="008D3F6E" w:rsidRPr="001C6CCA" w:rsidRDefault="008D3F6E" w:rsidP="00F65CFF">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stab</w:t>
            </w:r>
            <w:r w:rsidR="00DE3BED">
              <w:rPr>
                <w:rFonts w:cs="Calibri"/>
                <w:color w:val="000000"/>
                <w:sz w:val="20"/>
                <w:szCs w:val="20"/>
                <w:lang w:val="en-GB" w:eastAsia="en-US"/>
              </w:rPr>
              <w:t>ilno</w:t>
            </w:r>
          </w:p>
        </w:tc>
      </w:tr>
      <w:tr w:rsidR="008D3F6E" w:rsidRPr="001C6CCA" w14:paraId="41DF98D7" w14:textId="77777777" w:rsidTr="00C17AD2">
        <w:trPr>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65F8FE75" w14:textId="4FF44E96" w:rsidR="008D3F6E" w:rsidRPr="001C6CCA" w:rsidRDefault="009936B5" w:rsidP="00F65CFF">
            <w:pPr>
              <w:spacing w:before="0" w:after="0" w:line="360" w:lineRule="auto"/>
              <w:rPr>
                <w:rFonts w:cs="Calibri"/>
                <w:i/>
                <w:color w:val="000000"/>
                <w:sz w:val="20"/>
                <w:szCs w:val="20"/>
                <w:lang w:val="en-GB" w:eastAsia="en-US"/>
              </w:rPr>
            </w:pPr>
            <w:r>
              <w:rPr>
                <w:rFonts w:cstheme="minorHAnsi"/>
                <w:color w:val="000000"/>
                <w:sz w:val="20"/>
                <w:szCs w:val="20"/>
                <w:lang w:val="sr-Latn-ME" w:eastAsia="en-US"/>
              </w:rPr>
              <w:t>Pelikan, Panac</w:t>
            </w:r>
            <w:r w:rsidR="008D3F6E" w:rsidRPr="001C6CCA">
              <w:rPr>
                <w:rFonts w:cs="Calibri"/>
                <w:i/>
                <w:color w:val="000000"/>
                <w:sz w:val="20"/>
                <w:szCs w:val="20"/>
                <w:lang w:val="en-GB" w:eastAsia="en-US"/>
              </w:rPr>
              <w:t xml:space="preserve"> (Pelecanus crispus)</w:t>
            </w:r>
          </w:p>
        </w:tc>
        <w:tc>
          <w:tcPr>
            <w:tcW w:w="1644" w:type="dxa"/>
            <w:noWrap/>
            <w:hideMark/>
          </w:tcPr>
          <w:p w14:paraId="1C46C14C" w14:textId="77777777" w:rsidR="008D3F6E" w:rsidRPr="001C6CCA" w:rsidRDefault="008D3F6E" w:rsidP="00F65CFF">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55 bp</w:t>
            </w:r>
          </w:p>
        </w:tc>
        <w:tc>
          <w:tcPr>
            <w:tcW w:w="2126" w:type="dxa"/>
            <w:noWrap/>
            <w:hideMark/>
          </w:tcPr>
          <w:p w14:paraId="61723E93" w14:textId="2290AAE3" w:rsidR="008D3F6E" w:rsidRPr="001C6CCA" w:rsidRDefault="008D3F6E" w:rsidP="00F65CFF">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147 *</w:t>
            </w:r>
            <w:r w:rsidR="009936B5" w:rsidRPr="006B594E">
              <w:rPr>
                <w:rFonts w:cstheme="minorHAnsi"/>
                <w:color w:val="000000"/>
                <w:sz w:val="20"/>
                <w:szCs w:val="20"/>
                <w:lang w:val="sr-Latn-ME" w:eastAsia="en-US"/>
              </w:rPr>
              <w:t xml:space="preserve"> Ulcinj</w:t>
            </w:r>
            <w:r w:rsidR="009936B5">
              <w:rPr>
                <w:rFonts w:cstheme="minorHAnsi"/>
                <w:color w:val="000000"/>
                <w:sz w:val="20"/>
                <w:szCs w:val="20"/>
                <w:lang w:val="sr-Latn-ME" w:eastAsia="en-US"/>
              </w:rPr>
              <w:t>ska solana</w:t>
            </w:r>
          </w:p>
        </w:tc>
        <w:tc>
          <w:tcPr>
            <w:tcW w:w="1418" w:type="dxa"/>
            <w:noWrap/>
            <w:hideMark/>
          </w:tcPr>
          <w:p w14:paraId="76D76F8E" w14:textId="0AF17D4F" w:rsidR="008D3F6E" w:rsidRPr="001C6CCA" w:rsidRDefault="009936B5" w:rsidP="00F65CFF">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Pr>
                <w:rFonts w:cstheme="minorHAnsi"/>
                <w:color w:val="000000"/>
                <w:sz w:val="20"/>
                <w:szCs w:val="20"/>
                <w:lang w:val="sr-Latn-ME" w:eastAsia="en-US"/>
              </w:rPr>
              <w:t>u porastu</w:t>
            </w:r>
          </w:p>
        </w:tc>
      </w:tr>
      <w:tr w:rsidR="008D3F6E" w:rsidRPr="001C6CCA" w14:paraId="3A94A5F7" w14:textId="77777777" w:rsidTr="00C17AD2">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39F74C7E" w14:textId="0F9CC4B6" w:rsidR="008D3F6E" w:rsidRPr="001C6CCA" w:rsidRDefault="009936B5" w:rsidP="00F65CFF">
            <w:pPr>
              <w:spacing w:before="0" w:after="0" w:line="360" w:lineRule="auto"/>
              <w:rPr>
                <w:rFonts w:cs="Calibri"/>
                <w:i/>
                <w:color w:val="000000"/>
                <w:sz w:val="20"/>
                <w:szCs w:val="20"/>
                <w:lang w:val="en-GB" w:eastAsia="en-US"/>
              </w:rPr>
            </w:pPr>
            <w:r>
              <w:rPr>
                <w:rFonts w:cs="Calibri"/>
                <w:color w:val="000000"/>
                <w:sz w:val="20"/>
                <w:szCs w:val="20"/>
                <w:lang w:val="en-GB" w:eastAsia="en-US"/>
              </w:rPr>
              <w:t>Flamingo</w:t>
            </w:r>
            <w:r w:rsidR="008D3F6E" w:rsidRPr="001C6CCA">
              <w:rPr>
                <w:rFonts w:cs="Calibri"/>
                <w:i/>
                <w:color w:val="000000"/>
                <w:sz w:val="20"/>
                <w:szCs w:val="20"/>
                <w:lang w:val="en-GB" w:eastAsia="en-US"/>
              </w:rPr>
              <w:t xml:space="preserve"> (Phoenicopterus roseus</w:t>
            </w:r>
            <w:r w:rsidR="000A5E32" w:rsidRPr="001C6CCA">
              <w:rPr>
                <w:rFonts w:cs="Calibri"/>
                <w:i/>
                <w:color w:val="000000"/>
                <w:sz w:val="20"/>
                <w:szCs w:val="20"/>
                <w:lang w:val="en-GB" w:eastAsia="en-US"/>
              </w:rPr>
              <w:t>*</w:t>
            </w:r>
            <w:r w:rsidR="008D3F6E" w:rsidRPr="001C6CCA">
              <w:rPr>
                <w:rFonts w:cs="Calibri"/>
                <w:i/>
                <w:color w:val="000000"/>
                <w:sz w:val="20"/>
                <w:szCs w:val="20"/>
                <w:lang w:val="en-GB" w:eastAsia="en-US"/>
              </w:rPr>
              <w:t>)</w:t>
            </w:r>
          </w:p>
        </w:tc>
        <w:tc>
          <w:tcPr>
            <w:tcW w:w="1644" w:type="dxa"/>
            <w:noWrap/>
            <w:hideMark/>
          </w:tcPr>
          <w:p w14:paraId="5F3E5630" w14:textId="1B5C37CA" w:rsidR="008D3F6E" w:rsidRPr="001C6CCA" w:rsidRDefault="00AA1558" w:rsidP="00F65CFF">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Pr>
                <w:rFonts w:cs="Calibri"/>
                <w:color w:val="000000"/>
                <w:sz w:val="20"/>
                <w:szCs w:val="20"/>
                <w:lang w:val="en-GB" w:eastAsia="en-US"/>
              </w:rPr>
              <w:t>do</w:t>
            </w:r>
            <w:r w:rsidR="008D3F6E" w:rsidRPr="001C6CCA">
              <w:rPr>
                <w:rFonts w:cs="Calibri"/>
                <w:color w:val="000000"/>
                <w:sz w:val="20"/>
                <w:szCs w:val="20"/>
                <w:lang w:val="en-GB" w:eastAsia="en-US"/>
              </w:rPr>
              <w:t xml:space="preserve"> 170 bp</w:t>
            </w:r>
          </w:p>
        </w:tc>
        <w:tc>
          <w:tcPr>
            <w:tcW w:w="2126" w:type="dxa"/>
            <w:noWrap/>
            <w:hideMark/>
          </w:tcPr>
          <w:p w14:paraId="757D5629" w14:textId="75177F85" w:rsidR="008D3F6E" w:rsidRPr="001C6CCA" w:rsidRDefault="00AA1558" w:rsidP="00F65CFF">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Pr>
                <w:rFonts w:cs="Calibri"/>
                <w:color w:val="000000"/>
                <w:sz w:val="20"/>
                <w:szCs w:val="20"/>
                <w:lang w:val="en-GB" w:eastAsia="en-US"/>
              </w:rPr>
              <w:t>do</w:t>
            </w:r>
            <w:r w:rsidR="008D3F6E" w:rsidRPr="001C6CCA">
              <w:rPr>
                <w:rFonts w:cs="Calibri"/>
                <w:color w:val="000000"/>
                <w:sz w:val="20"/>
                <w:szCs w:val="20"/>
                <w:lang w:val="en-GB" w:eastAsia="en-US"/>
              </w:rPr>
              <w:t xml:space="preserve"> 2400 *</w:t>
            </w:r>
            <w:r w:rsidR="009936B5" w:rsidRPr="006B594E">
              <w:rPr>
                <w:rFonts w:cstheme="minorHAnsi"/>
                <w:color w:val="000000"/>
                <w:sz w:val="20"/>
                <w:szCs w:val="20"/>
                <w:lang w:val="sr-Latn-ME" w:eastAsia="en-US"/>
              </w:rPr>
              <w:t xml:space="preserve"> Ulcinj</w:t>
            </w:r>
            <w:r w:rsidR="009936B5">
              <w:rPr>
                <w:rFonts w:cstheme="minorHAnsi"/>
                <w:color w:val="000000"/>
                <w:sz w:val="20"/>
                <w:szCs w:val="20"/>
                <w:lang w:val="sr-Latn-ME" w:eastAsia="en-US"/>
              </w:rPr>
              <w:t>ska solana</w:t>
            </w:r>
          </w:p>
        </w:tc>
        <w:tc>
          <w:tcPr>
            <w:tcW w:w="1418" w:type="dxa"/>
            <w:noWrap/>
            <w:hideMark/>
          </w:tcPr>
          <w:p w14:paraId="645F6438" w14:textId="0DE07C99" w:rsidR="008D3F6E" w:rsidRPr="001C6CCA" w:rsidRDefault="008D3F6E" w:rsidP="00F65CFF">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stab</w:t>
            </w:r>
            <w:r w:rsidR="00DE3BED">
              <w:rPr>
                <w:rFonts w:cs="Calibri"/>
                <w:color w:val="000000"/>
                <w:sz w:val="20"/>
                <w:szCs w:val="20"/>
                <w:lang w:val="en-GB" w:eastAsia="en-US"/>
              </w:rPr>
              <w:t>ilno</w:t>
            </w:r>
          </w:p>
        </w:tc>
      </w:tr>
      <w:tr w:rsidR="009936B5" w:rsidRPr="001C6CCA" w14:paraId="16EF37B6" w14:textId="77777777" w:rsidTr="00C17AD2">
        <w:trPr>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73AFC49A" w14:textId="62FE92B3" w:rsidR="009936B5" w:rsidRPr="001C6CCA" w:rsidRDefault="009936B5" w:rsidP="009936B5">
            <w:pPr>
              <w:spacing w:before="0" w:after="0" w:line="360" w:lineRule="auto"/>
              <w:rPr>
                <w:rFonts w:cs="Calibri"/>
                <w:i/>
                <w:color w:val="000000"/>
                <w:sz w:val="20"/>
                <w:szCs w:val="20"/>
                <w:lang w:val="en-GB" w:eastAsia="en-US"/>
              </w:rPr>
            </w:pPr>
            <w:r w:rsidRPr="00F34857">
              <w:rPr>
                <w:rFonts w:cstheme="minorHAnsi"/>
                <w:color w:val="000000"/>
                <w:sz w:val="20"/>
                <w:szCs w:val="20"/>
                <w:lang w:val="sr-Latn-ME" w:eastAsia="en-US"/>
              </w:rPr>
              <w:t>Orao ribar</w:t>
            </w:r>
            <w:r w:rsidRPr="006B594E">
              <w:rPr>
                <w:rFonts w:cstheme="minorHAnsi"/>
                <w:i/>
                <w:color w:val="000000"/>
                <w:sz w:val="20"/>
                <w:szCs w:val="20"/>
                <w:lang w:val="sr-Latn-ME" w:eastAsia="en-US"/>
              </w:rPr>
              <w:t xml:space="preserve"> (Pandion haliaetus)</w:t>
            </w:r>
          </w:p>
        </w:tc>
        <w:tc>
          <w:tcPr>
            <w:tcW w:w="1644" w:type="dxa"/>
            <w:noWrap/>
            <w:hideMark/>
          </w:tcPr>
          <w:p w14:paraId="391639E9" w14:textId="77777777"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2126" w:type="dxa"/>
            <w:noWrap/>
            <w:hideMark/>
          </w:tcPr>
          <w:p w14:paraId="24B88420" w14:textId="77777777"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1418" w:type="dxa"/>
            <w:noWrap/>
            <w:hideMark/>
          </w:tcPr>
          <w:p w14:paraId="55B1895A" w14:textId="6DD3C629"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9E0699">
              <w:rPr>
                <w:rFonts w:cstheme="minorHAnsi"/>
                <w:color w:val="000000"/>
                <w:sz w:val="20"/>
                <w:szCs w:val="20"/>
                <w:lang w:val="sr-Latn-ME" w:eastAsia="en-US"/>
              </w:rPr>
              <w:t>nepoznato</w:t>
            </w:r>
          </w:p>
        </w:tc>
      </w:tr>
      <w:tr w:rsidR="009936B5" w:rsidRPr="001C6CCA" w14:paraId="7587BD8C" w14:textId="77777777" w:rsidTr="00C17AD2">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7238F7D0" w14:textId="75F55261" w:rsidR="009936B5" w:rsidRPr="001C6CCA" w:rsidRDefault="009936B5" w:rsidP="009936B5">
            <w:pPr>
              <w:spacing w:before="0" w:after="0" w:line="360" w:lineRule="auto"/>
              <w:rPr>
                <w:rFonts w:cs="Calibri"/>
                <w:i/>
                <w:color w:val="000000"/>
                <w:sz w:val="20"/>
                <w:szCs w:val="20"/>
                <w:lang w:val="en-GB" w:eastAsia="en-US"/>
              </w:rPr>
            </w:pPr>
            <w:r>
              <w:rPr>
                <w:rFonts w:cstheme="minorHAnsi"/>
                <w:color w:val="000000"/>
                <w:sz w:val="20"/>
                <w:szCs w:val="20"/>
                <w:lang w:val="sr-Latn-ME" w:eastAsia="en-US"/>
              </w:rPr>
              <w:t>Mrki soko</w:t>
            </w:r>
            <w:r w:rsidRPr="006B594E">
              <w:rPr>
                <w:rFonts w:cstheme="minorHAnsi"/>
                <w:i/>
                <w:color w:val="000000"/>
                <w:sz w:val="20"/>
                <w:szCs w:val="20"/>
                <w:lang w:val="sr-Latn-ME" w:eastAsia="en-US"/>
              </w:rPr>
              <w:t xml:space="preserve"> (Falco eleonore)</w:t>
            </w:r>
          </w:p>
        </w:tc>
        <w:tc>
          <w:tcPr>
            <w:tcW w:w="1644" w:type="dxa"/>
            <w:noWrap/>
            <w:hideMark/>
          </w:tcPr>
          <w:p w14:paraId="0E87D755" w14:textId="40F42BAF" w:rsidR="009936B5" w:rsidRPr="001C6CCA" w:rsidRDefault="00AA1558"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Pr>
                <w:rFonts w:cs="Calibri"/>
                <w:color w:val="000000"/>
                <w:sz w:val="20"/>
                <w:szCs w:val="20"/>
                <w:lang w:val="en-GB" w:eastAsia="en-US"/>
              </w:rPr>
              <w:t>ex br *2 para</w:t>
            </w:r>
          </w:p>
        </w:tc>
        <w:tc>
          <w:tcPr>
            <w:tcW w:w="2126" w:type="dxa"/>
            <w:noWrap/>
            <w:hideMark/>
          </w:tcPr>
          <w:p w14:paraId="0C5C9998" w14:textId="77777777"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1418" w:type="dxa"/>
            <w:noWrap/>
            <w:hideMark/>
          </w:tcPr>
          <w:p w14:paraId="577D1B28" w14:textId="12C74825"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9E0699">
              <w:rPr>
                <w:rFonts w:cstheme="minorHAnsi"/>
                <w:color w:val="000000"/>
                <w:sz w:val="20"/>
                <w:szCs w:val="20"/>
                <w:lang w:val="sr-Latn-ME" w:eastAsia="en-US"/>
              </w:rPr>
              <w:t>nepoznato</w:t>
            </w:r>
          </w:p>
        </w:tc>
      </w:tr>
      <w:tr w:rsidR="009936B5" w:rsidRPr="001C6CCA" w14:paraId="578A20F1" w14:textId="77777777" w:rsidTr="00C17AD2">
        <w:trPr>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737F92E6" w14:textId="7F72ED11" w:rsidR="009936B5" w:rsidRPr="001C6CCA" w:rsidRDefault="009936B5" w:rsidP="009936B5">
            <w:pPr>
              <w:spacing w:before="0" w:after="0" w:line="240" w:lineRule="auto"/>
              <w:jc w:val="left"/>
              <w:rPr>
                <w:rFonts w:cs="Calibri"/>
                <w:i/>
                <w:color w:val="000000"/>
                <w:sz w:val="20"/>
                <w:szCs w:val="20"/>
                <w:lang w:val="en-GB" w:eastAsia="en-US"/>
              </w:rPr>
            </w:pPr>
            <w:r>
              <w:rPr>
                <w:rFonts w:cstheme="minorHAnsi"/>
                <w:color w:val="000000"/>
                <w:sz w:val="20"/>
                <w:szCs w:val="20"/>
                <w:lang w:val="sr-Latn-ME" w:eastAsia="en-US"/>
              </w:rPr>
              <w:t>Kratkokljuna carska šljuka</w:t>
            </w:r>
            <w:r w:rsidRPr="006B594E">
              <w:rPr>
                <w:rFonts w:cstheme="minorHAnsi"/>
                <w:i/>
                <w:color w:val="000000"/>
                <w:sz w:val="20"/>
                <w:szCs w:val="20"/>
                <w:lang w:val="sr-Latn-ME" w:eastAsia="en-US"/>
              </w:rPr>
              <w:t xml:space="preserve"> (Numenius tenuirostris)</w:t>
            </w:r>
          </w:p>
        </w:tc>
        <w:tc>
          <w:tcPr>
            <w:tcW w:w="1644" w:type="dxa"/>
            <w:noWrap/>
            <w:hideMark/>
          </w:tcPr>
          <w:p w14:paraId="00338941" w14:textId="77777777"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2126" w:type="dxa"/>
            <w:noWrap/>
            <w:hideMark/>
          </w:tcPr>
          <w:p w14:paraId="5425344A" w14:textId="77777777"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1418" w:type="dxa"/>
            <w:noWrap/>
            <w:hideMark/>
          </w:tcPr>
          <w:p w14:paraId="3253E522" w14:textId="3F10FB1C"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9E0699">
              <w:rPr>
                <w:rFonts w:cstheme="minorHAnsi"/>
                <w:color w:val="000000"/>
                <w:sz w:val="20"/>
                <w:szCs w:val="20"/>
                <w:lang w:val="sr-Latn-ME" w:eastAsia="en-US"/>
              </w:rPr>
              <w:t>nepoznato</w:t>
            </w:r>
          </w:p>
        </w:tc>
      </w:tr>
      <w:tr w:rsidR="009936B5" w:rsidRPr="001C6CCA" w14:paraId="3A68AE2D" w14:textId="77777777" w:rsidTr="00C17AD2">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691EA45A" w14:textId="7AEC757F" w:rsidR="009936B5" w:rsidRPr="001C6CCA" w:rsidRDefault="009936B5" w:rsidP="009936B5">
            <w:pPr>
              <w:spacing w:before="0" w:after="0" w:line="360" w:lineRule="auto"/>
              <w:rPr>
                <w:rFonts w:cs="Calibri"/>
                <w:i/>
                <w:color w:val="000000"/>
                <w:sz w:val="20"/>
                <w:szCs w:val="20"/>
                <w:lang w:val="en-GB" w:eastAsia="en-US"/>
              </w:rPr>
            </w:pPr>
            <w:r>
              <w:rPr>
                <w:rFonts w:cstheme="minorHAnsi"/>
                <w:color w:val="000000"/>
                <w:sz w:val="20"/>
                <w:szCs w:val="20"/>
                <w:lang w:val="sr-Latn-ME" w:eastAsia="en-US"/>
              </w:rPr>
              <w:t>Sredozemni galeb</w:t>
            </w:r>
            <w:r w:rsidRPr="006B594E">
              <w:rPr>
                <w:rFonts w:cstheme="minorHAnsi"/>
                <w:i/>
                <w:color w:val="000000"/>
                <w:sz w:val="20"/>
                <w:szCs w:val="20"/>
                <w:lang w:val="sr-Latn-ME" w:eastAsia="en-US"/>
              </w:rPr>
              <w:t xml:space="preserve"> (Larus audouinii)</w:t>
            </w:r>
          </w:p>
        </w:tc>
        <w:tc>
          <w:tcPr>
            <w:tcW w:w="1644" w:type="dxa"/>
            <w:noWrap/>
            <w:hideMark/>
          </w:tcPr>
          <w:p w14:paraId="5793F2A0" w14:textId="77777777"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2126" w:type="dxa"/>
            <w:noWrap/>
            <w:hideMark/>
          </w:tcPr>
          <w:p w14:paraId="61CFCD79" w14:textId="77777777"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1</w:t>
            </w:r>
          </w:p>
        </w:tc>
        <w:tc>
          <w:tcPr>
            <w:tcW w:w="1418" w:type="dxa"/>
            <w:noWrap/>
            <w:hideMark/>
          </w:tcPr>
          <w:p w14:paraId="7C0A83A1" w14:textId="496E98FE"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9E0699">
              <w:rPr>
                <w:rFonts w:cstheme="minorHAnsi"/>
                <w:color w:val="000000"/>
                <w:sz w:val="20"/>
                <w:szCs w:val="20"/>
                <w:lang w:val="sr-Latn-ME" w:eastAsia="en-US"/>
              </w:rPr>
              <w:t>nepoznato</w:t>
            </w:r>
          </w:p>
        </w:tc>
      </w:tr>
      <w:tr w:rsidR="009936B5" w:rsidRPr="001C6CCA" w14:paraId="37C6CEC0" w14:textId="77777777" w:rsidTr="00C17AD2">
        <w:trPr>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5CEEC365" w14:textId="746F7E69" w:rsidR="009936B5" w:rsidRPr="001C6CCA" w:rsidRDefault="009936B5" w:rsidP="009936B5">
            <w:pPr>
              <w:spacing w:before="0" w:after="0" w:line="360" w:lineRule="auto"/>
              <w:rPr>
                <w:rFonts w:cs="Calibri"/>
                <w:i/>
                <w:color w:val="000000"/>
                <w:sz w:val="20"/>
                <w:szCs w:val="20"/>
                <w:lang w:val="en-GB" w:eastAsia="en-US"/>
              </w:rPr>
            </w:pPr>
            <w:r w:rsidRPr="00F34857">
              <w:rPr>
                <w:rFonts w:cstheme="minorHAnsi"/>
                <w:color w:val="000000"/>
                <w:sz w:val="20"/>
                <w:szCs w:val="20"/>
                <w:lang w:val="sr-Latn-ME" w:eastAsia="en-US"/>
              </w:rPr>
              <w:t>Dugokljuna čigra</w:t>
            </w:r>
            <w:r w:rsidRPr="006B594E">
              <w:rPr>
                <w:rFonts w:cstheme="minorHAnsi"/>
                <w:color w:val="000000"/>
                <w:sz w:val="20"/>
                <w:szCs w:val="20"/>
                <w:lang w:val="sr-Latn-ME" w:eastAsia="en-US"/>
              </w:rPr>
              <w:t xml:space="preserve"> (</w:t>
            </w:r>
            <w:r w:rsidRPr="006B594E">
              <w:rPr>
                <w:rFonts w:cstheme="minorHAnsi"/>
                <w:i/>
                <w:color w:val="000000"/>
                <w:sz w:val="20"/>
                <w:szCs w:val="20"/>
                <w:lang w:val="sr-Latn-ME" w:eastAsia="en-US"/>
              </w:rPr>
              <w:t>Sterna sandwicensis)</w:t>
            </w:r>
          </w:p>
        </w:tc>
        <w:tc>
          <w:tcPr>
            <w:tcW w:w="1644" w:type="dxa"/>
            <w:noWrap/>
            <w:hideMark/>
          </w:tcPr>
          <w:p w14:paraId="4ECAEBBB" w14:textId="77777777"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2126" w:type="dxa"/>
            <w:noWrap/>
            <w:hideMark/>
          </w:tcPr>
          <w:p w14:paraId="59C2504E" w14:textId="77777777"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120</w:t>
            </w:r>
          </w:p>
        </w:tc>
        <w:tc>
          <w:tcPr>
            <w:tcW w:w="1418" w:type="dxa"/>
            <w:noWrap/>
            <w:hideMark/>
          </w:tcPr>
          <w:p w14:paraId="0E8FA558" w14:textId="6153AAE9"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Pr>
                <w:rFonts w:cstheme="minorHAnsi"/>
                <w:color w:val="000000"/>
                <w:sz w:val="20"/>
                <w:szCs w:val="20"/>
                <w:lang w:val="sr-Latn-ME" w:eastAsia="en-US"/>
              </w:rPr>
              <w:t>u padu</w:t>
            </w:r>
          </w:p>
        </w:tc>
      </w:tr>
      <w:tr w:rsidR="009936B5" w:rsidRPr="001C6CCA" w14:paraId="5D927DA7" w14:textId="77777777" w:rsidTr="00C17AD2">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60F674EA" w14:textId="75478A8F" w:rsidR="009936B5" w:rsidRPr="001C6CCA" w:rsidRDefault="009936B5" w:rsidP="009936B5">
            <w:pPr>
              <w:spacing w:before="0" w:after="0" w:line="360" w:lineRule="auto"/>
              <w:rPr>
                <w:rFonts w:cs="Calibri"/>
                <w:i/>
                <w:color w:val="000000"/>
                <w:sz w:val="20"/>
                <w:szCs w:val="20"/>
                <w:lang w:val="en-GB" w:eastAsia="en-US"/>
              </w:rPr>
            </w:pPr>
            <w:r>
              <w:rPr>
                <w:rFonts w:cstheme="minorHAnsi"/>
                <w:color w:val="000000"/>
                <w:sz w:val="20"/>
                <w:szCs w:val="20"/>
                <w:lang w:val="sr-Latn-ME" w:eastAsia="en-US"/>
              </w:rPr>
              <w:t>Mala čigra</w:t>
            </w:r>
            <w:r w:rsidRPr="006B594E">
              <w:rPr>
                <w:rFonts w:cstheme="minorHAnsi"/>
                <w:i/>
                <w:color w:val="000000"/>
                <w:sz w:val="20"/>
                <w:szCs w:val="20"/>
                <w:lang w:val="sr-Latn-ME" w:eastAsia="en-US"/>
              </w:rPr>
              <w:t xml:space="preserve"> (Sternula albifrons)</w:t>
            </w:r>
          </w:p>
        </w:tc>
        <w:tc>
          <w:tcPr>
            <w:tcW w:w="1644" w:type="dxa"/>
            <w:noWrap/>
            <w:hideMark/>
          </w:tcPr>
          <w:p w14:paraId="69F014B0" w14:textId="77777777"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50 - 70 bp</w:t>
            </w:r>
          </w:p>
        </w:tc>
        <w:tc>
          <w:tcPr>
            <w:tcW w:w="2126" w:type="dxa"/>
            <w:noWrap/>
            <w:hideMark/>
          </w:tcPr>
          <w:p w14:paraId="3A56A26B" w14:textId="77777777"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1418" w:type="dxa"/>
            <w:noWrap/>
            <w:hideMark/>
          </w:tcPr>
          <w:p w14:paraId="28A1ADBA" w14:textId="450215F6"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A900EA">
              <w:rPr>
                <w:rFonts w:cstheme="minorHAnsi"/>
                <w:color w:val="000000"/>
                <w:sz w:val="20"/>
                <w:szCs w:val="20"/>
                <w:lang w:val="sr-Latn-ME" w:eastAsia="en-US"/>
              </w:rPr>
              <w:t>stabilno</w:t>
            </w:r>
          </w:p>
        </w:tc>
      </w:tr>
      <w:tr w:rsidR="009936B5" w:rsidRPr="001C6CCA" w14:paraId="774D16FF" w14:textId="77777777" w:rsidTr="00C17AD2">
        <w:trPr>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57EB5BA3" w14:textId="6B24A5E2" w:rsidR="009936B5" w:rsidRPr="001C6CCA" w:rsidRDefault="009936B5" w:rsidP="009936B5">
            <w:pPr>
              <w:spacing w:before="0" w:after="0" w:line="360" w:lineRule="auto"/>
              <w:rPr>
                <w:rFonts w:cs="Calibri"/>
                <w:i/>
                <w:color w:val="000000"/>
                <w:sz w:val="20"/>
                <w:szCs w:val="20"/>
                <w:lang w:val="en-GB" w:eastAsia="en-US"/>
              </w:rPr>
            </w:pPr>
            <w:r>
              <w:rPr>
                <w:rFonts w:cstheme="minorHAnsi"/>
                <w:color w:val="000000"/>
                <w:sz w:val="20"/>
                <w:szCs w:val="20"/>
                <w:lang w:val="sr-Latn-ME" w:eastAsia="en-US"/>
              </w:rPr>
              <w:t>Kaspijska čigra</w:t>
            </w:r>
            <w:r w:rsidRPr="006B594E">
              <w:rPr>
                <w:rFonts w:cstheme="minorHAnsi"/>
                <w:i/>
                <w:color w:val="000000"/>
                <w:sz w:val="20"/>
                <w:szCs w:val="20"/>
                <w:lang w:val="sr-Latn-ME" w:eastAsia="en-US"/>
              </w:rPr>
              <w:t xml:space="preserve"> (Sterna caspia)</w:t>
            </w:r>
          </w:p>
        </w:tc>
        <w:tc>
          <w:tcPr>
            <w:tcW w:w="1644" w:type="dxa"/>
            <w:noWrap/>
            <w:hideMark/>
          </w:tcPr>
          <w:p w14:paraId="7B277299" w14:textId="77777777"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2126" w:type="dxa"/>
            <w:noWrap/>
            <w:hideMark/>
          </w:tcPr>
          <w:p w14:paraId="3364577C" w14:textId="77777777"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up 5</w:t>
            </w:r>
          </w:p>
        </w:tc>
        <w:tc>
          <w:tcPr>
            <w:tcW w:w="1418" w:type="dxa"/>
            <w:noWrap/>
            <w:hideMark/>
          </w:tcPr>
          <w:p w14:paraId="2B7D0C49" w14:textId="4196EDBC"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A900EA">
              <w:rPr>
                <w:rFonts w:cstheme="minorHAnsi"/>
                <w:color w:val="000000"/>
                <w:sz w:val="20"/>
                <w:szCs w:val="20"/>
                <w:lang w:val="sr-Latn-ME" w:eastAsia="en-US"/>
              </w:rPr>
              <w:t>stabilno</w:t>
            </w:r>
          </w:p>
        </w:tc>
      </w:tr>
      <w:tr w:rsidR="009936B5" w:rsidRPr="001C6CCA" w14:paraId="6FE4C48E" w14:textId="77777777" w:rsidTr="00C17AD2">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6378239B" w14:textId="0AAFEAAC" w:rsidR="009936B5" w:rsidRPr="001C6CCA" w:rsidRDefault="009936B5" w:rsidP="009936B5">
            <w:pPr>
              <w:spacing w:before="0" w:after="0" w:line="360" w:lineRule="auto"/>
              <w:rPr>
                <w:rFonts w:cs="Calibri"/>
                <w:i/>
                <w:color w:val="000000"/>
                <w:sz w:val="20"/>
                <w:szCs w:val="20"/>
                <w:lang w:val="en-GB" w:eastAsia="en-US"/>
              </w:rPr>
            </w:pPr>
            <w:r>
              <w:rPr>
                <w:rFonts w:cstheme="minorHAnsi"/>
                <w:color w:val="000000"/>
                <w:sz w:val="20"/>
                <w:szCs w:val="20"/>
                <w:lang w:val="sr-Latn-ME" w:eastAsia="en-US"/>
              </w:rPr>
              <w:t>Tankokljuni galeb</w:t>
            </w:r>
            <w:r w:rsidRPr="006B594E">
              <w:rPr>
                <w:rFonts w:cstheme="minorHAnsi"/>
                <w:i/>
                <w:color w:val="000000"/>
                <w:sz w:val="20"/>
                <w:szCs w:val="20"/>
                <w:lang w:val="sr-Latn-ME" w:eastAsia="en-US"/>
              </w:rPr>
              <w:t xml:space="preserve"> (Larus genei)</w:t>
            </w:r>
          </w:p>
        </w:tc>
        <w:tc>
          <w:tcPr>
            <w:tcW w:w="1644" w:type="dxa"/>
            <w:noWrap/>
            <w:hideMark/>
          </w:tcPr>
          <w:p w14:paraId="12FACB9A" w14:textId="5E5F13AC" w:rsidR="009936B5" w:rsidRPr="001C6CCA" w:rsidRDefault="00AA1558"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Pr>
                <w:rFonts w:cs="Calibri"/>
                <w:color w:val="000000"/>
                <w:sz w:val="20"/>
                <w:szCs w:val="20"/>
                <w:lang w:val="en-GB" w:eastAsia="en-US"/>
              </w:rPr>
              <w:t>do</w:t>
            </w:r>
            <w:r w:rsidR="009936B5" w:rsidRPr="001C6CCA">
              <w:rPr>
                <w:rFonts w:cs="Calibri"/>
                <w:color w:val="000000"/>
                <w:sz w:val="20"/>
                <w:szCs w:val="20"/>
                <w:lang w:val="en-GB" w:eastAsia="en-US"/>
              </w:rPr>
              <w:t xml:space="preserve"> 2 bp</w:t>
            </w:r>
          </w:p>
        </w:tc>
        <w:tc>
          <w:tcPr>
            <w:tcW w:w="2126" w:type="dxa"/>
            <w:noWrap/>
            <w:hideMark/>
          </w:tcPr>
          <w:p w14:paraId="3A6181B4" w14:textId="77777777"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1418" w:type="dxa"/>
            <w:noWrap/>
            <w:hideMark/>
          </w:tcPr>
          <w:p w14:paraId="49B9970E" w14:textId="289C80D9"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67108A">
              <w:rPr>
                <w:rFonts w:cstheme="minorHAnsi"/>
                <w:color w:val="000000"/>
                <w:sz w:val="20"/>
                <w:szCs w:val="20"/>
                <w:lang w:val="sr-Latn-ME" w:eastAsia="en-US"/>
              </w:rPr>
              <w:t>nepoznato</w:t>
            </w:r>
          </w:p>
        </w:tc>
      </w:tr>
      <w:tr w:rsidR="009936B5" w:rsidRPr="001C6CCA" w14:paraId="48DC4A50" w14:textId="77777777" w:rsidTr="00C17AD2">
        <w:trPr>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36557EF0" w14:textId="0A836134" w:rsidR="009936B5" w:rsidRPr="001C6CCA" w:rsidRDefault="009936B5" w:rsidP="009936B5">
            <w:pPr>
              <w:spacing w:before="0" w:after="0" w:line="240" w:lineRule="auto"/>
              <w:jc w:val="left"/>
              <w:rPr>
                <w:rFonts w:cs="Calibri"/>
                <w:i/>
                <w:color w:val="000000"/>
                <w:sz w:val="20"/>
                <w:szCs w:val="20"/>
                <w:lang w:val="en-GB" w:eastAsia="en-US"/>
              </w:rPr>
            </w:pPr>
            <w:r>
              <w:rPr>
                <w:rFonts w:cstheme="minorHAnsi"/>
                <w:color w:val="000000"/>
                <w:sz w:val="20"/>
                <w:szCs w:val="20"/>
                <w:lang w:val="sr-Latn-ME" w:eastAsia="en-US"/>
              </w:rPr>
              <w:t>Crnoglavi galeb</w:t>
            </w:r>
            <w:r w:rsidRPr="006B594E">
              <w:rPr>
                <w:rFonts w:cstheme="minorHAnsi"/>
                <w:i/>
                <w:color w:val="000000"/>
                <w:sz w:val="20"/>
                <w:szCs w:val="20"/>
                <w:lang w:val="sr-Latn-ME" w:eastAsia="en-US"/>
              </w:rPr>
              <w:t xml:space="preserve"> (Larus melanocephalus)</w:t>
            </w:r>
          </w:p>
        </w:tc>
        <w:tc>
          <w:tcPr>
            <w:tcW w:w="1644" w:type="dxa"/>
            <w:noWrap/>
            <w:hideMark/>
          </w:tcPr>
          <w:p w14:paraId="08F380B4" w14:textId="77777777"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2126" w:type="dxa"/>
            <w:noWrap/>
            <w:hideMark/>
          </w:tcPr>
          <w:p w14:paraId="009D1FC2" w14:textId="529E7953"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Pr>
                <w:rFonts w:cstheme="minorHAnsi"/>
                <w:color w:val="000000"/>
                <w:sz w:val="20"/>
                <w:szCs w:val="20"/>
                <w:lang w:val="sr-Latn-ME" w:eastAsia="en-US"/>
              </w:rPr>
              <w:t>nepoznato</w:t>
            </w:r>
          </w:p>
        </w:tc>
        <w:tc>
          <w:tcPr>
            <w:tcW w:w="1418" w:type="dxa"/>
            <w:noWrap/>
            <w:hideMark/>
          </w:tcPr>
          <w:p w14:paraId="26D808F4" w14:textId="20FF604D"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67108A">
              <w:rPr>
                <w:rFonts w:cstheme="minorHAnsi"/>
                <w:color w:val="000000"/>
                <w:sz w:val="20"/>
                <w:szCs w:val="20"/>
                <w:lang w:val="sr-Latn-ME" w:eastAsia="en-US"/>
              </w:rPr>
              <w:t>nepoznato</w:t>
            </w:r>
          </w:p>
        </w:tc>
      </w:tr>
      <w:tr w:rsidR="009936B5" w:rsidRPr="001C6CCA" w14:paraId="500D7351" w14:textId="77777777" w:rsidTr="00C17AD2">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461BC3F4" w14:textId="0659CEA8" w:rsidR="009936B5" w:rsidRPr="001C6CCA" w:rsidRDefault="009936B5" w:rsidP="009936B5">
            <w:pPr>
              <w:spacing w:before="0" w:after="0" w:line="360" w:lineRule="auto"/>
              <w:rPr>
                <w:rFonts w:cs="Calibri"/>
                <w:i/>
                <w:color w:val="000000"/>
                <w:sz w:val="20"/>
                <w:szCs w:val="20"/>
                <w:lang w:val="en-GB" w:eastAsia="en-US"/>
              </w:rPr>
            </w:pPr>
            <w:r>
              <w:rPr>
                <w:rFonts w:cstheme="minorHAnsi"/>
                <w:color w:val="000000"/>
                <w:sz w:val="20"/>
                <w:szCs w:val="20"/>
                <w:lang w:val="sr-Latn-ME" w:eastAsia="en-US"/>
              </w:rPr>
              <w:t>Morski žalar</w:t>
            </w:r>
            <w:r w:rsidRPr="006B594E">
              <w:rPr>
                <w:rFonts w:cstheme="minorHAnsi"/>
                <w:i/>
                <w:color w:val="000000"/>
                <w:sz w:val="20"/>
                <w:szCs w:val="20"/>
                <w:lang w:val="sr-Latn-ME" w:eastAsia="en-US"/>
              </w:rPr>
              <w:t xml:space="preserve"> (Charadrius alexandrines)</w:t>
            </w:r>
          </w:p>
        </w:tc>
        <w:tc>
          <w:tcPr>
            <w:tcW w:w="1644" w:type="dxa"/>
            <w:noWrap/>
            <w:hideMark/>
          </w:tcPr>
          <w:p w14:paraId="3239448E" w14:textId="50F1D3EB" w:rsidR="009936B5" w:rsidRPr="001C6CCA" w:rsidRDefault="00AA1558"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Pr>
                <w:rFonts w:cs="Calibri"/>
                <w:color w:val="000000"/>
                <w:sz w:val="20"/>
                <w:szCs w:val="20"/>
                <w:lang w:val="en-GB" w:eastAsia="en-US"/>
              </w:rPr>
              <w:t xml:space="preserve">do </w:t>
            </w:r>
            <w:r w:rsidR="009936B5" w:rsidRPr="001C6CCA">
              <w:rPr>
                <w:rFonts w:cs="Calibri"/>
                <w:color w:val="000000"/>
                <w:sz w:val="20"/>
                <w:szCs w:val="20"/>
                <w:lang w:val="en-GB" w:eastAsia="en-US"/>
              </w:rPr>
              <w:t>50 bp</w:t>
            </w:r>
          </w:p>
        </w:tc>
        <w:tc>
          <w:tcPr>
            <w:tcW w:w="2126" w:type="dxa"/>
            <w:noWrap/>
            <w:hideMark/>
          </w:tcPr>
          <w:p w14:paraId="5A07B80D" w14:textId="77777777"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20-30</w:t>
            </w:r>
          </w:p>
        </w:tc>
        <w:tc>
          <w:tcPr>
            <w:tcW w:w="1418" w:type="dxa"/>
            <w:noWrap/>
            <w:hideMark/>
          </w:tcPr>
          <w:p w14:paraId="752CBAF6" w14:textId="4F845151" w:rsidR="009936B5" w:rsidRPr="001C6CCA" w:rsidRDefault="009936B5" w:rsidP="009936B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Pr>
                <w:rFonts w:cstheme="minorHAnsi"/>
                <w:color w:val="000000"/>
                <w:sz w:val="20"/>
                <w:szCs w:val="20"/>
                <w:lang w:val="sr-Latn-ME" w:eastAsia="en-US"/>
              </w:rPr>
              <w:t>stabilno</w:t>
            </w:r>
          </w:p>
        </w:tc>
      </w:tr>
      <w:tr w:rsidR="009936B5" w:rsidRPr="001C6CCA" w14:paraId="69915FDC" w14:textId="77777777" w:rsidTr="00C17AD2">
        <w:trPr>
          <w:trHeight w:val="296"/>
        </w:trPr>
        <w:tc>
          <w:tcPr>
            <w:cnfStyle w:val="001000000000" w:firstRow="0" w:lastRow="0" w:firstColumn="1" w:lastColumn="0" w:oddVBand="0" w:evenVBand="0" w:oddHBand="0" w:evenHBand="0" w:firstRowFirstColumn="0" w:firstRowLastColumn="0" w:lastRowFirstColumn="0" w:lastRowLastColumn="0"/>
            <w:tcW w:w="3738" w:type="dxa"/>
            <w:noWrap/>
            <w:hideMark/>
          </w:tcPr>
          <w:p w14:paraId="2F0DBF52" w14:textId="11EC7437" w:rsidR="009936B5" w:rsidRPr="001C6CCA" w:rsidRDefault="009936B5" w:rsidP="009936B5">
            <w:pPr>
              <w:spacing w:before="0" w:after="0" w:line="360" w:lineRule="auto"/>
              <w:rPr>
                <w:rFonts w:cs="Calibri"/>
                <w:i/>
                <w:color w:val="000000"/>
                <w:sz w:val="20"/>
                <w:szCs w:val="20"/>
                <w:lang w:val="en-GB" w:eastAsia="en-US"/>
              </w:rPr>
            </w:pPr>
            <w:r>
              <w:rPr>
                <w:rFonts w:cstheme="minorHAnsi"/>
                <w:color w:val="000000"/>
                <w:sz w:val="20"/>
                <w:szCs w:val="20"/>
                <w:lang w:val="sr-Latn-ME" w:eastAsia="en-US"/>
              </w:rPr>
              <w:t>Pjegavi vodomar</w:t>
            </w:r>
            <w:r w:rsidRPr="006B594E">
              <w:rPr>
                <w:rFonts w:cstheme="minorHAnsi"/>
                <w:i/>
                <w:color w:val="000000"/>
                <w:sz w:val="20"/>
                <w:szCs w:val="20"/>
                <w:lang w:val="sr-Latn-ME" w:eastAsia="en-US"/>
              </w:rPr>
              <w:t xml:space="preserve"> (Ceryle rudis)</w:t>
            </w:r>
          </w:p>
        </w:tc>
        <w:tc>
          <w:tcPr>
            <w:tcW w:w="1644" w:type="dxa"/>
            <w:noWrap/>
            <w:hideMark/>
          </w:tcPr>
          <w:p w14:paraId="3D717EE9" w14:textId="77777777"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ex br</w:t>
            </w:r>
          </w:p>
        </w:tc>
        <w:tc>
          <w:tcPr>
            <w:tcW w:w="2126" w:type="dxa"/>
            <w:noWrap/>
            <w:hideMark/>
          </w:tcPr>
          <w:p w14:paraId="461E8D7B" w14:textId="77777777"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n/a</w:t>
            </w:r>
          </w:p>
        </w:tc>
        <w:tc>
          <w:tcPr>
            <w:tcW w:w="1418" w:type="dxa"/>
            <w:noWrap/>
            <w:hideMark/>
          </w:tcPr>
          <w:p w14:paraId="1D26838C" w14:textId="205C3F6E" w:rsidR="009936B5" w:rsidRPr="001C6CCA" w:rsidRDefault="009936B5" w:rsidP="009936B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Pr>
                <w:rFonts w:cstheme="minorHAnsi"/>
                <w:color w:val="000000"/>
                <w:sz w:val="20"/>
                <w:szCs w:val="20"/>
                <w:lang w:val="sr-Latn-ME" w:eastAsia="en-US"/>
              </w:rPr>
              <w:t>nepoznato</w:t>
            </w:r>
          </w:p>
        </w:tc>
      </w:tr>
    </w:tbl>
    <w:p w14:paraId="74CAE64B" w14:textId="6406E4E9" w:rsidR="00DC062D" w:rsidRPr="00BB7371" w:rsidRDefault="000A5E32" w:rsidP="00BB7371">
      <w:pPr>
        <w:autoSpaceDE w:val="0"/>
        <w:autoSpaceDN w:val="0"/>
        <w:adjustRightInd w:val="0"/>
        <w:spacing w:before="0" w:after="0"/>
        <w:rPr>
          <w:rFonts w:eastAsia="Calibri" w:cs="Calibri"/>
          <w:color w:val="000000"/>
          <w:szCs w:val="22"/>
          <w:lang w:val="en-GB" w:eastAsia="en-US"/>
        </w:rPr>
      </w:pPr>
      <w:r w:rsidRPr="001C6CCA">
        <w:rPr>
          <w:rFonts w:eastAsia="Calibri" w:cs="Calibri"/>
          <w:color w:val="000000"/>
          <w:szCs w:val="22"/>
          <w:lang w:val="en-GB" w:eastAsia="en-US"/>
        </w:rPr>
        <w:t>*</w:t>
      </w:r>
      <w:r w:rsidR="00DC062D">
        <w:rPr>
          <w:rFonts w:eastAsia="Calibri" w:cs="Calibri"/>
          <w:color w:val="000000"/>
          <w:szCs w:val="22"/>
          <w:lang w:val="en-GB" w:eastAsia="en-US"/>
        </w:rPr>
        <w:t>Napomena: Ne</w:t>
      </w:r>
      <w:r w:rsidRPr="001C6CCA">
        <w:rPr>
          <w:rFonts w:eastAsia="Calibri" w:cs="Calibri"/>
          <w:color w:val="000000"/>
          <w:szCs w:val="22"/>
          <w:lang w:val="en-GB" w:eastAsia="en-US"/>
        </w:rPr>
        <w:t xml:space="preserve">. </w:t>
      </w:r>
      <w:r w:rsidR="006107D0">
        <w:rPr>
          <w:rFonts w:eastAsia="Calibri" w:cs="Calibri"/>
          <w:color w:val="000000"/>
          <w:szCs w:val="22"/>
          <w:lang w:val="en-GB" w:eastAsia="en-US"/>
        </w:rPr>
        <w:t>Uspjeh</w:t>
      </w:r>
      <w:r w:rsidR="00BB7371">
        <w:rPr>
          <w:rFonts w:eastAsia="Calibri" w:cs="Calibri"/>
          <w:color w:val="000000"/>
          <w:szCs w:val="22"/>
          <w:lang w:val="en-GB" w:eastAsia="en-US"/>
        </w:rPr>
        <w:t xml:space="preserve"> 0</w:t>
      </w:r>
    </w:p>
    <w:p w14:paraId="26F1D424" w14:textId="10445E98" w:rsidR="00DC062D" w:rsidRPr="00BB7371" w:rsidRDefault="006107D0" w:rsidP="00BB7371">
      <w:pPr>
        <w:rPr>
          <w:rFonts w:cstheme="minorHAnsi"/>
          <w:color w:val="000000" w:themeColor="text1"/>
          <w:lang w:val="sr-Latn-ME"/>
        </w:rPr>
      </w:pPr>
      <w:r w:rsidRPr="005D6E18">
        <w:rPr>
          <w:rFonts w:cs="Arial"/>
          <w:lang w:val="sr-Latn-ME"/>
        </w:rPr>
        <w:t>Sistematsk</w:t>
      </w:r>
      <w:r w:rsidR="00BB7371">
        <w:rPr>
          <w:rFonts w:cs="Arial"/>
          <w:lang w:val="sr-Latn-ME"/>
        </w:rPr>
        <w:t>i monitoring</w:t>
      </w:r>
      <w:r w:rsidRPr="005D6E18">
        <w:rPr>
          <w:rFonts w:cs="Arial"/>
          <w:lang w:val="sr-Latn-ME"/>
        </w:rPr>
        <w:t xml:space="preserve"> m</w:t>
      </w:r>
      <w:r>
        <w:rPr>
          <w:rFonts w:cs="Arial"/>
          <w:lang w:val="sr-Latn-ME"/>
        </w:rPr>
        <w:t>orskih</w:t>
      </w:r>
      <w:r w:rsidRPr="005D6E18">
        <w:rPr>
          <w:rFonts w:cs="Arial"/>
          <w:lang w:val="sr-Latn-ME"/>
        </w:rPr>
        <w:t xml:space="preserve"> vrsta  počinje 2020. godine </w:t>
      </w:r>
      <w:r>
        <w:rPr>
          <w:rFonts w:cs="Arial"/>
          <w:lang w:val="sr-Latn-ME"/>
        </w:rPr>
        <w:t>u okviru Projekta IPA „</w:t>
      </w:r>
      <w:r w:rsidR="00AA1558">
        <w:rPr>
          <w:rFonts w:cs="Arial"/>
          <w:lang w:val="sr-Latn-ME"/>
        </w:rPr>
        <w:t xml:space="preserve">Podrška implementaciji i monitoringu upravljanja vodama u Crnoj Gori“.  </w:t>
      </w:r>
      <w:r w:rsidR="00AA1558" w:rsidRPr="006B594E">
        <w:rPr>
          <w:rFonts w:cstheme="minorHAnsi"/>
          <w:color w:val="000000" w:themeColor="text1"/>
          <w:lang w:val="sr-Latn-ME"/>
        </w:rPr>
        <w:t xml:space="preserve">Dominantna vrsta tokom istraživanja je </w:t>
      </w:r>
      <w:r w:rsidR="00AA1558" w:rsidRPr="004F658A">
        <w:rPr>
          <w:rFonts w:eastAsia="Calibri" w:cs="Calibri"/>
          <w:i/>
          <w:szCs w:val="22"/>
          <w:lang w:val="sr-Latn-ME" w:eastAsia="hr-HR"/>
        </w:rPr>
        <w:t>Larus michahellis</w:t>
      </w:r>
      <w:r w:rsidR="00AA1558" w:rsidRPr="004F658A">
        <w:rPr>
          <w:rFonts w:cs="Calibri"/>
          <w:i/>
          <w:color w:val="000000"/>
          <w:lang w:val="sr-Latn-ME"/>
        </w:rPr>
        <w:t xml:space="preserve"> </w:t>
      </w:r>
      <w:r w:rsidR="00AA1558" w:rsidRPr="00AA1558">
        <w:rPr>
          <w:rFonts w:cs="Arial"/>
          <w:lang w:val="sr-Latn-ME"/>
        </w:rPr>
        <w:t xml:space="preserve">(&gt; 99%). </w:t>
      </w:r>
      <w:r w:rsidR="00AA1558" w:rsidRPr="006B594E">
        <w:rPr>
          <w:rFonts w:cstheme="minorHAnsi"/>
          <w:color w:val="000000" w:themeColor="text1"/>
          <w:lang w:val="sr-Latn-ME"/>
        </w:rPr>
        <w:t xml:space="preserve">Vrste </w:t>
      </w:r>
      <w:r w:rsidR="00AA1558" w:rsidRPr="006B594E">
        <w:rPr>
          <w:rFonts w:cstheme="minorHAnsi"/>
          <w:i/>
          <w:color w:val="000000" w:themeColor="text1"/>
          <w:lang w:val="sr-Latn-ME"/>
        </w:rPr>
        <w:t>Calonectris diomedea i Puffinus yelkouan r</w:t>
      </w:r>
      <w:r w:rsidR="00AA1558" w:rsidRPr="006B594E">
        <w:rPr>
          <w:rFonts w:cstheme="minorHAnsi"/>
          <w:color w:val="000000" w:themeColor="text1"/>
          <w:lang w:val="sr-Latn-ME"/>
        </w:rPr>
        <w:t xml:space="preserve">egistrovane </w:t>
      </w:r>
      <w:r w:rsidR="00AA1558" w:rsidRPr="00AA1558">
        <w:rPr>
          <w:rFonts w:cs="Arial"/>
          <w:lang w:val="sr-Latn-ME"/>
        </w:rPr>
        <w:t xml:space="preserve">su gotovo svakodnevno </w:t>
      </w:r>
      <w:r w:rsidR="00AA1558" w:rsidRPr="006B594E">
        <w:rPr>
          <w:rFonts w:cstheme="minorHAnsi"/>
          <w:color w:val="000000" w:themeColor="text1"/>
          <w:lang w:val="sr-Latn-ME"/>
        </w:rPr>
        <w:t xml:space="preserve">kako prate </w:t>
      </w:r>
      <w:r w:rsidR="00AA1558">
        <w:rPr>
          <w:rFonts w:cstheme="minorHAnsi"/>
          <w:color w:val="000000" w:themeColor="text1"/>
          <w:lang w:val="sr-Latn-ME"/>
        </w:rPr>
        <w:t xml:space="preserve">ribarske </w:t>
      </w:r>
      <w:r w:rsidR="00AA1558" w:rsidRPr="006B594E">
        <w:rPr>
          <w:rFonts w:cstheme="minorHAnsi"/>
          <w:color w:val="000000" w:themeColor="text1"/>
          <w:lang w:val="sr-Latn-ME"/>
        </w:rPr>
        <w:t>koče</w:t>
      </w:r>
      <w:r w:rsidR="00AA1558">
        <w:rPr>
          <w:rFonts w:cstheme="minorHAnsi"/>
          <w:color w:val="000000" w:themeColor="text1"/>
          <w:lang w:val="sr-Latn-ME"/>
        </w:rPr>
        <w:t xml:space="preserve"> i </w:t>
      </w:r>
      <w:r w:rsidR="00DE3BED">
        <w:rPr>
          <w:rFonts w:cstheme="minorHAnsi"/>
          <w:color w:val="000000" w:themeColor="text1"/>
          <w:lang w:val="sr-Latn-ME"/>
        </w:rPr>
        <w:t xml:space="preserve">iskrcaj </w:t>
      </w:r>
      <w:r w:rsidR="00AA1558">
        <w:rPr>
          <w:rFonts w:cstheme="minorHAnsi"/>
          <w:color w:val="000000" w:themeColor="text1"/>
          <w:lang w:val="sr-Latn-ME"/>
        </w:rPr>
        <w:t>ulov</w:t>
      </w:r>
      <w:r w:rsidR="00DE3BED">
        <w:rPr>
          <w:rFonts w:cstheme="minorHAnsi"/>
          <w:color w:val="000000" w:themeColor="text1"/>
          <w:lang w:val="sr-Latn-ME"/>
        </w:rPr>
        <w:t>a</w:t>
      </w:r>
      <w:r w:rsidR="00AA1558">
        <w:rPr>
          <w:rFonts w:cstheme="minorHAnsi"/>
          <w:color w:val="000000" w:themeColor="text1"/>
          <w:lang w:val="sr-Latn-ME"/>
        </w:rPr>
        <w:t xml:space="preserve"> na kopnu, </w:t>
      </w:r>
      <w:r w:rsidR="00AA1558" w:rsidRPr="006B594E">
        <w:rPr>
          <w:rFonts w:cstheme="minorHAnsi"/>
          <w:color w:val="000000" w:themeColor="text1"/>
          <w:lang w:val="sr-Latn-ME"/>
        </w:rPr>
        <w:t xml:space="preserve"> dok vrste  </w:t>
      </w:r>
      <w:r w:rsidR="00AA1558" w:rsidRPr="006B594E">
        <w:rPr>
          <w:rFonts w:cstheme="minorHAnsi"/>
          <w:i/>
          <w:color w:val="000000" w:themeColor="text1"/>
          <w:lang w:val="sr-Latn-ME"/>
        </w:rPr>
        <w:t>Phalacrocorax aristotelis i Larus audouinii</w:t>
      </w:r>
      <w:r w:rsidR="00AA1558">
        <w:rPr>
          <w:rFonts w:cstheme="minorHAnsi"/>
          <w:color w:val="000000" w:themeColor="text1"/>
          <w:lang w:val="sr-Latn-ME"/>
        </w:rPr>
        <w:t xml:space="preserve"> nisu</w:t>
      </w:r>
      <w:r w:rsidR="00AA1558" w:rsidRPr="006B594E">
        <w:rPr>
          <w:rFonts w:cstheme="minorHAnsi"/>
          <w:color w:val="000000" w:themeColor="text1"/>
          <w:lang w:val="sr-Latn-ME"/>
        </w:rPr>
        <w:t xml:space="preserve"> registrovane u ovim istraživanjima.  </w:t>
      </w:r>
      <w:r w:rsidR="00AA1558" w:rsidRPr="00AA1558">
        <w:rPr>
          <w:rFonts w:cs="Arial"/>
          <w:lang w:val="sr-Latn-ME"/>
        </w:rPr>
        <w:t>Međutim, ovo istraživanje sprovedeno u roku od nekoliko m</w:t>
      </w:r>
      <w:r w:rsidR="00AA1558">
        <w:rPr>
          <w:rFonts w:cs="Arial"/>
          <w:lang w:val="sr-Latn-ME"/>
        </w:rPr>
        <w:t>j</w:t>
      </w:r>
      <w:r w:rsidR="00AA1558" w:rsidRPr="00AA1558">
        <w:rPr>
          <w:rFonts w:cs="Arial"/>
          <w:lang w:val="sr-Latn-ME"/>
        </w:rPr>
        <w:t xml:space="preserve">eseci (jun - septembar 2020) ne može dati </w:t>
      </w:r>
      <w:r w:rsidR="00AA1558">
        <w:rPr>
          <w:rFonts w:cstheme="minorHAnsi"/>
          <w:color w:val="000000" w:themeColor="text1"/>
          <w:lang w:val="sr-Latn-ME"/>
        </w:rPr>
        <w:t xml:space="preserve">širi i jasniji </w:t>
      </w:r>
      <w:r w:rsidR="00AA1558" w:rsidRPr="00AA1558">
        <w:rPr>
          <w:rFonts w:cs="Arial"/>
          <w:lang w:val="sr-Latn-ME"/>
        </w:rPr>
        <w:t xml:space="preserve">pregled </w:t>
      </w:r>
      <w:r w:rsidR="00DE3BED">
        <w:rPr>
          <w:rFonts w:cs="Arial"/>
          <w:lang w:val="sr-Latn-ME"/>
        </w:rPr>
        <w:t xml:space="preserve">te </w:t>
      </w:r>
      <w:r w:rsidR="00AA1558" w:rsidRPr="00AA1558">
        <w:rPr>
          <w:rFonts w:cs="Arial"/>
          <w:lang w:val="sr-Latn-ME"/>
        </w:rPr>
        <w:t xml:space="preserve">njihov status ostaje nepoznat. </w:t>
      </w:r>
      <w:r w:rsidR="00AA1558" w:rsidRPr="006B594E">
        <w:rPr>
          <w:rFonts w:cstheme="minorHAnsi"/>
          <w:color w:val="000000" w:themeColor="text1"/>
          <w:lang w:val="sr-Latn-ME"/>
        </w:rPr>
        <w:t xml:space="preserve">Da bi se dobio kvalitetan </w:t>
      </w:r>
      <w:r w:rsidR="00AF405E">
        <w:rPr>
          <w:rFonts w:cstheme="minorHAnsi"/>
          <w:color w:val="000000" w:themeColor="text1"/>
          <w:lang w:val="sr-Latn-ME"/>
        </w:rPr>
        <w:t>uvid</w:t>
      </w:r>
      <w:r w:rsidR="00AA1558" w:rsidRPr="006B594E">
        <w:rPr>
          <w:rFonts w:cstheme="minorHAnsi"/>
          <w:color w:val="000000" w:themeColor="text1"/>
          <w:lang w:val="sr-Latn-ME"/>
        </w:rPr>
        <w:t xml:space="preserve"> stanja vrsta, kvalitativno i kvantitativo, te da bi se uradile mape distribucije ptica neophodno </w:t>
      </w:r>
      <w:r w:rsidR="00AA1558">
        <w:rPr>
          <w:rFonts w:cstheme="minorHAnsi"/>
          <w:color w:val="000000" w:themeColor="text1"/>
          <w:lang w:val="sr-Latn-ME"/>
        </w:rPr>
        <w:t>je istraživati</w:t>
      </w:r>
      <w:r w:rsidR="00AA1558" w:rsidRPr="006B594E">
        <w:rPr>
          <w:rFonts w:cstheme="minorHAnsi"/>
          <w:color w:val="000000" w:themeColor="text1"/>
          <w:lang w:val="sr-Latn-ME"/>
        </w:rPr>
        <w:t xml:space="preserve"> najmanje dvije godine i pokriti sve sezone.</w:t>
      </w:r>
    </w:p>
    <w:p w14:paraId="4CC1CADB" w14:textId="5C8D9B9E" w:rsidR="00DC062D" w:rsidRPr="001C6CCA" w:rsidRDefault="00AA1558" w:rsidP="00936BE4">
      <w:pPr>
        <w:autoSpaceDE w:val="0"/>
        <w:autoSpaceDN w:val="0"/>
        <w:adjustRightInd w:val="0"/>
        <w:spacing w:before="0" w:after="160"/>
        <w:rPr>
          <w:rFonts w:eastAsia="Calibri" w:cs="Calibri"/>
          <w:color w:val="000000"/>
          <w:szCs w:val="22"/>
          <w:lang w:val="en-GB" w:eastAsia="en-US"/>
        </w:rPr>
      </w:pPr>
      <w:r>
        <w:rPr>
          <w:rFonts w:eastAsia="Calibri" w:cs="Calibri"/>
          <w:color w:val="000000"/>
          <w:szCs w:val="22"/>
          <w:lang w:val="en-GB" w:eastAsia="en-US"/>
        </w:rPr>
        <w:t>Ulcinjska solana</w:t>
      </w:r>
      <w:r w:rsidRPr="00AA1558">
        <w:rPr>
          <w:rFonts w:eastAsia="Calibri" w:cs="Calibri"/>
          <w:color w:val="000000"/>
          <w:szCs w:val="22"/>
          <w:lang w:val="en-GB" w:eastAsia="en-US"/>
        </w:rPr>
        <w:t xml:space="preserve"> je najznačajnije </w:t>
      </w:r>
      <w:r w:rsidR="00A7512E">
        <w:rPr>
          <w:rFonts w:eastAsia="Calibri" w:cs="Calibri"/>
          <w:color w:val="000000"/>
          <w:szCs w:val="22"/>
          <w:lang w:val="en-GB" w:eastAsia="en-US"/>
        </w:rPr>
        <w:t>gnijezdilište</w:t>
      </w:r>
      <w:r w:rsidRPr="00AA1558">
        <w:rPr>
          <w:rFonts w:eastAsia="Calibri" w:cs="Calibri"/>
          <w:color w:val="000000"/>
          <w:szCs w:val="22"/>
          <w:lang w:val="en-GB" w:eastAsia="en-US"/>
        </w:rPr>
        <w:t xml:space="preserve">, hranilište i zimovalište, kao i stanica tokom seobe ptica. </w:t>
      </w:r>
      <w:r w:rsidR="00DC062D" w:rsidRPr="006B594E">
        <w:rPr>
          <w:rFonts w:cs="Arial"/>
          <w:lang w:val="sr-Latn-ME"/>
        </w:rPr>
        <w:t>Kako je 15km</w:t>
      </w:r>
      <w:r w:rsidR="00DC062D" w:rsidRPr="006B594E">
        <w:rPr>
          <w:rFonts w:cs="Arial"/>
          <w:vertAlign w:val="superscript"/>
          <w:lang w:val="sr-Latn-ME"/>
        </w:rPr>
        <w:t xml:space="preserve">2  </w:t>
      </w:r>
      <w:r w:rsidR="00DC062D" w:rsidRPr="006B594E">
        <w:rPr>
          <w:rFonts w:cs="Arial"/>
          <w:lang w:val="sr-Latn-ME"/>
        </w:rPr>
        <w:t xml:space="preserve">ove solane vještački ekosistem </w:t>
      </w:r>
      <w:r w:rsidR="00DC062D" w:rsidRPr="00DE3BED">
        <w:rPr>
          <w:rFonts w:cs="Arial"/>
          <w:lang w:val="sr-Latn-ME"/>
        </w:rPr>
        <w:t xml:space="preserve">gdje je </w:t>
      </w:r>
      <w:r w:rsidR="00DC062D" w:rsidRPr="006B594E">
        <w:rPr>
          <w:rFonts w:cs="Arial"/>
          <w:lang w:val="sr-Latn-ME"/>
        </w:rPr>
        <w:t xml:space="preserve">salinitet i nivo vode u bazenima dirigovan od strane čovjeka, uspješnost gniježđenja ovih vrsta tijesno je vezan </w:t>
      </w:r>
      <w:r w:rsidR="00DC062D">
        <w:rPr>
          <w:rFonts w:cs="Arial"/>
          <w:lang w:val="sr-Latn-ME"/>
        </w:rPr>
        <w:t xml:space="preserve">za upravljanje vodama na solani. </w:t>
      </w:r>
      <w:r w:rsidRPr="00AA1558">
        <w:rPr>
          <w:rFonts w:eastAsia="Calibri" w:cs="Calibri"/>
          <w:color w:val="000000"/>
          <w:szCs w:val="22"/>
          <w:lang w:val="en-GB" w:eastAsia="en-US"/>
        </w:rPr>
        <w:t>Zbog značaja ovog područja za ptice, ono je proglašeno parkom prirode 2019. godine, kao i Ramsarskim područje</w:t>
      </w:r>
      <w:r>
        <w:rPr>
          <w:rFonts w:eastAsia="Calibri" w:cs="Calibri"/>
          <w:color w:val="000000"/>
          <w:szCs w:val="22"/>
          <w:lang w:val="en-GB" w:eastAsia="en-US"/>
        </w:rPr>
        <w:t>m</w:t>
      </w:r>
      <w:r w:rsidRPr="00AA1558">
        <w:rPr>
          <w:rFonts w:eastAsia="Calibri" w:cs="Calibri"/>
          <w:color w:val="000000"/>
          <w:szCs w:val="22"/>
          <w:lang w:val="en-GB" w:eastAsia="en-US"/>
        </w:rPr>
        <w:t>.</w:t>
      </w:r>
    </w:p>
    <w:p w14:paraId="74834322" w14:textId="29EDB59A" w:rsidR="00AA1558" w:rsidRDefault="00AA1558" w:rsidP="00936BE4">
      <w:pPr>
        <w:autoSpaceDE w:val="0"/>
        <w:autoSpaceDN w:val="0"/>
        <w:adjustRightInd w:val="0"/>
        <w:spacing w:before="0" w:after="160"/>
        <w:rPr>
          <w:rFonts w:eastAsia="Calibri" w:cs="Calibri"/>
          <w:color w:val="000000"/>
          <w:szCs w:val="22"/>
          <w:lang w:val="en-GB" w:eastAsia="en-US"/>
        </w:rPr>
      </w:pPr>
      <w:r w:rsidRPr="006B594E">
        <w:rPr>
          <w:rFonts w:cs="Arial"/>
          <w:lang w:val="sr-Latn-ME"/>
        </w:rPr>
        <w:t>Pojedine</w:t>
      </w:r>
      <w:r w:rsidRPr="00AA1558">
        <w:rPr>
          <w:rFonts w:eastAsia="Calibri" w:cs="Calibri"/>
          <w:color w:val="000000"/>
          <w:szCs w:val="22"/>
          <w:lang w:val="en-GB" w:eastAsia="en-US"/>
        </w:rPr>
        <w:t xml:space="preserve"> gn</w:t>
      </w:r>
      <w:r>
        <w:rPr>
          <w:rFonts w:eastAsia="Calibri" w:cs="Calibri"/>
          <w:color w:val="000000"/>
          <w:szCs w:val="22"/>
          <w:lang w:val="en-GB" w:eastAsia="en-US"/>
        </w:rPr>
        <w:t xml:space="preserve">jezdarice poput </w:t>
      </w:r>
      <w:r w:rsidRPr="001C6CCA">
        <w:rPr>
          <w:rFonts w:eastAsia="Calibri" w:cs="Calibri"/>
          <w:i/>
          <w:iCs/>
          <w:color w:val="000000"/>
          <w:szCs w:val="22"/>
          <w:lang w:val="en-GB" w:eastAsia="en-US"/>
        </w:rPr>
        <w:t xml:space="preserve">Charadirus alexandrinus, Phoenicopterus roseus </w:t>
      </w:r>
      <w:r>
        <w:rPr>
          <w:rFonts w:eastAsia="Calibri" w:cs="Calibri"/>
          <w:color w:val="000000"/>
          <w:szCs w:val="22"/>
          <w:lang w:val="en-GB" w:eastAsia="en-US"/>
        </w:rPr>
        <w:t>i</w:t>
      </w:r>
      <w:r w:rsidRPr="001C6CCA">
        <w:rPr>
          <w:rFonts w:eastAsia="Calibri" w:cs="Calibri"/>
          <w:color w:val="000000"/>
          <w:szCs w:val="22"/>
          <w:lang w:val="en-GB" w:eastAsia="en-US"/>
        </w:rPr>
        <w:t xml:space="preserve"> </w:t>
      </w:r>
      <w:r w:rsidRPr="001C6CCA">
        <w:rPr>
          <w:rFonts w:eastAsia="Calibri" w:cs="Calibri"/>
          <w:i/>
          <w:iCs/>
          <w:color w:val="000000"/>
          <w:szCs w:val="22"/>
          <w:lang w:val="en-GB" w:eastAsia="en-US"/>
        </w:rPr>
        <w:t xml:space="preserve">Sterna albifrons </w:t>
      </w:r>
      <w:r w:rsidRPr="00AA1558">
        <w:rPr>
          <w:rFonts w:eastAsia="Calibri" w:cs="Calibri"/>
          <w:color w:val="000000"/>
          <w:szCs w:val="22"/>
          <w:lang w:val="en-GB" w:eastAsia="en-US"/>
        </w:rPr>
        <w:t>redovno se gn</w:t>
      </w:r>
      <w:r w:rsidR="00C971EB">
        <w:rPr>
          <w:rFonts w:eastAsia="Calibri" w:cs="Calibri"/>
          <w:color w:val="000000"/>
          <w:szCs w:val="22"/>
          <w:lang w:val="en-GB" w:eastAsia="en-US"/>
        </w:rPr>
        <w:t>ijezde</w:t>
      </w:r>
      <w:r w:rsidRPr="00AA1558">
        <w:rPr>
          <w:rFonts w:eastAsia="Calibri" w:cs="Calibri"/>
          <w:color w:val="000000"/>
          <w:szCs w:val="22"/>
          <w:lang w:val="en-GB" w:eastAsia="en-US"/>
        </w:rPr>
        <w:t xml:space="preserve"> </w:t>
      </w:r>
      <w:r w:rsidR="00C971EB">
        <w:rPr>
          <w:rFonts w:eastAsia="Calibri" w:cs="Calibri"/>
          <w:color w:val="000000"/>
          <w:szCs w:val="22"/>
          <w:lang w:val="en-GB" w:eastAsia="en-US"/>
        </w:rPr>
        <w:t>na području Ulcinjske solane</w:t>
      </w:r>
      <w:r w:rsidRPr="00AA1558">
        <w:rPr>
          <w:rFonts w:eastAsia="Calibri" w:cs="Calibri"/>
          <w:color w:val="000000"/>
          <w:szCs w:val="22"/>
          <w:lang w:val="en-GB" w:eastAsia="en-US"/>
        </w:rPr>
        <w:t xml:space="preserve">, dok </w:t>
      </w:r>
      <w:r w:rsidR="00DE3BED">
        <w:rPr>
          <w:rFonts w:eastAsia="Calibri" w:cs="Calibri"/>
          <w:color w:val="000000"/>
          <w:szCs w:val="22"/>
          <w:lang w:val="en-GB" w:eastAsia="en-US"/>
        </w:rPr>
        <w:t xml:space="preserve">se </w:t>
      </w:r>
      <w:r w:rsidR="00C971EB">
        <w:rPr>
          <w:rFonts w:eastAsia="Calibri" w:cs="Calibri"/>
          <w:color w:val="000000"/>
          <w:szCs w:val="22"/>
          <w:lang w:val="en-GB" w:eastAsia="en-US"/>
        </w:rPr>
        <w:t xml:space="preserve">vrsta </w:t>
      </w:r>
      <w:r w:rsidR="00C971EB" w:rsidRPr="001C6CCA">
        <w:rPr>
          <w:rFonts w:eastAsia="Calibri" w:cs="Calibri"/>
          <w:i/>
          <w:iCs/>
          <w:color w:val="000000"/>
          <w:szCs w:val="22"/>
          <w:lang w:val="en-GB" w:eastAsia="en-US"/>
        </w:rPr>
        <w:t xml:space="preserve">Larus genei </w:t>
      </w:r>
      <w:r w:rsidR="00DE3BED" w:rsidRPr="00DE3BED">
        <w:rPr>
          <w:rFonts w:eastAsia="Calibri" w:cs="Calibri"/>
          <w:iCs/>
          <w:color w:val="000000"/>
          <w:szCs w:val="22"/>
          <w:lang w:val="en-GB" w:eastAsia="en-US"/>
        </w:rPr>
        <w:t>gnjezdi</w:t>
      </w:r>
      <w:r w:rsidR="00DE3BED">
        <w:rPr>
          <w:rFonts w:eastAsia="Calibri" w:cs="Calibri"/>
          <w:i/>
          <w:iCs/>
          <w:color w:val="000000"/>
          <w:szCs w:val="22"/>
          <w:lang w:val="en-GB" w:eastAsia="en-US"/>
        </w:rPr>
        <w:t xml:space="preserve"> </w:t>
      </w:r>
      <w:r w:rsidRPr="00AA1558">
        <w:rPr>
          <w:rFonts w:eastAsia="Calibri" w:cs="Calibri"/>
          <w:color w:val="000000"/>
          <w:szCs w:val="22"/>
          <w:lang w:val="en-GB" w:eastAsia="en-US"/>
        </w:rPr>
        <w:t>samo povremeno</w:t>
      </w:r>
      <w:r w:rsidR="00C971EB">
        <w:rPr>
          <w:rFonts w:eastAsia="Calibri" w:cs="Calibri"/>
          <w:color w:val="000000"/>
          <w:szCs w:val="22"/>
          <w:lang w:val="en-GB" w:eastAsia="en-US"/>
        </w:rPr>
        <w:t>.</w:t>
      </w:r>
      <w:r w:rsidRPr="00AA1558">
        <w:rPr>
          <w:rFonts w:eastAsia="Calibri" w:cs="Calibri"/>
          <w:color w:val="000000"/>
          <w:szCs w:val="22"/>
          <w:lang w:val="en-GB" w:eastAsia="en-US"/>
        </w:rPr>
        <w:t xml:space="preserve"> </w:t>
      </w:r>
      <w:r w:rsidR="00C971EB" w:rsidRPr="006B594E">
        <w:rPr>
          <w:rFonts w:cs="Arial"/>
          <w:lang w:val="sr-Latn-ME"/>
        </w:rPr>
        <w:t>Gniježđenje nekih</w:t>
      </w:r>
      <w:r w:rsidR="00C971EB">
        <w:rPr>
          <w:rFonts w:cs="Arial"/>
          <w:lang w:val="sr-Latn-ME"/>
        </w:rPr>
        <w:t xml:space="preserve"> vrsta </w:t>
      </w:r>
      <w:r w:rsidR="00C971EB" w:rsidRPr="006B594E">
        <w:rPr>
          <w:rFonts w:cs="Arial"/>
          <w:lang w:val="sr-Latn-ME"/>
        </w:rPr>
        <w:t xml:space="preserve">na Ulcinjskoj solani godinama nije </w:t>
      </w:r>
      <w:r w:rsidR="00C971EB">
        <w:rPr>
          <w:rFonts w:cs="Arial"/>
          <w:lang w:val="sr-Latn-ME"/>
        </w:rPr>
        <w:t xml:space="preserve">bilo </w:t>
      </w:r>
      <w:r w:rsidR="00C971EB" w:rsidRPr="006B594E">
        <w:rPr>
          <w:rFonts w:cs="Arial"/>
          <w:lang w:val="sr-Latn-ME"/>
        </w:rPr>
        <w:t>uspješno zbog lošeg upravljanja vodama</w:t>
      </w:r>
      <w:r w:rsidRPr="00AA1558">
        <w:rPr>
          <w:rFonts w:eastAsia="Calibri" w:cs="Calibri"/>
          <w:color w:val="000000"/>
          <w:szCs w:val="22"/>
          <w:lang w:val="en-GB" w:eastAsia="en-US"/>
        </w:rPr>
        <w:t xml:space="preserve">, npr. za </w:t>
      </w:r>
      <w:r w:rsidRPr="00DE3BED">
        <w:rPr>
          <w:rFonts w:eastAsia="Calibri" w:cs="Calibri"/>
          <w:i/>
          <w:color w:val="000000"/>
          <w:szCs w:val="22"/>
          <w:lang w:val="en-GB" w:eastAsia="en-US"/>
        </w:rPr>
        <w:t>Phoenicopterus roseus</w:t>
      </w:r>
      <w:r w:rsidRPr="00AA1558">
        <w:rPr>
          <w:rFonts w:eastAsia="Calibri" w:cs="Calibri"/>
          <w:color w:val="000000"/>
          <w:szCs w:val="22"/>
          <w:lang w:val="en-GB" w:eastAsia="en-US"/>
        </w:rPr>
        <w:t xml:space="preserve">, </w:t>
      </w:r>
      <w:r w:rsidR="00DE3BED">
        <w:rPr>
          <w:rFonts w:eastAsia="Calibri" w:cs="Calibri"/>
          <w:color w:val="000000"/>
          <w:szCs w:val="22"/>
          <w:lang w:val="en-GB" w:eastAsia="en-US"/>
        </w:rPr>
        <w:t>d</w:t>
      </w:r>
      <w:r w:rsidR="00C971EB" w:rsidRPr="006B594E">
        <w:rPr>
          <w:rFonts w:cs="Arial"/>
          <w:lang w:val="sr-Latn-ME"/>
        </w:rPr>
        <w:t xml:space="preserve">ok je kod nekih vrsta ono stabilno, kakva je </w:t>
      </w:r>
      <w:r w:rsidR="00C971EB" w:rsidRPr="008575A8">
        <w:rPr>
          <w:rFonts w:cs="Arial"/>
          <w:i/>
          <w:lang w:val="sr-Latn-ME"/>
        </w:rPr>
        <w:t>S.</w:t>
      </w:r>
      <w:r w:rsidR="00AF405E">
        <w:rPr>
          <w:rFonts w:cs="Arial"/>
          <w:i/>
          <w:lang w:val="sr-Latn-ME"/>
        </w:rPr>
        <w:t xml:space="preserve"> </w:t>
      </w:r>
      <w:r w:rsidR="00C971EB" w:rsidRPr="008575A8">
        <w:rPr>
          <w:rFonts w:cs="Arial"/>
          <w:i/>
          <w:lang w:val="sr-Latn-ME"/>
        </w:rPr>
        <w:t>albifrons</w:t>
      </w:r>
      <w:r w:rsidR="00C971EB" w:rsidRPr="006B594E">
        <w:rPr>
          <w:rFonts w:cs="Arial"/>
          <w:lang w:val="sr-Latn-ME"/>
        </w:rPr>
        <w:t>.</w:t>
      </w:r>
      <w:r w:rsidRPr="00AA1558">
        <w:rPr>
          <w:rFonts w:eastAsia="Calibri" w:cs="Calibri"/>
          <w:color w:val="000000"/>
          <w:szCs w:val="22"/>
          <w:lang w:val="en-GB" w:eastAsia="en-US"/>
        </w:rPr>
        <w:t xml:space="preserve"> </w:t>
      </w:r>
      <w:r w:rsidR="00C971EB">
        <w:rPr>
          <w:rFonts w:cs="Arial"/>
          <w:lang w:val="sr-Latn-ME"/>
        </w:rPr>
        <w:t>Ulcinjska Solana</w:t>
      </w:r>
      <w:r w:rsidR="00C971EB" w:rsidRPr="006B594E">
        <w:rPr>
          <w:rFonts w:cs="Arial"/>
          <w:lang w:val="sr-Latn-ME"/>
        </w:rPr>
        <w:t xml:space="preserve"> je glavno hranilište za </w:t>
      </w:r>
      <w:r w:rsidR="00C971EB" w:rsidRPr="008575A8">
        <w:rPr>
          <w:rFonts w:cs="Arial"/>
          <w:i/>
          <w:lang w:val="sr-Latn-ME"/>
        </w:rPr>
        <w:t>Mycrocarbo</w:t>
      </w:r>
      <w:r w:rsidR="00C971EB" w:rsidRPr="00C971EB">
        <w:rPr>
          <w:rFonts w:cs="Arial"/>
          <w:i/>
          <w:lang w:val="sr-Latn-ME"/>
        </w:rPr>
        <w:t xml:space="preserve"> </w:t>
      </w:r>
      <w:r w:rsidR="00C971EB" w:rsidRPr="008575A8">
        <w:rPr>
          <w:rFonts w:cs="Arial"/>
          <w:i/>
          <w:lang w:val="sr-Latn-ME"/>
        </w:rPr>
        <w:t>pygmaeus</w:t>
      </w:r>
      <w:r w:rsidR="00C971EB" w:rsidRPr="006B594E">
        <w:rPr>
          <w:rFonts w:cs="Arial"/>
          <w:lang w:val="sr-Latn-ME"/>
        </w:rPr>
        <w:t>, čije se kolonije nalaze uz rijeku Bojanu (do 250 parova) a ostatak na Skadarskom jezeru (više od 3000 parova).</w:t>
      </w:r>
      <w:r w:rsidR="00C971EB">
        <w:rPr>
          <w:rFonts w:eastAsia="Calibri" w:cs="Calibri"/>
          <w:color w:val="000000"/>
          <w:szCs w:val="22"/>
          <w:lang w:val="en-GB" w:eastAsia="en-US"/>
        </w:rPr>
        <w:t xml:space="preserve"> </w:t>
      </w:r>
      <w:r w:rsidRPr="00AA1558">
        <w:rPr>
          <w:rFonts w:eastAsia="Calibri" w:cs="Calibri"/>
          <w:color w:val="000000"/>
          <w:szCs w:val="22"/>
          <w:lang w:val="en-GB" w:eastAsia="en-US"/>
        </w:rPr>
        <w:t>Neke vrste ptica se javljaju u vrlo malom broju i povremeno u Tivat</w:t>
      </w:r>
      <w:r w:rsidR="00C971EB">
        <w:rPr>
          <w:rFonts w:eastAsia="Calibri" w:cs="Calibri"/>
          <w:color w:val="000000"/>
          <w:szCs w:val="22"/>
          <w:lang w:val="en-GB" w:eastAsia="en-US"/>
        </w:rPr>
        <w:t>skim solilima</w:t>
      </w:r>
      <w:r w:rsidRPr="00AA1558">
        <w:rPr>
          <w:rFonts w:eastAsia="Calibri" w:cs="Calibri"/>
          <w:color w:val="000000"/>
          <w:szCs w:val="22"/>
          <w:lang w:val="en-GB" w:eastAsia="en-US"/>
        </w:rPr>
        <w:t xml:space="preserve">, ali se tamo ne </w:t>
      </w:r>
      <w:r w:rsidR="00C971EB">
        <w:rPr>
          <w:rFonts w:eastAsia="Calibri" w:cs="Calibri"/>
          <w:color w:val="000000"/>
          <w:szCs w:val="22"/>
          <w:lang w:val="en-GB" w:eastAsia="en-US"/>
        </w:rPr>
        <w:t>gnijezde</w:t>
      </w:r>
      <w:r w:rsidRPr="00AA1558">
        <w:rPr>
          <w:rFonts w:eastAsia="Calibri" w:cs="Calibri"/>
          <w:color w:val="000000"/>
          <w:szCs w:val="22"/>
          <w:lang w:val="en-GB" w:eastAsia="en-US"/>
        </w:rPr>
        <w:t>.</w:t>
      </w:r>
    </w:p>
    <w:p w14:paraId="7AE218C2" w14:textId="45C07667" w:rsidR="00C971EB" w:rsidRPr="00C971EB" w:rsidRDefault="00C971EB" w:rsidP="00C971EB">
      <w:pPr>
        <w:autoSpaceDE w:val="0"/>
        <w:autoSpaceDN w:val="0"/>
        <w:adjustRightInd w:val="0"/>
        <w:spacing w:before="0" w:after="160"/>
        <w:rPr>
          <w:rFonts w:eastAsia="Calibri" w:cs="Calibri"/>
          <w:color w:val="000000"/>
          <w:szCs w:val="22"/>
          <w:lang w:val="en-GB" w:eastAsia="en-US"/>
        </w:rPr>
      </w:pPr>
      <w:r w:rsidRPr="00C971EB">
        <w:rPr>
          <w:rFonts w:eastAsia="Calibri" w:cs="Calibri"/>
          <w:color w:val="000000"/>
          <w:szCs w:val="22"/>
          <w:lang w:val="en-GB" w:eastAsia="en-US"/>
        </w:rPr>
        <w:t xml:space="preserve">Morske ptice su </w:t>
      </w:r>
      <w:r w:rsidRPr="00994A14">
        <w:rPr>
          <w:rFonts w:eastAsia="Calibri" w:cs="Calibri"/>
          <w:color w:val="000000"/>
          <w:szCs w:val="22"/>
          <w:lang w:val="en-GB" w:eastAsia="en-US"/>
        </w:rPr>
        <w:t xml:space="preserve">najčešće </w:t>
      </w:r>
      <w:r w:rsidR="00BB7371" w:rsidRPr="00994A14">
        <w:rPr>
          <w:rFonts w:eastAsia="Calibri" w:cs="Calibri"/>
          <w:color w:val="000000"/>
          <w:szCs w:val="22"/>
          <w:lang w:val="en-GB" w:eastAsia="en-US"/>
        </w:rPr>
        <w:t xml:space="preserve">opažane </w:t>
      </w:r>
      <w:r w:rsidR="00DE3BED">
        <w:rPr>
          <w:rFonts w:eastAsia="Calibri" w:cs="Calibri"/>
          <w:color w:val="000000"/>
          <w:szCs w:val="22"/>
          <w:lang w:val="en-GB" w:eastAsia="en-US"/>
        </w:rPr>
        <w:t>na</w:t>
      </w:r>
      <w:r w:rsidRPr="00994A14">
        <w:rPr>
          <w:rFonts w:eastAsia="Calibri" w:cs="Calibri"/>
          <w:color w:val="000000"/>
          <w:szCs w:val="22"/>
          <w:lang w:val="en-GB" w:eastAsia="en-US"/>
        </w:rPr>
        <w:t xml:space="preserve"> moru</w:t>
      </w:r>
      <w:r w:rsidRPr="00C971EB">
        <w:rPr>
          <w:rFonts w:eastAsia="Calibri" w:cs="Calibri"/>
          <w:color w:val="000000"/>
          <w:szCs w:val="22"/>
          <w:lang w:val="en-GB" w:eastAsia="en-US"/>
        </w:rPr>
        <w:t xml:space="preserve"> ispred Ade Bojane ili Velike plaže, što je d</w:t>
      </w:r>
      <w:r w:rsidR="00BB7371">
        <w:rPr>
          <w:rFonts w:eastAsia="Calibri" w:cs="Calibri"/>
          <w:color w:val="000000"/>
          <w:szCs w:val="22"/>
          <w:lang w:val="en-GB" w:eastAsia="en-US"/>
        </w:rPr>
        <w:t>jelomično</w:t>
      </w:r>
      <w:r w:rsidRPr="00C971EB">
        <w:rPr>
          <w:rFonts w:eastAsia="Calibri" w:cs="Calibri"/>
          <w:color w:val="000000"/>
          <w:szCs w:val="22"/>
          <w:lang w:val="en-GB" w:eastAsia="en-US"/>
        </w:rPr>
        <w:t xml:space="preserve"> povezano i sa činjenicom da je </w:t>
      </w:r>
      <w:r w:rsidR="00BB7371">
        <w:rPr>
          <w:rFonts w:eastAsia="Calibri" w:cs="Calibri"/>
          <w:color w:val="000000"/>
          <w:szCs w:val="22"/>
          <w:lang w:val="en-GB" w:eastAsia="en-US"/>
        </w:rPr>
        <w:t xml:space="preserve">delta rijeke </w:t>
      </w:r>
      <w:r w:rsidRPr="00C971EB">
        <w:rPr>
          <w:rFonts w:eastAsia="Calibri" w:cs="Calibri"/>
          <w:color w:val="000000"/>
          <w:szCs w:val="22"/>
          <w:lang w:val="en-GB" w:eastAsia="en-US"/>
        </w:rPr>
        <w:t>Bojane u fokusu pažnje domaćih i stranih ornitologa više od 20 godina. Ušće Bojane u Jadransko</w:t>
      </w:r>
      <w:r w:rsidR="00DE3BED">
        <w:rPr>
          <w:rFonts w:eastAsia="Calibri" w:cs="Calibri"/>
          <w:color w:val="000000"/>
          <w:szCs w:val="22"/>
          <w:lang w:val="en-GB" w:eastAsia="en-US"/>
        </w:rPr>
        <w:t>m</w:t>
      </w:r>
      <w:r w:rsidRPr="00C971EB">
        <w:rPr>
          <w:rFonts w:eastAsia="Calibri" w:cs="Calibri"/>
          <w:color w:val="000000"/>
          <w:szCs w:val="22"/>
          <w:lang w:val="en-GB" w:eastAsia="en-US"/>
        </w:rPr>
        <w:t xml:space="preserve"> mor</w:t>
      </w:r>
      <w:r w:rsidR="00DE3BED">
        <w:rPr>
          <w:rFonts w:eastAsia="Calibri" w:cs="Calibri"/>
          <w:color w:val="000000"/>
          <w:szCs w:val="22"/>
          <w:lang w:val="en-GB" w:eastAsia="en-US"/>
        </w:rPr>
        <w:t>u</w:t>
      </w:r>
      <w:r w:rsidRPr="00C971EB">
        <w:rPr>
          <w:rFonts w:eastAsia="Calibri" w:cs="Calibri"/>
          <w:color w:val="000000"/>
          <w:szCs w:val="22"/>
          <w:lang w:val="en-GB" w:eastAsia="en-US"/>
        </w:rPr>
        <w:t xml:space="preserve"> </w:t>
      </w:r>
      <w:r w:rsidR="00BB7371">
        <w:rPr>
          <w:rFonts w:eastAsia="Calibri" w:cs="Calibri"/>
          <w:color w:val="000000"/>
          <w:szCs w:val="22"/>
          <w:lang w:val="en-GB" w:eastAsia="en-US"/>
        </w:rPr>
        <w:t xml:space="preserve">je područje koje je predloženo kao </w:t>
      </w:r>
      <w:r w:rsidRPr="00C971EB">
        <w:rPr>
          <w:rFonts w:eastAsia="Calibri" w:cs="Calibri"/>
          <w:color w:val="000000"/>
          <w:szCs w:val="22"/>
          <w:lang w:val="en-GB" w:eastAsia="en-US"/>
        </w:rPr>
        <w:t xml:space="preserve">područje od međunarodnog značaja za ptice (Saveljić i sar., 2006, Saveljić i sar., 2007), a nakon prvog popisa </w:t>
      </w:r>
      <w:r w:rsidR="00BB7371">
        <w:rPr>
          <w:rFonts w:eastAsia="Calibri" w:cs="Calibri"/>
          <w:color w:val="000000"/>
          <w:szCs w:val="22"/>
          <w:lang w:val="en-GB" w:eastAsia="en-US"/>
        </w:rPr>
        <w:t xml:space="preserve">u vezi sa procesom </w:t>
      </w:r>
      <w:r w:rsidRPr="00C971EB">
        <w:rPr>
          <w:rFonts w:eastAsia="Calibri" w:cs="Calibri"/>
          <w:color w:val="000000"/>
          <w:szCs w:val="22"/>
          <w:lang w:val="en-GB" w:eastAsia="en-US"/>
        </w:rPr>
        <w:t xml:space="preserve">uspostavljanja Natura 2000, </w:t>
      </w:r>
      <w:r w:rsidR="00BB7371">
        <w:rPr>
          <w:rFonts w:eastAsia="Calibri" w:cs="Calibri"/>
          <w:color w:val="000000"/>
          <w:szCs w:val="22"/>
          <w:lang w:val="en-GB" w:eastAsia="en-US"/>
        </w:rPr>
        <w:t xml:space="preserve"> kao i  područje </w:t>
      </w:r>
      <w:r w:rsidRPr="00C971EB">
        <w:rPr>
          <w:rFonts w:eastAsia="Calibri" w:cs="Calibri"/>
          <w:color w:val="000000"/>
          <w:szCs w:val="22"/>
          <w:lang w:val="en-GB" w:eastAsia="en-US"/>
        </w:rPr>
        <w:t>SPA - Posebno zaštićeno područje (Rubinić i sar., 2019).</w:t>
      </w:r>
    </w:p>
    <w:p w14:paraId="0672514F" w14:textId="7EF09E4D" w:rsidR="00C971EB" w:rsidRDefault="00C971EB" w:rsidP="00C971EB">
      <w:pPr>
        <w:autoSpaceDE w:val="0"/>
        <w:autoSpaceDN w:val="0"/>
        <w:adjustRightInd w:val="0"/>
        <w:spacing w:before="0" w:after="160"/>
        <w:rPr>
          <w:rFonts w:eastAsia="Calibri" w:cs="Calibri"/>
          <w:color w:val="000000"/>
          <w:szCs w:val="22"/>
          <w:lang w:val="en-GB" w:eastAsia="en-US"/>
        </w:rPr>
      </w:pPr>
      <w:r w:rsidRPr="00C971EB">
        <w:rPr>
          <w:rFonts w:eastAsia="Calibri" w:cs="Calibri"/>
          <w:color w:val="000000"/>
          <w:szCs w:val="22"/>
          <w:lang w:val="en-GB" w:eastAsia="en-US"/>
        </w:rPr>
        <w:t>Globalni IUCN status većine vrsta navedenih u Tabeli 3.3 je LC (</w:t>
      </w:r>
      <w:r w:rsidR="00BB7371">
        <w:rPr>
          <w:rFonts w:eastAsia="Calibri" w:cs="Calibri"/>
          <w:color w:val="000000"/>
          <w:szCs w:val="22"/>
          <w:lang w:val="en-GB" w:eastAsia="en-US"/>
        </w:rPr>
        <w:t>mala</w:t>
      </w:r>
      <w:r w:rsidRPr="00C971EB">
        <w:rPr>
          <w:rFonts w:eastAsia="Calibri" w:cs="Calibri"/>
          <w:color w:val="000000"/>
          <w:szCs w:val="22"/>
          <w:lang w:val="en-GB" w:eastAsia="en-US"/>
        </w:rPr>
        <w:t xml:space="preserve"> zabrinutost), izuzev </w:t>
      </w:r>
      <w:r w:rsidRPr="00BB7371">
        <w:rPr>
          <w:rFonts w:eastAsia="Calibri" w:cs="Calibri"/>
          <w:i/>
          <w:color w:val="000000"/>
          <w:szCs w:val="22"/>
          <w:lang w:val="en-GB" w:eastAsia="en-US"/>
        </w:rPr>
        <w:t>Pelecanus crispus</w:t>
      </w:r>
      <w:r w:rsidRPr="00C971EB">
        <w:rPr>
          <w:rFonts w:eastAsia="Calibri" w:cs="Calibri"/>
          <w:color w:val="000000"/>
          <w:szCs w:val="22"/>
          <w:lang w:val="en-GB" w:eastAsia="en-US"/>
        </w:rPr>
        <w:t xml:space="preserve"> NT (</w:t>
      </w:r>
      <w:r w:rsidR="00BB7371">
        <w:rPr>
          <w:rFonts w:eastAsia="Calibri" w:cs="Calibri"/>
          <w:color w:val="000000"/>
          <w:szCs w:val="22"/>
          <w:lang w:val="en-GB" w:eastAsia="en-US"/>
        </w:rPr>
        <w:t>potencijalno</w:t>
      </w:r>
      <w:r w:rsidRPr="00C971EB">
        <w:rPr>
          <w:rFonts w:eastAsia="Calibri" w:cs="Calibri"/>
          <w:color w:val="000000"/>
          <w:szCs w:val="22"/>
          <w:lang w:val="en-GB" w:eastAsia="en-US"/>
        </w:rPr>
        <w:t xml:space="preserve"> ugrožen</w:t>
      </w:r>
      <w:r w:rsidR="00BB7371">
        <w:rPr>
          <w:rFonts w:eastAsia="Calibri" w:cs="Calibri"/>
          <w:color w:val="000000"/>
          <w:szCs w:val="22"/>
          <w:lang w:val="en-GB" w:eastAsia="en-US"/>
        </w:rPr>
        <w:t>a</w:t>
      </w:r>
      <w:r w:rsidRPr="00C971EB">
        <w:rPr>
          <w:rFonts w:eastAsia="Calibri" w:cs="Calibri"/>
          <w:color w:val="000000"/>
          <w:szCs w:val="22"/>
          <w:lang w:val="en-GB" w:eastAsia="en-US"/>
        </w:rPr>
        <w:t>) i P</w:t>
      </w:r>
      <w:r w:rsidR="00BB7371" w:rsidRPr="00BB7371">
        <w:rPr>
          <w:rFonts w:eastAsia="Calibri" w:cs="Calibri"/>
          <w:i/>
          <w:iCs/>
          <w:color w:val="000000"/>
          <w:szCs w:val="22"/>
          <w:lang w:val="en-GB" w:eastAsia="en-US"/>
        </w:rPr>
        <w:t xml:space="preserve"> </w:t>
      </w:r>
      <w:r w:rsidR="00BB7371" w:rsidRPr="001C6CCA">
        <w:rPr>
          <w:rFonts w:eastAsia="Calibri" w:cs="Calibri"/>
          <w:i/>
          <w:iCs/>
          <w:color w:val="000000"/>
          <w:szCs w:val="22"/>
          <w:lang w:val="en-GB" w:eastAsia="en-US"/>
        </w:rPr>
        <w:t xml:space="preserve">Puffinus yelkouan </w:t>
      </w:r>
      <w:r w:rsidRPr="00C971EB">
        <w:rPr>
          <w:rFonts w:eastAsia="Calibri" w:cs="Calibri"/>
          <w:color w:val="000000"/>
          <w:szCs w:val="22"/>
          <w:lang w:val="en-GB" w:eastAsia="en-US"/>
        </w:rPr>
        <w:t>VU (</w:t>
      </w:r>
      <w:r w:rsidR="00BB7371">
        <w:rPr>
          <w:rFonts w:eastAsia="Calibri" w:cs="Calibri"/>
          <w:color w:val="000000"/>
          <w:szCs w:val="22"/>
          <w:lang w:val="en-GB" w:eastAsia="en-US"/>
        </w:rPr>
        <w:t>osjetljiva</w:t>
      </w:r>
      <w:r w:rsidRPr="00C971EB">
        <w:rPr>
          <w:rFonts w:eastAsia="Calibri" w:cs="Calibri"/>
          <w:color w:val="000000"/>
          <w:szCs w:val="22"/>
          <w:lang w:val="en-GB" w:eastAsia="en-US"/>
        </w:rPr>
        <w:t xml:space="preserve">). Vrste </w:t>
      </w:r>
      <w:r w:rsidR="00BB7371" w:rsidRPr="001C6CCA">
        <w:rPr>
          <w:rFonts w:eastAsia="Calibri" w:cs="Calibri"/>
          <w:i/>
          <w:iCs/>
          <w:color w:val="000000"/>
          <w:szCs w:val="22"/>
          <w:lang w:val="en-GB" w:eastAsia="en-US"/>
        </w:rPr>
        <w:t>Numenius tenuirostris</w:t>
      </w:r>
      <w:r w:rsidR="00BB7371" w:rsidRPr="00C971EB">
        <w:rPr>
          <w:rFonts w:eastAsia="Calibri" w:cs="Calibri"/>
          <w:color w:val="000000"/>
          <w:szCs w:val="22"/>
          <w:lang w:val="en-GB" w:eastAsia="en-US"/>
        </w:rPr>
        <w:t xml:space="preserve"> </w:t>
      </w:r>
      <w:r w:rsidRPr="00C971EB">
        <w:rPr>
          <w:rFonts w:eastAsia="Calibri" w:cs="Calibri"/>
          <w:color w:val="000000"/>
          <w:szCs w:val="22"/>
          <w:lang w:val="en-GB" w:eastAsia="en-US"/>
        </w:rPr>
        <w:t xml:space="preserve">CT (kritično ugrožene) i </w:t>
      </w:r>
      <w:r w:rsidR="00BB7371" w:rsidRPr="001C6CCA">
        <w:rPr>
          <w:rFonts w:eastAsia="Calibri" w:cs="Calibri"/>
          <w:i/>
          <w:iCs/>
          <w:color w:val="000000"/>
          <w:szCs w:val="22"/>
          <w:lang w:val="en-GB" w:eastAsia="en-US"/>
        </w:rPr>
        <w:t>Ceryle rudis</w:t>
      </w:r>
      <w:r w:rsidRPr="00C971EB">
        <w:rPr>
          <w:rFonts w:eastAsia="Calibri" w:cs="Calibri"/>
          <w:color w:val="000000"/>
          <w:szCs w:val="22"/>
          <w:lang w:val="en-GB" w:eastAsia="en-US"/>
        </w:rPr>
        <w:t xml:space="preserve">, koje u Evropi imaju status EN (ugrožene), registrovane su samo jednom </w:t>
      </w:r>
      <w:r w:rsidR="00BB7371">
        <w:rPr>
          <w:rFonts w:eastAsia="Calibri" w:cs="Calibri"/>
          <w:color w:val="000000"/>
          <w:szCs w:val="22"/>
          <w:lang w:val="en-GB" w:eastAsia="en-US"/>
        </w:rPr>
        <w:t>na području Ulcinjske solane</w:t>
      </w:r>
      <w:r w:rsidR="00AF405E">
        <w:rPr>
          <w:rFonts w:eastAsia="Calibri" w:cs="Calibri"/>
          <w:color w:val="000000"/>
          <w:szCs w:val="22"/>
          <w:lang w:val="en-GB" w:eastAsia="en-US"/>
        </w:rPr>
        <w:t>.</w:t>
      </w:r>
    </w:p>
    <w:p w14:paraId="01B42E55" w14:textId="03647CCA" w:rsidR="00884CA3" w:rsidRPr="001C6CCA" w:rsidRDefault="00BB7371" w:rsidP="00936BE4">
      <w:pPr>
        <w:autoSpaceDE w:val="0"/>
        <w:autoSpaceDN w:val="0"/>
        <w:adjustRightInd w:val="0"/>
        <w:spacing w:before="0" w:after="160"/>
        <w:rPr>
          <w:rFonts w:eastAsia="Calibri" w:cs="Calibri"/>
          <w:color w:val="000000"/>
          <w:szCs w:val="22"/>
          <w:lang w:val="en-GB" w:eastAsia="en-US"/>
        </w:rPr>
      </w:pPr>
      <w:r>
        <w:rPr>
          <w:rFonts w:eastAsia="Calibri" w:cs="Calibri"/>
          <w:color w:val="000000"/>
          <w:szCs w:val="22"/>
          <w:lang w:val="en-GB" w:eastAsia="en-US"/>
        </w:rPr>
        <w:t>Postojeći podaci</w:t>
      </w:r>
      <w:r w:rsidRPr="00BB7371">
        <w:rPr>
          <w:rFonts w:eastAsia="Calibri" w:cs="Calibri"/>
          <w:color w:val="000000"/>
          <w:szCs w:val="22"/>
          <w:lang w:val="en-GB" w:eastAsia="en-US"/>
        </w:rPr>
        <w:t xml:space="preserve"> omogućili su proc</w:t>
      </w:r>
      <w:r>
        <w:rPr>
          <w:rFonts w:eastAsia="Calibri" w:cs="Calibri"/>
          <w:color w:val="000000"/>
          <w:szCs w:val="22"/>
          <w:lang w:val="en-GB" w:eastAsia="en-US"/>
        </w:rPr>
        <w:t>j</w:t>
      </w:r>
      <w:r w:rsidRPr="00BB7371">
        <w:rPr>
          <w:rFonts w:eastAsia="Calibri" w:cs="Calibri"/>
          <w:color w:val="000000"/>
          <w:szCs w:val="22"/>
          <w:lang w:val="en-GB" w:eastAsia="en-US"/>
        </w:rPr>
        <w:t xml:space="preserve">enu GES samo za </w:t>
      </w:r>
      <w:r w:rsidR="00E24300">
        <w:rPr>
          <w:rFonts w:eastAsia="Calibri" w:cs="Calibri"/>
          <w:color w:val="000000"/>
          <w:szCs w:val="22"/>
          <w:lang w:val="en-GB" w:eastAsia="en-US"/>
        </w:rPr>
        <w:t>gnjezdarice</w:t>
      </w:r>
      <w:r w:rsidRPr="00BB7371">
        <w:rPr>
          <w:rFonts w:eastAsia="Calibri" w:cs="Calibri"/>
          <w:color w:val="000000"/>
          <w:szCs w:val="22"/>
          <w:lang w:val="en-GB" w:eastAsia="en-US"/>
        </w:rPr>
        <w:t xml:space="preserve">, mada nema podataka o slučajnoj smrtnosti odraslih ptica izazvanoj </w:t>
      </w:r>
      <w:r w:rsidR="00E24300">
        <w:rPr>
          <w:rFonts w:eastAsia="Calibri" w:cs="Calibri"/>
          <w:color w:val="000000"/>
          <w:szCs w:val="22"/>
          <w:lang w:val="en-GB" w:eastAsia="en-US"/>
        </w:rPr>
        <w:t>ljudskim faktorom</w:t>
      </w:r>
      <w:r w:rsidRPr="00BB7371">
        <w:rPr>
          <w:rFonts w:eastAsia="Calibri" w:cs="Calibri"/>
          <w:color w:val="000000"/>
          <w:szCs w:val="22"/>
          <w:lang w:val="en-GB" w:eastAsia="en-US"/>
        </w:rPr>
        <w:t xml:space="preserve">. Za većinu ovih vrsta, za sada je postignut GES, ali već postoje određeni negativni efekti na populacije ptica </w:t>
      </w:r>
      <w:r w:rsidR="00E24300">
        <w:rPr>
          <w:rFonts w:eastAsia="Calibri" w:cs="Calibri"/>
          <w:color w:val="000000"/>
          <w:szCs w:val="22"/>
          <w:lang w:val="en-GB" w:eastAsia="en-US"/>
        </w:rPr>
        <w:t>na području Ulcinjske solane</w:t>
      </w:r>
      <w:r w:rsidRPr="00BB7371">
        <w:rPr>
          <w:rFonts w:eastAsia="Calibri" w:cs="Calibri"/>
          <w:color w:val="000000"/>
          <w:szCs w:val="22"/>
          <w:lang w:val="en-GB" w:eastAsia="en-US"/>
        </w:rPr>
        <w:t xml:space="preserve">, posebno </w:t>
      </w:r>
      <w:r w:rsidR="00E24300">
        <w:rPr>
          <w:rFonts w:eastAsia="Calibri" w:cs="Calibri"/>
          <w:color w:val="000000"/>
          <w:szCs w:val="22"/>
          <w:lang w:val="en-GB" w:eastAsia="en-US"/>
        </w:rPr>
        <w:t xml:space="preserve">kad je riječ o vrsti </w:t>
      </w:r>
      <w:r w:rsidR="00E24300" w:rsidRPr="001C6CCA">
        <w:rPr>
          <w:rFonts w:eastAsia="Calibri" w:cs="Calibri"/>
          <w:i/>
          <w:iCs/>
          <w:color w:val="000000"/>
          <w:szCs w:val="22"/>
          <w:lang w:val="en-GB" w:eastAsia="en-US"/>
        </w:rPr>
        <w:t xml:space="preserve">Phoenicopterus </w:t>
      </w:r>
      <w:r w:rsidR="00E24300" w:rsidRPr="001C6CCA">
        <w:rPr>
          <w:rFonts w:eastAsia="Calibri" w:cs="Calibri"/>
          <w:color w:val="000000"/>
          <w:szCs w:val="22"/>
          <w:lang w:val="en-GB" w:eastAsia="en-US"/>
        </w:rPr>
        <w:t>roseus</w:t>
      </w:r>
      <w:r w:rsidRPr="00BB7371">
        <w:rPr>
          <w:rFonts w:eastAsia="Calibri" w:cs="Calibri"/>
          <w:color w:val="000000"/>
          <w:szCs w:val="22"/>
          <w:lang w:val="en-GB" w:eastAsia="en-US"/>
        </w:rPr>
        <w:t xml:space="preserve">, </w:t>
      </w:r>
      <w:r w:rsidR="00E24300">
        <w:rPr>
          <w:rFonts w:eastAsia="Calibri" w:cs="Calibri"/>
          <w:color w:val="000000"/>
          <w:szCs w:val="22"/>
          <w:lang w:val="en-GB" w:eastAsia="en-US"/>
        </w:rPr>
        <w:t>kod koje je razmnožavanje neuspješno već godinama</w:t>
      </w:r>
      <w:r w:rsidRPr="00BB7371">
        <w:rPr>
          <w:rFonts w:eastAsia="Calibri" w:cs="Calibri"/>
          <w:color w:val="000000"/>
          <w:szCs w:val="22"/>
          <w:lang w:val="en-GB" w:eastAsia="en-US"/>
        </w:rPr>
        <w:t xml:space="preserve"> (Tabela 3.4). Buduć</w:t>
      </w:r>
      <w:r w:rsidR="001B1622">
        <w:rPr>
          <w:rFonts w:eastAsia="Calibri" w:cs="Calibri"/>
          <w:color w:val="000000"/>
          <w:szCs w:val="22"/>
          <w:lang w:val="en-GB" w:eastAsia="en-US"/>
        </w:rPr>
        <w:t>e</w:t>
      </w:r>
      <w:r w:rsidRPr="00BB7371">
        <w:rPr>
          <w:rFonts w:eastAsia="Calibri" w:cs="Calibri"/>
          <w:color w:val="000000"/>
          <w:szCs w:val="22"/>
          <w:lang w:val="en-GB" w:eastAsia="en-US"/>
        </w:rPr>
        <w:t xml:space="preserve"> </w:t>
      </w:r>
      <w:r w:rsidR="001B1622">
        <w:rPr>
          <w:rFonts w:eastAsia="Calibri" w:cs="Calibri"/>
          <w:color w:val="000000"/>
          <w:szCs w:val="22"/>
          <w:lang w:val="en-GB" w:eastAsia="en-US"/>
        </w:rPr>
        <w:t xml:space="preserve">stanje </w:t>
      </w:r>
      <w:r w:rsidRPr="00BB7371">
        <w:rPr>
          <w:rFonts w:eastAsia="Calibri" w:cs="Calibri"/>
          <w:color w:val="000000"/>
          <w:szCs w:val="22"/>
          <w:lang w:val="en-GB" w:eastAsia="en-US"/>
        </w:rPr>
        <w:t>mogl</w:t>
      </w:r>
      <w:r w:rsidR="001B1622">
        <w:rPr>
          <w:rFonts w:eastAsia="Calibri" w:cs="Calibri"/>
          <w:color w:val="000000"/>
          <w:szCs w:val="22"/>
          <w:lang w:val="en-GB" w:eastAsia="en-US"/>
        </w:rPr>
        <w:t>o</w:t>
      </w:r>
      <w:r w:rsidRPr="00BB7371">
        <w:rPr>
          <w:rFonts w:eastAsia="Calibri" w:cs="Calibri"/>
          <w:color w:val="000000"/>
          <w:szCs w:val="22"/>
          <w:lang w:val="en-GB" w:eastAsia="en-US"/>
        </w:rPr>
        <w:t xml:space="preserve"> bi biti gor</w:t>
      </w:r>
      <w:r w:rsidR="001B1622">
        <w:rPr>
          <w:rFonts w:eastAsia="Calibri" w:cs="Calibri"/>
          <w:color w:val="000000"/>
          <w:szCs w:val="22"/>
          <w:lang w:val="en-GB" w:eastAsia="en-US"/>
        </w:rPr>
        <w:t>e</w:t>
      </w:r>
      <w:r w:rsidRPr="00BB7371">
        <w:rPr>
          <w:rFonts w:eastAsia="Calibri" w:cs="Calibri"/>
          <w:color w:val="000000"/>
          <w:szCs w:val="22"/>
          <w:lang w:val="en-GB" w:eastAsia="en-US"/>
        </w:rPr>
        <w:t xml:space="preserve"> </w:t>
      </w:r>
      <w:r w:rsidR="00E24300">
        <w:rPr>
          <w:rFonts w:eastAsia="Calibri" w:cs="Calibri"/>
          <w:color w:val="000000"/>
          <w:szCs w:val="22"/>
          <w:lang w:val="en-GB" w:eastAsia="en-US"/>
        </w:rPr>
        <w:t>ukoliko se</w:t>
      </w:r>
      <w:r w:rsidRPr="00BB7371">
        <w:rPr>
          <w:rFonts w:eastAsia="Calibri" w:cs="Calibri"/>
          <w:color w:val="000000"/>
          <w:szCs w:val="22"/>
          <w:lang w:val="en-GB" w:eastAsia="en-US"/>
        </w:rPr>
        <w:t xml:space="preserve"> ne preduzmu m</w:t>
      </w:r>
      <w:r w:rsidR="00E24300">
        <w:rPr>
          <w:rFonts w:eastAsia="Calibri" w:cs="Calibri"/>
          <w:color w:val="000000"/>
          <w:szCs w:val="22"/>
          <w:lang w:val="en-GB" w:eastAsia="en-US"/>
        </w:rPr>
        <w:t>j</w:t>
      </w:r>
      <w:r w:rsidRPr="00BB7371">
        <w:rPr>
          <w:rFonts w:eastAsia="Calibri" w:cs="Calibri"/>
          <w:color w:val="000000"/>
          <w:szCs w:val="22"/>
          <w:lang w:val="en-GB" w:eastAsia="en-US"/>
        </w:rPr>
        <w:t xml:space="preserve">ere za pravilno upravljanje </w:t>
      </w:r>
      <w:r w:rsidR="00E24300">
        <w:rPr>
          <w:rFonts w:eastAsia="Calibri" w:cs="Calibri"/>
          <w:color w:val="000000"/>
          <w:szCs w:val="22"/>
          <w:lang w:val="en-GB" w:eastAsia="en-US"/>
        </w:rPr>
        <w:t>područjem Ulcinjske solane</w:t>
      </w:r>
      <w:r w:rsidRPr="00BB7371">
        <w:rPr>
          <w:rFonts w:eastAsia="Calibri" w:cs="Calibri"/>
          <w:color w:val="000000"/>
          <w:szCs w:val="22"/>
          <w:lang w:val="en-GB" w:eastAsia="en-US"/>
        </w:rPr>
        <w:t xml:space="preserve">. Naime, ovaj objekat je prestao sa radom 2013. godine, a nedostatak upravljanja uzrokuje </w:t>
      </w:r>
      <w:r w:rsidR="00E24300">
        <w:rPr>
          <w:rFonts w:eastAsia="Calibri" w:cs="Calibri"/>
          <w:color w:val="000000"/>
          <w:szCs w:val="22"/>
          <w:lang w:val="en-GB" w:eastAsia="en-US"/>
        </w:rPr>
        <w:t>plavljenje gnjezda, jaja i ptića</w:t>
      </w:r>
      <w:r w:rsidRPr="00BB7371">
        <w:rPr>
          <w:rFonts w:eastAsia="Calibri" w:cs="Calibri"/>
          <w:color w:val="000000"/>
          <w:szCs w:val="22"/>
          <w:lang w:val="en-GB" w:eastAsia="en-US"/>
        </w:rPr>
        <w:t>, što rezultira slabim usp</w:t>
      </w:r>
      <w:r w:rsidR="00E24300">
        <w:rPr>
          <w:rFonts w:eastAsia="Calibri" w:cs="Calibri"/>
          <w:color w:val="000000"/>
          <w:szCs w:val="22"/>
          <w:lang w:val="en-GB" w:eastAsia="en-US"/>
        </w:rPr>
        <w:t>jehom u gnježđenju</w:t>
      </w:r>
      <w:r w:rsidRPr="00BB7371">
        <w:rPr>
          <w:rFonts w:eastAsia="Calibri" w:cs="Calibri"/>
          <w:color w:val="000000"/>
          <w:szCs w:val="22"/>
          <w:lang w:val="en-GB" w:eastAsia="en-US"/>
        </w:rPr>
        <w:t>. GES se nije mogao u potpunosti proc</w:t>
      </w:r>
      <w:r w:rsidR="00E24300">
        <w:rPr>
          <w:rFonts w:eastAsia="Calibri" w:cs="Calibri"/>
          <w:color w:val="000000"/>
          <w:szCs w:val="22"/>
          <w:lang w:val="en-GB" w:eastAsia="en-US"/>
        </w:rPr>
        <w:t>ij</w:t>
      </w:r>
      <w:r w:rsidRPr="00BB7371">
        <w:rPr>
          <w:rFonts w:eastAsia="Calibri" w:cs="Calibri"/>
          <w:color w:val="000000"/>
          <w:szCs w:val="22"/>
          <w:lang w:val="en-GB" w:eastAsia="en-US"/>
        </w:rPr>
        <w:t>eniti za prave morske ptice, kao</w:t>
      </w:r>
      <w:r w:rsidR="00E24300">
        <w:rPr>
          <w:rFonts w:eastAsia="Calibri" w:cs="Calibri"/>
          <w:color w:val="000000"/>
          <w:szCs w:val="22"/>
          <w:lang w:val="en-GB" w:eastAsia="en-US"/>
        </w:rPr>
        <w:t xml:space="preserve"> vrste ptica na otvorenom moru</w:t>
      </w:r>
      <w:r w:rsidRPr="00BB7371">
        <w:rPr>
          <w:rFonts w:eastAsia="Calibri" w:cs="Calibri"/>
          <w:color w:val="000000"/>
          <w:szCs w:val="22"/>
          <w:lang w:val="en-GB" w:eastAsia="en-US"/>
        </w:rPr>
        <w:t>, zbog nedostatka podataka.</w:t>
      </w:r>
    </w:p>
    <w:p w14:paraId="20CB9200" w14:textId="766E3AE5" w:rsidR="00E24300" w:rsidRPr="00E24300" w:rsidRDefault="00E24300" w:rsidP="00E24300">
      <w:pPr>
        <w:pStyle w:val="Heading4"/>
        <w:rPr>
          <w:rFonts w:eastAsia="Calibri"/>
          <w:lang w:val="en-GB" w:eastAsia="en-US"/>
        </w:rPr>
      </w:pPr>
      <w:r w:rsidRPr="00E24300">
        <w:rPr>
          <w:rFonts w:eastAsia="Calibri"/>
          <w:lang w:val="en-GB" w:eastAsia="en-US"/>
        </w:rPr>
        <w:t>Pristup procjeni GES-a</w:t>
      </w:r>
    </w:p>
    <w:p w14:paraId="4CD6417F" w14:textId="2135BACC" w:rsidR="00E24300" w:rsidRDefault="00E24300" w:rsidP="00E24300">
      <w:pPr>
        <w:pStyle w:val="Heading4"/>
        <w:numPr>
          <w:ilvl w:val="0"/>
          <w:numId w:val="0"/>
        </w:numPr>
        <w:rPr>
          <w:rFonts w:eastAsia="Calibri"/>
          <w:b w:val="0"/>
          <w:u w:val="none"/>
          <w:lang w:val="en-GB" w:eastAsia="en-US"/>
        </w:rPr>
      </w:pPr>
      <w:r w:rsidRPr="00E24300">
        <w:rPr>
          <w:rFonts w:eastAsia="Calibri"/>
          <w:b w:val="0"/>
          <w:u w:val="none"/>
          <w:lang w:val="en-GB" w:eastAsia="en-US"/>
        </w:rPr>
        <w:t>Što se tiče geografske skale proc</w:t>
      </w:r>
      <w:r>
        <w:rPr>
          <w:rFonts w:eastAsia="Calibri"/>
          <w:b w:val="0"/>
          <w:u w:val="none"/>
          <w:lang w:val="en-GB" w:eastAsia="en-US"/>
        </w:rPr>
        <w:t>j</w:t>
      </w:r>
      <w:r w:rsidRPr="00E24300">
        <w:rPr>
          <w:rFonts w:eastAsia="Calibri"/>
          <w:b w:val="0"/>
          <w:u w:val="none"/>
          <w:lang w:val="en-GB" w:eastAsia="en-US"/>
        </w:rPr>
        <w:t>ene, proc</w:t>
      </w:r>
      <w:r>
        <w:rPr>
          <w:rFonts w:eastAsia="Calibri"/>
          <w:b w:val="0"/>
          <w:u w:val="none"/>
          <w:lang w:val="en-GB" w:eastAsia="en-US"/>
        </w:rPr>
        <w:t xml:space="preserve">jena na nacionalnom nivou sprovedena je </w:t>
      </w:r>
      <w:r w:rsidRPr="00E24300">
        <w:rPr>
          <w:rFonts w:eastAsia="Calibri"/>
          <w:b w:val="0"/>
          <w:u w:val="none"/>
          <w:lang w:val="en-GB" w:eastAsia="en-US"/>
        </w:rPr>
        <w:t>za većinu parametara prema kriterijumima definisanim Odlukom Komisije 2017/848/EU (tabela 3.4). Međutim, posebno za migratorne vrste, razmatran je jadranski (</w:t>
      </w:r>
      <w:r>
        <w:rPr>
          <w:rFonts w:eastAsia="Calibri"/>
          <w:b w:val="0"/>
          <w:u w:val="none"/>
          <w:lang w:val="en-GB" w:eastAsia="en-US"/>
        </w:rPr>
        <w:t>podregion</w:t>
      </w:r>
      <w:r w:rsidRPr="00E24300">
        <w:rPr>
          <w:rFonts w:eastAsia="Calibri"/>
          <w:b w:val="0"/>
          <w:u w:val="none"/>
          <w:lang w:val="en-GB" w:eastAsia="en-US"/>
        </w:rPr>
        <w:t xml:space="preserve">) nivo, iako je glavno ograničenje bio nedostatak identifikovanih </w:t>
      </w:r>
      <w:r>
        <w:rPr>
          <w:rFonts w:eastAsia="Calibri"/>
          <w:b w:val="0"/>
          <w:u w:val="none"/>
          <w:lang w:val="en-GB" w:eastAsia="en-US"/>
        </w:rPr>
        <w:t>graničnih vrijednosti na nivou podregiona.</w:t>
      </w:r>
    </w:p>
    <w:p w14:paraId="7165401B" w14:textId="728AFCFD" w:rsidR="00161843" w:rsidRPr="001C6CCA" w:rsidRDefault="00161843" w:rsidP="00E32A42">
      <w:pPr>
        <w:spacing w:before="0" w:line="240" w:lineRule="auto"/>
        <w:rPr>
          <w:rFonts w:eastAsia="Calibri" w:cs="Calibri"/>
          <w:b/>
          <w:szCs w:val="22"/>
          <w:lang w:val="en-GB" w:eastAsia="en-US"/>
        </w:rPr>
      </w:pPr>
      <w:bookmarkStart w:id="323" w:name="_Toc83643200"/>
      <w:r w:rsidRPr="001C6CCA">
        <w:rPr>
          <w:rFonts w:eastAsia="Calibri" w:cs="Calibri"/>
          <w:b/>
          <w:bCs/>
          <w:szCs w:val="22"/>
          <w:lang w:val="en-GB" w:eastAsia="hr-HR"/>
        </w:rPr>
        <w:t>Tab</w:t>
      </w:r>
      <w:r w:rsidR="00E24300">
        <w:rPr>
          <w:rFonts w:eastAsia="Calibri" w:cs="Calibri"/>
          <w:b/>
          <w:bCs/>
          <w:szCs w:val="22"/>
          <w:lang w:val="en-GB" w:eastAsia="hr-HR"/>
        </w:rPr>
        <w:t>ela</w:t>
      </w:r>
      <w:r w:rsidRPr="001C6CCA">
        <w:rPr>
          <w:rFonts w:eastAsia="Calibri" w:cs="Calibri"/>
          <w:b/>
          <w:bCs/>
          <w:szCs w:val="22"/>
          <w:lang w:val="en-GB" w:eastAsia="hr-HR"/>
        </w:rPr>
        <w:t xml:space="preserve"> </w:t>
      </w:r>
      <w:r w:rsidR="004D6D17" w:rsidRPr="00D932B6">
        <w:rPr>
          <w:b/>
          <w:szCs w:val="22"/>
        </w:rPr>
        <w:fldChar w:fldCharType="begin"/>
      </w:r>
      <w:r w:rsidR="004D6D17" w:rsidRPr="00D932B6">
        <w:rPr>
          <w:b/>
          <w:szCs w:val="22"/>
        </w:rPr>
        <w:instrText xml:space="preserve"> STYLEREF 1 \s </w:instrText>
      </w:r>
      <w:r w:rsidR="004D6D17" w:rsidRPr="00D932B6">
        <w:rPr>
          <w:b/>
          <w:szCs w:val="22"/>
        </w:rPr>
        <w:fldChar w:fldCharType="separate"/>
      </w:r>
      <w:r w:rsidR="000D1E20">
        <w:rPr>
          <w:b/>
          <w:noProof/>
          <w:szCs w:val="22"/>
        </w:rPr>
        <w:t>3</w:t>
      </w:r>
      <w:r w:rsidR="004D6D17" w:rsidRPr="00D932B6">
        <w:rPr>
          <w:b/>
          <w:szCs w:val="22"/>
        </w:rPr>
        <w:fldChar w:fldCharType="end"/>
      </w:r>
      <w:r w:rsidR="004D6D17" w:rsidRPr="00D932B6">
        <w:rPr>
          <w:b/>
          <w:szCs w:val="22"/>
        </w:rPr>
        <w:t>.</w:t>
      </w:r>
      <w:r w:rsidR="004D6D17" w:rsidRPr="00D932B6">
        <w:rPr>
          <w:b/>
          <w:szCs w:val="22"/>
        </w:rPr>
        <w:fldChar w:fldCharType="begin"/>
      </w:r>
      <w:r w:rsidR="004D6D17" w:rsidRPr="00D932B6">
        <w:rPr>
          <w:b/>
          <w:szCs w:val="22"/>
        </w:rPr>
        <w:instrText xml:space="preserve"> SEQ Table \* ARABIC \s 1 </w:instrText>
      </w:r>
      <w:r w:rsidR="004D6D17" w:rsidRPr="00D932B6">
        <w:rPr>
          <w:b/>
          <w:szCs w:val="22"/>
        </w:rPr>
        <w:fldChar w:fldCharType="separate"/>
      </w:r>
      <w:r w:rsidR="000D1E20">
        <w:rPr>
          <w:b/>
          <w:noProof/>
          <w:szCs w:val="22"/>
        </w:rPr>
        <w:t>4</w:t>
      </w:r>
      <w:r w:rsidR="004D6D17" w:rsidRPr="00D932B6">
        <w:rPr>
          <w:b/>
          <w:szCs w:val="22"/>
        </w:rPr>
        <w:fldChar w:fldCharType="end"/>
      </w:r>
      <w:r w:rsidR="004D6D17">
        <w:rPr>
          <w:b/>
          <w:szCs w:val="22"/>
        </w:rPr>
        <w:t>.</w:t>
      </w:r>
      <w:r w:rsidR="004D6D17" w:rsidRPr="001C6CCA">
        <w:rPr>
          <w:rFonts w:eastAsia="Calibri" w:cs="Calibri"/>
          <w:b/>
          <w:szCs w:val="22"/>
          <w:lang w:val="en-GB" w:eastAsia="en-US"/>
        </w:rPr>
        <w:t xml:space="preserve"> </w:t>
      </w:r>
      <w:r w:rsidR="00CE1E84" w:rsidRPr="0046315C">
        <w:rPr>
          <w:rFonts w:eastAsia="Calibri"/>
          <w:b/>
          <w:szCs w:val="22"/>
          <w:lang w:eastAsia="en-US"/>
        </w:rPr>
        <w:t xml:space="preserve">Pregled kriterijuma za procjenu </w:t>
      </w:r>
      <w:r w:rsidR="00CE1E84">
        <w:rPr>
          <w:rFonts w:eastAsia="Calibri"/>
          <w:b/>
          <w:szCs w:val="22"/>
          <w:lang w:eastAsia="en-US"/>
        </w:rPr>
        <w:t>GES-a</w:t>
      </w:r>
      <w:r w:rsidR="00CE1E84" w:rsidRPr="0046315C">
        <w:rPr>
          <w:rFonts w:eastAsia="Calibri"/>
          <w:b/>
          <w:szCs w:val="22"/>
          <w:lang w:eastAsia="en-US"/>
        </w:rPr>
        <w:t xml:space="preserve"> za </w:t>
      </w:r>
      <w:r w:rsidR="00CE1E84">
        <w:rPr>
          <w:rFonts w:eastAsia="Calibri" w:cs="Calibri"/>
          <w:b/>
          <w:szCs w:val="22"/>
          <w:lang w:val="en-GB" w:eastAsia="en-US"/>
        </w:rPr>
        <w:t xml:space="preserve">morske ptice, </w:t>
      </w:r>
      <w:r w:rsidR="00CE1E84" w:rsidRPr="005A60C8">
        <w:rPr>
          <w:rFonts w:eastAsia="Calibri" w:cs="Calibri"/>
          <w:b/>
          <w:szCs w:val="22"/>
          <w:lang w:val="en-GB" w:eastAsia="en-US"/>
        </w:rPr>
        <w:t>prema Odluci Komisije</w:t>
      </w:r>
      <w:r w:rsidR="00CE1E84">
        <w:rPr>
          <w:rFonts w:eastAsia="Calibri" w:cs="Calibri"/>
          <w:b/>
          <w:szCs w:val="22"/>
          <w:lang w:val="en-GB" w:eastAsia="en-US"/>
        </w:rPr>
        <w:t xml:space="preserve"> </w:t>
      </w:r>
      <w:r w:rsidR="00CE1E84" w:rsidRPr="001C6CCA">
        <w:rPr>
          <w:rFonts w:eastAsia="Calibri" w:cs="Calibri"/>
          <w:b/>
          <w:szCs w:val="22"/>
          <w:lang w:val="en-GB" w:eastAsia="en-US"/>
        </w:rPr>
        <w:t>2017/848/EU.</w:t>
      </w:r>
      <w:bookmarkEnd w:id="323"/>
    </w:p>
    <w:tbl>
      <w:tblPr>
        <w:tblStyle w:val="GolderTable3"/>
        <w:tblW w:w="0" w:type="auto"/>
        <w:tblInd w:w="108" w:type="dxa"/>
        <w:tblLook w:val="04A0" w:firstRow="1" w:lastRow="0" w:firstColumn="1" w:lastColumn="0" w:noHBand="0" w:noVBand="1"/>
      </w:tblPr>
      <w:tblGrid>
        <w:gridCol w:w="1574"/>
        <w:gridCol w:w="6034"/>
        <w:gridCol w:w="1305"/>
      </w:tblGrid>
      <w:tr w:rsidR="00E24300" w:rsidRPr="001C6CCA" w14:paraId="263421BD" w14:textId="77777777" w:rsidTr="00740F40">
        <w:tc>
          <w:tcPr>
            <w:tcW w:w="15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5D9941C0" w14:textId="06844B29" w:rsidR="00E24300" w:rsidRPr="00740F40" w:rsidRDefault="00E24300" w:rsidP="00E24300">
            <w:pPr>
              <w:spacing w:before="0" w:after="0" w:line="240" w:lineRule="auto"/>
              <w:rPr>
                <w:b/>
                <w:color w:val="FFFFFF" w:themeColor="background1"/>
                <w:lang w:val="en-GB" w:eastAsia="en-US"/>
              </w:rPr>
            </w:pPr>
            <w:r w:rsidRPr="00740F40">
              <w:rPr>
                <w:b/>
                <w:color w:val="FFFFFF" w:themeColor="background1"/>
              </w:rPr>
              <w:t>Elementi kriterijuma</w:t>
            </w:r>
          </w:p>
        </w:tc>
        <w:tc>
          <w:tcPr>
            <w:tcW w:w="61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4821BF0B" w14:textId="1C4407CA" w:rsidR="00E24300" w:rsidRPr="00740F40" w:rsidRDefault="00E24300" w:rsidP="00E24300">
            <w:pPr>
              <w:autoSpaceDE w:val="0"/>
              <w:autoSpaceDN w:val="0"/>
              <w:adjustRightInd w:val="0"/>
              <w:spacing w:before="0" w:after="0" w:line="240" w:lineRule="auto"/>
              <w:jc w:val="left"/>
              <w:rPr>
                <w:rFonts w:cs="Calibri"/>
                <w:b/>
                <w:color w:val="FFFFFF" w:themeColor="background1"/>
                <w:lang w:val="en-GB" w:eastAsia="en-US"/>
              </w:rPr>
            </w:pPr>
            <w:r w:rsidRPr="00740F40">
              <w:rPr>
                <w:b/>
                <w:color w:val="FFFFFF" w:themeColor="background1"/>
              </w:rPr>
              <w:t>Kriterijumi</w:t>
            </w:r>
          </w:p>
        </w:tc>
        <w:tc>
          <w:tcPr>
            <w:tcW w:w="11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4312A50" w14:textId="77777777" w:rsidR="00E24300" w:rsidRPr="00740F40" w:rsidRDefault="00E24300" w:rsidP="00E24300">
            <w:pPr>
              <w:autoSpaceDE w:val="0"/>
              <w:autoSpaceDN w:val="0"/>
              <w:adjustRightInd w:val="0"/>
              <w:spacing w:before="0" w:after="0" w:line="240" w:lineRule="auto"/>
              <w:jc w:val="left"/>
              <w:rPr>
                <w:rFonts w:cs="Calibri"/>
                <w:b/>
                <w:color w:val="FFFFFF" w:themeColor="background1"/>
                <w:lang w:val="en-GB" w:eastAsia="en-US"/>
              </w:rPr>
            </w:pPr>
            <w:r w:rsidRPr="00740F40">
              <w:rPr>
                <w:rFonts w:cs="Calibri"/>
                <w:b/>
                <w:color w:val="FFFFFF" w:themeColor="background1"/>
                <w:lang w:val="en-GB" w:eastAsia="en-US"/>
              </w:rPr>
              <w:t xml:space="preserve">CG GES </w:t>
            </w:r>
            <w:r w:rsidRPr="00740F40">
              <w:rPr>
                <w:rStyle w:val="FootnoteReference"/>
                <w:b/>
                <w:color w:val="FFFFFF" w:themeColor="background1"/>
                <w:lang w:val="en-GB" w:eastAsia="en-US"/>
              </w:rPr>
              <w:footnoteReference w:id="63"/>
            </w:r>
          </w:p>
          <w:p w14:paraId="51AAF2DE" w14:textId="73CFAD46" w:rsidR="00CE1E84" w:rsidRPr="00740F40" w:rsidRDefault="00CE1E84" w:rsidP="00E24300">
            <w:pPr>
              <w:autoSpaceDE w:val="0"/>
              <w:autoSpaceDN w:val="0"/>
              <w:adjustRightInd w:val="0"/>
              <w:spacing w:before="0" w:after="0" w:line="240" w:lineRule="auto"/>
              <w:jc w:val="left"/>
              <w:rPr>
                <w:rFonts w:cs="Calibri"/>
                <w:b/>
                <w:color w:val="FFFFFF" w:themeColor="background1"/>
                <w:lang w:val="en-GB" w:eastAsia="en-US"/>
              </w:rPr>
            </w:pPr>
            <w:r w:rsidRPr="00740F40">
              <w:rPr>
                <w:rFonts w:cs="Calibri"/>
                <w:b/>
                <w:color w:val="FFFFFF" w:themeColor="background1"/>
                <w:lang w:val="en-GB" w:eastAsia="en-US"/>
              </w:rPr>
              <w:t>Pokrivenost</w:t>
            </w:r>
          </w:p>
        </w:tc>
      </w:tr>
      <w:tr w:rsidR="00CB52A6" w:rsidRPr="001C6CCA" w14:paraId="42446795" w14:textId="77777777" w:rsidTr="00740F40">
        <w:tc>
          <w:tcPr>
            <w:tcW w:w="1582" w:type="dxa"/>
            <w:vMerge w:val="restart"/>
            <w:tcBorders>
              <w:top w:val="single" w:sz="4" w:space="0" w:color="FFFFFF" w:themeColor="background1"/>
            </w:tcBorders>
          </w:tcPr>
          <w:p w14:paraId="69B8F83F" w14:textId="321B69B2" w:rsidR="00CB52A6" w:rsidRPr="001C6CCA" w:rsidRDefault="00D83AAE" w:rsidP="00790208">
            <w:pPr>
              <w:autoSpaceDE w:val="0"/>
              <w:autoSpaceDN w:val="0"/>
              <w:adjustRightInd w:val="0"/>
              <w:spacing w:before="0" w:after="0" w:line="240" w:lineRule="auto"/>
              <w:rPr>
                <w:rFonts w:cs="Calibri"/>
                <w:bCs/>
                <w:color w:val="000000"/>
                <w:sz w:val="20"/>
                <w:szCs w:val="20"/>
                <w:lang w:val="en-GB" w:eastAsia="en-US"/>
              </w:rPr>
            </w:pPr>
            <w:r>
              <w:rPr>
                <w:rFonts w:cs="Calibri"/>
                <w:bCs/>
                <w:color w:val="000000"/>
                <w:sz w:val="20"/>
                <w:szCs w:val="20"/>
                <w:lang w:val="en-GB" w:eastAsia="en-US"/>
              </w:rPr>
              <w:t>Grupe vrsta</w:t>
            </w:r>
          </w:p>
        </w:tc>
        <w:tc>
          <w:tcPr>
            <w:tcW w:w="6146" w:type="dxa"/>
            <w:tcBorders>
              <w:top w:val="single" w:sz="4" w:space="0" w:color="FFFFFF" w:themeColor="background1"/>
            </w:tcBorders>
          </w:tcPr>
          <w:p w14:paraId="78188B7C" w14:textId="4D51E7E1" w:rsidR="00CB52A6" w:rsidRPr="001C6CCA" w:rsidRDefault="00D83AAE" w:rsidP="00D83AAE">
            <w:pPr>
              <w:spacing w:after="0" w:line="240" w:lineRule="auto"/>
              <w:rPr>
                <w:sz w:val="20"/>
                <w:szCs w:val="20"/>
                <w:lang w:val="en-GB"/>
              </w:rPr>
            </w:pPr>
            <w:r w:rsidRPr="00CD75FC">
              <w:rPr>
                <w:b/>
                <w:sz w:val="20"/>
                <w:szCs w:val="20"/>
                <w:lang w:val="en-GB"/>
              </w:rPr>
              <w:t>D1C1 – Primarni</w:t>
            </w:r>
            <w:r w:rsidRPr="00D83AAE">
              <w:rPr>
                <w:sz w:val="20"/>
                <w:szCs w:val="20"/>
                <w:lang w:val="en-GB"/>
              </w:rPr>
              <w:t>:</w:t>
            </w:r>
            <w:r>
              <w:rPr>
                <w:sz w:val="20"/>
                <w:szCs w:val="20"/>
                <w:lang w:val="en-GB"/>
              </w:rPr>
              <w:t xml:space="preserve"> </w:t>
            </w:r>
            <w:r w:rsidRPr="00D83AAE">
              <w:rPr>
                <w:sz w:val="20"/>
                <w:szCs w:val="20"/>
                <w:lang w:val="en-GB"/>
              </w:rPr>
              <w:t>Stopa smrtnosti po vrsti kao rezultat slučajnog usputnog ulova</w:t>
            </w:r>
          </w:p>
        </w:tc>
        <w:tc>
          <w:tcPr>
            <w:tcW w:w="1185" w:type="dxa"/>
            <w:tcBorders>
              <w:top w:val="single" w:sz="4" w:space="0" w:color="FFFFFF" w:themeColor="background1"/>
            </w:tcBorders>
          </w:tcPr>
          <w:p w14:paraId="60AC04E3" w14:textId="36F2427C" w:rsidR="00CB52A6" w:rsidRPr="001C6CCA" w:rsidRDefault="00D83AAE" w:rsidP="00790208">
            <w:pPr>
              <w:spacing w:before="0" w:after="0" w:line="240" w:lineRule="auto"/>
              <w:rPr>
                <w:sz w:val="20"/>
                <w:szCs w:val="20"/>
                <w:lang w:val="en-GB" w:eastAsia="en-US"/>
              </w:rPr>
            </w:pPr>
            <w:r>
              <w:rPr>
                <w:sz w:val="20"/>
                <w:szCs w:val="20"/>
                <w:lang w:val="en-GB" w:eastAsia="en-US"/>
              </w:rPr>
              <w:t>Nije pokriveno</w:t>
            </w:r>
          </w:p>
        </w:tc>
      </w:tr>
      <w:tr w:rsidR="00CB52A6" w:rsidRPr="001C6CCA" w14:paraId="4AAFE274" w14:textId="77777777" w:rsidTr="00E24300">
        <w:tc>
          <w:tcPr>
            <w:tcW w:w="1582" w:type="dxa"/>
            <w:vMerge/>
          </w:tcPr>
          <w:p w14:paraId="390F6082" w14:textId="77777777" w:rsidR="00CB52A6" w:rsidRPr="001C6CCA" w:rsidRDefault="00CB52A6" w:rsidP="00790208">
            <w:pPr>
              <w:autoSpaceDE w:val="0"/>
              <w:autoSpaceDN w:val="0"/>
              <w:adjustRightInd w:val="0"/>
              <w:spacing w:before="0" w:after="0" w:line="240" w:lineRule="auto"/>
              <w:rPr>
                <w:rFonts w:cs="Calibri"/>
                <w:bCs/>
                <w:color w:val="000000"/>
                <w:sz w:val="20"/>
                <w:szCs w:val="20"/>
                <w:lang w:val="en-GB" w:eastAsia="en-US"/>
              </w:rPr>
            </w:pPr>
          </w:p>
        </w:tc>
        <w:tc>
          <w:tcPr>
            <w:tcW w:w="6146" w:type="dxa"/>
          </w:tcPr>
          <w:p w14:paraId="4C08ED7E" w14:textId="22648922" w:rsidR="00CB52A6" w:rsidRPr="00D83AAE" w:rsidRDefault="00D83AAE" w:rsidP="00D83AAE">
            <w:pPr>
              <w:spacing w:after="0" w:line="240" w:lineRule="auto"/>
              <w:rPr>
                <w:sz w:val="20"/>
                <w:szCs w:val="20"/>
                <w:lang w:val="en-GB"/>
              </w:rPr>
            </w:pPr>
            <w:r w:rsidRPr="00CD75FC">
              <w:rPr>
                <w:b/>
                <w:sz w:val="20"/>
                <w:szCs w:val="20"/>
                <w:lang w:val="en-GB"/>
              </w:rPr>
              <w:t>D1C2 – Primarni</w:t>
            </w:r>
            <w:r w:rsidRPr="00D83AAE">
              <w:rPr>
                <w:sz w:val="20"/>
                <w:szCs w:val="20"/>
                <w:lang w:val="en-GB"/>
              </w:rPr>
              <w:t>:</w:t>
            </w:r>
            <w:r w:rsidR="00C307A5">
              <w:rPr>
                <w:sz w:val="20"/>
                <w:szCs w:val="20"/>
                <w:lang w:val="en-GB"/>
              </w:rPr>
              <w:t xml:space="preserve"> </w:t>
            </w:r>
            <w:r w:rsidRPr="00D83AAE">
              <w:rPr>
                <w:sz w:val="20"/>
                <w:szCs w:val="20"/>
                <w:lang w:val="en-GB"/>
              </w:rPr>
              <w:t>Antropogena opterećenja nijesu štetno uticala na brojnost populacije vrste pa je osigurana njena dugoročna održivost.</w:t>
            </w:r>
          </w:p>
        </w:tc>
        <w:tc>
          <w:tcPr>
            <w:tcW w:w="1185" w:type="dxa"/>
          </w:tcPr>
          <w:p w14:paraId="0D8BE3D4" w14:textId="7F764DD7" w:rsidR="00CB52A6" w:rsidRPr="001C6CCA" w:rsidRDefault="00D83AAE" w:rsidP="00790208">
            <w:pPr>
              <w:spacing w:before="0" w:after="0" w:line="240" w:lineRule="auto"/>
              <w:rPr>
                <w:sz w:val="20"/>
                <w:szCs w:val="20"/>
                <w:lang w:val="en-GB" w:eastAsia="en-US"/>
              </w:rPr>
            </w:pPr>
            <w:r>
              <w:rPr>
                <w:sz w:val="20"/>
                <w:szCs w:val="20"/>
                <w:lang w:val="en-GB" w:eastAsia="en-US"/>
              </w:rPr>
              <w:t>Pokriveno</w:t>
            </w:r>
          </w:p>
        </w:tc>
      </w:tr>
      <w:tr w:rsidR="00CB52A6" w:rsidRPr="001C6CCA" w14:paraId="2D9F2C20" w14:textId="77777777" w:rsidTr="00E24300">
        <w:tc>
          <w:tcPr>
            <w:tcW w:w="1582" w:type="dxa"/>
            <w:vMerge/>
          </w:tcPr>
          <w:p w14:paraId="0EEDA3D5" w14:textId="057071F4" w:rsidR="00CB52A6" w:rsidRPr="001C6CCA" w:rsidRDefault="00CB52A6" w:rsidP="00790208">
            <w:pPr>
              <w:spacing w:before="0" w:after="0" w:line="240" w:lineRule="auto"/>
              <w:rPr>
                <w:sz w:val="20"/>
                <w:szCs w:val="20"/>
                <w:lang w:val="en-GB" w:eastAsia="en-US"/>
              </w:rPr>
            </w:pPr>
          </w:p>
        </w:tc>
        <w:tc>
          <w:tcPr>
            <w:tcW w:w="6146" w:type="dxa"/>
          </w:tcPr>
          <w:p w14:paraId="463FBAEF" w14:textId="3C6A68DA" w:rsidR="00CB52A6" w:rsidRPr="001C6CCA" w:rsidRDefault="00CB52A6" w:rsidP="00D83AAE">
            <w:pPr>
              <w:spacing w:before="0" w:after="0"/>
              <w:rPr>
                <w:sz w:val="20"/>
                <w:szCs w:val="20"/>
                <w:lang w:val="en-GB" w:eastAsia="en-US"/>
              </w:rPr>
            </w:pPr>
            <w:r w:rsidRPr="001C6CCA">
              <w:rPr>
                <w:sz w:val="20"/>
                <w:szCs w:val="20"/>
                <w:lang w:val="en-GB"/>
              </w:rPr>
              <w:t>D1C3 – S</w:t>
            </w:r>
            <w:r w:rsidR="00D83AAE">
              <w:rPr>
                <w:sz w:val="20"/>
                <w:szCs w:val="20"/>
                <w:lang w:val="en-GB"/>
              </w:rPr>
              <w:t>ekundarni:</w:t>
            </w:r>
            <w:r w:rsidRPr="001C6CCA">
              <w:rPr>
                <w:sz w:val="20"/>
                <w:szCs w:val="20"/>
                <w:lang w:val="en-GB"/>
              </w:rPr>
              <w:t xml:space="preserve"> </w:t>
            </w:r>
            <w:r w:rsidR="00D83AAE" w:rsidRPr="00D83AAE">
              <w:rPr>
                <w:sz w:val="20"/>
                <w:szCs w:val="20"/>
                <w:lang w:val="en-GB"/>
              </w:rPr>
              <w:t>demografske karakteristike populacije vrste</w:t>
            </w:r>
          </w:p>
        </w:tc>
        <w:tc>
          <w:tcPr>
            <w:tcW w:w="1185" w:type="dxa"/>
          </w:tcPr>
          <w:p w14:paraId="15F330AD" w14:textId="3305439C" w:rsidR="00CB52A6" w:rsidRPr="001C6CCA" w:rsidRDefault="00D83AAE" w:rsidP="00790208">
            <w:pPr>
              <w:autoSpaceDE w:val="0"/>
              <w:autoSpaceDN w:val="0"/>
              <w:adjustRightInd w:val="0"/>
              <w:spacing w:before="0" w:after="0" w:line="240" w:lineRule="auto"/>
              <w:rPr>
                <w:sz w:val="20"/>
                <w:szCs w:val="20"/>
                <w:lang w:val="en-GB" w:eastAsia="en-US"/>
              </w:rPr>
            </w:pPr>
            <w:r>
              <w:rPr>
                <w:sz w:val="20"/>
                <w:szCs w:val="20"/>
                <w:lang w:val="en-GB" w:eastAsia="en-US"/>
              </w:rPr>
              <w:t>Nije pokriveno</w:t>
            </w:r>
          </w:p>
        </w:tc>
      </w:tr>
      <w:tr w:rsidR="00CB52A6" w:rsidRPr="001C6CCA" w14:paraId="6A409B8E" w14:textId="77777777" w:rsidTr="00E24300">
        <w:tc>
          <w:tcPr>
            <w:tcW w:w="1582" w:type="dxa"/>
            <w:vMerge/>
          </w:tcPr>
          <w:p w14:paraId="33BE1A7B" w14:textId="77777777" w:rsidR="00CB52A6" w:rsidRPr="001C6CCA" w:rsidRDefault="00CB52A6" w:rsidP="00790208">
            <w:pPr>
              <w:autoSpaceDE w:val="0"/>
              <w:autoSpaceDN w:val="0"/>
              <w:adjustRightInd w:val="0"/>
              <w:spacing w:before="0" w:after="0" w:line="240" w:lineRule="auto"/>
              <w:rPr>
                <w:rFonts w:cs="Calibri"/>
                <w:b/>
                <w:bCs/>
                <w:color w:val="000000"/>
                <w:sz w:val="20"/>
                <w:szCs w:val="20"/>
                <w:lang w:val="en-GB" w:eastAsia="en-US"/>
              </w:rPr>
            </w:pPr>
          </w:p>
        </w:tc>
        <w:tc>
          <w:tcPr>
            <w:tcW w:w="6146" w:type="dxa"/>
          </w:tcPr>
          <w:p w14:paraId="280B8817" w14:textId="1E28E05C" w:rsidR="00CB52A6" w:rsidRPr="001C6CCA" w:rsidRDefault="00CB52A6" w:rsidP="00E32A42">
            <w:pPr>
              <w:autoSpaceDE w:val="0"/>
              <w:autoSpaceDN w:val="0"/>
              <w:adjustRightInd w:val="0"/>
              <w:spacing w:before="0" w:after="0"/>
              <w:rPr>
                <w:sz w:val="20"/>
                <w:szCs w:val="20"/>
                <w:lang w:val="en-GB"/>
              </w:rPr>
            </w:pPr>
            <w:r w:rsidRPr="001C6CCA">
              <w:rPr>
                <w:rFonts w:cs="Calibri"/>
                <w:bCs/>
                <w:color w:val="000000"/>
                <w:sz w:val="20"/>
                <w:szCs w:val="20"/>
                <w:lang w:val="en-GB" w:eastAsia="en-US"/>
              </w:rPr>
              <w:t xml:space="preserve">D1C4 – </w:t>
            </w:r>
            <w:r w:rsidR="00C307A5">
              <w:rPr>
                <w:rFonts w:cs="Calibri"/>
                <w:bCs/>
                <w:color w:val="000000"/>
                <w:sz w:val="20"/>
                <w:szCs w:val="20"/>
                <w:lang w:val="en-GB" w:eastAsia="en-US"/>
              </w:rPr>
              <w:t>Sekundarni</w:t>
            </w:r>
            <w:r w:rsidR="00D83AAE" w:rsidRPr="00D83AAE">
              <w:rPr>
                <w:rFonts w:cs="Calibri"/>
                <w:bCs/>
                <w:color w:val="000000"/>
                <w:sz w:val="20"/>
                <w:szCs w:val="20"/>
                <w:lang w:val="en-GB" w:eastAsia="en-US"/>
              </w:rPr>
              <w:t xml:space="preserve">: </w:t>
            </w:r>
            <w:r w:rsidR="00D83AAE">
              <w:rPr>
                <w:sz w:val="20"/>
                <w:szCs w:val="20"/>
                <w:lang w:val="en-GB"/>
              </w:rPr>
              <w:t>Areal vrsta</w:t>
            </w:r>
          </w:p>
          <w:p w14:paraId="0137FC23" w14:textId="33C502DC" w:rsidR="00CB52A6" w:rsidRPr="001C6CCA" w:rsidRDefault="00CB52A6" w:rsidP="00E32A42">
            <w:pPr>
              <w:autoSpaceDE w:val="0"/>
              <w:autoSpaceDN w:val="0"/>
              <w:adjustRightInd w:val="0"/>
              <w:spacing w:before="0" w:after="0"/>
              <w:rPr>
                <w:rFonts w:cs="Calibri"/>
                <w:bCs/>
                <w:color w:val="000000"/>
                <w:sz w:val="20"/>
                <w:szCs w:val="20"/>
                <w:lang w:val="en-GB" w:eastAsia="en-US"/>
              </w:rPr>
            </w:pPr>
          </w:p>
        </w:tc>
        <w:tc>
          <w:tcPr>
            <w:tcW w:w="1185" w:type="dxa"/>
          </w:tcPr>
          <w:p w14:paraId="5BD089BA" w14:textId="4D51A88D" w:rsidR="00CB52A6" w:rsidRPr="001C6CCA" w:rsidRDefault="00D83AAE" w:rsidP="00790208">
            <w:pPr>
              <w:autoSpaceDE w:val="0"/>
              <w:autoSpaceDN w:val="0"/>
              <w:adjustRightInd w:val="0"/>
              <w:spacing w:before="0" w:after="0" w:line="240" w:lineRule="auto"/>
              <w:rPr>
                <w:rFonts w:cs="Calibri"/>
                <w:color w:val="000000"/>
                <w:sz w:val="20"/>
                <w:szCs w:val="20"/>
                <w:lang w:val="en-GB" w:eastAsia="en-US"/>
              </w:rPr>
            </w:pPr>
            <w:r>
              <w:rPr>
                <w:sz w:val="20"/>
                <w:szCs w:val="20"/>
                <w:lang w:val="en-GB" w:eastAsia="en-US"/>
              </w:rPr>
              <w:t>Pokriveno</w:t>
            </w:r>
          </w:p>
        </w:tc>
      </w:tr>
      <w:tr w:rsidR="00CB52A6" w:rsidRPr="001C6CCA" w14:paraId="25C87A46" w14:textId="77777777" w:rsidTr="00E24300">
        <w:tc>
          <w:tcPr>
            <w:tcW w:w="1582" w:type="dxa"/>
            <w:vMerge/>
          </w:tcPr>
          <w:p w14:paraId="4B9C8CF9" w14:textId="4A4D5B11" w:rsidR="00CB52A6" w:rsidRPr="001C6CCA" w:rsidRDefault="00CB52A6" w:rsidP="00790208">
            <w:pPr>
              <w:spacing w:before="0" w:after="0" w:line="240" w:lineRule="auto"/>
              <w:rPr>
                <w:rFonts w:cstheme="minorHAnsi"/>
                <w:b/>
                <w:color w:val="000000"/>
                <w:sz w:val="20"/>
                <w:szCs w:val="20"/>
                <w:lang w:val="en-GB" w:eastAsia="en-US"/>
              </w:rPr>
            </w:pPr>
          </w:p>
        </w:tc>
        <w:tc>
          <w:tcPr>
            <w:tcW w:w="6146" w:type="dxa"/>
          </w:tcPr>
          <w:p w14:paraId="53C7E3CC" w14:textId="52966BB5" w:rsidR="00CB52A6" w:rsidRPr="001C6CCA" w:rsidRDefault="00D83AAE" w:rsidP="00D83AAE">
            <w:pPr>
              <w:autoSpaceDE w:val="0"/>
              <w:autoSpaceDN w:val="0"/>
              <w:adjustRightInd w:val="0"/>
              <w:spacing w:before="0" w:after="0"/>
              <w:rPr>
                <w:rFonts w:cs="Calibri"/>
                <w:b/>
                <w:bCs/>
                <w:color w:val="000000"/>
                <w:sz w:val="20"/>
                <w:szCs w:val="20"/>
                <w:lang w:val="en-GB" w:eastAsia="en-US"/>
              </w:rPr>
            </w:pPr>
            <w:r w:rsidRPr="00D83AAE">
              <w:rPr>
                <w:rFonts w:cs="Calibri"/>
                <w:bCs/>
                <w:color w:val="000000"/>
                <w:sz w:val="20"/>
                <w:szCs w:val="20"/>
                <w:lang w:val="en-GB" w:eastAsia="en-US"/>
              </w:rPr>
              <w:t xml:space="preserve">D1C5 - </w:t>
            </w:r>
            <w:r w:rsidR="00C307A5">
              <w:rPr>
                <w:rFonts w:cs="Calibri"/>
                <w:bCs/>
                <w:color w:val="000000"/>
                <w:sz w:val="20"/>
                <w:szCs w:val="20"/>
                <w:lang w:val="en-GB" w:eastAsia="en-US"/>
              </w:rPr>
              <w:t>Sekundarni</w:t>
            </w:r>
            <w:r w:rsidRPr="00D83AAE">
              <w:rPr>
                <w:rFonts w:cs="Calibri"/>
                <w:bCs/>
                <w:color w:val="000000"/>
                <w:sz w:val="20"/>
                <w:szCs w:val="20"/>
                <w:lang w:val="en-GB" w:eastAsia="en-US"/>
              </w:rPr>
              <w:t>: Stanište vrste</w:t>
            </w:r>
          </w:p>
        </w:tc>
        <w:tc>
          <w:tcPr>
            <w:tcW w:w="1185" w:type="dxa"/>
          </w:tcPr>
          <w:p w14:paraId="367AF2FC" w14:textId="466CE10A" w:rsidR="00CB52A6" w:rsidRPr="001C6CCA" w:rsidRDefault="00D83AAE" w:rsidP="00790208">
            <w:pPr>
              <w:autoSpaceDE w:val="0"/>
              <w:autoSpaceDN w:val="0"/>
              <w:adjustRightInd w:val="0"/>
              <w:spacing w:before="0" w:after="0" w:line="240" w:lineRule="auto"/>
              <w:rPr>
                <w:rFonts w:cs="Calibri"/>
                <w:color w:val="000000"/>
                <w:sz w:val="20"/>
                <w:szCs w:val="20"/>
                <w:lang w:val="en-GB" w:eastAsia="en-US"/>
              </w:rPr>
            </w:pPr>
            <w:r>
              <w:rPr>
                <w:sz w:val="20"/>
                <w:szCs w:val="20"/>
                <w:lang w:val="en-GB" w:eastAsia="en-US"/>
              </w:rPr>
              <w:t>Nije pokriveno</w:t>
            </w:r>
          </w:p>
        </w:tc>
      </w:tr>
    </w:tbl>
    <w:p w14:paraId="13CD0A90" w14:textId="156D4BE9" w:rsidR="005610D6" w:rsidRPr="00D83AAE" w:rsidRDefault="00723872" w:rsidP="004C3A51">
      <w:pPr>
        <w:spacing w:before="0" w:after="0"/>
        <w:contextualSpacing/>
        <w:rPr>
          <w:rFonts w:eastAsia="Calibri" w:cs="Calibri"/>
          <w:color w:val="272627"/>
          <w:sz w:val="20"/>
          <w:szCs w:val="20"/>
          <w:lang w:val="en-GB" w:eastAsia="hr-HR"/>
        </w:rPr>
      </w:pPr>
      <w:r w:rsidRPr="001C6CCA" w:rsidDel="00723872">
        <w:rPr>
          <w:rFonts w:eastAsia="Calibri" w:cs="Calibri"/>
          <w:sz w:val="20"/>
          <w:szCs w:val="20"/>
          <w:lang w:val="en-GB" w:eastAsia="en-US"/>
        </w:rPr>
        <w:t xml:space="preserve"> </w:t>
      </w:r>
    </w:p>
    <w:p w14:paraId="325AFFF7" w14:textId="47DB7EB1" w:rsidR="008D3F6E" w:rsidRPr="001C6CCA" w:rsidRDefault="00D83AAE" w:rsidP="007A7212">
      <w:pPr>
        <w:pStyle w:val="Heading4"/>
        <w:rPr>
          <w:rFonts w:eastAsia="Calibri"/>
          <w:lang w:val="en-GB"/>
        </w:rPr>
      </w:pPr>
      <w:r>
        <w:rPr>
          <w:rFonts w:eastAsia="Calibri"/>
          <w:lang w:val="en-GB"/>
        </w:rPr>
        <w:t>Postizanje GES-a</w:t>
      </w:r>
    </w:p>
    <w:p w14:paraId="681A7148" w14:textId="0ECD99B2" w:rsidR="008D3F6E" w:rsidRPr="001C6CCA" w:rsidRDefault="008D3F6E" w:rsidP="007A7212">
      <w:pPr>
        <w:tabs>
          <w:tab w:val="left" w:pos="7328"/>
        </w:tabs>
        <w:spacing w:before="0"/>
        <w:rPr>
          <w:rFonts w:eastAsia="Calibri" w:cs="Calibri"/>
          <w:szCs w:val="22"/>
          <w:lang w:val="en-GB" w:eastAsia="en-US"/>
        </w:rPr>
      </w:pPr>
      <w:bookmarkStart w:id="324" w:name="_Toc83643201"/>
      <w:r w:rsidRPr="001C6CCA">
        <w:rPr>
          <w:rFonts w:eastAsia="Calibri" w:cs="Calibri"/>
          <w:b/>
          <w:szCs w:val="22"/>
          <w:lang w:val="en-GB" w:eastAsia="en-US"/>
        </w:rPr>
        <w:t>Tab</w:t>
      </w:r>
      <w:r w:rsidR="00D83AAE">
        <w:rPr>
          <w:rFonts w:eastAsia="Calibri" w:cs="Calibri"/>
          <w:b/>
          <w:szCs w:val="22"/>
          <w:lang w:val="en-GB" w:eastAsia="en-US"/>
        </w:rPr>
        <w:t>ela</w:t>
      </w:r>
      <w:r w:rsidRPr="001C6CCA">
        <w:rPr>
          <w:rFonts w:eastAsia="Calibri" w:cs="Calibri"/>
          <w:b/>
          <w:szCs w:val="22"/>
          <w:lang w:val="en-GB" w:eastAsia="en-US"/>
        </w:rPr>
        <w:t xml:space="preserve"> </w:t>
      </w:r>
      <w:r w:rsidR="004D6D17" w:rsidRPr="00D932B6">
        <w:rPr>
          <w:b/>
          <w:szCs w:val="22"/>
        </w:rPr>
        <w:fldChar w:fldCharType="begin"/>
      </w:r>
      <w:r w:rsidR="004D6D17" w:rsidRPr="00D932B6">
        <w:rPr>
          <w:b/>
          <w:szCs w:val="22"/>
        </w:rPr>
        <w:instrText xml:space="preserve"> STYLEREF 1 \s </w:instrText>
      </w:r>
      <w:r w:rsidR="004D6D17" w:rsidRPr="00D932B6">
        <w:rPr>
          <w:b/>
          <w:szCs w:val="22"/>
        </w:rPr>
        <w:fldChar w:fldCharType="separate"/>
      </w:r>
      <w:r w:rsidR="000D1E20">
        <w:rPr>
          <w:b/>
          <w:noProof/>
          <w:szCs w:val="22"/>
        </w:rPr>
        <w:t>3</w:t>
      </w:r>
      <w:r w:rsidR="004D6D17" w:rsidRPr="00D932B6">
        <w:rPr>
          <w:b/>
          <w:szCs w:val="22"/>
        </w:rPr>
        <w:fldChar w:fldCharType="end"/>
      </w:r>
      <w:r w:rsidR="004D6D17" w:rsidRPr="00D932B6">
        <w:rPr>
          <w:b/>
          <w:szCs w:val="22"/>
        </w:rPr>
        <w:t>.</w:t>
      </w:r>
      <w:r w:rsidR="004D6D17" w:rsidRPr="00D932B6">
        <w:rPr>
          <w:b/>
          <w:szCs w:val="22"/>
        </w:rPr>
        <w:fldChar w:fldCharType="begin"/>
      </w:r>
      <w:r w:rsidR="004D6D17" w:rsidRPr="00D932B6">
        <w:rPr>
          <w:b/>
          <w:szCs w:val="22"/>
        </w:rPr>
        <w:instrText xml:space="preserve"> SEQ Table \* ARABIC \s 1 </w:instrText>
      </w:r>
      <w:r w:rsidR="004D6D17" w:rsidRPr="00D932B6">
        <w:rPr>
          <w:b/>
          <w:szCs w:val="22"/>
        </w:rPr>
        <w:fldChar w:fldCharType="separate"/>
      </w:r>
      <w:r w:rsidR="000D1E20">
        <w:rPr>
          <w:b/>
          <w:noProof/>
          <w:szCs w:val="22"/>
        </w:rPr>
        <w:t>5</w:t>
      </w:r>
      <w:r w:rsidR="004D6D17" w:rsidRPr="00D932B6">
        <w:rPr>
          <w:b/>
          <w:szCs w:val="22"/>
        </w:rPr>
        <w:fldChar w:fldCharType="end"/>
      </w:r>
      <w:r w:rsidR="004D6D17">
        <w:rPr>
          <w:b/>
          <w:szCs w:val="22"/>
        </w:rPr>
        <w:t>.</w:t>
      </w:r>
      <w:r w:rsidR="004D6D17" w:rsidRPr="001C6CCA">
        <w:rPr>
          <w:rFonts w:eastAsia="Calibri" w:cs="Calibri"/>
          <w:b/>
          <w:szCs w:val="22"/>
          <w:lang w:val="en-GB" w:eastAsia="en-US"/>
        </w:rPr>
        <w:t xml:space="preserve"> </w:t>
      </w:r>
      <w:r w:rsidR="00D83AAE" w:rsidRPr="00D83AAE">
        <w:rPr>
          <w:rFonts w:eastAsia="Calibri" w:cs="Calibri"/>
          <w:b/>
          <w:szCs w:val="22"/>
          <w:lang w:val="en-GB" w:eastAsia="en-US"/>
        </w:rPr>
        <w:t>Proc</w:t>
      </w:r>
      <w:r w:rsidR="00D83AAE">
        <w:rPr>
          <w:rFonts w:eastAsia="Calibri" w:cs="Calibri"/>
          <w:b/>
          <w:szCs w:val="22"/>
          <w:lang w:val="en-GB" w:eastAsia="en-US"/>
        </w:rPr>
        <w:t>j</w:t>
      </w:r>
      <w:r w:rsidR="00D83AAE" w:rsidRPr="00D83AAE">
        <w:rPr>
          <w:rFonts w:eastAsia="Calibri" w:cs="Calibri"/>
          <w:b/>
          <w:szCs w:val="22"/>
          <w:lang w:val="en-GB" w:eastAsia="en-US"/>
        </w:rPr>
        <w:t>ena GES-a za morske ptice p</w:t>
      </w:r>
      <w:r w:rsidR="00487A6A">
        <w:rPr>
          <w:rFonts w:eastAsia="Calibri" w:cs="Calibri"/>
          <w:b/>
          <w:szCs w:val="22"/>
          <w:lang w:val="en-GB" w:eastAsia="en-US"/>
        </w:rPr>
        <w:t xml:space="preserve">rema </w:t>
      </w:r>
      <w:r w:rsidR="00D83AAE" w:rsidRPr="00D83AAE">
        <w:rPr>
          <w:rFonts w:eastAsia="Calibri" w:cs="Calibri"/>
          <w:b/>
          <w:szCs w:val="22"/>
          <w:lang w:val="en-GB" w:eastAsia="en-US"/>
        </w:rPr>
        <w:t xml:space="preserve">riterijumima </w:t>
      </w:r>
      <w:r w:rsidR="00487A6A">
        <w:rPr>
          <w:rFonts w:eastAsia="Calibri" w:cs="Calibri"/>
          <w:b/>
          <w:szCs w:val="22"/>
          <w:lang w:val="en-GB" w:eastAsia="en-US"/>
        </w:rPr>
        <w:t xml:space="preserve">iz </w:t>
      </w:r>
      <w:r w:rsidR="00D83AAE" w:rsidRPr="00D83AAE">
        <w:rPr>
          <w:rFonts w:eastAsia="Calibri" w:cs="Calibri"/>
          <w:b/>
          <w:szCs w:val="22"/>
          <w:lang w:val="en-GB" w:eastAsia="en-US"/>
        </w:rPr>
        <w:t>Odlu</w:t>
      </w:r>
      <w:r w:rsidR="00487A6A">
        <w:rPr>
          <w:rFonts w:eastAsia="Calibri" w:cs="Calibri"/>
          <w:b/>
          <w:szCs w:val="22"/>
          <w:lang w:val="en-GB" w:eastAsia="en-US"/>
        </w:rPr>
        <w:t xml:space="preserve">ke </w:t>
      </w:r>
      <w:r w:rsidR="00D83AAE" w:rsidRPr="00D83AAE">
        <w:rPr>
          <w:rFonts w:eastAsia="Calibri" w:cs="Calibri"/>
          <w:b/>
          <w:szCs w:val="22"/>
          <w:lang w:val="en-GB" w:eastAsia="en-US"/>
        </w:rPr>
        <w:t xml:space="preserve">Komisije </w:t>
      </w:r>
      <w:r w:rsidRPr="001C6CCA">
        <w:rPr>
          <w:rFonts w:eastAsia="Calibri" w:cs="Calibri"/>
          <w:b/>
          <w:szCs w:val="22"/>
          <w:lang w:val="en-GB" w:eastAsia="en-US"/>
        </w:rPr>
        <w:t>2017/845/EU</w:t>
      </w:r>
      <w:bookmarkEnd w:id="324"/>
      <w:r w:rsidRPr="001C6CCA">
        <w:rPr>
          <w:rFonts w:eastAsia="Calibri" w:cs="Calibri"/>
          <w:b/>
          <w:bCs/>
          <w:szCs w:val="22"/>
          <w:lang w:val="en-GB" w:eastAsia="en-US"/>
        </w:rPr>
        <w:t xml:space="preserve"> </w:t>
      </w:r>
    </w:p>
    <w:tbl>
      <w:tblPr>
        <w:tblStyle w:val="GolderTable7"/>
        <w:tblpPr w:leftFromText="180" w:rightFromText="180" w:vertAnchor="text" w:tblpY="1"/>
        <w:tblOverlap w:val="nev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507"/>
        <w:gridCol w:w="3158"/>
        <w:gridCol w:w="3351"/>
      </w:tblGrid>
      <w:tr w:rsidR="00740F40" w:rsidRPr="001C6CCA" w14:paraId="5E9A4FDD" w14:textId="77777777" w:rsidTr="001065A4">
        <w:tc>
          <w:tcPr>
            <w:tcW w:w="9016" w:type="dxa"/>
            <w:gridSpan w:val="3"/>
            <w:shd w:val="clear" w:color="auto" w:fill="1F497D" w:themeFill="text2"/>
          </w:tcPr>
          <w:p w14:paraId="403C46F2" w14:textId="07329200" w:rsidR="00740F40" w:rsidRDefault="00740F40" w:rsidP="006F740E">
            <w:pPr>
              <w:spacing w:before="0" w:after="0" w:line="259" w:lineRule="auto"/>
              <w:jc w:val="center"/>
              <w:rPr>
                <w:b/>
                <w:color w:val="FFFFFF" w:themeColor="background1"/>
                <w:sz w:val="20"/>
                <w:szCs w:val="20"/>
                <w:lang w:val="en-GB" w:eastAsia="en-US"/>
              </w:rPr>
            </w:pPr>
            <w:r>
              <w:rPr>
                <w:b/>
                <w:color w:val="FFFFFF" w:themeColor="background1"/>
                <w:sz w:val="20"/>
                <w:szCs w:val="20"/>
                <w:lang w:val="en-GB" w:eastAsia="en-US"/>
              </w:rPr>
              <w:t>Područje procjene: naci</w:t>
            </w:r>
            <w:r w:rsidR="00E36DAD">
              <w:rPr>
                <w:b/>
                <w:color w:val="FFFFFF" w:themeColor="background1"/>
                <w:sz w:val="20"/>
                <w:szCs w:val="20"/>
                <w:lang w:val="en-GB" w:eastAsia="en-US"/>
              </w:rPr>
              <w:t>o</w:t>
            </w:r>
            <w:r>
              <w:rPr>
                <w:b/>
                <w:color w:val="FFFFFF" w:themeColor="background1"/>
                <w:sz w:val="20"/>
                <w:szCs w:val="20"/>
                <w:lang w:val="en-GB" w:eastAsia="en-US"/>
              </w:rPr>
              <w:t xml:space="preserve">alni nivo – </w:t>
            </w:r>
            <w:r w:rsidR="006F740E">
              <w:rPr>
                <w:b/>
                <w:color w:val="FFFFFF" w:themeColor="background1"/>
                <w:sz w:val="20"/>
                <w:szCs w:val="20"/>
                <w:lang w:val="en-GB" w:eastAsia="en-US"/>
              </w:rPr>
              <w:t>c</w:t>
            </w:r>
            <w:r>
              <w:rPr>
                <w:b/>
                <w:color w:val="FFFFFF" w:themeColor="background1"/>
                <w:sz w:val="20"/>
                <w:szCs w:val="20"/>
                <w:lang w:val="en-GB" w:eastAsia="en-US"/>
              </w:rPr>
              <w:t>rnogorski dio Jadrana</w:t>
            </w:r>
          </w:p>
          <w:p w14:paraId="035B3F5C" w14:textId="39F67D93" w:rsidR="00E36DAD" w:rsidRPr="00740F40" w:rsidRDefault="00E36DAD" w:rsidP="006F740E">
            <w:pPr>
              <w:spacing w:before="0" w:after="0" w:line="259" w:lineRule="auto"/>
              <w:jc w:val="center"/>
              <w:rPr>
                <w:b/>
                <w:color w:val="FFFFFF" w:themeColor="background1"/>
                <w:sz w:val="20"/>
                <w:szCs w:val="20"/>
                <w:lang w:val="en-GB" w:eastAsia="en-US"/>
              </w:rPr>
            </w:pPr>
          </w:p>
        </w:tc>
      </w:tr>
      <w:tr w:rsidR="008D3F6E" w:rsidRPr="001C6CCA" w14:paraId="0AC6649F" w14:textId="77777777" w:rsidTr="001065A4">
        <w:tc>
          <w:tcPr>
            <w:tcW w:w="2507" w:type="dxa"/>
            <w:vMerge w:val="restart"/>
            <w:shd w:val="clear" w:color="auto" w:fill="2F5496"/>
          </w:tcPr>
          <w:p w14:paraId="5978CD18" w14:textId="77777777" w:rsidR="008D3F6E" w:rsidRPr="001C6CCA" w:rsidRDefault="008D3F6E" w:rsidP="006F740E">
            <w:pPr>
              <w:spacing w:before="0" w:after="0" w:line="259" w:lineRule="auto"/>
              <w:jc w:val="left"/>
              <w:rPr>
                <w:b/>
                <w:color w:val="FFFFFF"/>
                <w:sz w:val="20"/>
                <w:szCs w:val="20"/>
                <w:lang w:val="en-GB" w:eastAsia="en-US"/>
              </w:rPr>
            </w:pPr>
          </w:p>
          <w:p w14:paraId="0A60E7D1" w14:textId="0A881A7E" w:rsidR="008D3F6E" w:rsidRPr="001C6CCA" w:rsidRDefault="00E24300" w:rsidP="006F740E">
            <w:pPr>
              <w:spacing w:before="0" w:after="0" w:line="259" w:lineRule="auto"/>
              <w:jc w:val="center"/>
              <w:rPr>
                <w:b/>
                <w:color w:val="FFFFFF"/>
                <w:sz w:val="20"/>
                <w:szCs w:val="20"/>
                <w:lang w:val="en-GB" w:eastAsia="en-US"/>
              </w:rPr>
            </w:pPr>
            <w:r>
              <w:rPr>
                <w:b/>
                <w:color w:val="FFFFFF"/>
                <w:sz w:val="20"/>
                <w:szCs w:val="20"/>
                <w:lang w:val="en-GB" w:eastAsia="en-US"/>
              </w:rPr>
              <w:t>Kriterijum</w:t>
            </w:r>
          </w:p>
        </w:tc>
        <w:tc>
          <w:tcPr>
            <w:tcW w:w="6509" w:type="dxa"/>
            <w:gridSpan w:val="2"/>
            <w:shd w:val="clear" w:color="auto" w:fill="2F5496"/>
          </w:tcPr>
          <w:p w14:paraId="42A9E516" w14:textId="5D93E30A" w:rsidR="008D3F6E" w:rsidRPr="001C6CCA" w:rsidRDefault="006F740E" w:rsidP="006F740E">
            <w:pPr>
              <w:spacing w:before="0" w:after="0" w:line="259" w:lineRule="auto"/>
              <w:jc w:val="center"/>
              <w:rPr>
                <w:b/>
                <w:color w:val="FFFFFF"/>
                <w:sz w:val="20"/>
                <w:szCs w:val="20"/>
                <w:lang w:val="en-GB" w:eastAsia="en-US"/>
              </w:rPr>
            </w:pPr>
            <w:r>
              <w:rPr>
                <w:b/>
                <w:color w:val="FFFFFF"/>
                <w:sz w:val="20"/>
                <w:szCs w:val="20"/>
                <w:lang w:val="en-GB" w:eastAsia="en-US"/>
              </w:rPr>
              <w:t>GES</w:t>
            </w:r>
          </w:p>
        </w:tc>
      </w:tr>
      <w:tr w:rsidR="008D3F6E" w:rsidRPr="001C6CCA" w14:paraId="1C805650" w14:textId="77777777" w:rsidTr="001065A4">
        <w:tc>
          <w:tcPr>
            <w:tcW w:w="2507" w:type="dxa"/>
            <w:vMerge/>
          </w:tcPr>
          <w:p w14:paraId="780EE340" w14:textId="77777777" w:rsidR="008D3F6E" w:rsidRPr="001C6CCA" w:rsidRDefault="008D3F6E" w:rsidP="006F740E">
            <w:pPr>
              <w:spacing w:before="0" w:after="0" w:line="259" w:lineRule="auto"/>
              <w:jc w:val="left"/>
              <w:rPr>
                <w:sz w:val="20"/>
                <w:szCs w:val="20"/>
                <w:lang w:val="en-GB" w:eastAsia="en-US"/>
              </w:rPr>
            </w:pPr>
          </w:p>
        </w:tc>
        <w:tc>
          <w:tcPr>
            <w:tcW w:w="3158" w:type="dxa"/>
            <w:shd w:val="clear" w:color="auto" w:fill="8DB3E2" w:themeFill="text2" w:themeFillTint="66"/>
          </w:tcPr>
          <w:p w14:paraId="7D771E28" w14:textId="77777777" w:rsidR="00057F97" w:rsidRDefault="00057F97" w:rsidP="006F740E">
            <w:pPr>
              <w:autoSpaceDE w:val="0"/>
              <w:autoSpaceDN w:val="0"/>
              <w:adjustRightInd w:val="0"/>
              <w:spacing w:before="0" w:after="0" w:line="240" w:lineRule="auto"/>
              <w:jc w:val="left"/>
              <w:rPr>
                <w:rFonts w:cs="Calibri"/>
                <w:b/>
                <w:bCs/>
                <w:color w:val="000000"/>
                <w:sz w:val="20"/>
                <w:szCs w:val="20"/>
                <w:u w:val="single"/>
                <w:lang w:val="en-GB" w:eastAsia="en-US"/>
              </w:rPr>
            </w:pPr>
            <w:r w:rsidRPr="00057F97">
              <w:rPr>
                <w:rFonts w:cs="Calibri"/>
                <w:b/>
                <w:bCs/>
                <w:color w:val="000000"/>
                <w:sz w:val="20"/>
                <w:szCs w:val="20"/>
                <w:u w:val="single"/>
                <w:lang w:val="en-GB" w:eastAsia="en-US"/>
              </w:rPr>
              <w:t>Prave morske ptice (vrste koje zimuju):</w:t>
            </w:r>
          </w:p>
          <w:p w14:paraId="6C4BFB24" w14:textId="5DCCE28F" w:rsidR="008D3F6E" w:rsidRPr="001C6CCA" w:rsidRDefault="008D3F6E" w:rsidP="006F740E">
            <w:pPr>
              <w:autoSpaceDE w:val="0"/>
              <w:autoSpaceDN w:val="0"/>
              <w:adjustRightInd w:val="0"/>
              <w:spacing w:before="0" w:after="0" w:line="240" w:lineRule="auto"/>
              <w:jc w:val="left"/>
              <w:rPr>
                <w:rFonts w:cs="Calibri"/>
                <w:color w:val="000000"/>
                <w:sz w:val="20"/>
                <w:szCs w:val="20"/>
                <w:lang w:val="en-GB" w:eastAsia="en-US"/>
              </w:rPr>
            </w:pPr>
            <w:r w:rsidRPr="001C6CCA">
              <w:rPr>
                <w:rFonts w:cs="Calibri"/>
                <w:b/>
                <w:bCs/>
                <w:i/>
                <w:iCs/>
                <w:color w:val="000000"/>
                <w:sz w:val="20"/>
                <w:szCs w:val="20"/>
                <w:lang w:val="en-GB" w:eastAsia="en-US"/>
              </w:rPr>
              <w:t xml:space="preserve">Calonectris diomedea </w:t>
            </w:r>
          </w:p>
          <w:p w14:paraId="39EE916F" w14:textId="77777777" w:rsidR="008D3F6E" w:rsidRPr="001C6CCA" w:rsidRDefault="008D3F6E" w:rsidP="006F740E">
            <w:pPr>
              <w:autoSpaceDE w:val="0"/>
              <w:autoSpaceDN w:val="0"/>
              <w:adjustRightInd w:val="0"/>
              <w:spacing w:before="0" w:after="0" w:line="240" w:lineRule="auto"/>
              <w:jc w:val="left"/>
              <w:rPr>
                <w:rFonts w:cs="Calibri"/>
                <w:color w:val="000000"/>
                <w:sz w:val="20"/>
                <w:szCs w:val="20"/>
                <w:lang w:val="en-GB" w:eastAsia="en-US"/>
              </w:rPr>
            </w:pPr>
            <w:r w:rsidRPr="001C6CCA">
              <w:rPr>
                <w:rFonts w:cs="Calibri"/>
                <w:b/>
                <w:bCs/>
                <w:i/>
                <w:iCs/>
                <w:color w:val="000000"/>
                <w:sz w:val="20"/>
                <w:szCs w:val="20"/>
                <w:lang w:val="en-GB" w:eastAsia="en-US"/>
              </w:rPr>
              <w:t xml:space="preserve">Larus audouinii </w:t>
            </w:r>
          </w:p>
          <w:p w14:paraId="104E24D2" w14:textId="77777777" w:rsidR="008D3F6E" w:rsidRPr="001C6CCA" w:rsidRDefault="008D3F6E" w:rsidP="006F740E">
            <w:pPr>
              <w:autoSpaceDE w:val="0"/>
              <w:autoSpaceDN w:val="0"/>
              <w:adjustRightInd w:val="0"/>
              <w:spacing w:before="0" w:after="0" w:line="240" w:lineRule="auto"/>
              <w:jc w:val="left"/>
              <w:rPr>
                <w:rFonts w:cs="Calibri"/>
                <w:color w:val="000000"/>
                <w:sz w:val="20"/>
                <w:szCs w:val="20"/>
                <w:lang w:val="en-GB" w:eastAsia="en-US"/>
              </w:rPr>
            </w:pPr>
            <w:r w:rsidRPr="001C6CCA">
              <w:rPr>
                <w:rFonts w:cs="Calibri"/>
                <w:b/>
                <w:bCs/>
                <w:i/>
                <w:iCs/>
                <w:color w:val="000000"/>
                <w:sz w:val="20"/>
                <w:szCs w:val="20"/>
                <w:lang w:val="en-GB" w:eastAsia="en-US"/>
              </w:rPr>
              <w:t xml:space="preserve">Phalacrocorax aristotelis </w:t>
            </w:r>
          </w:p>
          <w:p w14:paraId="20E7496F" w14:textId="77777777" w:rsidR="008D3F6E" w:rsidRPr="001C6CCA" w:rsidRDefault="008D3F6E" w:rsidP="006F740E">
            <w:pPr>
              <w:spacing w:before="0" w:after="0" w:line="259" w:lineRule="auto"/>
              <w:jc w:val="left"/>
              <w:rPr>
                <w:b/>
                <w:i/>
                <w:sz w:val="20"/>
                <w:szCs w:val="20"/>
                <w:lang w:val="en-GB" w:eastAsia="en-US"/>
              </w:rPr>
            </w:pPr>
            <w:r w:rsidRPr="001C6CCA">
              <w:rPr>
                <w:rFonts w:cs="Calibri"/>
                <w:b/>
                <w:i/>
                <w:color w:val="000000"/>
                <w:sz w:val="20"/>
                <w:szCs w:val="20"/>
                <w:lang w:val="en-GB" w:eastAsia="en-US"/>
              </w:rPr>
              <w:t>Puffinus yelkouan</w:t>
            </w:r>
          </w:p>
        </w:tc>
        <w:tc>
          <w:tcPr>
            <w:tcW w:w="3351" w:type="dxa"/>
            <w:shd w:val="clear" w:color="auto" w:fill="8DB3E2" w:themeFill="text2" w:themeFillTint="66"/>
          </w:tcPr>
          <w:p w14:paraId="63F8E331" w14:textId="544CA99B" w:rsidR="008D3F6E" w:rsidRPr="001C6CCA" w:rsidRDefault="00057F97" w:rsidP="006F740E">
            <w:pPr>
              <w:autoSpaceDE w:val="0"/>
              <w:autoSpaceDN w:val="0"/>
              <w:adjustRightInd w:val="0"/>
              <w:spacing w:before="0" w:after="0" w:line="240" w:lineRule="auto"/>
              <w:jc w:val="left"/>
              <w:rPr>
                <w:rFonts w:cs="Calibri"/>
                <w:color w:val="000000"/>
                <w:sz w:val="20"/>
                <w:szCs w:val="20"/>
                <w:lang w:val="en-GB" w:eastAsia="en-US"/>
              </w:rPr>
            </w:pPr>
            <w:r>
              <w:rPr>
                <w:rFonts w:cs="Calibri"/>
                <w:b/>
                <w:bCs/>
                <w:color w:val="000000"/>
                <w:sz w:val="20"/>
                <w:szCs w:val="20"/>
                <w:u w:val="single"/>
                <w:lang w:val="en-GB" w:eastAsia="en-US"/>
              </w:rPr>
              <w:t>Ptice gnjezdarice:</w:t>
            </w:r>
          </w:p>
          <w:p w14:paraId="5E30ADA9" w14:textId="77777777" w:rsidR="008D3F6E" w:rsidRPr="001C6CCA" w:rsidRDefault="008D3F6E" w:rsidP="006F740E">
            <w:pPr>
              <w:autoSpaceDE w:val="0"/>
              <w:autoSpaceDN w:val="0"/>
              <w:adjustRightInd w:val="0"/>
              <w:spacing w:before="0" w:after="0" w:line="240" w:lineRule="auto"/>
              <w:jc w:val="left"/>
              <w:rPr>
                <w:rFonts w:cs="Calibri"/>
                <w:color w:val="000000"/>
                <w:sz w:val="20"/>
                <w:szCs w:val="20"/>
                <w:lang w:val="en-GB" w:eastAsia="en-US"/>
              </w:rPr>
            </w:pPr>
            <w:r w:rsidRPr="001C6CCA">
              <w:rPr>
                <w:rFonts w:cs="Calibri"/>
                <w:b/>
                <w:bCs/>
                <w:i/>
                <w:iCs/>
                <w:color w:val="000000"/>
                <w:sz w:val="20"/>
                <w:szCs w:val="20"/>
                <w:lang w:val="en-GB" w:eastAsia="en-US"/>
              </w:rPr>
              <w:t xml:space="preserve">Larus genei </w:t>
            </w:r>
          </w:p>
          <w:p w14:paraId="0C830497" w14:textId="77777777" w:rsidR="008D3F6E" w:rsidRPr="001C6CCA" w:rsidRDefault="008D3F6E" w:rsidP="006F740E">
            <w:pPr>
              <w:autoSpaceDE w:val="0"/>
              <w:autoSpaceDN w:val="0"/>
              <w:adjustRightInd w:val="0"/>
              <w:spacing w:before="0" w:after="0" w:line="240" w:lineRule="auto"/>
              <w:jc w:val="left"/>
              <w:rPr>
                <w:rFonts w:cs="Calibri"/>
                <w:color w:val="000000"/>
                <w:sz w:val="20"/>
                <w:szCs w:val="20"/>
                <w:lang w:val="en-GB" w:eastAsia="en-US"/>
              </w:rPr>
            </w:pPr>
            <w:r w:rsidRPr="001C6CCA">
              <w:rPr>
                <w:rFonts w:cs="Calibri"/>
                <w:b/>
                <w:bCs/>
                <w:i/>
                <w:iCs/>
                <w:color w:val="000000"/>
                <w:sz w:val="20"/>
                <w:szCs w:val="20"/>
                <w:lang w:val="en-GB" w:eastAsia="en-US"/>
              </w:rPr>
              <w:t xml:space="preserve">Mycrocarbo pygmeus </w:t>
            </w:r>
          </w:p>
          <w:p w14:paraId="1953C051" w14:textId="77777777" w:rsidR="008D3F6E" w:rsidRPr="001C6CCA" w:rsidRDefault="008D3F6E" w:rsidP="006F740E">
            <w:pPr>
              <w:autoSpaceDE w:val="0"/>
              <w:autoSpaceDN w:val="0"/>
              <w:adjustRightInd w:val="0"/>
              <w:spacing w:before="0" w:after="0" w:line="240" w:lineRule="auto"/>
              <w:jc w:val="left"/>
              <w:rPr>
                <w:rFonts w:cs="Calibri"/>
                <w:color w:val="000000"/>
                <w:sz w:val="20"/>
                <w:szCs w:val="20"/>
                <w:lang w:val="en-GB" w:eastAsia="en-US"/>
              </w:rPr>
            </w:pPr>
            <w:r w:rsidRPr="001C6CCA">
              <w:rPr>
                <w:rFonts w:cs="Calibri"/>
                <w:b/>
                <w:bCs/>
                <w:i/>
                <w:iCs/>
                <w:color w:val="000000"/>
                <w:sz w:val="20"/>
                <w:szCs w:val="20"/>
                <w:lang w:val="en-GB" w:eastAsia="en-US"/>
              </w:rPr>
              <w:t xml:space="preserve">Phoenicopterus roseus </w:t>
            </w:r>
          </w:p>
          <w:p w14:paraId="3D05A464" w14:textId="77777777" w:rsidR="008D3F6E" w:rsidRPr="001C6CCA" w:rsidRDefault="008D3F6E" w:rsidP="006F740E">
            <w:pPr>
              <w:spacing w:before="0" w:after="0" w:line="240" w:lineRule="auto"/>
              <w:jc w:val="left"/>
              <w:rPr>
                <w:sz w:val="20"/>
                <w:szCs w:val="20"/>
                <w:lang w:val="en-GB" w:eastAsia="en-US"/>
              </w:rPr>
            </w:pPr>
            <w:r w:rsidRPr="001C6CCA">
              <w:rPr>
                <w:rFonts w:cs="Calibri"/>
                <w:b/>
                <w:bCs/>
                <w:i/>
                <w:iCs/>
                <w:color w:val="000000"/>
                <w:sz w:val="20"/>
                <w:szCs w:val="20"/>
                <w:lang w:val="en-GB" w:eastAsia="en-US"/>
              </w:rPr>
              <w:t>Sterna albifrons</w:t>
            </w:r>
          </w:p>
        </w:tc>
      </w:tr>
      <w:tr w:rsidR="008D3F6E" w:rsidRPr="001C6CCA" w14:paraId="340708E8" w14:textId="77777777" w:rsidTr="001065A4">
        <w:trPr>
          <w:trHeight w:val="972"/>
        </w:trPr>
        <w:tc>
          <w:tcPr>
            <w:tcW w:w="2507" w:type="dxa"/>
          </w:tcPr>
          <w:p w14:paraId="6678D593" w14:textId="77777777" w:rsidR="00D83AAE" w:rsidRDefault="00D83AAE" w:rsidP="006F740E">
            <w:pPr>
              <w:spacing w:before="0" w:after="0" w:line="259" w:lineRule="auto"/>
              <w:jc w:val="left"/>
              <w:rPr>
                <w:rFonts w:eastAsiaTheme="minorHAnsi" w:cstheme="minorBidi"/>
                <w:sz w:val="20"/>
                <w:szCs w:val="20"/>
                <w:lang w:val="en-GB"/>
              </w:rPr>
            </w:pPr>
            <w:r w:rsidRPr="00D83AAE">
              <w:rPr>
                <w:rFonts w:eastAsiaTheme="minorHAnsi" w:cstheme="minorBidi"/>
                <w:b/>
                <w:sz w:val="20"/>
                <w:szCs w:val="20"/>
                <w:lang w:val="en-GB"/>
              </w:rPr>
              <w:t>D1C1 – Primarni:</w:t>
            </w:r>
            <w:r>
              <w:rPr>
                <w:sz w:val="20"/>
                <w:szCs w:val="20"/>
                <w:lang w:val="en-GB"/>
              </w:rPr>
              <w:t xml:space="preserve"> </w:t>
            </w:r>
          </w:p>
          <w:p w14:paraId="6B3B0A9C" w14:textId="44A658DF" w:rsidR="008D3F6E" w:rsidRPr="001C6CCA" w:rsidRDefault="00D83AAE" w:rsidP="006F740E">
            <w:pPr>
              <w:spacing w:before="0" w:after="0" w:line="259" w:lineRule="auto"/>
              <w:jc w:val="left"/>
              <w:rPr>
                <w:sz w:val="20"/>
                <w:szCs w:val="20"/>
                <w:lang w:val="en-GB" w:eastAsia="en-US"/>
              </w:rPr>
            </w:pPr>
            <w:r w:rsidRPr="00D83AAE">
              <w:rPr>
                <w:rFonts w:eastAsiaTheme="minorHAnsi" w:cstheme="minorBidi"/>
                <w:sz w:val="20"/>
                <w:szCs w:val="20"/>
                <w:lang w:val="en-GB"/>
              </w:rPr>
              <w:t>Stopa smrtnosti po vrsti kao rezultat slučajnog usputnog ulova</w:t>
            </w:r>
          </w:p>
        </w:tc>
        <w:tc>
          <w:tcPr>
            <w:tcW w:w="3158" w:type="dxa"/>
          </w:tcPr>
          <w:p w14:paraId="5312E0B5" w14:textId="5138BC20" w:rsidR="008D3F6E" w:rsidRPr="001C6CCA" w:rsidRDefault="00D83AAE" w:rsidP="006F740E">
            <w:pPr>
              <w:spacing w:before="0" w:after="0" w:line="259" w:lineRule="auto"/>
              <w:jc w:val="left"/>
              <w:rPr>
                <w:sz w:val="20"/>
                <w:szCs w:val="20"/>
                <w:lang w:val="en-GB" w:eastAsia="en-US"/>
              </w:rPr>
            </w:pPr>
            <w:r w:rsidRPr="00D83AAE">
              <w:rPr>
                <w:sz w:val="20"/>
                <w:szCs w:val="20"/>
                <w:lang w:val="en-GB" w:eastAsia="en-US"/>
              </w:rPr>
              <w:t>Ne postoje precizni podaci o slučajnom smrtnom ishodu odraslih ptica, izazvan</w:t>
            </w:r>
            <w:r>
              <w:rPr>
                <w:sz w:val="20"/>
                <w:szCs w:val="20"/>
                <w:lang w:val="en-GB" w:eastAsia="en-US"/>
              </w:rPr>
              <w:t>im ljudskim faktorom</w:t>
            </w:r>
            <w:r w:rsidRPr="00D83AAE">
              <w:rPr>
                <w:sz w:val="20"/>
                <w:szCs w:val="20"/>
                <w:lang w:val="en-GB" w:eastAsia="en-US"/>
              </w:rPr>
              <w:t>.</w:t>
            </w:r>
          </w:p>
        </w:tc>
        <w:tc>
          <w:tcPr>
            <w:tcW w:w="3351" w:type="dxa"/>
          </w:tcPr>
          <w:p w14:paraId="16436F06" w14:textId="77777777" w:rsidR="008D3F6E" w:rsidRPr="001C6CCA" w:rsidRDefault="008D3F6E" w:rsidP="006F740E">
            <w:pPr>
              <w:spacing w:before="0" w:after="0" w:line="240" w:lineRule="auto"/>
              <w:jc w:val="left"/>
              <w:rPr>
                <w:sz w:val="20"/>
                <w:szCs w:val="20"/>
                <w:lang w:val="en-GB" w:eastAsia="en-US"/>
              </w:rPr>
            </w:pPr>
          </w:p>
        </w:tc>
      </w:tr>
      <w:tr w:rsidR="008D3F6E" w:rsidRPr="001C6CCA" w14:paraId="3E58F444" w14:textId="77777777" w:rsidTr="001065A4">
        <w:tc>
          <w:tcPr>
            <w:tcW w:w="2507" w:type="dxa"/>
          </w:tcPr>
          <w:p w14:paraId="26F2548E" w14:textId="2BC5E568" w:rsidR="00D83AAE" w:rsidRDefault="00D83AAE" w:rsidP="006F740E">
            <w:pPr>
              <w:spacing w:before="0" w:after="0" w:line="259" w:lineRule="auto"/>
              <w:jc w:val="left"/>
              <w:rPr>
                <w:rFonts w:eastAsiaTheme="minorHAnsi" w:cstheme="minorBidi"/>
                <w:sz w:val="20"/>
                <w:szCs w:val="20"/>
                <w:lang w:val="en-GB"/>
              </w:rPr>
            </w:pPr>
            <w:r>
              <w:rPr>
                <w:rFonts w:eastAsiaTheme="minorHAnsi" w:cstheme="minorBidi"/>
                <w:b/>
                <w:sz w:val="20"/>
                <w:szCs w:val="20"/>
                <w:lang w:val="en-GB"/>
              </w:rPr>
              <w:t>D1C2</w:t>
            </w:r>
            <w:r w:rsidRPr="00D83AAE">
              <w:rPr>
                <w:rFonts w:eastAsiaTheme="minorHAnsi" w:cstheme="minorBidi"/>
                <w:b/>
                <w:sz w:val="20"/>
                <w:szCs w:val="20"/>
                <w:lang w:val="en-GB"/>
              </w:rPr>
              <w:t xml:space="preserve"> – Primarni:</w:t>
            </w:r>
            <w:r>
              <w:rPr>
                <w:sz w:val="20"/>
                <w:szCs w:val="20"/>
                <w:lang w:val="en-GB"/>
              </w:rPr>
              <w:t xml:space="preserve"> </w:t>
            </w:r>
          </w:p>
          <w:p w14:paraId="0B065590" w14:textId="110D885F" w:rsidR="008D3F6E" w:rsidRPr="001C6CCA" w:rsidRDefault="00D83AAE" w:rsidP="006F740E">
            <w:pPr>
              <w:spacing w:before="0" w:after="0" w:line="259" w:lineRule="auto"/>
              <w:jc w:val="left"/>
              <w:rPr>
                <w:sz w:val="20"/>
                <w:szCs w:val="20"/>
                <w:lang w:val="en-GB" w:eastAsia="en-US"/>
              </w:rPr>
            </w:pPr>
            <w:r w:rsidRPr="00B01F32">
              <w:rPr>
                <w:sz w:val="20"/>
                <w:szCs w:val="20"/>
                <w:lang w:val="en-GB" w:eastAsia="en-US"/>
              </w:rPr>
              <w:t xml:space="preserve">Brojnost </w:t>
            </w:r>
            <w:r w:rsidR="00B01F32" w:rsidRPr="00B01F32">
              <w:rPr>
                <w:sz w:val="20"/>
                <w:szCs w:val="20"/>
                <w:lang w:val="en-GB" w:eastAsia="en-US"/>
              </w:rPr>
              <w:t>populacije vrsta</w:t>
            </w:r>
          </w:p>
        </w:tc>
        <w:tc>
          <w:tcPr>
            <w:tcW w:w="3158" w:type="dxa"/>
          </w:tcPr>
          <w:p w14:paraId="59156CA1" w14:textId="77777777" w:rsidR="00057F97" w:rsidRDefault="00057F97" w:rsidP="006F740E">
            <w:pPr>
              <w:spacing w:before="0" w:after="0" w:line="259" w:lineRule="auto"/>
              <w:jc w:val="left"/>
              <w:rPr>
                <w:rFonts w:cs="Calibri"/>
                <w:color w:val="000000"/>
                <w:sz w:val="20"/>
                <w:szCs w:val="20"/>
                <w:lang w:val="en-GB" w:eastAsia="en-US"/>
              </w:rPr>
            </w:pPr>
          </w:p>
          <w:p w14:paraId="0D0D3754" w14:textId="7BFD42FF" w:rsidR="00057F97" w:rsidRPr="001C6CCA" w:rsidRDefault="00057F97" w:rsidP="006F740E">
            <w:pPr>
              <w:spacing w:before="0" w:after="0" w:line="259" w:lineRule="auto"/>
              <w:jc w:val="left"/>
              <w:rPr>
                <w:sz w:val="20"/>
                <w:szCs w:val="20"/>
                <w:lang w:val="en-GB" w:eastAsia="en-US"/>
              </w:rPr>
            </w:pPr>
            <w:r w:rsidRPr="00057F97">
              <w:rPr>
                <w:sz w:val="20"/>
                <w:szCs w:val="20"/>
                <w:lang w:val="en-GB" w:eastAsia="en-US"/>
              </w:rPr>
              <w:t xml:space="preserve">Izgleda da su populacije </w:t>
            </w:r>
            <w:r>
              <w:rPr>
                <w:sz w:val="20"/>
                <w:szCs w:val="20"/>
                <w:lang w:val="en-GB" w:eastAsia="en-US"/>
              </w:rPr>
              <w:t xml:space="preserve">ptica prolaznica/lutalica </w:t>
            </w:r>
            <w:r w:rsidRPr="00057F97">
              <w:rPr>
                <w:sz w:val="20"/>
                <w:szCs w:val="20"/>
                <w:lang w:val="en-GB" w:eastAsia="en-US"/>
              </w:rPr>
              <w:t>van sezone</w:t>
            </w:r>
            <w:r>
              <w:rPr>
                <w:sz w:val="20"/>
                <w:szCs w:val="20"/>
                <w:lang w:val="en-GB" w:eastAsia="en-US"/>
              </w:rPr>
              <w:t xml:space="preserve"> gniježđenja  stabilne ili su u porastu</w:t>
            </w:r>
            <w:r w:rsidRPr="00057F97">
              <w:rPr>
                <w:sz w:val="20"/>
                <w:szCs w:val="20"/>
                <w:lang w:val="en-GB" w:eastAsia="en-US"/>
              </w:rPr>
              <w:t xml:space="preserve">, što ukazuje na to da je GES postignut. Međutim, potrebno je </w:t>
            </w:r>
            <w:r w:rsidR="001B1622">
              <w:rPr>
                <w:sz w:val="20"/>
                <w:szCs w:val="20"/>
                <w:lang w:val="en-GB" w:eastAsia="en-US"/>
              </w:rPr>
              <w:t xml:space="preserve">dugotočnije sakupljanje podataka </w:t>
            </w:r>
            <w:r w:rsidRPr="00057F97">
              <w:rPr>
                <w:sz w:val="20"/>
                <w:szCs w:val="20"/>
                <w:lang w:val="en-GB" w:eastAsia="en-US"/>
              </w:rPr>
              <w:t xml:space="preserve"> kako bi se omogućila potpuna proc</w:t>
            </w:r>
            <w:r>
              <w:rPr>
                <w:sz w:val="20"/>
                <w:szCs w:val="20"/>
                <w:lang w:val="en-GB" w:eastAsia="en-US"/>
              </w:rPr>
              <w:t>j</w:t>
            </w:r>
            <w:r w:rsidRPr="00057F97">
              <w:rPr>
                <w:sz w:val="20"/>
                <w:szCs w:val="20"/>
                <w:lang w:val="en-GB" w:eastAsia="en-US"/>
              </w:rPr>
              <w:t>ena GES-a</w:t>
            </w:r>
          </w:p>
        </w:tc>
        <w:tc>
          <w:tcPr>
            <w:tcW w:w="3351" w:type="dxa"/>
          </w:tcPr>
          <w:p w14:paraId="03FB2807" w14:textId="155EFD55" w:rsidR="00474EC1" w:rsidRPr="00474EC1" w:rsidRDefault="006D7D31" w:rsidP="006F740E">
            <w:pPr>
              <w:spacing w:before="0" w:after="0" w:line="240" w:lineRule="auto"/>
              <w:jc w:val="left"/>
              <w:rPr>
                <w:sz w:val="20"/>
                <w:szCs w:val="20"/>
                <w:lang w:val="en-GB" w:eastAsia="en-US"/>
              </w:rPr>
            </w:pPr>
            <w:r w:rsidRPr="001C6CCA">
              <w:rPr>
                <w:rFonts w:cs="Calibri"/>
                <w:color w:val="000000"/>
                <w:sz w:val="20"/>
                <w:szCs w:val="20"/>
                <w:lang w:val="en-GB" w:eastAsia="en-US"/>
              </w:rPr>
              <w:t xml:space="preserve"> </w:t>
            </w:r>
            <w:r w:rsidR="00474EC1" w:rsidRPr="00474EC1">
              <w:rPr>
                <w:sz w:val="20"/>
                <w:szCs w:val="20"/>
                <w:lang w:val="en-GB" w:eastAsia="en-US"/>
              </w:rPr>
              <w:t xml:space="preserve">GES </w:t>
            </w:r>
            <w:r w:rsidR="00474EC1">
              <w:rPr>
                <w:rFonts w:cs="Calibri"/>
                <w:color w:val="000000"/>
                <w:sz w:val="20"/>
                <w:szCs w:val="20"/>
                <w:lang w:val="en-GB" w:eastAsia="en-US"/>
              </w:rPr>
              <w:t>je postignut</w:t>
            </w:r>
            <w:r w:rsidR="00474EC1" w:rsidRPr="00474EC1">
              <w:rPr>
                <w:sz w:val="20"/>
                <w:szCs w:val="20"/>
                <w:lang w:val="en-GB" w:eastAsia="en-US"/>
              </w:rPr>
              <w:t xml:space="preserve"> za većinu vrsta.</w:t>
            </w:r>
          </w:p>
          <w:p w14:paraId="4A8A16D9" w14:textId="4E731342" w:rsidR="00474EC1" w:rsidRDefault="00474EC1" w:rsidP="006F740E">
            <w:pPr>
              <w:spacing w:before="0" w:after="0" w:line="240" w:lineRule="auto"/>
              <w:jc w:val="left"/>
              <w:rPr>
                <w:sz w:val="20"/>
                <w:szCs w:val="20"/>
                <w:lang w:val="en-GB" w:eastAsia="en-US"/>
              </w:rPr>
            </w:pPr>
            <w:r>
              <w:rPr>
                <w:sz w:val="20"/>
                <w:szCs w:val="20"/>
                <w:lang w:val="en-GB" w:eastAsia="en-US"/>
              </w:rPr>
              <w:t xml:space="preserve">Populacije ptica gnjezdilica </w:t>
            </w:r>
            <w:r w:rsidRPr="00474EC1">
              <w:rPr>
                <w:sz w:val="20"/>
                <w:szCs w:val="20"/>
                <w:lang w:val="en-GB" w:eastAsia="en-US"/>
              </w:rPr>
              <w:t>su stabilne, osim neusp</w:t>
            </w:r>
            <w:r>
              <w:rPr>
                <w:sz w:val="20"/>
                <w:szCs w:val="20"/>
                <w:lang w:val="en-GB" w:eastAsia="en-US"/>
              </w:rPr>
              <w:t>j</w:t>
            </w:r>
            <w:r w:rsidRPr="00474EC1">
              <w:rPr>
                <w:sz w:val="20"/>
                <w:szCs w:val="20"/>
                <w:lang w:val="en-GB" w:eastAsia="en-US"/>
              </w:rPr>
              <w:t xml:space="preserve">ešnog </w:t>
            </w:r>
            <w:r>
              <w:rPr>
                <w:sz w:val="20"/>
                <w:szCs w:val="20"/>
                <w:lang w:val="en-GB" w:eastAsia="en-US"/>
              </w:rPr>
              <w:t>gniježđenja vrste</w:t>
            </w:r>
            <w:r w:rsidRPr="00474EC1">
              <w:rPr>
                <w:sz w:val="20"/>
                <w:szCs w:val="20"/>
                <w:lang w:val="en-GB" w:eastAsia="en-US"/>
              </w:rPr>
              <w:t xml:space="preserve"> </w:t>
            </w:r>
            <w:r w:rsidRPr="001C6CCA">
              <w:rPr>
                <w:rFonts w:cs="Calibri"/>
                <w:i/>
                <w:iCs/>
                <w:color w:val="000000"/>
                <w:sz w:val="20"/>
                <w:szCs w:val="20"/>
                <w:lang w:val="en-GB" w:eastAsia="en-US"/>
              </w:rPr>
              <w:t>Phoenicopterus roseus</w:t>
            </w:r>
            <w:r w:rsidRPr="00474EC1">
              <w:rPr>
                <w:sz w:val="20"/>
                <w:szCs w:val="20"/>
                <w:lang w:val="en-GB" w:eastAsia="en-US"/>
              </w:rPr>
              <w:t xml:space="preserve">. Ipak, situacija sa </w:t>
            </w:r>
            <w:r w:rsidRPr="001C6CCA">
              <w:rPr>
                <w:rFonts w:cs="Calibri"/>
                <w:i/>
                <w:iCs/>
                <w:color w:val="000000"/>
                <w:sz w:val="20"/>
                <w:szCs w:val="20"/>
                <w:lang w:val="en-GB" w:eastAsia="en-US"/>
              </w:rPr>
              <w:t>Phoenicopterus roseus</w:t>
            </w:r>
            <w:r w:rsidRPr="00474EC1">
              <w:rPr>
                <w:sz w:val="20"/>
                <w:szCs w:val="20"/>
                <w:lang w:val="en-GB" w:eastAsia="en-US"/>
              </w:rPr>
              <w:t xml:space="preserve"> i </w:t>
            </w:r>
            <w:r w:rsidRPr="001C6CCA">
              <w:rPr>
                <w:rFonts w:cs="Calibri"/>
                <w:i/>
                <w:iCs/>
                <w:color w:val="000000"/>
                <w:sz w:val="20"/>
                <w:szCs w:val="20"/>
                <w:lang w:val="en-GB" w:eastAsia="en-US"/>
              </w:rPr>
              <w:t xml:space="preserve">status quo </w:t>
            </w:r>
            <w:r>
              <w:rPr>
                <w:sz w:val="20"/>
                <w:szCs w:val="20"/>
                <w:lang w:val="en-GB" w:eastAsia="en-US"/>
              </w:rPr>
              <w:t>u pogledu nedostatka upravljanja područjem U</w:t>
            </w:r>
            <w:r w:rsidRPr="00474EC1">
              <w:rPr>
                <w:sz w:val="20"/>
                <w:szCs w:val="20"/>
                <w:lang w:val="en-GB" w:eastAsia="en-US"/>
              </w:rPr>
              <w:t>lcinjsk</w:t>
            </w:r>
            <w:r>
              <w:rPr>
                <w:sz w:val="20"/>
                <w:szCs w:val="20"/>
                <w:lang w:val="en-GB" w:eastAsia="en-US"/>
              </w:rPr>
              <w:t>e solane, predstavljaju glavne</w:t>
            </w:r>
            <w:r w:rsidRPr="00474EC1">
              <w:rPr>
                <w:sz w:val="20"/>
                <w:szCs w:val="20"/>
                <w:lang w:val="en-GB" w:eastAsia="en-US"/>
              </w:rPr>
              <w:t xml:space="preserve"> razlo</w:t>
            </w:r>
            <w:r>
              <w:rPr>
                <w:sz w:val="20"/>
                <w:szCs w:val="20"/>
                <w:lang w:val="en-GB" w:eastAsia="en-US"/>
              </w:rPr>
              <w:t>ge</w:t>
            </w:r>
            <w:r w:rsidRPr="00474EC1">
              <w:rPr>
                <w:sz w:val="20"/>
                <w:szCs w:val="20"/>
                <w:lang w:val="en-GB" w:eastAsia="en-US"/>
              </w:rPr>
              <w:t xml:space="preserve"> za zabrinutost.</w:t>
            </w:r>
          </w:p>
          <w:p w14:paraId="4F1045F7" w14:textId="553B4339" w:rsidR="00474EC1" w:rsidRPr="001C6CCA" w:rsidRDefault="00474EC1" w:rsidP="006F740E">
            <w:pPr>
              <w:spacing w:before="0" w:after="0" w:line="240" w:lineRule="auto"/>
              <w:jc w:val="left"/>
              <w:rPr>
                <w:sz w:val="20"/>
                <w:szCs w:val="20"/>
                <w:lang w:val="en-GB" w:eastAsia="en-US"/>
              </w:rPr>
            </w:pPr>
          </w:p>
        </w:tc>
      </w:tr>
      <w:tr w:rsidR="008D3F6E" w:rsidRPr="001C6CCA" w14:paraId="6322FAE8" w14:textId="77777777" w:rsidTr="001065A4">
        <w:tc>
          <w:tcPr>
            <w:tcW w:w="2507" w:type="dxa"/>
          </w:tcPr>
          <w:p w14:paraId="759F9EE1" w14:textId="2287946C" w:rsidR="008D3F6E" w:rsidRPr="001C6CCA" w:rsidRDefault="008D3F6E" w:rsidP="006F740E">
            <w:pPr>
              <w:spacing w:before="0" w:after="0" w:line="259" w:lineRule="auto"/>
              <w:jc w:val="left"/>
              <w:rPr>
                <w:b/>
                <w:sz w:val="20"/>
                <w:szCs w:val="20"/>
                <w:lang w:val="en-GB" w:eastAsia="en-US"/>
              </w:rPr>
            </w:pPr>
            <w:r w:rsidRPr="001C6CCA">
              <w:rPr>
                <w:b/>
                <w:sz w:val="20"/>
                <w:szCs w:val="20"/>
                <w:lang w:val="en-GB" w:eastAsia="en-US"/>
              </w:rPr>
              <w:t>D1C3 — Se</w:t>
            </w:r>
            <w:r w:rsidR="00D83AAE">
              <w:rPr>
                <w:b/>
                <w:sz w:val="20"/>
                <w:szCs w:val="20"/>
                <w:lang w:val="en-GB" w:eastAsia="en-US"/>
              </w:rPr>
              <w:t>kundarni</w:t>
            </w:r>
            <w:r w:rsidR="00057F97">
              <w:rPr>
                <w:b/>
                <w:sz w:val="20"/>
                <w:szCs w:val="20"/>
                <w:lang w:val="en-GB" w:eastAsia="en-US"/>
              </w:rPr>
              <w:t>:</w:t>
            </w:r>
          </w:p>
          <w:p w14:paraId="079F1733" w14:textId="430FDB6B" w:rsidR="008D3F6E" w:rsidRPr="001C6CCA" w:rsidRDefault="00D83AAE" w:rsidP="006F740E">
            <w:pPr>
              <w:spacing w:before="0" w:after="0" w:line="259" w:lineRule="auto"/>
              <w:jc w:val="left"/>
              <w:rPr>
                <w:sz w:val="20"/>
                <w:szCs w:val="20"/>
                <w:lang w:val="en-GB" w:eastAsia="en-US"/>
              </w:rPr>
            </w:pPr>
            <w:r>
              <w:rPr>
                <w:sz w:val="20"/>
                <w:szCs w:val="20"/>
                <w:lang w:val="en-GB" w:eastAsia="en-US"/>
              </w:rPr>
              <w:t>D</w:t>
            </w:r>
            <w:r w:rsidRPr="00D83AAE">
              <w:rPr>
                <w:sz w:val="20"/>
                <w:szCs w:val="20"/>
                <w:lang w:val="en-GB" w:eastAsia="en-US"/>
              </w:rPr>
              <w:t>emografske karakteristike populacije vrste</w:t>
            </w:r>
          </w:p>
        </w:tc>
        <w:tc>
          <w:tcPr>
            <w:tcW w:w="3158" w:type="dxa"/>
          </w:tcPr>
          <w:p w14:paraId="11EEA1D0" w14:textId="4FB58FD3" w:rsidR="00057F97" w:rsidRPr="001C6CCA" w:rsidRDefault="00E63FEF" w:rsidP="006F740E">
            <w:pPr>
              <w:autoSpaceDE w:val="0"/>
              <w:autoSpaceDN w:val="0"/>
              <w:adjustRightInd w:val="0"/>
              <w:spacing w:before="0" w:after="0" w:line="240" w:lineRule="auto"/>
              <w:jc w:val="left"/>
              <w:rPr>
                <w:sz w:val="20"/>
                <w:szCs w:val="20"/>
                <w:lang w:val="en-GB" w:eastAsia="en-US"/>
              </w:rPr>
            </w:pPr>
            <w:r>
              <w:rPr>
                <w:sz w:val="20"/>
                <w:szCs w:val="20"/>
                <w:lang w:val="en-GB" w:eastAsia="en-US"/>
              </w:rPr>
              <w:t>Nema podataka za ptpunu procjenu demografskih karakteristika populacija morskih ptica.</w:t>
            </w:r>
          </w:p>
        </w:tc>
        <w:tc>
          <w:tcPr>
            <w:tcW w:w="3351" w:type="dxa"/>
          </w:tcPr>
          <w:p w14:paraId="6423CAC2" w14:textId="61E1CB60" w:rsidR="00474EC1" w:rsidRPr="00474EC1" w:rsidRDefault="00474EC1" w:rsidP="006F740E">
            <w:pPr>
              <w:autoSpaceDE w:val="0"/>
              <w:autoSpaceDN w:val="0"/>
              <w:adjustRightInd w:val="0"/>
              <w:spacing w:before="0" w:after="0" w:line="240" w:lineRule="auto"/>
              <w:jc w:val="left"/>
              <w:rPr>
                <w:rFonts w:cs="Calibri"/>
                <w:color w:val="000000"/>
                <w:sz w:val="20"/>
                <w:szCs w:val="20"/>
                <w:lang w:val="en-GB" w:eastAsia="en-US"/>
              </w:rPr>
            </w:pPr>
            <w:r w:rsidRPr="00474EC1">
              <w:rPr>
                <w:rFonts w:cs="Calibri"/>
                <w:color w:val="000000"/>
                <w:sz w:val="20"/>
                <w:szCs w:val="20"/>
                <w:lang w:val="en-GB" w:eastAsia="en-US"/>
              </w:rPr>
              <w:t>M</w:t>
            </w:r>
            <w:r>
              <w:rPr>
                <w:rFonts w:cs="Calibri"/>
                <w:color w:val="000000"/>
                <w:sz w:val="20"/>
                <w:szCs w:val="20"/>
                <w:lang w:val="en-GB" w:eastAsia="en-US"/>
              </w:rPr>
              <w:t>ože se</w:t>
            </w:r>
            <w:r w:rsidRPr="00474EC1">
              <w:rPr>
                <w:rFonts w:cs="Calibri"/>
                <w:color w:val="000000"/>
                <w:sz w:val="20"/>
                <w:szCs w:val="20"/>
                <w:lang w:val="en-GB" w:eastAsia="en-US"/>
              </w:rPr>
              <w:t xml:space="preserve"> zaključiti da je za sada GES postignut za većinu vrsta.</w:t>
            </w:r>
          </w:p>
          <w:p w14:paraId="0D087E43" w14:textId="0E4B8D25" w:rsidR="008C3F7A" w:rsidRDefault="00474EC1" w:rsidP="006F740E">
            <w:pPr>
              <w:spacing w:before="0" w:after="0" w:line="240" w:lineRule="auto"/>
              <w:jc w:val="left"/>
              <w:rPr>
                <w:sz w:val="20"/>
                <w:szCs w:val="20"/>
                <w:lang w:val="en-GB" w:eastAsia="en-US"/>
              </w:rPr>
            </w:pPr>
            <w:r w:rsidRPr="00474EC1">
              <w:rPr>
                <w:rFonts w:cs="Calibri"/>
                <w:color w:val="000000"/>
                <w:sz w:val="20"/>
                <w:szCs w:val="20"/>
                <w:lang w:val="en-GB" w:eastAsia="en-US"/>
              </w:rPr>
              <w:t xml:space="preserve">Populacije su stabilne. Uspjeh u </w:t>
            </w:r>
            <w:r>
              <w:rPr>
                <w:rFonts w:cs="Calibri"/>
                <w:color w:val="000000"/>
                <w:sz w:val="20"/>
                <w:szCs w:val="20"/>
                <w:lang w:val="en-GB" w:eastAsia="en-US"/>
              </w:rPr>
              <w:t>gniježđenju</w:t>
            </w:r>
            <w:r w:rsidRPr="00474EC1">
              <w:rPr>
                <w:rFonts w:cs="Calibri"/>
                <w:color w:val="000000"/>
                <w:sz w:val="20"/>
                <w:szCs w:val="20"/>
                <w:lang w:val="en-GB" w:eastAsia="en-US"/>
              </w:rPr>
              <w:t xml:space="preserve"> je optimalan, osim </w:t>
            </w:r>
            <w:r>
              <w:rPr>
                <w:rFonts w:cs="Calibri"/>
                <w:color w:val="000000"/>
                <w:sz w:val="20"/>
                <w:szCs w:val="20"/>
                <w:lang w:val="en-GB" w:eastAsia="en-US"/>
              </w:rPr>
              <w:t xml:space="preserve">kada je riječ o vrsti </w:t>
            </w:r>
            <w:r w:rsidRPr="001C6CCA">
              <w:rPr>
                <w:rFonts w:cs="Calibri"/>
                <w:i/>
                <w:iCs/>
                <w:color w:val="000000"/>
                <w:sz w:val="20"/>
                <w:szCs w:val="20"/>
                <w:lang w:val="en-GB" w:eastAsia="en-US"/>
              </w:rPr>
              <w:t>Phoenicopterus roseus</w:t>
            </w:r>
            <w:r w:rsidRPr="00474EC1">
              <w:rPr>
                <w:rFonts w:cs="Calibri"/>
                <w:color w:val="000000"/>
                <w:sz w:val="20"/>
                <w:szCs w:val="20"/>
                <w:lang w:val="en-GB" w:eastAsia="en-US"/>
              </w:rPr>
              <w:t xml:space="preserve">. </w:t>
            </w:r>
            <w:r w:rsidR="001B1622">
              <w:rPr>
                <w:rFonts w:cs="Calibri"/>
                <w:color w:val="000000"/>
                <w:sz w:val="20"/>
                <w:szCs w:val="20"/>
                <w:lang w:val="en-GB" w:eastAsia="en-US"/>
              </w:rPr>
              <w:t>S</w:t>
            </w:r>
            <w:r w:rsidR="008C3F7A" w:rsidRPr="00474EC1">
              <w:rPr>
                <w:sz w:val="20"/>
                <w:szCs w:val="20"/>
                <w:lang w:val="en-GB" w:eastAsia="en-US"/>
              </w:rPr>
              <w:t xml:space="preserve">ituacija sa </w:t>
            </w:r>
            <w:r w:rsidR="008C3F7A" w:rsidRPr="001C6CCA">
              <w:rPr>
                <w:rFonts w:cs="Calibri"/>
                <w:i/>
                <w:iCs/>
                <w:color w:val="000000"/>
                <w:sz w:val="20"/>
                <w:szCs w:val="20"/>
                <w:lang w:val="en-GB" w:eastAsia="en-US"/>
              </w:rPr>
              <w:t>Phoenicopterus roseus</w:t>
            </w:r>
            <w:r w:rsidR="008C3F7A" w:rsidRPr="00474EC1">
              <w:rPr>
                <w:sz w:val="20"/>
                <w:szCs w:val="20"/>
                <w:lang w:val="en-GB" w:eastAsia="en-US"/>
              </w:rPr>
              <w:t xml:space="preserve"> i </w:t>
            </w:r>
            <w:r w:rsidR="008C3F7A" w:rsidRPr="001C6CCA">
              <w:rPr>
                <w:rFonts w:cs="Calibri"/>
                <w:i/>
                <w:iCs/>
                <w:color w:val="000000"/>
                <w:sz w:val="20"/>
                <w:szCs w:val="20"/>
                <w:lang w:val="en-GB" w:eastAsia="en-US"/>
              </w:rPr>
              <w:t xml:space="preserve">status quo </w:t>
            </w:r>
            <w:r w:rsidR="008C3F7A">
              <w:rPr>
                <w:sz w:val="20"/>
                <w:szCs w:val="20"/>
                <w:lang w:val="en-GB" w:eastAsia="en-US"/>
              </w:rPr>
              <w:t>u pogledu nedostatka upravljanja područjem U</w:t>
            </w:r>
            <w:r w:rsidR="008C3F7A" w:rsidRPr="00474EC1">
              <w:rPr>
                <w:sz w:val="20"/>
                <w:szCs w:val="20"/>
                <w:lang w:val="en-GB" w:eastAsia="en-US"/>
              </w:rPr>
              <w:t>lcinjsk</w:t>
            </w:r>
            <w:r w:rsidR="008C3F7A">
              <w:rPr>
                <w:sz w:val="20"/>
                <w:szCs w:val="20"/>
                <w:lang w:val="en-GB" w:eastAsia="en-US"/>
              </w:rPr>
              <w:t>e solane, predstavljaju glavne</w:t>
            </w:r>
            <w:r w:rsidR="008C3F7A" w:rsidRPr="00474EC1">
              <w:rPr>
                <w:sz w:val="20"/>
                <w:szCs w:val="20"/>
                <w:lang w:val="en-GB" w:eastAsia="en-US"/>
              </w:rPr>
              <w:t xml:space="preserve"> razlo</w:t>
            </w:r>
            <w:r w:rsidR="008C3F7A">
              <w:rPr>
                <w:sz w:val="20"/>
                <w:szCs w:val="20"/>
                <w:lang w:val="en-GB" w:eastAsia="en-US"/>
              </w:rPr>
              <w:t>ge</w:t>
            </w:r>
            <w:r w:rsidR="008C3F7A" w:rsidRPr="00474EC1">
              <w:rPr>
                <w:sz w:val="20"/>
                <w:szCs w:val="20"/>
                <w:lang w:val="en-GB" w:eastAsia="en-US"/>
              </w:rPr>
              <w:t xml:space="preserve"> za zabrinutost.</w:t>
            </w:r>
          </w:p>
          <w:p w14:paraId="5BA85072" w14:textId="721AE678" w:rsidR="00474EC1" w:rsidRPr="001C6CCA" w:rsidRDefault="00474EC1" w:rsidP="006F740E">
            <w:pPr>
              <w:autoSpaceDE w:val="0"/>
              <w:autoSpaceDN w:val="0"/>
              <w:adjustRightInd w:val="0"/>
              <w:spacing w:before="0" w:after="0" w:line="240" w:lineRule="auto"/>
              <w:jc w:val="left"/>
              <w:rPr>
                <w:rFonts w:cs="Calibri"/>
                <w:color w:val="000000"/>
                <w:sz w:val="20"/>
                <w:szCs w:val="20"/>
                <w:lang w:val="en-GB" w:eastAsia="en-US"/>
              </w:rPr>
            </w:pPr>
          </w:p>
        </w:tc>
      </w:tr>
      <w:tr w:rsidR="008D3F6E" w:rsidRPr="001C6CCA" w14:paraId="4FB43CA2" w14:textId="77777777" w:rsidTr="001065A4">
        <w:tc>
          <w:tcPr>
            <w:tcW w:w="2507" w:type="dxa"/>
          </w:tcPr>
          <w:p w14:paraId="500079C9" w14:textId="2ADD4BAE" w:rsidR="008D3F6E" w:rsidRPr="001C6CCA" w:rsidRDefault="008D3F6E" w:rsidP="006F740E">
            <w:pPr>
              <w:spacing w:before="0" w:after="0" w:line="259" w:lineRule="auto"/>
              <w:jc w:val="left"/>
              <w:rPr>
                <w:b/>
                <w:sz w:val="20"/>
                <w:szCs w:val="20"/>
                <w:lang w:val="en-GB" w:eastAsia="en-US"/>
              </w:rPr>
            </w:pPr>
            <w:r w:rsidRPr="001C6CCA">
              <w:rPr>
                <w:b/>
                <w:sz w:val="20"/>
                <w:szCs w:val="20"/>
                <w:lang w:val="en-GB" w:eastAsia="en-US"/>
              </w:rPr>
              <w:t xml:space="preserve">D1C4 — </w:t>
            </w:r>
            <w:r w:rsidR="00CD75FC">
              <w:rPr>
                <w:b/>
                <w:sz w:val="20"/>
                <w:szCs w:val="20"/>
                <w:lang w:val="en-GB" w:eastAsia="en-US"/>
              </w:rPr>
              <w:t>Sekundarni</w:t>
            </w:r>
            <w:r w:rsidR="00057F97" w:rsidRPr="00D83AAE">
              <w:rPr>
                <w:rFonts w:eastAsiaTheme="minorHAnsi" w:cstheme="minorBidi"/>
                <w:b/>
                <w:sz w:val="20"/>
                <w:szCs w:val="20"/>
                <w:lang w:val="en-GB"/>
              </w:rPr>
              <w:t>:</w:t>
            </w:r>
          </w:p>
          <w:p w14:paraId="6F816B8D" w14:textId="15DFB262" w:rsidR="00057F97" w:rsidRPr="00057F97" w:rsidRDefault="00057F97" w:rsidP="006F740E">
            <w:pPr>
              <w:spacing w:after="0" w:line="240" w:lineRule="auto"/>
              <w:rPr>
                <w:sz w:val="20"/>
                <w:szCs w:val="20"/>
                <w:lang w:val="en-GB" w:eastAsia="en-US"/>
              </w:rPr>
            </w:pPr>
            <w:r>
              <w:rPr>
                <w:sz w:val="20"/>
                <w:szCs w:val="20"/>
                <w:lang w:val="en-GB" w:eastAsia="en-US"/>
              </w:rPr>
              <w:t>A</w:t>
            </w:r>
            <w:r w:rsidRPr="00057F97">
              <w:rPr>
                <w:sz w:val="20"/>
                <w:szCs w:val="20"/>
                <w:lang w:val="en-GB" w:eastAsia="en-US"/>
              </w:rPr>
              <w:t>real i, ako je relevantno, obrazac rasprostranjenosti vrste u skladu je sa glavnim fiziografskim, geografskim i klimatskim uslovima.</w:t>
            </w:r>
          </w:p>
          <w:p w14:paraId="3D4CF640" w14:textId="77777777" w:rsidR="00057F97" w:rsidRPr="001C6CCA" w:rsidRDefault="00057F97" w:rsidP="006F740E">
            <w:pPr>
              <w:spacing w:before="0" w:after="0" w:line="259" w:lineRule="auto"/>
              <w:jc w:val="left"/>
              <w:rPr>
                <w:sz w:val="20"/>
                <w:szCs w:val="20"/>
                <w:lang w:val="en-GB" w:eastAsia="en-US"/>
              </w:rPr>
            </w:pPr>
          </w:p>
        </w:tc>
        <w:tc>
          <w:tcPr>
            <w:tcW w:w="3158" w:type="dxa"/>
          </w:tcPr>
          <w:p w14:paraId="4C8FD41C" w14:textId="55DB6B77" w:rsidR="00057F97" w:rsidRPr="001C6CCA" w:rsidRDefault="00057F97" w:rsidP="006F740E">
            <w:pPr>
              <w:spacing w:before="0" w:after="0" w:line="259" w:lineRule="auto"/>
              <w:jc w:val="left"/>
              <w:rPr>
                <w:sz w:val="20"/>
                <w:szCs w:val="20"/>
                <w:lang w:val="en-GB" w:eastAsia="en-US"/>
              </w:rPr>
            </w:pPr>
            <w:r w:rsidRPr="00057F97">
              <w:rPr>
                <w:sz w:val="20"/>
                <w:szCs w:val="20"/>
                <w:lang w:val="en-GB" w:eastAsia="en-US"/>
              </w:rPr>
              <w:t xml:space="preserve">Za ove vrste nema značajnih podataka o njihovom pojavljivanju </w:t>
            </w:r>
            <w:r>
              <w:rPr>
                <w:sz w:val="20"/>
                <w:szCs w:val="20"/>
                <w:lang w:val="en-GB" w:eastAsia="en-US"/>
              </w:rPr>
              <w:t>u</w:t>
            </w:r>
            <w:r w:rsidRPr="00057F97">
              <w:rPr>
                <w:sz w:val="20"/>
                <w:szCs w:val="20"/>
                <w:lang w:val="en-GB" w:eastAsia="en-US"/>
              </w:rPr>
              <w:t xml:space="preserve"> teritorijalnim vodama</w:t>
            </w:r>
            <w:r>
              <w:rPr>
                <w:sz w:val="20"/>
                <w:szCs w:val="20"/>
                <w:lang w:val="en-GB" w:eastAsia="en-US"/>
              </w:rPr>
              <w:t xml:space="preserve"> Crne Gore</w:t>
            </w:r>
            <w:r w:rsidRPr="00057F97">
              <w:rPr>
                <w:sz w:val="20"/>
                <w:szCs w:val="20"/>
                <w:lang w:val="en-GB" w:eastAsia="en-US"/>
              </w:rPr>
              <w:t>, gdje se pojav</w:t>
            </w:r>
            <w:r>
              <w:rPr>
                <w:sz w:val="20"/>
                <w:szCs w:val="20"/>
                <w:lang w:val="en-GB" w:eastAsia="en-US"/>
              </w:rPr>
              <w:t>ljuju nakon sezone gniježđenja</w:t>
            </w:r>
            <w:r w:rsidRPr="00057F97">
              <w:rPr>
                <w:sz w:val="20"/>
                <w:szCs w:val="20"/>
                <w:lang w:val="en-GB" w:eastAsia="en-US"/>
              </w:rPr>
              <w:t xml:space="preserve">. Na osnovu dosadašnjih podataka, moguće je samo potvrditi njihovo redovno pojavljivanje, ali ne i </w:t>
            </w:r>
            <w:r>
              <w:rPr>
                <w:sz w:val="20"/>
                <w:szCs w:val="20"/>
                <w:lang w:val="en-GB" w:eastAsia="en-US"/>
              </w:rPr>
              <w:t>izvršiti procjenu</w:t>
            </w:r>
            <w:r w:rsidRPr="00057F97">
              <w:rPr>
                <w:sz w:val="20"/>
                <w:szCs w:val="20"/>
                <w:lang w:val="en-GB" w:eastAsia="en-US"/>
              </w:rPr>
              <w:t xml:space="preserve"> GES</w:t>
            </w:r>
            <w:r>
              <w:rPr>
                <w:sz w:val="20"/>
                <w:szCs w:val="20"/>
                <w:lang w:val="en-GB" w:eastAsia="en-US"/>
              </w:rPr>
              <w:t>-a</w:t>
            </w:r>
            <w:r w:rsidRPr="00057F97">
              <w:rPr>
                <w:sz w:val="20"/>
                <w:szCs w:val="20"/>
                <w:lang w:val="en-GB" w:eastAsia="en-US"/>
              </w:rPr>
              <w:t>.</w:t>
            </w:r>
          </w:p>
        </w:tc>
        <w:tc>
          <w:tcPr>
            <w:tcW w:w="3351" w:type="dxa"/>
          </w:tcPr>
          <w:p w14:paraId="5881773F" w14:textId="77777777" w:rsidR="008C3F7A" w:rsidRPr="00474EC1" w:rsidRDefault="006D7D31" w:rsidP="006F740E">
            <w:pPr>
              <w:autoSpaceDE w:val="0"/>
              <w:autoSpaceDN w:val="0"/>
              <w:adjustRightInd w:val="0"/>
              <w:spacing w:before="0" w:after="0" w:line="240" w:lineRule="auto"/>
              <w:jc w:val="left"/>
              <w:rPr>
                <w:rFonts w:cs="Calibri"/>
                <w:color w:val="000000"/>
                <w:sz w:val="20"/>
                <w:szCs w:val="20"/>
                <w:lang w:val="en-GB" w:eastAsia="en-US"/>
              </w:rPr>
            </w:pPr>
            <w:r w:rsidRPr="001C6CCA">
              <w:rPr>
                <w:rFonts w:cs="Calibri"/>
                <w:color w:val="000000"/>
                <w:sz w:val="20"/>
                <w:szCs w:val="20"/>
                <w:lang w:val="en-GB" w:eastAsia="en-US"/>
              </w:rPr>
              <w:t xml:space="preserve"> </w:t>
            </w:r>
            <w:r w:rsidR="008C3F7A" w:rsidRPr="00474EC1">
              <w:rPr>
                <w:rFonts w:cs="Calibri"/>
                <w:color w:val="000000"/>
                <w:sz w:val="20"/>
                <w:szCs w:val="20"/>
                <w:lang w:val="en-GB" w:eastAsia="en-US"/>
              </w:rPr>
              <w:t>M</w:t>
            </w:r>
            <w:r w:rsidR="008C3F7A">
              <w:rPr>
                <w:rFonts w:cs="Calibri"/>
                <w:color w:val="000000"/>
                <w:sz w:val="20"/>
                <w:szCs w:val="20"/>
                <w:lang w:val="en-GB" w:eastAsia="en-US"/>
              </w:rPr>
              <w:t>ože se</w:t>
            </w:r>
            <w:r w:rsidR="008C3F7A" w:rsidRPr="00474EC1">
              <w:rPr>
                <w:rFonts w:cs="Calibri"/>
                <w:color w:val="000000"/>
                <w:sz w:val="20"/>
                <w:szCs w:val="20"/>
                <w:lang w:val="en-GB" w:eastAsia="en-US"/>
              </w:rPr>
              <w:t xml:space="preserve"> zaključiti da je za sada GES postignut za većinu vrsta.</w:t>
            </w:r>
          </w:p>
          <w:p w14:paraId="76293DF4" w14:textId="541F86C1" w:rsidR="006D7D31" w:rsidRPr="001C6CCA" w:rsidRDefault="006D7D31" w:rsidP="006F740E">
            <w:pPr>
              <w:autoSpaceDE w:val="0"/>
              <w:autoSpaceDN w:val="0"/>
              <w:adjustRightInd w:val="0"/>
              <w:spacing w:before="0" w:after="0" w:line="240" w:lineRule="auto"/>
              <w:jc w:val="left"/>
              <w:rPr>
                <w:rFonts w:cs="Calibri"/>
                <w:color w:val="000000"/>
                <w:sz w:val="20"/>
                <w:szCs w:val="20"/>
                <w:lang w:val="en-GB" w:eastAsia="en-US"/>
              </w:rPr>
            </w:pPr>
          </w:p>
          <w:p w14:paraId="7038D79B" w14:textId="3AB47B7F" w:rsidR="008D3F6E" w:rsidRPr="001C6CCA" w:rsidRDefault="008D3F6E" w:rsidP="006F740E">
            <w:pPr>
              <w:autoSpaceDE w:val="0"/>
              <w:autoSpaceDN w:val="0"/>
              <w:adjustRightInd w:val="0"/>
              <w:spacing w:before="0" w:after="0" w:line="240" w:lineRule="auto"/>
              <w:jc w:val="left"/>
              <w:rPr>
                <w:sz w:val="20"/>
                <w:szCs w:val="20"/>
                <w:lang w:val="en-GB" w:eastAsia="en-US"/>
              </w:rPr>
            </w:pPr>
          </w:p>
        </w:tc>
      </w:tr>
      <w:tr w:rsidR="008D3F6E" w:rsidRPr="001C6CCA" w14:paraId="1A2765B7" w14:textId="77777777" w:rsidTr="001065A4">
        <w:tc>
          <w:tcPr>
            <w:tcW w:w="2507" w:type="dxa"/>
          </w:tcPr>
          <w:p w14:paraId="5086FF46" w14:textId="2FADD0D4" w:rsidR="008D3F6E" w:rsidRPr="001C6CCA" w:rsidRDefault="008D3F6E" w:rsidP="006F740E">
            <w:pPr>
              <w:spacing w:before="0" w:after="0" w:line="259" w:lineRule="auto"/>
              <w:jc w:val="left"/>
              <w:rPr>
                <w:b/>
                <w:sz w:val="20"/>
                <w:szCs w:val="20"/>
                <w:lang w:val="en-GB" w:eastAsia="en-US"/>
              </w:rPr>
            </w:pPr>
            <w:r w:rsidRPr="001C6CCA">
              <w:rPr>
                <w:b/>
                <w:sz w:val="20"/>
                <w:szCs w:val="20"/>
                <w:lang w:val="en-GB" w:eastAsia="en-US"/>
              </w:rPr>
              <w:t xml:space="preserve">D1C5 — </w:t>
            </w:r>
            <w:r w:rsidR="00CD75FC">
              <w:rPr>
                <w:b/>
                <w:sz w:val="20"/>
                <w:szCs w:val="20"/>
                <w:lang w:val="en-GB" w:eastAsia="en-US"/>
              </w:rPr>
              <w:t>Sekundarni</w:t>
            </w:r>
            <w:r w:rsidR="00057F97" w:rsidRPr="00D83AAE">
              <w:rPr>
                <w:rFonts w:eastAsiaTheme="minorHAnsi" w:cstheme="minorBidi"/>
                <w:b/>
                <w:sz w:val="20"/>
                <w:szCs w:val="20"/>
                <w:lang w:val="en-GB"/>
              </w:rPr>
              <w:t>:</w:t>
            </w:r>
          </w:p>
          <w:p w14:paraId="65FBF3E6" w14:textId="7AF923E9" w:rsidR="008D3F6E" w:rsidRPr="001C6CCA" w:rsidRDefault="00057F97" w:rsidP="006F740E">
            <w:pPr>
              <w:spacing w:before="0" w:after="0" w:line="259" w:lineRule="auto"/>
              <w:jc w:val="left"/>
              <w:rPr>
                <w:sz w:val="20"/>
                <w:szCs w:val="20"/>
                <w:lang w:val="en-GB" w:eastAsia="en-US"/>
              </w:rPr>
            </w:pPr>
            <w:r w:rsidRPr="00057F97">
              <w:rPr>
                <w:sz w:val="20"/>
                <w:szCs w:val="20"/>
                <w:lang w:val="en-GB" w:eastAsia="en-US"/>
              </w:rPr>
              <w:t>Stanište vrste ima potrebno rasprostranjenje i stanje da može podržati različite faze životnog ciklusa vrste.</w:t>
            </w:r>
          </w:p>
        </w:tc>
        <w:tc>
          <w:tcPr>
            <w:tcW w:w="3158" w:type="dxa"/>
          </w:tcPr>
          <w:p w14:paraId="0DC8A5BC" w14:textId="56290383" w:rsidR="008D3F6E" w:rsidRPr="001C6CCA" w:rsidRDefault="00057F97" w:rsidP="006F740E">
            <w:pPr>
              <w:spacing w:before="0" w:after="0" w:line="259" w:lineRule="auto"/>
              <w:jc w:val="left"/>
              <w:rPr>
                <w:sz w:val="20"/>
                <w:szCs w:val="20"/>
                <w:lang w:val="en-GB" w:eastAsia="en-US"/>
              </w:rPr>
            </w:pPr>
            <w:r>
              <w:rPr>
                <w:sz w:val="20"/>
                <w:szCs w:val="20"/>
                <w:lang w:val="en-GB" w:eastAsia="en-US"/>
              </w:rPr>
              <w:t xml:space="preserve">Nema </w:t>
            </w:r>
            <w:r w:rsidR="001928B4">
              <w:rPr>
                <w:sz w:val="20"/>
                <w:szCs w:val="20"/>
                <w:lang w:val="en-GB" w:eastAsia="en-US"/>
              </w:rPr>
              <w:t xml:space="preserve">dovoljno </w:t>
            </w:r>
            <w:r>
              <w:rPr>
                <w:sz w:val="20"/>
                <w:szCs w:val="20"/>
                <w:lang w:val="en-GB" w:eastAsia="en-US"/>
              </w:rPr>
              <w:t>podataka</w:t>
            </w:r>
            <w:r w:rsidR="001928B4">
              <w:rPr>
                <w:sz w:val="20"/>
                <w:szCs w:val="20"/>
                <w:lang w:val="en-GB" w:eastAsia="en-US"/>
              </w:rPr>
              <w:t xml:space="preserve"> za potpunu procjenu GES-a.</w:t>
            </w:r>
          </w:p>
        </w:tc>
        <w:tc>
          <w:tcPr>
            <w:tcW w:w="3351" w:type="dxa"/>
          </w:tcPr>
          <w:p w14:paraId="658AD557" w14:textId="287D3201" w:rsidR="00474EC1" w:rsidRPr="001C6CCA" w:rsidRDefault="00474EC1" w:rsidP="006F740E">
            <w:pPr>
              <w:spacing w:before="0" w:after="0" w:line="240" w:lineRule="auto"/>
              <w:jc w:val="left"/>
              <w:rPr>
                <w:sz w:val="20"/>
                <w:szCs w:val="20"/>
                <w:lang w:val="en-GB" w:eastAsia="en-US"/>
              </w:rPr>
            </w:pPr>
            <w:r w:rsidRPr="00474EC1">
              <w:rPr>
                <w:sz w:val="20"/>
                <w:szCs w:val="20"/>
                <w:lang w:val="en-GB" w:eastAsia="en-US"/>
              </w:rPr>
              <w:t xml:space="preserve">Sve vrste se uglavnom </w:t>
            </w:r>
            <w:r w:rsidR="008C3F7A">
              <w:rPr>
                <w:sz w:val="20"/>
                <w:szCs w:val="20"/>
                <w:lang w:val="en-GB" w:eastAsia="en-US"/>
              </w:rPr>
              <w:t xml:space="preserve">gnijezde </w:t>
            </w:r>
            <w:r w:rsidRPr="00474EC1">
              <w:rPr>
                <w:sz w:val="20"/>
                <w:szCs w:val="20"/>
                <w:lang w:val="en-GB" w:eastAsia="en-US"/>
              </w:rPr>
              <w:t>u v</w:t>
            </w:r>
            <w:r w:rsidR="008C3F7A">
              <w:rPr>
                <w:sz w:val="20"/>
                <w:szCs w:val="20"/>
                <w:lang w:val="en-GB" w:eastAsia="en-US"/>
              </w:rPr>
              <w:t>j</w:t>
            </w:r>
            <w:r w:rsidRPr="00474EC1">
              <w:rPr>
                <w:sz w:val="20"/>
                <w:szCs w:val="20"/>
                <w:lang w:val="en-GB" w:eastAsia="en-US"/>
              </w:rPr>
              <w:t>eštačkom ekosistemu Ulcinjske so</w:t>
            </w:r>
            <w:r w:rsidR="008C3F7A">
              <w:rPr>
                <w:sz w:val="20"/>
                <w:szCs w:val="20"/>
                <w:lang w:val="en-GB" w:eastAsia="en-US"/>
              </w:rPr>
              <w:t>lane</w:t>
            </w:r>
            <w:r w:rsidRPr="00474EC1">
              <w:rPr>
                <w:sz w:val="20"/>
                <w:szCs w:val="20"/>
                <w:lang w:val="en-GB" w:eastAsia="en-US"/>
              </w:rPr>
              <w:t xml:space="preserve">. </w:t>
            </w:r>
            <w:r w:rsidR="008C3F7A">
              <w:rPr>
                <w:sz w:val="20"/>
                <w:szCs w:val="20"/>
                <w:lang w:val="en-GB" w:eastAsia="en-US"/>
              </w:rPr>
              <w:t xml:space="preserve">Prema tome, </w:t>
            </w:r>
            <w:r w:rsidRPr="00474EC1">
              <w:rPr>
                <w:sz w:val="20"/>
                <w:szCs w:val="20"/>
                <w:lang w:val="en-GB" w:eastAsia="en-US"/>
              </w:rPr>
              <w:t xml:space="preserve">pravilno upravljanje vodama </w:t>
            </w:r>
            <w:r w:rsidR="008C3F7A">
              <w:rPr>
                <w:sz w:val="20"/>
                <w:szCs w:val="20"/>
                <w:lang w:val="en-GB" w:eastAsia="en-US"/>
              </w:rPr>
              <w:t xml:space="preserve">je </w:t>
            </w:r>
            <w:r w:rsidRPr="00474EC1">
              <w:rPr>
                <w:sz w:val="20"/>
                <w:szCs w:val="20"/>
                <w:lang w:val="en-GB" w:eastAsia="en-US"/>
              </w:rPr>
              <w:t>od ključne važnosti za održavanje ovog staništa, a time i opstanak ptica. Trenutno ljudski nemar već utiče na ovaj ekosistem, što se ogleda u neusp</w:t>
            </w:r>
            <w:r w:rsidR="008C3F7A">
              <w:rPr>
                <w:sz w:val="20"/>
                <w:szCs w:val="20"/>
                <w:lang w:val="en-GB" w:eastAsia="en-US"/>
              </w:rPr>
              <w:t>j</w:t>
            </w:r>
            <w:r w:rsidRPr="00474EC1">
              <w:rPr>
                <w:sz w:val="20"/>
                <w:szCs w:val="20"/>
                <w:lang w:val="en-GB" w:eastAsia="en-US"/>
              </w:rPr>
              <w:t xml:space="preserve">ešnom </w:t>
            </w:r>
            <w:r w:rsidR="008C3F7A">
              <w:rPr>
                <w:sz w:val="20"/>
                <w:szCs w:val="20"/>
                <w:lang w:val="en-GB" w:eastAsia="en-US"/>
              </w:rPr>
              <w:t>gniježđenju vrste</w:t>
            </w:r>
            <w:r w:rsidRPr="00474EC1">
              <w:rPr>
                <w:sz w:val="20"/>
                <w:szCs w:val="20"/>
                <w:lang w:val="en-GB" w:eastAsia="en-US"/>
              </w:rPr>
              <w:t xml:space="preserve"> </w:t>
            </w:r>
            <w:r w:rsidR="008C3F7A" w:rsidRPr="001C6CCA">
              <w:rPr>
                <w:rFonts w:cs="Calibri"/>
                <w:i/>
                <w:iCs/>
                <w:color w:val="000000"/>
                <w:sz w:val="20"/>
                <w:szCs w:val="20"/>
                <w:lang w:val="en-GB" w:eastAsia="en-US"/>
              </w:rPr>
              <w:t>Phoenicopterus roseus.</w:t>
            </w:r>
          </w:p>
        </w:tc>
      </w:tr>
    </w:tbl>
    <w:p w14:paraId="7B896C3C" w14:textId="5810E79F" w:rsidR="00895BE2" w:rsidRPr="00895BE2" w:rsidRDefault="00895BE2" w:rsidP="00895BE2">
      <w:pPr>
        <w:pStyle w:val="Heading4"/>
        <w:numPr>
          <w:ilvl w:val="0"/>
          <w:numId w:val="0"/>
        </w:numPr>
        <w:ind w:left="864"/>
        <w:rPr>
          <w:rFonts w:eastAsia="Calibri"/>
          <w:lang w:val="en-GB" w:eastAsia="en-US"/>
        </w:rPr>
      </w:pPr>
    </w:p>
    <w:p w14:paraId="696EDD72" w14:textId="0E29FADB" w:rsidR="00474EC1" w:rsidRPr="008C3F7A" w:rsidRDefault="00474EC1" w:rsidP="008C3F7A">
      <w:pPr>
        <w:pStyle w:val="Heading4"/>
        <w:rPr>
          <w:rFonts w:eastAsia="Calibri"/>
          <w:lang w:val="en-GB" w:eastAsia="en-US"/>
        </w:rPr>
      </w:pPr>
      <w:r w:rsidRPr="008C3F7A">
        <w:rPr>
          <w:rFonts w:eastAsia="Calibri" w:cs="Calibri"/>
          <w:szCs w:val="22"/>
          <w:lang w:val="en-GB" w:eastAsia="en-US"/>
        </w:rPr>
        <w:t xml:space="preserve">Pristup </w:t>
      </w:r>
      <w:r w:rsidR="00CE1E84">
        <w:rPr>
          <w:rFonts w:eastAsia="Calibri" w:cs="Calibri"/>
          <w:szCs w:val="22"/>
          <w:lang w:val="en-GB" w:eastAsia="en-US"/>
        </w:rPr>
        <w:t xml:space="preserve">definisanju ciljeva za </w:t>
      </w:r>
      <w:r w:rsidR="00487A6A">
        <w:rPr>
          <w:rFonts w:eastAsia="Calibri" w:cs="Calibri"/>
          <w:szCs w:val="22"/>
          <w:lang w:val="en-GB" w:eastAsia="en-US"/>
        </w:rPr>
        <w:t xml:space="preserve">ostvarivanje/održavanje GES-a za </w:t>
      </w:r>
      <w:r w:rsidR="00CE1E84">
        <w:rPr>
          <w:rFonts w:eastAsia="Calibri" w:cs="Calibri"/>
          <w:szCs w:val="22"/>
          <w:lang w:val="en-GB" w:eastAsia="en-US"/>
        </w:rPr>
        <w:t>morske ptice</w:t>
      </w:r>
    </w:p>
    <w:p w14:paraId="6B06A2E3" w14:textId="6DF40CE2" w:rsidR="00474EC1" w:rsidRDefault="00474EC1" w:rsidP="00474EC1">
      <w:pPr>
        <w:autoSpaceDE w:val="0"/>
        <w:autoSpaceDN w:val="0"/>
        <w:adjustRightInd w:val="0"/>
        <w:spacing w:before="0" w:after="160"/>
        <w:rPr>
          <w:rFonts w:eastAsia="Calibri" w:cs="Calibri"/>
          <w:szCs w:val="22"/>
          <w:lang w:val="en-GB" w:eastAsia="en-US"/>
        </w:rPr>
      </w:pPr>
      <w:r w:rsidRPr="00474EC1">
        <w:rPr>
          <w:rFonts w:eastAsia="Calibri" w:cs="Calibri"/>
          <w:szCs w:val="22"/>
          <w:lang w:val="en-GB" w:eastAsia="en-US"/>
        </w:rPr>
        <w:t xml:space="preserve">Za morske ptice razvijeni su ciljevi za </w:t>
      </w:r>
      <w:r w:rsidR="00B01F32">
        <w:rPr>
          <w:rFonts w:eastAsia="Calibri" w:cs="Calibri"/>
          <w:szCs w:val="22"/>
          <w:lang w:val="en-GB" w:eastAsia="en-US"/>
        </w:rPr>
        <w:t>rasprostranjenost</w:t>
      </w:r>
      <w:r w:rsidRPr="00474EC1">
        <w:rPr>
          <w:rFonts w:eastAsia="Calibri" w:cs="Calibri"/>
          <w:szCs w:val="22"/>
          <w:lang w:val="en-GB" w:eastAsia="en-US"/>
        </w:rPr>
        <w:t xml:space="preserve"> i brojnost ptica, kao i za stanje ptica (tabela 3.6). Ciljevi stanja </w:t>
      </w:r>
      <w:r w:rsidR="00B01F32">
        <w:rPr>
          <w:rFonts w:eastAsia="Calibri" w:cs="Calibri"/>
          <w:szCs w:val="22"/>
          <w:lang w:val="en-GB" w:eastAsia="en-US"/>
        </w:rPr>
        <w:t xml:space="preserve">odnose se na </w:t>
      </w:r>
      <w:r w:rsidRPr="00474EC1">
        <w:rPr>
          <w:rFonts w:eastAsia="Calibri" w:cs="Calibri"/>
          <w:szCs w:val="22"/>
          <w:lang w:val="en-GB" w:eastAsia="en-US"/>
        </w:rPr>
        <w:t xml:space="preserve">produktivnost vrsta i uticaje ključnih pritisaka. Ciljevi za </w:t>
      </w:r>
      <w:r w:rsidR="00B01F32">
        <w:rPr>
          <w:rFonts w:eastAsia="Calibri" w:cs="Calibri"/>
          <w:szCs w:val="22"/>
          <w:lang w:val="en-GB" w:eastAsia="en-US"/>
        </w:rPr>
        <w:t xml:space="preserve">rasprostranjenost </w:t>
      </w:r>
      <w:r w:rsidRPr="00474EC1">
        <w:rPr>
          <w:rFonts w:eastAsia="Calibri" w:cs="Calibri"/>
          <w:szCs w:val="22"/>
          <w:lang w:val="en-GB" w:eastAsia="en-US"/>
        </w:rPr>
        <w:t xml:space="preserve">i brojnost treba da se zasnivaju na cilju da se osigura da ljudske aktivnosti ne utiču značajno na </w:t>
      </w:r>
      <w:r w:rsidR="00B01F32">
        <w:rPr>
          <w:rFonts w:eastAsia="Calibri" w:cs="Calibri"/>
          <w:szCs w:val="22"/>
          <w:lang w:val="en-GB" w:eastAsia="en-US"/>
        </w:rPr>
        <w:t>rasprostranjenost</w:t>
      </w:r>
      <w:r w:rsidRPr="00474EC1">
        <w:rPr>
          <w:rFonts w:eastAsia="Calibri" w:cs="Calibri"/>
          <w:szCs w:val="22"/>
          <w:lang w:val="en-GB" w:eastAsia="en-US"/>
        </w:rPr>
        <w:t xml:space="preserve"> i brojnost ptica. Ovi ciljevi se zasnivaju na </w:t>
      </w:r>
      <w:r w:rsidR="00B01F32">
        <w:rPr>
          <w:rFonts w:eastAsia="Calibri" w:cs="Calibri"/>
          <w:szCs w:val="22"/>
          <w:lang w:val="en-GB" w:eastAsia="en-US"/>
        </w:rPr>
        <w:t>indikatorima</w:t>
      </w:r>
      <w:r w:rsidRPr="00474EC1">
        <w:rPr>
          <w:rFonts w:eastAsia="Calibri" w:cs="Calibri"/>
          <w:szCs w:val="22"/>
          <w:lang w:val="en-GB" w:eastAsia="en-US"/>
        </w:rPr>
        <w:t xml:space="preserve"> koji pokrivaju vrste ptica čije se populacije</w:t>
      </w:r>
      <w:r w:rsidR="00B01F32">
        <w:rPr>
          <w:rFonts w:eastAsia="Calibri" w:cs="Calibri"/>
          <w:szCs w:val="22"/>
          <w:lang w:val="en-GB" w:eastAsia="en-US"/>
        </w:rPr>
        <w:t xml:space="preserve"> na nivou podregiona</w:t>
      </w:r>
      <w:r w:rsidRPr="00474EC1">
        <w:rPr>
          <w:rFonts w:eastAsia="Calibri" w:cs="Calibri"/>
          <w:szCs w:val="22"/>
          <w:lang w:val="en-GB" w:eastAsia="en-US"/>
        </w:rPr>
        <w:t xml:space="preserve"> oslanjaju na morsk</w:t>
      </w:r>
      <w:r w:rsidR="00B01F32">
        <w:rPr>
          <w:rFonts w:eastAsia="Calibri" w:cs="Calibri"/>
          <w:szCs w:val="22"/>
          <w:lang w:val="en-GB" w:eastAsia="en-US"/>
        </w:rPr>
        <w:t>u sredinu</w:t>
      </w:r>
      <w:r w:rsidRPr="00474EC1">
        <w:rPr>
          <w:rFonts w:eastAsia="Calibri" w:cs="Calibri"/>
          <w:szCs w:val="22"/>
          <w:lang w:val="en-GB" w:eastAsia="en-US"/>
        </w:rPr>
        <w:t xml:space="preserve"> i stoga će na njih v</w:t>
      </w:r>
      <w:r w:rsidR="00B01F32">
        <w:rPr>
          <w:rFonts w:eastAsia="Calibri" w:cs="Calibri"/>
          <w:szCs w:val="22"/>
          <w:lang w:val="en-GB" w:eastAsia="en-US"/>
        </w:rPr>
        <w:t>j</w:t>
      </w:r>
      <w:r w:rsidRPr="00474EC1">
        <w:rPr>
          <w:rFonts w:eastAsia="Calibri" w:cs="Calibri"/>
          <w:szCs w:val="22"/>
          <w:lang w:val="en-GB" w:eastAsia="en-US"/>
        </w:rPr>
        <w:t>erovatno uticati  ljudsk</w:t>
      </w:r>
      <w:r w:rsidR="00B01F32">
        <w:rPr>
          <w:rFonts w:eastAsia="Calibri" w:cs="Calibri"/>
          <w:szCs w:val="22"/>
          <w:lang w:val="en-GB" w:eastAsia="en-US"/>
        </w:rPr>
        <w:t>e</w:t>
      </w:r>
      <w:r w:rsidRPr="00474EC1">
        <w:rPr>
          <w:rFonts w:eastAsia="Calibri" w:cs="Calibri"/>
          <w:szCs w:val="22"/>
          <w:lang w:val="en-GB" w:eastAsia="en-US"/>
        </w:rPr>
        <w:t xml:space="preserve"> aktivnosti u morsko</w:t>
      </w:r>
      <w:r w:rsidR="00B01F32">
        <w:rPr>
          <w:rFonts w:eastAsia="Calibri" w:cs="Calibri"/>
          <w:szCs w:val="22"/>
          <w:lang w:val="en-GB" w:eastAsia="en-US"/>
        </w:rPr>
        <w:t>j sredini</w:t>
      </w:r>
      <w:r w:rsidRPr="00474EC1">
        <w:rPr>
          <w:rFonts w:eastAsia="Calibri" w:cs="Calibri"/>
          <w:szCs w:val="22"/>
          <w:lang w:val="en-GB" w:eastAsia="en-US"/>
        </w:rPr>
        <w:t>.</w:t>
      </w:r>
    </w:p>
    <w:p w14:paraId="5258746E" w14:textId="77777777" w:rsidR="00723872" w:rsidRPr="001C6CCA" w:rsidRDefault="00723872" w:rsidP="00F65CFF">
      <w:pPr>
        <w:spacing w:before="0" w:after="0" w:line="240" w:lineRule="auto"/>
        <w:rPr>
          <w:rFonts w:eastAsia="Calibri" w:cs="Calibri"/>
          <w:b/>
          <w:color w:val="000000"/>
          <w:szCs w:val="22"/>
          <w:lang w:val="en-GB" w:eastAsia="en-US"/>
        </w:rPr>
      </w:pPr>
    </w:p>
    <w:p w14:paraId="113BC29A" w14:textId="0D73A095" w:rsidR="008D3F6E" w:rsidRPr="001C6CCA" w:rsidRDefault="008D3F6E" w:rsidP="00F65CFF">
      <w:pPr>
        <w:spacing w:before="0" w:after="0" w:line="240" w:lineRule="auto"/>
        <w:rPr>
          <w:rFonts w:eastAsia="Calibri" w:cs="Calibri"/>
          <w:b/>
          <w:bCs/>
          <w:szCs w:val="22"/>
          <w:lang w:val="en-GB" w:eastAsia="en-US"/>
        </w:rPr>
      </w:pPr>
      <w:bookmarkStart w:id="325" w:name="_Toc83643202"/>
      <w:r w:rsidRPr="001C6CCA">
        <w:rPr>
          <w:rFonts w:eastAsia="Calibri" w:cs="Calibri"/>
          <w:b/>
          <w:color w:val="000000"/>
          <w:szCs w:val="22"/>
          <w:lang w:val="en-GB" w:eastAsia="en-US"/>
        </w:rPr>
        <w:t>Tab</w:t>
      </w:r>
      <w:r w:rsidR="00474EC1">
        <w:rPr>
          <w:rFonts w:eastAsia="Calibri" w:cs="Calibri"/>
          <w:b/>
          <w:color w:val="000000"/>
          <w:szCs w:val="22"/>
          <w:lang w:val="en-GB" w:eastAsia="en-US"/>
        </w:rPr>
        <w:t>ela</w:t>
      </w:r>
      <w:r w:rsidRPr="001C6CCA">
        <w:rPr>
          <w:rFonts w:eastAsia="Calibri" w:cs="Calibri"/>
          <w:b/>
          <w:color w:val="000000"/>
          <w:szCs w:val="22"/>
          <w:lang w:val="en-GB" w:eastAsia="en-US"/>
        </w:rPr>
        <w:t xml:space="preserve"> </w:t>
      </w:r>
      <w:r w:rsidR="004D6D17" w:rsidRPr="00D932B6">
        <w:rPr>
          <w:b/>
          <w:szCs w:val="22"/>
        </w:rPr>
        <w:fldChar w:fldCharType="begin"/>
      </w:r>
      <w:r w:rsidR="004D6D17" w:rsidRPr="00D932B6">
        <w:rPr>
          <w:b/>
          <w:szCs w:val="22"/>
        </w:rPr>
        <w:instrText xml:space="preserve"> STYLEREF 1 \s </w:instrText>
      </w:r>
      <w:r w:rsidR="004D6D17" w:rsidRPr="00D932B6">
        <w:rPr>
          <w:b/>
          <w:szCs w:val="22"/>
        </w:rPr>
        <w:fldChar w:fldCharType="separate"/>
      </w:r>
      <w:r w:rsidR="000D1E20">
        <w:rPr>
          <w:b/>
          <w:noProof/>
          <w:szCs w:val="22"/>
        </w:rPr>
        <w:t>3</w:t>
      </w:r>
      <w:r w:rsidR="004D6D17" w:rsidRPr="00D932B6">
        <w:rPr>
          <w:b/>
          <w:szCs w:val="22"/>
        </w:rPr>
        <w:fldChar w:fldCharType="end"/>
      </w:r>
      <w:r w:rsidR="004D6D17" w:rsidRPr="00D932B6">
        <w:rPr>
          <w:b/>
          <w:szCs w:val="22"/>
        </w:rPr>
        <w:t>.</w:t>
      </w:r>
      <w:r w:rsidR="004D6D17" w:rsidRPr="00D932B6">
        <w:rPr>
          <w:b/>
          <w:szCs w:val="22"/>
        </w:rPr>
        <w:fldChar w:fldCharType="begin"/>
      </w:r>
      <w:r w:rsidR="004D6D17" w:rsidRPr="00D932B6">
        <w:rPr>
          <w:b/>
          <w:szCs w:val="22"/>
        </w:rPr>
        <w:instrText xml:space="preserve"> SEQ Table \* ARABIC \s 1 </w:instrText>
      </w:r>
      <w:r w:rsidR="004D6D17" w:rsidRPr="00D932B6">
        <w:rPr>
          <w:b/>
          <w:szCs w:val="22"/>
        </w:rPr>
        <w:fldChar w:fldCharType="separate"/>
      </w:r>
      <w:r w:rsidR="000D1E20">
        <w:rPr>
          <w:b/>
          <w:noProof/>
          <w:szCs w:val="22"/>
        </w:rPr>
        <w:t>6</w:t>
      </w:r>
      <w:r w:rsidR="004D6D17" w:rsidRPr="00D932B6">
        <w:rPr>
          <w:b/>
          <w:szCs w:val="22"/>
        </w:rPr>
        <w:fldChar w:fldCharType="end"/>
      </w:r>
      <w:r w:rsidR="004D6D17">
        <w:rPr>
          <w:b/>
          <w:szCs w:val="22"/>
        </w:rPr>
        <w:t>.</w:t>
      </w:r>
      <w:r w:rsidR="004D6D17" w:rsidRPr="001C6CCA">
        <w:rPr>
          <w:rFonts w:eastAsia="Calibri" w:cs="Calibri"/>
          <w:b/>
          <w:szCs w:val="22"/>
          <w:lang w:val="en-GB" w:eastAsia="en-US"/>
        </w:rPr>
        <w:t xml:space="preserve"> </w:t>
      </w:r>
      <w:r w:rsidR="00A42FC9">
        <w:rPr>
          <w:b/>
          <w:szCs w:val="22"/>
        </w:rPr>
        <w:t>Ciljevi</w:t>
      </w:r>
      <w:r w:rsidR="00A42FC9" w:rsidRPr="00AD451F">
        <w:rPr>
          <w:rFonts w:eastAsia="Calibri" w:cs="Calibri"/>
          <w:b/>
          <w:szCs w:val="22"/>
          <w:lang w:val="en-GB" w:eastAsia="en-US"/>
        </w:rPr>
        <w:t xml:space="preserve"> </w:t>
      </w:r>
      <w:r w:rsidR="00A42FC9">
        <w:rPr>
          <w:rFonts w:eastAsia="Calibri" w:cs="Calibri"/>
          <w:b/>
          <w:szCs w:val="22"/>
          <w:lang w:val="en-GB" w:eastAsia="en-US"/>
        </w:rPr>
        <w:t>koji vode ka napretku u postizanju GES-a za morske ptce</w:t>
      </w:r>
      <w:bookmarkEnd w:id="325"/>
    </w:p>
    <w:p w14:paraId="3CA556B4" w14:textId="77777777" w:rsidR="008D3F6E" w:rsidRPr="001C6CCA" w:rsidRDefault="008D3F6E" w:rsidP="00F65CFF">
      <w:pPr>
        <w:autoSpaceDE w:val="0"/>
        <w:autoSpaceDN w:val="0"/>
        <w:adjustRightInd w:val="0"/>
        <w:spacing w:before="0" w:after="0" w:line="240" w:lineRule="auto"/>
        <w:jc w:val="left"/>
        <w:rPr>
          <w:rFonts w:eastAsia="Calibri" w:cs="Calibri"/>
          <w:b/>
          <w:color w:val="000000"/>
          <w:sz w:val="20"/>
          <w:szCs w:val="20"/>
          <w:lang w:val="en-GB" w:eastAsia="en-US"/>
        </w:rPr>
      </w:pPr>
    </w:p>
    <w:tbl>
      <w:tblPr>
        <w:tblStyle w:val="GolderTable41"/>
        <w:tblW w:w="9067"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ayout w:type="fixed"/>
        <w:tblLook w:val="04A0" w:firstRow="1" w:lastRow="0" w:firstColumn="1" w:lastColumn="0" w:noHBand="0" w:noVBand="1"/>
      </w:tblPr>
      <w:tblGrid>
        <w:gridCol w:w="1980"/>
        <w:gridCol w:w="6095"/>
        <w:gridCol w:w="992"/>
      </w:tblGrid>
      <w:tr w:rsidR="00E24841" w:rsidRPr="001C6CCA" w14:paraId="1B382129" w14:textId="77777777" w:rsidTr="00B4601E">
        <w:trPr>
          <w:tblHeader/>
        </w:trPr>
        <w:tc>
          <w:tcPr>
            <w:tcW w:w="9067" w:type="dxa"/>
            <w:gridSpan w:val="3"/>
            <w:shd w:val="clear" w:color="auto" w:fill="1F497D" w:themeFill="text2"/>
          </w:tcPr>
          <w:p w14:paraId="4FC387A8" w14:textId="2CD4CB1E" w:rsidR="00E24841" w:rsidRPr="00291309" w:rsidRDefault="00E24841" w:rsidP="00E24841">
            <w:pPr>
              <w:autoSpaceDE w:val="0"/>
              <w:autoSpaceDN w:val="0"/>
              <w:adjustRightInd w:val="0"/>
              <w:spacing w:before="0" w:after="0" w:line="240" w:lineRule="auto"/>
              <w:jc w:val="center"/>
              <w:rPr>
                <w:rFonts w:cs="Calibri"/>
                <w:b/>
                <w:color w:val="FFFFFF" w:themeColor="background1"/>
                <w:lang w:val="en-GB" w:eastAsia="en-US"/>
              </w:rPr>
            </w:pPr>
            <w:r>
              <w:rPr>
                <w:rFonts w:cs="Calibri"/>
                <w:b/>
                <w:color w:val="FFFFFF" w:themeColor="background1"/>
                <w:lang w:val="en-GB" w:eastAsia="en-US"/>
              </w:rPr>
              <w:t>Područje procjene: nacionalni nivo – crnogorski dio Jadrana</w:t>
            </w:r>
          </w:p>
        </w:tc>
      </w:tr>
      <w:tr w:rsidR="008D3F6E" w:rsidRPr="001C6CCA" w14:paraId="133F0F6C" w14:textId="77777777" w:rsidTr="00291309">
        <w:trPr>
          <w:tblHeader/>
        </w:trPr>
        <w:tc>
          <w:tcPr>
            <w:tcW w:w="1980" w:type="dxa"/>
            <w:shd w:val="clear" w:color="auto" w:fill="1F497D" w:themeFill="text2"/>
          </w:tcPr>
          <w:p w14:paraId="2DFBF92E" w14:textId="3D25AFBD" w:rsidR="008D3F6E" w:rsidRPr="00291309" w:rsidRDefault="00057F97" w:rsidP="00F65CFF">
            <w:pPr>
              <w:spacing w:before="0" w:after="0" w:line="240" w:lineRule="auto"/>
              <w:jc w:val="left"/>
              <w:rPr>
                <w:rFonts w:cs="Calibri"/>
                <w:b/>
                <w:color w:val="FFFFFF" w:themeColor="background1"/>
                <w:lang w:val="en-GB" w:eastAsia="en-US"/>
              </w:rPr>
            </w:pPr>
            <w:r w:rsidRPr="00291309">
              <w:rPr>
                <w:rFonts w:cs="Calibri"/>
                <w:b/>
                <w:color w:val="FFFFFF" w:themeColor="background1"/>
                <w:lang w:val="en-GB" w:eastAsia="en-US"/>
              </w:rPr>
              <w:t>Kriterijum</w:t>
            </w:r>
          </w:p>
        </w:tc>
        <w:tc>
          <w:tcPr>
            <w:tcW w:w="6095" w:type="dxa"/>
            <w:tcBorders>
              <w:right w:val="single" w:sz="4" w:space="0" w:color="auto"/>
            </w:tcBorders>
            <w:shd w:val="clear" w:color="auto" w:fill="1F497D" w:themeFill="text2"/>
          </w:tcPr>
          <w:p w14:paraId="36931F9F" w14:textId="342D72E9" w:rsidR="008D3F6E" w:rsidRPr="00291309" w:rsidRDefault="00057F97" w:rsidP="00F65CFF">
            <w:pPr>
              <w:autoSpaceDE w:val="0"/>
              <w:autoSpaceDN w:val="0"/>
              <w:adjustRightInd w:val="0"/>
              <w:spacing w:before="0" w:after="0" w:line="240" w:lineRule="auto"/>
              <w:jc w:val="center"/>
              <w:rPr>
                <w:rFonts w:cs="Calibri"/>
                <w:b/>
                <w:color w:val="FFFFFF" w:themeColor="background1"/>
                <w:lang w:val="en-GB" w:eastAsia="en-US"/>
              </w:rPr>
            </w:pPr>
            <w:r w:rsidRPr="00291309">
              <w:rPr>
                <w:rFonts w:cs="Calibri"/>
                <w:b/>
                <w:color w:val="FFFFFF" w:themeColor="background1"/>
                <w:lang w:val="en-GB" w:eastAsia="en-US"/>
              </w:rPr>
              <w:t>Cilj</w:t>
            </w:r>
          </w:p>
          <w:p w14:paraId="4530DC4C" w14:textId="77777777" w:rsidR="008D3F6E" w:rsidRPr="00291309" w:rsidRDefault="008D3F6E" w:rsidP="00F65CFF">
            <w:pPr>
              <w:autoSpaceDE w:val="0"/>
              <w:autoSpaceDN w:val="0"/>
              <w:adjustRightInd w:val="0"/>
              <w:spacing w:before="0" w:after="0" w:line="240" w:lineRule="auto"/>
              <w:jc w:val="left"/>
              <w:rPr>
                <w:rFonts w:cs="Calibri"/>
                <w:b/>
                <w:color w:val="FFFFFF" w:themeColor="background1"/>
                <w:lang w:val="en-GB" w:eastAsia="en-US"/>
              </w:rPr>
            </w:pPr>
          </w:p>
        </w:tc>
        <w:tc>
          <w:tcPr>
            <w:tcW w:w="992" w:type="dxa"/>
            <w:tcBorders>
              <w:left w:val="single" w:sz="4" w:space="0" w:color="auto"/>
            </w:tcBorders>
            <w:shd w:val="clear" w:color="auto" w:fill="1F497D" w:themeFill="text2"/>
          </w:tcPr>
          <w:p w14:paraId="7E8018A9" w14:textId="2FC407ED" w:rsidR="008D3F6E" w:rsidRPr="00291309" w:rsidRDefault="00057F97" w:rsidP="00F65CFF">
            <w:pPr>
              <w:autoSpaceDE w:val="0"/>
              <w:autoSpaceDN w:val="0"/>
              <w:adjustRightInd w:val="0"/>
              <w:spacing w:before="0" w:after="0" w:line="240" w:lineRule="auto"/>
              <w:jc w:val="left"/>
              <w:rPr>
                <w:rFonts w:cs="Calibri"/>
                <w:b/>
                <w:color w:val="FFFFFF" w:themeColor="background1"/>
                <w:lang w:val="en-GB" w:eastAsia="en-US"/>
              </w:rPr>
            </w:pPr>
            <w:r w:rsidRPr="00291309">
              <w:rPr>
                <w:rFonts w:cs="Calibri"/>
                <w:b/>
                <w:color w:val="FFFFFF" w:themeColor="background1"/>
                <w:lang w:val="en-GB" w:eastAsia="en-US"/>
              </w:rPr>
              <w:t>Kod cilja</w:t>
            </w:r>
          </w:p>
        </w:tc>
      </w:tr>
      <w:tr w:rsidR="008D3F6E" w:rsidRPr="001C6CCA" w14:paraId="0C69E467" w14:textId="77777777" w:rsidTr="00E05B70">
        <w:tc>
          <w:tcPr>
            <w:tcW w:w="1980" w:type="dxa"/>
          </w:tcPr>
          <w:p w14:paraId="1A18752C" w14:textId="7FA972EF" w:rsidR="00B01F32" w:rsidRPr="00B01F32" w:rsidRDefault="00B01F32" w:rsidP="00B01F32">
            <w:pPr>
              <w:autoSpaceDE w:val="0"/>
              <w:autoSpaceDN w:val="0"/>
              <w:adjustRightInd w:val="0"/>
              <w:spacing w:before="0" w:after="160"/>
              <w:rPr>
                <w:rFonts w:cs="Calibri"/>
                <w:sz w:val="20"/>
                <w:szCs w:val="20"/>
                <w:lang w:val="en-GB" w:eastAsia="en-US"/>
              </w:rPr>
            </w:pPr>
            <w:r w:rsidRPr="00B01F32">
              <w:rPr>
                <w:rFonts w:cs="Calibri"/>
                <w:b/>
                <w:sz w:val="20"/>
                <w:szCs w:val="20"/>
                <w:lang w:val="en-GB" w:eastAsia="en-US"/>
              </w:rPr>
              <w:t>D1C1 – Primarni:</w:t>
            </w:r>
            <w:r w:rsidRPr="00B01F32">
              <w:rPr>
                <w:rFonts w:cs="Calibri"/>
                <w:sz w:val="20"/>
                <w:szCs w:val="20"/>
                <w:lang w:val="en-GB" w:eastAsia="en-US"/>
              </w:rPr>
              <w:t xml:space="preserve"> Stopa smrtnosti po vrsti kao re</w:t>
            </w:r>
            <w:r>
              <w:rPr>
                <w:rFonts w:cs="Calibri"/>
                <w:sz w:val="20"/>
                <w:szCs w:val="20"/>
                <w:lang w:val="en-GB" w:eastAsia="en-US"/>
              </w:rPr>
              <w:t>zultat slučajnog usputnog ulova</w:t>
            </w:r>
          </w:p>
        </w:tc>
        <w:tc>
          <w:tcPr>
            <w:tcW w:w="6095" w:type="dxa"/>
            <w:tcBorders>
              <w:right w:val="single" w:sz="4" w:space="0" w:color="auto"/>
            </w:tcBorders>
          </w:tcPr>
          <w:p w14:paraId="681733D3" w14:textId="40BA747F" w:rsidR="00B01F32" w:rsidRPr="00B01F32" w:rsidRDefault="00B01F32" w:rsidP="00B01F32">
            <w:pPr>
              <w:autoSpaceDE w:val="0"/>
              <w:autoSpaceDN w:val="0"/>
              <w:adjustRightInd w:val="0"/>
              <w:spacing w:before="0" w:after="0" w:line="240" w:lineRule="auto"/>
              <w:rPr>
                <w:rFonts w:cs="Calibri"/>
                <w:color w:val="000000"/>
                <w:sz w:val="20"/>
                <w:szCs w:val="20"/>
                <w:lang w:val="en-GB" w:eastAsia="en-US"/>
              </w:rPr>
            </w:pPr>
            <w:r w:rsidRPr="00B01F32">
              <w:rPr>
                <w:rFonts w:cs="Calibri"/>
                <w:color w:val="000000"/>
                <w:sz w:val="20"/>
                <w:szCs w:val="20"/>
                <w:lang w:val="en-GB" w:eastAsia="en-US"/>
              </w:rPr>
              <w:t xml:space="preserve">Dugoročnoj održivosti populacija morskih ptica ne prijeti smrt usljed </w:t>
            </w:r>
            <w:r>
              <w:rPr>
                <w:rFonts w:cs="Calibri"/>
                <w:sz w:val="20"/>
                <w:szCs w:val="20"/>
                <w:lang w:val="en-GB" w:eastAsia="en-US"/>
              </w:rPr>
              <w:t>usputnog ulova</w:t>
            </w:r>
            <w:r w:rsidRPr="00B01F32">
              <w:rPr>
                <w:rFonts w:cs="Calibri"/>
                <w:color w:val="000000"/>
                <w:sz w:val="20"/>
                <w:szCs w:val="20"/>
                <w:lang w:val="en-GB" w:eastAsia="en-US"/>
              </w:rPr>
              <w:t xml:space="preserve"> pokretn</w:t>
            </w:r>
            <w:r>
              <w:rPr>
                <w:rFonts w:cs="Calibri"/>
                <w:color w:val="000000"/>
                <w:sz w:val="20"/>
                <w:szCs w:val="20"/>
                <w:lang w:val="en-GB" w:eastAsia="en-US"/>
              </w:rPr>
              <w:t>om</w:t>
            </w:r>
            <w:r w:rsidRPr="00B01F32">
              <w:rPr>
                <w:rFonts w:cs="Calibri"/>
                <w:color w:val="000000"/>
                <w:sz w:val="20"/>
                <w:szCs w:val="20"/>
                <w:lang w:val="en-GB" w:eastAsia="en-US"/>
              </w:rPr>
              <w:t xml:space="preserve"> i statičn</w:t>
            </w:r>
            <w:r>
              <w:rPr>
                <w:rFonts w:cs="Calibri"/>
                <w:color w:val="000000"/>
                <w:sz w:val="20"/>
                <w:szCs w:val="20"/>
                <w:lang w:val="en-GB" w:eastAsia="en-US"/>
              </w:rPr>
              <w:t>om</w:t>
            </w:r>
            <w:r w:rsidRPr="00B01F32">
              <w:rPr>
                <w:rFonts w:cs="Calibri"/>
                <w:color w:val="000000"/>
                <w:sz w:val="20"/>
                <w:szCs w:val="20"/>
                <w:lang w:val="en-GB" w:eastAsia="en-US"/>
              </w:rPr>
              <w:t xml:space="preserve"> ribolovn</w:t>
            </w:r>
            <w:r>
              <w:rPr>
                <w:rFonts w:cs="Calibri"/>
                <w:color w:val="000000"/>
                <w:sz w:val="20"/>
                <w:szCs w:val="20"/>
                <w:lang w:val="en-GB" w:eastAsia="en-US"/>
              </w:rPr>
              <w:t>om opremom</w:t>
            </w:r>
            <w:r w:rsidRPr="00B01F32">
              <w:rPr>
                <w:rFonts w:cs="Calibri"/>
                <w:color w:val="000000"/>
                <w:sz w:val="20"/>
                <w:szCs w:val="20"/>
                <w:lang w:val="en-GB" w:eastAsia="en-US"/>
              </w:rPr>
              <w:t>.</w:t>
            </w:r>
          </w:p>
          <w:p w14:paraId="3753CBDD" w14:textId="3AEF91B2" w:rsidR="00B01F32" w:rsidRPr="001C6CCA" w:rsidRDefault="00B01F32" w:rsidP="00B01F32">
            <w:pPr>
              <w:autoSpaceDE w:val="0"/>
              <w:autoSpaceDN w:val="0"/>
              <w:adjustRightInd w:val="0"/>
              <w:spacing w:before="0" w:after="0" w:line="240" w:lineRule="auto"/>
              <w:rPr>
                <w:rFonts w:cs="Calibri"/>
                <w:color w:val="000000"/>
                <w:sz w:val="20"/>
                <w:szCs w:val="20"/>
                <w:lang w:val="en-GB" w:eastAsia="en-US"/>
              </w:rPr>
            </w:pPr>
          </w:p>
        </w:tc>
        <w:tc>
          <w:tcPr>
            <w:tcW w:w="992" w:type="dxa"/>
            <w:tcBorders>
              <w:left w:val="single" w:sz="4" w:space="0" w:color="auto"/>
            </w:tcBorders>
          </w:tcPr>
          <w:p w14:paraId="24C09D93" w14:textId="64C63637" w:rsidR="008D3F6E" w:rsidRPr="001C6CCA" w:rsidRDefault="006C2A6C" w:rsidP="00F65CFF">
            <w:pPr>
              <w:autoSpaceDE w:val="0"/>
              <w:autoSpaceDN w:val="0"/>
              <w:adjustRightInd w:val="0"/>
              <w:spacing w:before="0" w:after="0" w:line="240" w:lineRule="auto"/>
              <w:jc w:val="left"/>
              <w:rPr>
                <w:rFonts w:cs="Calibri"/>
                <w:b/>
                <w:color w:val="000000"/>
                <w:sz w:val="20"/>
                <w:szCs w:val="20"/>
                <w:highlight w:val="yellow"/>
                <w:lang w:val="en-GB" w:eastAsia="en-US"/>
              </w:rPr>
            </w:pPr>
            <w:r w:rsidRPr="001C6CCA">
              <w:rPr>
                <w:rFonts w:cs="Calibri"/>
                <w:b/>
                <w:color w:val="000000"/>
                <w:sz w:val="20"/>
                <w:szCs w:val="20"/>
                <w:lang w:val="en-GB" w:eastAsia="en-US"/>
              </w:rPr>
              <w:t>D1T1B</w:t>
            </w:r>
            <w:r w:rsidR="00F3755C" w:rsidRPr="001C6CCA">
              <w:rPr>
                <w:rFonts w:cs="Calibri"/>
                <w:b/>
                <w:color w:val="000000"/>
                <w:sz w:val="20"/>
                <w:szCs w:val="20"/>
                <w:lang w:val="en-GB" w:eastAsia="en-US"/>
              </w:rPr>
              <w:t>*</w:t>
            </w:r>
          </w:p>
        </w:tc>
      </w:tr>
      <w:tr w:rsidR="009C4C08" w:rsidRPr="001C6CCA" w14:paraId="0A60BC42" w14:textId="77777777" w:rsidTr="00E05B70">
        <w:tc>
          <w:tcPr>
            <w:tcW w:w="1980" w:type="dxa"/>
          </w:tcPr>
          <w:p w14:paraId="450C7D5D" w14:textId="77777777" w:rsidR="009C4C08" w:rsidRPr="00B01F32" w:rsidRDefault="009C4C08" w:rsidP="00B01F32">
            <w:pPr>
              <w:autoSpaceDE w:val="0"/>
              <w:autoSpaceDN w:val="0"/>
              <w:adjustRightInd w:val="0"/>
              <w:spacing w:before="0" w:after="160"/>
              <w:rPr>
                <w:rFonts w:cs="Calibri"/>
                <w:b/>
                <w:sz w:val="20"/>
                <w:szCs w:val="20"/>
                <w:lang w:val="en-GB" w:eastAsia="en-US"/>
              </w:rPr>
            </w:pPr>
            <w:r w:rsidRPr="00B01F32">
              <w:rPr>
                <w:rFonts w:cs="Calibri"/>
                <w:b/>
                <w:sz w:val="20"/>
                <w:szCs w:val="20"/>
                <w:lang w:val="en-GB" w:eastAsia="en-US"/>
              </w:rPr>
              <w:t>D1C2 – Primarni:</w:t>
            </w:r>
          </w:p>
          <w:p w14:paraId="27BAFA15" w14:textId="2DF784A8" w:rsidR="009C4C08" w:rsidRPr="00B01F32" w:rsidRDefault="009C4C08" w:rsidP="00B01F32">
            <w:pPr>
              <w:autoSpaceDE w:val="0"/>
              <w:autoSpaceDN w:val="0"/>
              <w:adjustRightInd w:val="0"/>
              <w:spacing w:before="0" w:after="160"/>
              <w:rPr>
                <w:rFonts w:cs="Calibri"/>
                <w:sz w:val="20"/>
                <w:szCs w:val="20"/>
                <w:lang w:val="en-GB" w:eastAsia="en-US"/>
              </w:rPr>
            </w:pPr>
            <w:r w:rsidRPr="00B01F32">
              <w:rPr>
                <w:sz w:val="20"/>
                <w:szCs w:val="20"/>
                <w:lang w:val="en-GB" w:eastAsia="en-US"/>
              </w:rPr>
              <w:t>Brojnost populacije vrsta</w:t>
            </w:r>
          </w:p>
        </w:tc>
        <w:tc>
          <w:tcPr>
            <w:tcW w:w="6095" w:type="dxa"/>
            <w:vMerge w:val="restart"/>
            <w:tcBorders>
              <w:right w:val="single" w:sz="4" w:space="0" w:color="auto"/>
            </w:tcBorders>
          </w:tcPr>
          <w:p w14:paraId="086422D2" w14:textId="77777777" w:rsidR="009C4C08" w:rsidRDefault="009C4C08" w:rsidP="00F65CFF">
            <w:pPr>
              <w:autoSpaceDE w:val="0"/>
              <w:autoSpaceDN w:val="0"/>
              <w:adjustRightInd w:val="0"/>
              <w:spacing w:before="0" w:after="0"/>
              <w:rPr>
                <w:rFonts w:cs="Calibri"/>
                <w:color w:val="000000"/>
                <w:sz w:val="20"/>
                <w:szCs w:val="20"/>
                <w:lang w:val="en-GB" w:eastAsia="en-US"/>
              </w:rPr>
            </w:pPr>
          </w:p>
          <w:p w14:paraId="6AF73A5F" w14:textId="77777777" w:rsidR="009C4C08" w:rsidRDefault="009C4C08" w:rsidP="00F65CFF">
            <w:pPr>
              <w:autoSpaceDE w:val="0"/>
              <w:autoSpaceDN w:val="0"/>
              <w:adjustRightInd w:val="0"/>
              <w:spacing w:before="0" w:after="0"/>
              <w:rPr>
                <w:rFonts w:cs="Calibri"/>
                <w:color w:val="000000"/>
                <w:sz w:val="20"/>
                <w:szCs w:val="20"/>
                <w:lang w:val="en-GB" w:eastAsia="en-US"/>
              </w:rPr>
            </w:pPr>
          </w:p>
          <w:p w14:paraId="457F2443" w14:textId="77777777" w:rsidR="009C4C08" w:rsidRDefault="009C4C08" w:rsidP="00F65CFF">
            <w:pPr>
              <w:autoSpaceDE w:val="0"/>
              <w:autoSpaceDN w:val="0"/>
              <w:adjustRightInd w:val="0"/>
              <w:spacing w:before="0" w:after="0"/>
              <w:rPr>
                <w:rFonts w:cs="Calibri"/>
                <w:color w:val="000000"/>
                <w:sz w:val="20"/>
                <w:szCs w:val="20"/>
                <w:lang w:val="en-GB" w:eastAsia="en-US"/>
              </w:rPr>
            </w:pPr>
          </w:p>
          <w:p w14:paraId="11C9DE89" w14:textId="2987456D" w:rsidR="009C4C08" w:rsidRPr="001C6CCA" w:rsidRDefault="009C4C08" w:rsidP="00F65CFF">
            <w:pPr>
              <w:autoSpaceDE w:val="0"/>
              <w:autoSpaceDN w:val="0"/>
              <w:adjustRightInd w:val="0"/>
              <w:spacing w:before="0" w:after="0"/>
              <w:rPr>
                <w:rFonts w:cs="Calibri"/>
                <w:color w:val="000000"/>
                <w:sz w:val="20"/>
                <w:szCs w:val="20"/>
                <w:lang w:val="en-GB" w:eastAsia="en-US"/>
              </w:rPr>
            </w:pPr>
            <w:r w:rsidRPr="00B01F32">
              <w:rPr>
                <w:rFonts w:cs="Calibri"/>
                <w:color w:val="000000"/>
                <w:sz w:val="20"/>
                <w:szCs w:val="20"/>
                <w:lang w:val="en-GB" w:eastAsia="en-US"/>
              </w:rPr>
              <w:t>Veličina populacije morskih vrsta ptica nije se značajno smanjila kao rezultat ljudskih aktivnosti.</w:t>
            </w:r>
          </w:p>
        </w:tc>
        <w:tc>
          <w:tcPr>
            <w:tcW w:w="992" w:type="dxa"/>
            <w:vMerge w:val="restart"/>
            <w:tcBorders>
              <w:left w:val="single" w:sz="4" w:space="0" w:color="auto"/>
            </w:tcBorders>
          </w:tcPr>
          <w:p w14:paraId="4D51191B" w14:textId="77777777" w:rsidR="009C4C08" w:rsidRDefault="009C4C08" w:rsidP="00F65CFF">
            <w:pPr>
              <w:autoSpaceDE w:val="0"/>
              <w:autoSpaceDN w:val="0"/>
              <w:adjustRightInd w:val="0"/>
              <w:spacing w:before="0" w:after="0"/>
              <w:jc w:val="left"/>
              <w:rPr>
                <w:rFonts w:cs="Calibri"/>
                <w:b/>
                <w:color w:val="000000"/>
                <w:sz w:val="20"/>
                <w:szCs w:val="20"/>
                <w:lang w:val="en-GB" w:eastAsia="en-US"/>
              </w:rPr>
            </w:pPr>
          </w:p>
          <w:p w14:paraId="2FEF46E1" w14:textId="77777777" w:rsidR="009C4C08" w:rsidRDefault="009C4C08" w:rsidP="00F65CFF">
            <w:pPr>
              <w:autoSpaceDE w:val="0"/>
              <w:autoSpaceDN w:val="0"/>
              <w:adjustRightInd w:val="0"/>
              <w:spacing w:before="0" w:after="0"/>
              <w:jc w:val="left"/>
              <w:rPr>
                <w:rFonts w:cs="Calibri"/>
                <w:b/>
                <w:color w:val="000000"/>
                <w:sz w:val="20"/>
                <w:szCs w:val="20"/>
                <w:lang w:val="en-GB" w:eastAsia="en-US"/>
              </w:rPr>
            </w:pPr>
          </w:p>
          <w:p w14:paraId="67144E76" w14:textId="77777777" w:rsidR="009C4C08" w:rsidRDefault="009C4C08" w:rsidP="00F65CFF">
            <w:pPr>
              <w:autoSpaceDE w:val="0"/>
              <w:autoSpaceDN w:val="0"/>
              <w:adjustRightInd w:val="0"/>
              <w:spacing w:before="0" w:after="0"/>
              <w:jc w:val="left"/>
              <w:rPr>
                <w:rFonts w:cs="Calibri"/>
                <w:b/>
                <w:color w:val="000000"/>
                <w:sz w:val="20"/>
                <w:szCs w:val="20"/>
                <w:lang w:val="en-GB" w:eastAsia="en-US"/>
              </w:rPr>
            </w:pPr>
          </w:p>
          <w:p w14:paraId="086AF5B4" w14:textId="097EF89D" w:rsidR="009C4C08" w:rsidRPr="001C6CCA" w:rsidRDefault="009C4C08" w:rsidP="00F65CFF">
            <w:pPr>
              <w:autoSpaceDE w:val="0"/>
              <w:autoSpaceDN w:val="0"/>
              <w:adjustRightInd w:val="0"/>
              <w:spacing w:before="0" w:after="0"/>
              <w:jc w:val="left"/>
              <w:rPr>
                <w:rFonts w:cs="Calibri"/>
                <w:b/>
                <w:color w:val="000000"/>
                <w:sz w:val="20"/>
                <w:szCs w:val="20"/>
                <w:lang w:val="en-GB" w:eastAsia="en-US"/>
              </w:rPr>
            </w:pPr>
            <w:r w:rsidRPr="001C6CCA">
              <w:rPr>
                <w:rFonts w:cs="Calibri"/>
                <w:b/>
                <w:color w:val="000000"/>
                <w:sz w:val="20"/>
                <w:szCs w:val="20"/>
                <w:lang w:val="en-GB" w:eastAsia="en-US"/>
              </w:rPr>
              <w:t>D1T2B</w:t>
            </w:r>
          </w:p>
        </w:tc>
      </w:tr>
      <w:tr w:rsidR="009C4C08" w:rsidRPr="001C6CCA" w14:paraId="3220E467" w14:textId="77777777" w:rsidTr="00E05B70">
        <w:tc>
          <w:tcPr>
            <w:tcW w:w="1980" w:type="dxa"/>
          </w:tcPr>
          <w:p w14:paraId="2DD5B5AD" w14:textId="40E2829A" w:rsidR="009C4C08" w:rsidRPr="00B01F32" w:rsidRDefault="009C4C08" w:rsidP="00B01F32">
            <w:pPr>
              <w:autoSpaceDE w:val="0"/>
              <w:autoSpaceDN w:val="0"/>
              <w:adjustRightInd w:val="0"/>
              <w:spacing w:before="0" w:after="160"/>
              <w:rPr>
                <w:rFonts w:cs="Calibri"/>
                <w:b/>
                <w:sz w:val="20"/>
                <w:szCs w:val="20"/>
                <w:lang w:val="en-GB" w:eastAsia="en-US"/>
              </w:rPr>
            </w:pPr>
            <w:r>
              <w:rPr>
                <w:rFonts w:cs="Calibri"/>
                <w:b/>
                <w:sz w:val="20"/>
                <w:szCs w:val="20"/>
                <w:lang w:val="en-GB" w:eastAsia="en-US"/>
              </w:rPr>
              <w:t xml:space="preserve">D1C4 – </w:t>
            </w:r>
            <w:r w:rsidR="00291309">
              <w:rPr>
                <w:rFonts w:cs="Calibri"/>
                <w:b/>
                <w:sz w:val="20"/>
                <w:szCs w:val="20"/>
                <w:lang w:val="en-GB" w:eastAsia="en-US"/>
              </w:rPr>
              <w:t>Sekundarni</w:t>
            </w:r>
            <w:r>
              <w:rPr>
                <w:rFonts w:cs="Calibri"/>
                <w:b/>
                <w:sz w:val="20"/>
                <w:szCs w:val="20"/>
                <w:lang w:val="en-GB" w:eastAsia="en-US"/>
              </w:rPr>
              <w:t xml:space="preserve">: </w:t>
            </w:r>
            <w:r w:rsidRPr="009C4C08">
              <w:rPr>
                <w:rFonts w:cs="Calibri"/>
                <w:sz w:val="20"/>
                <w:szCs w:val="20"/>
                <w:lang w:val="en-GB" w:eastAsia="en-US"/>
              </w:rPr>
              <w:t xml:space="preserve">rasprostranjenost </w:t>
            </w:r>
            <w:r>
              <w:rPr>
                <w:rFonts w:cs="Calibri"/>
                <w:sz w:val="20"/>
                <w:szCs w:val="20"/>
                <w:lang w:val="en-GB" w:eastAsia="en-US"/>
              </w:rPr>
              <w:t xml:space="preserve">vrsta </w:t>
            </w:r>
          </w:p>
        </w:tc>
        <w:tc>
          <w:tcPr>
            <w:tcW w:w="6095" w:type="dxa"/>
            <w:vMerge/>
            <w:tcBorders>
              <w:right w:val="single" w:sz="4" w:space="0" w:color="auto"/>
            </w:tcBorders>
          </w:tcPr>
          <w:p w14:paraId="7AA784C3" w14:textId="77777777" w:rsidR="009C4C08" w:rsidRPr="00B01F32" w:rsidRDefault="009C4C08" w:rsidP="00F65CFF">
            <w:pPr>
              <w:autoSpaceDE w:val="0"/>
              <w:autoSpaceDN w:val="0"/>
              <w:adjustRightInd w:val="0"/>
              <w:spacing w:before="0" w:after="0"/>
              <w:rPr>
                <w:rFonts w:cs="Calibri"/>
                <w:color w:val="000000"/>
                <w:sz w:val="20"/>
                <w:szCs w:val="20"/>
                <w:lang w:val="en-GB" w:eastAsia="en-US"/>
              </w:rPr>
            </w:pPr>
          </w:p>
        </w:tc>
        <w:tc>
          <w:tcPr>
            <w:tcW w:w="992" w:type="dxa"/>
            <w:vMerge/>
            <w:tcBorders>
              <w:left w:val="single" w:sz="4" w:space="0" w:color="auto"/>
            </w:tcBorders>
          </w:tcPr>
          <w:p w14:paraId="079D21A8" w14:textId="77777777" w:rsidR="009C4C08" w:rsidRPr="001C6CCA" w:rsidRDefault="009C4C08" w:rsidP="00F65CFF">
            <w:pPr>
              <w:autoSpaceDE w:val="0"/>
              <w:autoSpaceDN w:val="0"/>
              <w:adjustRightInd w:val="0"/>
              <w:spacing w:before="0" w:after="0"/>
              <w:jc w:val="left"/>
              <w:rPr>
                <w:rFonts w:cs="Calibri"/>
                <w:b/>
                <w:color w:val="000000"/>
                <w:sz w:val="20"/>
                <w:szCs w:val="20"/>
                <w:lang w:val="en-GB" w:eastAsia="en-US"/>
              </w:rPr>
            </w:pPr>
          </w:p>
        </w:tc>
      </w:tr>
      <w:tr w:rsidR="008D3F6E" w:rsidRPr="001C6CCA" w14:paraId="19DAD7A4" w14:textId="77777777" w:rsidTr="00E05B70">
        <w:tc>
          <w:tcPr>
            <w:tcW w:w="1980" w:type="dxa"/>
          </w:tcPr>
          <w:p w14:paraId="22328A76" w14:textId="4A80547B" w:rsidR="008D3F6E" w:rsidRPr="001C6CCA" w:rsidRDefault="00B01F32" w:rsidP="00F65CFF">
            <w:pPr>
              <w:spacing w:before="0" w:after="0" w:line="240" w:lineRule="auto"/>
              <w:jc w:val="left"/>
              <w:rPr>
                <w:rFonts w:cs="Calibri"/>
                <w:sz w:val="20"/>
                <w:szCs w:val="20"/>
                <w:lang w:val="en-GB" w:eastAsia="en-US"/>
              </w:rPr>
            </w:pPr>
            <w:r>
              <w:rPr>
                <w:rFonts w:cs="Calibri"/>
                <w:sz w:val="20"/>
                <w:szCs w:val="20"/>
                <w:lang w:val="en-GB" w:eastAsia="en-US"/>
              </w:rPr>
              <w:t>Operativni ciljevi</w:t>
            </w:r>
          </w:p>
        </w:tc>
        <w:tc>
          <w:tcPr>
            <w:tcW w:w="7087" w:type="dxa"/>
            <w:gridSpan w:val="2"/>
          </w:tcPr>
          <w:p w14:paraId="520D8261" w14:textId="222B4E5A" w:rsidR="00B01F32" w:rsidRPr="00B01F32" w:rsidRDefault="00B01F32" w:rsidP="00B01F32">
            <w:pPr>
              <w:spacing w:before="0" w:after="0" w:line="240" w:lineRule="auto"/>
              <w:rPr>
                <w:rFonts w:cstheme="minorHAnsi"/>
                <w:color w:val="000000"/>
                <w:sz w:val="20"/>
                <w:szCs w:val="20"/>
                <w:lang w:val="en-GB" w:eastAsia="en-US"/>
              </w:rPr>
            </w:pPr>
            <w:r w:rsidRPr="00B01F32">
              <w:rPr>
                <w:rFonts w:cstheme="minorHAnsi"/>
                <w:bCs/>
                <w:sz w:val="20"/>
                <w:szCs w:val="20"/>
                <w:lang w:val="en-GB" w:eastAsia="en-US"/>
              </w:rPr>
              <w:t>Doprinos u daljem razvoju proc</w:t>
            </w:r>
            <w:r>
              <w:rPr>
                <w:rFonts w:cstheme="minorHAnsi"/>
                <w:bCs/>
                <w:sz w:val="20"/>
                <w:szCs w:val="20"/>
                <w:lang w:val="en-GB" w:eastAsia="en-US"/>
              </w:rPr>
              <w:t>j</w:t>
            </w:r>
            <w:r w:rsidRPr="00B01F32">
              <w:rPr>
                <w:rFonts w:cstheme="minorHAnsi"/>
                <w:bCs/>
                <w:sz w:val="20"/>
                <w:szCs w:val="20"/>
                <w:lang w:val="en-GB" w:eastAsia="en-US"/>
              </w:rPr>
              <w:t xml:space="preserve">ene populacija ptica i identifikovanju najvažnijih pritisaka na regionalnom nivou putem </w:t>
            </w:r>
            <w:r w:rsidRPr="001C6CCA">
              <w:rPr>
                <w:rFonts w:cs="Calibri"/>
                <w:color w:val="000000"/>
                <w:sz w:val="20"/>
                <w:szCs w:val="20"/>
                <w:lang w:val="en-GB" w:eastAsia="en-US"/>
              </w:rPr>
              <w:t>UNEP-MAP-RAC/SPA</w:t>
            </w:r>
            <w:r w:rsidRPr="001C6CCA">
              <w:rPr>
                <w:rStyle w:val="FootnoteReference"/>
                <w:bCs/>
                <w:sz w:val="20"/>
                <w:szCs w:val="20"/>
                <w:lang w:val="en-GB" w:eastAsia="en-US"/>
              </w:rPr>
              <w:footnoteReference w:id="64"/>
            </w:r>
            <w:r w:rsidRPr="001C6CCA">
              <w:rPr>
                <w:rFonts w:cstheme="minorHAnsi"/>
                <w:color w:val="000000"/>
                <w:sz w:val="20"/>
                <w:szCs w:val="20"/>
                <w:lang w:val="en-GB" w:eastAsia="en-US"/>
              </w:rPr>
              <w:t xml:space="preserve">. </w:t>
            </w:r>
          </w:p>
          <w:p w14:paraId="6B4FA9AA" w14:textId="4E93B411" w:rsidR="00B01F32" w:rsidRPr="00B01F32" w:rsidRDefault="00B01F32" w:rsidP="00B01F32">
            <w:pPr>
              <w:spacing w:before="0" w:after="0" w:line="240" w:lineRule="auto"/>
              <w:rPr>
                <w:rFonts w:cstheme="minorHAnsi"/>
                <w:bCs/>
                <w:sz w:val="20"/>
                <w:szCs w:val="20"/>
                <w:lang w:val="en-GB" w:eastAsia="en-US"/>
              </w:rPr>
            </w:pPr>
            <w:r w:rsidRPr="00B01F32">
              <w:rPr>
                <w:rFonts w:cstheme="minorHAnsi"/>
                <w:bCs/>
                <w:sz w:val="20"/>
                <w:szCs w:val="20"/>
                <w:lang w:val="en-GB" w:eastAsia="en-US"/>
              </w:rPr>
              <w:t>Nastaviti sa unapređivanjem i zaštitom morskih ptica kroz: a) efikasno upravljanje zaštićenim</w:t>
            </w:r>
            <w:r>
              <w:rPr>
                <w:rFonts w:cstheme="minorHAnsi"/>
                <w:bCs/>
                <w:sz w:val="20"/>
                <w:szCs w:val="20"/>
                <w:lang w:val="en-GB" w:eastAsia="en-US"/>
              </w:rPr>
              <w:t xml:space="preserve"> područjima</w:t>
            </w:r>
            <w:r w:rsidRPr="00B01F32">
              <w:rPr>
                <w:rFonts w:cstheme="minorHAnsi"/>
                <w:bCs/>
                <w:sz w:val="20"/>
                <w:szCs w:val="20"/>
                <w:lang w:val="en-GB" w:eastAsia="en-US"/>
              </w:rPr>
              <w:t xml:space="preserve">; b) </w:t>
            </w:r>
            <w:r>
              <w:rPr>
                <w:rFonts w:cstheme="minorHAnsi"/>
                <w:bCs/>
                <w:sz w:val="20"/>
                <w:szCs w:val="20"/>
                <w:lang w:val="en-GB" w:eastAsia="en-US"/>
              </w:rPr>
              <w:t xml:space="preserve">izradom akcionog plana </w:t>
            </w:r>
            <w:r w:rsidR="000810E5">
              <w:rPr>
                <w:rFonts w:cstheme="minorHAnsi"/>
                <w:bCs/>
                <w:sz w:val="20"/>
                <w:szCs w:val="20"/>
                <w:lang w:val="en-GB" w:eastAsia="en-US"/>
              </w:rPr>
              <w:t>o prilovu morskih ptica</w:t>
            </w:r>
            <w:r w:rsidRPr="00B01F32">
              <w:rPr>
                <w:rFonts w:cstheme="minorHAnsi"/>
                <w:bCs/>
                <w:sz w:val="20"/>
                <w:szCs w:val="20"/>
                <w:lang w:val="en-GB" w:eastAsia="en-US"/>
              </w:rPr>
              <w:t>; c) i d) postizanje ciljeva za smanjenje morskog o</w:t>
            </w:r>
            <w:r w:rsidR="000810E5">
              <w:rPr>
                <w:rFonts w:cstheme="minorHAnsi"/>
                <w:bCs/>
                <w:sz w:val="20"/>
                <w:szCs w:val="20"/>
                <w:lang w:val="en-GB" w:eastAsia="en-US"/>
              </w:rPr>
              <w:t>tpada, posebno plutajućeg otpada</w:t>
            </w:r>
            <w:r w:rsidRPr="00B01F32">
              <w:rPr>
                <w:rFonts w:cstheme="minorHAnsi"/>
                <w:bCs/>
                <w:sz w:val="20"/>
                <w:szCs w:val="20"/>
                <w:lang w:val="en-GB" w:eastAsia="en-US"/>
              </w:rPr>
              <w:t>.</w:t>
            </w:r>
          </w:p>
          <w:p w14:paraId="07F695BB" w14:textId="276C2275" w:rsidR="00B01F32" w:rsidRPr="001C6CCA" w:rsidRDefault="00B01F32" w:rsidP="00B01F32">
            <w:pPr>
              <w:spacing w:before="0" w:after="0" w:line="240" w:lineRule="auto"/>
              <w:rPr>
                <w:rFonts w:cstheme="minorHAnsi"/>
                <w:bCs/>
                <w:sz w:val="20"/>
                <w:szCs w:val="20"/>
                <w:lang w:val="en-GB" w:eastAsia="en-US"/>
              </w:rPr>
            </w:pPr>
          </w:p>
        </w:tc>
      </w:tr>
      <w:tr w:rsidR="008D3F6E" w:rsidRPr="001C6CCA" w14:paraId="2AF398AD" w14:textId="77777777" w:rsidTr="00E05B70">
        <w:tc>
          <w:tcPr>
            <w:tcW w:w="1980" w:type="dxa"/>
          </w:tcPr>
          <w:p w14:paraId="7B8F6499" w14:textId="16D544E7" w:rsidR="008D3F6E" w:rsidRPr="001C6CCA" w:rsidRDefault="00B01F32" w:rsidP="00F65CFF">
            <w:pPr>
              <w:autoSpaceDE w:val="0"/>
              <w:autoSpaceDN w:val="0"/>
              <w:adjustRightInd w:val="0"/>
              <w:spacing w:before="0" w:after="0" w:line="240" w:lineRule="auto"/>
              <w:jc w:val="left"/>
              <w:rPr>
                <w:rFonts w:cs="Calibri"/>
                <w:b/>
                <w:color w:val="000000"/>
                <w:sz w:val="20"/>
                <w:szCs w:val="20"/>
                <w:lang w:val="en-GB" w:eastAsia="en-US"/>
              </w:rPr>
            </w:pPr>
            <w:r w:rsidRPr="00B01F32">
              <w:rPr>
                <w:rFonts w:cs="Calibri"/>
                <w:b/>
                <w:color w:val="000000"/>
                <w:sz w:val="20"/>
                <w:szCs w:val="20"/>
                <w:lang w:val="en-GB" w:eastAsia="en-US"/>
              </w:rPr>
              <w:t>Indikatori koji se koriste za proc</w:t>
            </w:r>
            <w:r>
              <w:rPr>
                <w:rFonts w:cs="Calibri"/>
                <w:b/>
                <w:color w:val="000000"/>
                <w:sz w:val="20"/>
                <w:szCs w:val="20"/>
                <w:lang w:val="en-GB" w:eastAsia="en-US"/>
              </w:rPr>
              <w:t>j</w:t>
            </w:r>
            <w:r w:rsidRPr="00B01F32">
              <w:rPr>
                <w:rFonts w:cs="Calibri"/>
                <w:b/>
                <w:color w:val="000000"/>
                <w:sz w:val="20"/>
                <w:szCs w:val="20"/>
                <w:lang w:val="en-GB" w:eastAsia="en-US"/>
              </w:rPr>
              <w:t>enu statusa</w:t>
            </w:r>
          </w:p>
        </w:tc>
        <w:tc>
          <w:tcPr>
            <w:tcW w:w="7087" w:type="dxa"/>
            <w:gridSpan w:val="2"/>
          </w:tcPr>
          <w:p w14:paraId="6CEF1B58" w14:textId="4D1697E6" w:rsidR="001D11C2" w:rsidRDefault="001D11C2" w:rsidP="001D11C2">
            <w:pPr>
              <w:autoSpaceDE w:val="0"/>
              <w:autoSpaceDN w:val="0"/>
              <w:adjustRightInd w:val="0"/>
              <w:spacing w:before="0" w:after="0" w:line="360" w:lineRule="auto"/>
              <w:ind w:left="180"/>
              <w:contextualSpacing/>
              <w:rPr>
                <w:sz w:val="20"/>
                <w:szCs w:val="20"/>
                <w:lang w:val="en-GB" w:eastAsia="en-US"/>
              </w:rPr>
            </w:pPr>
            <w:r w:rsidRPr="009C4C08">
              <w:rPr>
                <w:b/>
                <w:sz w:val="20"/>
                <w:szCs w:val="20"/>
                <w:lang w:val="en-GB" w:eastAsia="en-US"/>
              </w:rPr>
              <w:t>D1C1.1</w:t>
            </w:r>
            <w:r w:rsidR="005044FF">
              <w:rPr>
                <w:b/>
                <w:sz w:val="20"/>
                <w:szCs w:val="20"/>
                <w:lang w:val="en-GB" w:eastAsia="en-US"/>
              </w:rPr>
              <w:t>B</w:t>
            </w:r>
            <w:r w:rsidRPr="009C4C08">
              <w:rPr>
                <w:b/>
                <w:sz w:val="20"/>
                <w:szCs w:val="20"/>
                <w:lang w:val="en-GB" w:eastAsia="en-US"/>
              </w:rPr>
              <w:t>:</w:t>
            </w:r>
            <w:r>
              <w:rPr>
                <w:sz w:val="20"/>
                <w:szCs w:val="20"/>
                <w:lang w:val="en-GB" w:eastAsia="en-US"/>
              </w:rPr>
              <w:t xml:space="preserve"> </w:t>
            </w:r>
            <w:r w:rsidRPr="00A42FC9">
              <w:rPr>
                <w:sz w:val="20"/>
                <w:szCs w:val="20"/>
                <w:lang w:val="en-GB" w:eastAsia="en-US"/>
              </w:rPr>
              <w:t>Slučajni ulov</w:t>
            </w:r>
            <w:r>
              <w:rPr>
                <w:sz w:val="20"/>
                <w:szCs w:val="20"/>
                <w:lang w:val="en-GB" w:eastAsia="en-US"/>
              </w:rPr>
              <w:t xml:space="preserve"> morskih ptica</w:t>
            </w:r>
          </w:p>
          <w:p w14:paraId="4713405C" w14:textId="76CE42DF" w:rsidR="008D3F6E" w:rsidRPr="001C6CCA" w:rsidRDefault="009C4C08" w:rsidP="009C4C08">
            <w:pPr>
              <w:autoSpaceDE w:val="0"/>
              <w:autoSpaceDN w:val="0"/>
              <w:adjustRightInd w:val="0"/>
              <w:spacing w:before="0" w:after="0" w:line="360" w:lineRule="auto"/>
              <w:ind w:left="180"/>
              <w:contextualSpacing/>
              <w:rPr>
                <w:sz w:val="20"/>
                <w:szCs w:val="20"/>
                <w:lang w:val="en-GB" w:eastAsia="en-US"/>
              </w:rPr>
            </w:pPr>
            <w:r w:rsidRPr="009C4C08">
              <w:rPr>
                <w:b/>
                <w:sz w:val="20"/>
                <w:szCs w:val="20"/>
                <w:lang w:val="en-GB" w:eastAsia="en-US"/>
              </w:rPr>
              <w:t>D1C2.1</w:t>
            </w:r>
            <w:r w:rsidR="005044FF">
              <w:rPr>
                <w:b/>
                <w:sz w:val="20"/>
                <w:szCs w:val="20"/>
                <w:lang w:val="en-GB" w:eastAsia="en-US"/>
              </w:rPr>
              <w:t>B</w:t>
            </w:r>
            <w:r>
              <w:rPr>
                <w:sz w:val="20"/>
                <w:szCs w:val="20"/>
                <w:lang w:val="en-GB" w:eastAsia="en-US"/>
              </w:rPr>
              <w:t xml:space="preserve">: </w:t>
            </w:r>
            <w:r w:rsidR="000810E5">
              <w:rPr>
                <w:sz w:val="20"/>
                <w:szCs w:val="20"/>
                <w:lang w:val="en-GB" w:eastAsia="en-US"/>
              </w:rPr>
              <w:t>Brojnost morskih ptica</w:t>
            </w:r>
          </w:p>
          <w:p w14:paraId="4898F026" w14:textId="61E84990" w:rsidR="008D3F6E" w:rsidRPr="001C6CCA" w:rsidRDefault="009C4C08" w:rsidP="00F65CFF">
            <w:pPr>
              <w:autoSpaceDE w:val="0"/>
              <w:autoSpaceDN w:val="0"/>
              <w:adjustRightInd w:val="0"/>
              <w:spacing w:before="0" w:after="0" w:line="360" w:lineRule="auto"/>
              <w:ind w:left="180"/>
              <w:contextualSpacing/>
              <w:rPr>
                <w:sz w:val="20"/>
                <w:szCs w:val="20"/>
                <w:lang w:val="en-GB" w:eastAsia="en-US"/>
              </w:rPr>
            </w:pPr>
            <w:r w:rsidRPr="009C4C08">
              <w:rPr>
                <w:b/>
                <w:sz w:val="20"/>
                <w:szCs w:val="20"/>
                <w:lang w:val="en-GB" w:eastAsia="en-US"/>
              </w:rPr>
              <w:t>D1C4.1</w:t>
            </w:r>
            <w:r w:rsidR="005044FF">
              <w:rPr>
                <w:b/>
                <w:sz w:val="20"/>
                <w:szCs w:val="20"/>
                <w:lang w:val="en-GB" w:eastAsia="en-US"/>
              </w:rPr>
              <w:t>B</w:t>
            </w:r>
            <w:r w:rsidRPr="009C4C08">
              <w:rPr>
                <w:b/>
                <w:sz w:val="20"/>
                <w:szCs w:val="20"/>
                <w:lang w:val="en-GB" w:eastAsia="en-US"/>
              </w:rPr>
              <w:t>:</w:t>
            </w:r>
            <w:r>
              <w:rPr>
                <w:sz w:val="20"/>
                <w:szCs w:val="20"/>
                <w:lang w:val="en-GB" w:eastAsia="en-US"/>
              </w:rPr>
              <w:t xml:space="preserve"> </w:t>
            </w:r>
            <w:r w:rsidR="000810E5" w:rsidRPr="00994A14">
              <w:rPr>
                <w:sz w:val="20"/>
                <w:szCs w:val="20"/>
                <w:lang w:val="en-GB" w:eastAsia="en-US"/>
              </w:rPr>
              <w:t xml:space="preserve">Rasprostranjenost morskih ptica </w:t>
            </w:r>
          </w:p>
          <w:p w14:paraId="2E41BCC5" w14:textId="1C8C450C" w:rsidR="004A6B4B" w:rsidRPr="004A6B4B" w:rsidRDefault="004A6B4B" w:rsidP="004A6B4B">
            <w:pPr>
              <w:autoSpaceDE w:val="0"/>
              <w:autoSpaceDN w:val="0"/>
              <w:adjustRightInd w:val="0"/>
              <w:spacing w:before="0" w:after="0" w:line="360" w:lineRule="auto"/>
              <w:ind w:left="180"/>
              <w:contextualSpacing/>
              <w:rPr>
                <w:sz w:val="20"/>
                <w:szCs w:val="20"/>
                <w:lang w:val="en-GB" w:eastAsia="en-US"/>
              </w:rPr>
            </w:pPr>
          </w:p>
        </w:tc>
      </w:tr>
    </w:tbl>
    <w:p w14:paraId="3C05599D" w14:textId="73DBF347" w:rsidR="008D3F6E" w:rsidRDefault="00F3755C" w:rsidP="00F65CFF">
      <w:pPr>
        <w:spacing w:before="0" w:after="0" w:line="259" w:lineRule="auto"/>
        <w:jc w:val="left"/>
        <w:rPr>
          <w:rFonts w:eastAsia="Calibri"/>
          <w:sz w:val="20"/>
          <w:szCs w:val="20"/>
          <w:lang w:val="en-GB" w:eastAsia="en-US"/>
        </w:rPr>
      </w:pPr>
      <w:r w:rsidRPr="001C6CCA">
        <w:rPr>
          <w:rFonts w:eastAsia="Calibri"/>
          <w:sz w:val="20"/>
          <w:szCs w:val="20"/>
          <w:lang w:val="en-GB" w:eastAsia="en-US"/>
        </w:rPr>
        <w:t xml:space="preserve">*B </w:t>
      </w:r>
      <w:r w:rsidR="00E4149A">
        <w:rPr>
          <w:rFonts w:eastAsia="Calibri"/>
          <w:sz w:val="20"/>
          <w:szCs w:val="20"/>
          <w:lang w:val="en-GB" w:eastAsia="en-US"/>
        </w:rPr>
        <w:t>–</w:t>
      </w:r>
      <w:r w:rsidRPr="001C6CCA">
        <w:rPr>
          <w:rFonts w:eastAsia="Calibri"/>
          <w:sz w:val="20"/>
          <w:szCs w:val="20"/>
          <w:lang w:val="en-GB" w:eastAsia="en-US"/>
        </w:rPr>
        <w:t xml:space="preserve"> </w:t>
      </w:r>
      <w:r w:rsidR="00057F97">
        <w:rPr>
          <w:rFonts w:eastAsia="Calibri"/>
          <w:sz w:val="20"/>
          <w:szCs w:val="20"/>
          <w:lang w:val="en-GB" w:eastAsia="en-US"/>
        </w:rPr>
        <w:t>Ptice</w:t>
      </w:r>
    </w:p>
    <w:p w14:paraId="76EA2E17" w14:textId="77777777" w:rsidR="00E4149A" w:rsidRPr="001C6CCA" w:rsidRDefault="00E4149A" w:rsidP="00F65CFF">
      <w:pPr>
        <w:spacing w:before="0" w:after="0" w:line="259" w:lineRule="auto"/>
        <w:jc w:val="left"/>
        <w:rPr>
          <w:rFonts w:eastAsia="Calibri"/>
          <w:sz w:val="20"/>
          <w:szCs w:val="20"/>
          <w:lang w:val="en-GB" w:eastAsia="en-US"/>
        </w:rPr>
      </w:pPr>
    </w:p>
    <w:p w14:paraId="25FCDC71" w14:textId="7FAD834A" w:rsidR="008D3F6E" w:rsidRPr="001C6CCA" w:rsidRDefault="00474EC1" w:rsidP="00474EC1">
      <w:pPr>
        <w:pStyle w:val="Heading4"/>
        <w:rPr>
          <w:rFonts w:eastAsia="Calibri"/>
          <w:lang w:val="en-GB"/>
        </w:rPr>
      </w:pPr>
      <w:r>
        <w:rPr>
          <w:rFonts w:eastAsia="Calibri"/>
          <w:lang w:val="en-GB"/>
        </w:rPr>
        <w:t>Nedostaci</w:t>
      </w:r>
      <w:r w:rsidRPr="00474EC1">
        <w:rPr>
          <w:rFonts w:eastAsia="Calibri"/>
          <w:lang w:val="en-GB"/>
        </w:rPr>
        <w:t xml:space="preserve"> i razvojne potrebe</w:t>
      </w:r>
    </w:p>
    <w:p w14:paraId="1306D42E" w14:textId="458D9DCB" w:rsidR="00474EC1" w:rsidRPr="001C6CCA" w:rsidRDefault="00474EC1" w:rsidP="00936BE4">
      <w:pPr>
        <w:spacing w:before="0" w:after="160"/>
        <w:rPr>
          <w:rFonts w:eastAsia="Calibri" w:cs="Calibri"/>
          <w:color w:val="000000"/>
          <w:szCs w:val="22"/>
          <w:lang w:val="en-GB" w:eastAsia="hr-HR"/>
        </w:rPr>
      </w:pPr>
      <w:r w:rsidRPr="00474EC1">
        <w:rPr>
          <w:rFonts w:eastAsia="Calibri" w:cs="Calibri"/>
          <w:color w:val="000000"/>
          <w:szCs w:val="22"/>
          <w:lang w:val="en-GB" w:eastAsia="hr-HR"/>
        </w:rPr>
        <w:t xml:space="preserve">Znanje o </w:t>
      </w:r>
      <w:r w:rsidR="000810E5">
        <w:rPr>
          <w:rFonts w:eastAsia="Calibri" w:cs="Calibri"/>
          <w:color w:val="000000"/>
          <w:szCs w:val="22"/>
          <w:lang w:val="en-GB" w:eastAsia="hr-HR"/>
        </w:rPr>
        <w:t>pticama gnjezdaricama j</w:t>
      </w:r>
      <w:r w:rsidRPr="00474EC1">
        <w:rPr>
          <w:rFonts w:eastAsia="Calibri" w:cs="Calibri"/>
          <w:color w:val="000000"/>
          <w:szCs w:val="22"/>
          <w:lang w:val="en-GB" w:eastAsia="hr-HR"/>
        </w:rPr>
        <w:t xml:space="preserve">e znatno bolje od znanja o vrstama </w:t>
      </w:r>
      <w:r w:rsidR="000810E5">
        <w:rPr>
          <w:rFonts w:eastAsia="Calibri" w:cs="Calibri"/>
          <w:color w:val="000000"/>
          <w:szCs w:val="22"/>
          <w:lang w:val="en-GB" w:eastAsia="hr-HR"/>
        </w:rPr>
        <w:t xml:space="preserve">ptica </w:t>
      </w:r>
      <w:r w:rsidRPr="00474EC1">
        <w:rPr>
          <w:rFonts w:eastAsia="Calibri" w:cs="Calibri"/>
          <w:color w:val="000000"/>
          <w:szCs w:val="22"/>
          <w:lang w:val="en-GB" w:eastAsia="hr-HR"/>
        </w:rPr>
        <w:t>na otvorenom moru, što omogućava proc</w:t>
      </w:r>
      <w:r w:rsidR="000810E5">
        <w:rPr>
          <w:rFonts w:eastAsia="Calibri" w:cs="Calibri"/>
          <w:color w:val="000000"/>
          <w:szCs w:val="22"/>
          <w:lang w:val="en-GB" w:eastAsia="hr-HR"/>
        </w:rPr>
        <w:t>j</w:t>
      </w:r>
      <w:r w:rsidRPr="00474EC1">
        <w:rPr>
          <w:rFonts w:eastAsia="Calibri" w:cs="Calibri"/>
          <w:color w:val="000000"/>
          <w:szCs w:val="22"/>
          <w:lang w:val="en-GB" w:eastAsia="hr-HR"/>
        </w:rPr>
        <w:t xml:space="preserve">enu GES-a. Naime, </w:t>
      </w:r>
      <w:r w:rsidR="000810E5">
        <w:rPr>
          <w:rFonts w:eastAsia="Calibri" w:cs="Calibri"/>
          <w:color w:val="000000"/>
          <w:szCs w:val="22"/>
          <w:lang w:val="en-GB" w:eastAsia="hr-HR"/>
        </w:rPr>
        <w:t>monitoring ptica gnjezdarica</w:t>
      </w:r>
      <w:r w:rsidRPr="00474EC1">
        <w:rPr>
          <w:rFonts w:eastAsia="Calibri" w:cs="Calibri"/>
          <w:color w:val="000000"/>
          <w:szCs w:val="22"/>
          <w:lang w:val="en-GB" w:eastAsia="hr-HR"/>
        </w:rPr>
        <w:t xml:space="preserve"> vrši se svake godine od 1999. godine, od kada se gn</w:t>
      </w:r>
      <w:r w:rsidR="000810E5">
        <w:rPr>
          <w:rFonts w:eastAsia="Calibri" w:cs="Calibri"/>
          <w:color w:val="000000"/>
          <w:szCs w:val="22"/>
          <w:lang w:val="en-GB" w:eastAsia="hr-HR"/>
        </w:rPr>
        <w:t>ijezde na području Ulcinjske solane.</w:t>
      </w:r>
      <w:r w:rsidRPr="00474EC1">
        <w:rPr>
          <w:rFonts w:eastAsia="Calibri" w:cs="Calibri"/>
          <w:color w:val="000000"/>
          <w:szCs w:val="22"/>
          <w:lang w:val="en-GB" w:eastAsia="hr-HR"/>
        </w:rPr>
        <w:t xml:space="preserve"> Monitoring </w:t>
      </w:r>
      <w:r w:rsidR="000810E5">
        <w:rPr>
          <w:rFonts w:eastAsia="Calibri" w:cs="Calibri"/>
          <w:color w:val="000000"/>
          <w:szCs w:val="22"/>
          <w:lang w:val="en-GB" w:eastAsia="hr-HR"/>
        </w:rPr>
        <w:t>sprovodi Agencija za zaštitu prirode i životne sredine Crne Gore</w:t>
      </w:r>
      <w:r w:rsidRPr="00474EC1">
        <w:rPr>
          <w:rFonts w:eastAsia="Calibri" w:cs="Calibri"/>
          <w:color w:val="000000"/>
          <w:szCs w:val="22"/>
          <w:lang w:val="en-GB" w:eastAsia="hr-HR"/>
        </w:rPr>
        <w:t xml:space="preserve">, međunarodna organizacija Euronatur i NVO Centar za zaštitu </w:t>
      </w:r>
      <w:r w:rsidR="00FB55BF">
        <w:rPr>
          <w:rFonts w:eastAsia="Calibri" w:cs="Calibri"/>
          <w:color w:val="000000"/>
          <w:szCs w:val="22"/>
          <w:lang w:val="en-GB" w:eastAsia="hr-HR"/>
        </w:rPr>
        <w:t>i</w:t>
      </w:r>
      <w:r w:rsidR="000810E5">
        <w:rPr>
          <w:rFonts w:eastAsia="Calibri" w:cs="Calibri"/>
          <w:color w:val="000000"/>
          <w:szCs w:val="22"/>
          <w:lang w:val="en-GB" w:eastAsia="hr-HR"/>
        </w:rPr>
        <w:t xml:space="preserve"> proučavanje</w:t>
      </w:r>
      <w:r w:rsidRPr="00474EC1">
        <w:rPr>
          <w:rFonts w:eastAsia="Calibri" w:cs="Calibri"/>
          <w:color w:val="000000"/>
          <w:szCs w:val="22"/>
          <w:lang w:val="en-GB" w:eastAsia="hr-HR"/>
        </w:rPr>
        <w:t xml:space="preserve"> ptica - BirdLife Montenegro. S</w:t>
      </w:r>
      <w:r w:rsidR="000810E5">
        <w:rPr>
          <w:rFonts w:eastAsia="Calibri" w:cs="Calibri"/>
          <w:color w:val="000000"/>
          <w:szCs w:val="22"/>
          <w:lang w:val="en-GB" w:eastAsia="hr-HR"/>
        </w:rPr>
        <w:t>a</w:t>
      </w:r>
      <w:r w:rsidRPr="00474EC1">
        <w:rPr>
          <w:rFonts w:eastAsia="Calibri" w:cs="Calibri"/>
          <w:color w:val="000000"/>
          <w:szCs w:val="22"/>
          <w:lang w:val="en-GB" w:eastAsia="hr-HR"/>
        </w:rPr>
        <w:t xml:space="preserve"> druge strane, iako je postojalo određeno </w:t>
      </w:r>
      <w:r w:rsidRPr="00994A14">
        <w:rPr>
          <w:rFonts w:eastAsia="Calibri" w:cs="Calibri"/>
          <w:color w:val="000000"/>
          <w:szCs w:val="22"/>
          <w:lang w:val="en-GB" w:eastAsia="hr-HR"/>
        </w:rPr>
        <w:t>interesovanje, prave morske ptice nisu previše proučavane u Crnoj Gori. Glavne prepreke bili su nedostatak ljudskih</w:t>
      </w:r>
      <w:r w:rsidRPr="00474EC1">
        <w:rPr>
          <w:rFonts w:eastAsia="Calibri" w:cs="Calibri"/>
          <w:color w:val="000000"/>
          <w:szCs w:val="22"/>
          <w:lang w:val="en-GB" w:eastAsia="hr-HR"/>
        </w:rPr>
        <w:t xml:space="preserve"> resursa i složenija i skuplja organizacija samog istraživanja. Do sada prikupljeni podaci dobijeni su posmatranjem sa kopna tokom januarskog brojanja ptica (</w:t>
      </w:r>
      <w:r w:rsidR="000810E5" w:rsidRPr="000810E5">
        <w:rPr>
          <w:rFonts w:eastAsia="Calibri" w:cs="Calibri"/>
          <w:color w:val="000000"/>
          <w:szCs w:val="22"/>
          <w:lang w:val="en-GB" w:eastAsia="hr-HR"/>
        </w:rPr>
        <w:t>Međunarodni zimski popis ptica vodenih staništa – IWC</w:t>
      </w:r>
      <w:r w:rsidR="000810E5">
        <w:rPr>
          <w:rFonts w:eastAsia="Calibri" w:cs="Calibri"/>
          <w:color w:val="000000"/>
          <w:szCs w:val="22"/>
          <w:lang w:val="en-GB" w:eastAsia="hr-HR"/>
        </w:rPr>
        <w:t xml:space="preserve">) </w:t>
      </w:r>
      <w:r w:rsidRPr="00474EC1">
        <w:rPr>
          <w:rFonts w:eastAsia="Calibri" w:cs="Calibri"/>
          <w:color w:val="000000"/>
          <w:szCs w:val="22"/>
          <w:lang w:val="en-GB" w:eastAsia="hr-HR"/>
        </w:rPr>
        <w:t xml:space="preserve">ili praćenjem migracije ptica sa Ade Bojane u martu i aprilu (Sackl </w:t>
      </w:r>
      <w:r w:rsidR="000810E5">
        <w:rPr>
          <w:rFonts w:eastAsia="Calibri" w:cs="Calibri"/>
          <w:color w:val="000000"/>
          <w:szCs w:val="22"/>
          <w:lang w:val="en-GB" w:eastAsia="hr-HR"/>
        </w:rPr>
        <w:t>i sar.</w:t>
      </w:r>
      <w:r w:rsidRPr="00474EC1">
        <w:rPr>
          <w:rFonts w:eastAsia="Calibri" w:cs="Calibri"/>
          <w:color w:val="000000"/>
          <w:szCs w:val="22"/>
          <w:lang w:val="en-GB" w:eastAsia="hr-HR"/>
        </w:rPr>
        <w:t xml:space="preserve"> 2014; Sackl </w:t>
      </w:r>
      <w:r w:rsidR="000810E5">
        <w:rPr>
          <w:rFonts w:eastAsia="Calibri" w:cs="Calibri"/>
          <w:color w:val="000000"/>
          <w:szCs w:val="22"/>
          <w:lang w:val="en-GB" w:eastAsia="hr-HR"/>
        </w:rPr>
        <w:t>I sar</w:t>
      </w:r>
      <w:r w:rsidRPr="00474EC1">
        <w:rPr>
          <w:rFonts w:eastAsia="Calibri" w:cs="Calibri"/>
          <w:color w:val="000000"/>
          <w:szCs w:val="22"/>
          <w:lang w:val="en-GB" w:eastAsia="hr-HR"/>
        </w:rPr>
        <w:t>, 2017). Sistemats</w:t>
      </w:r>
      <w:r w:rsidR="000810E5">
        <w:rPr>
          <w:rFonts w:eastAsia="Calibri" w:cs="Calibri"/>
          <w:color w:val="000000"/>
          <w:szCs w:val="22"/>
          <w:lang w:val="en-GB" w:eastAsia="hr-HR"/>
        </w:rPr>
        <w:t>ki monitoring</w:t>
      </w:r>
      <w:r w:rsidRPr="00474EC1">
        <w:rPr>
          <w:rFonts w:eastAsia="Calibri" w:cs="Calibri"/>
          <w:color w:val="000000"/>
          <w:szCs w:val="22"/>
          <w:lang w:val="en-GB" w:eastAsia="hr-HR"/>
        </w:rPr>
        <w:t xml:space="preserve"> pravih morskih ptica započeo je tek 2020. godine, u okviru IPA projekta „Podrška </w:t>
      </w:r>
      <w:r w:rsidR="00C0548A">
        <w:rPr>
          <w:rFonts w:eastAsia="Calibri" w:cs="Calibri"/>
          <w:color w:val="000000"/>
          <w:szCs w:val="22"/>
          <w:lang w:val="en-GB" w:eastAsia="hr-HR"/>
        </w:rPr>
        <w:t xml:space="preserve">implementaciji i monitoringu </w:t>
      </w:r>
      <w:r w:rsidRPr="00474EC1">
        <w:rPr>
          <w:rFonts w:eastAsia="Calibri" w:cs="Calibri"/>
          <w:color w:val="000000"/>
          <w:szCs w:val="22"/>
          <w:lang w:val="en-GB" w:eastAsia="hr-HR"/>
        </w:rPr>
        <w:t xml:space="preserve">upravljanja vodama u Crnoj Gori“, a </w:t>
      </w:r>
      <w:r w:rsidR="00FB55BF">
        <w:rPr>
          <w:rFonts w:eastAsia="Calibri" w:cs="Calibri"/>
          <w:color w:val="000000"/>
          <w:szCs w:val="22"/>
          <w:lang w:val="en-GB" w:eastAsia="hr-HR"/>
        </w:rPr>
        <w:t xml:space="preserve">potrebno je spovoditi ovu vrstu monitoring nekoliko godina prije </w:t>
      </w:r>
      <w:r w:rsidRPr="00474EC1">
        <w:rPr>
          <w:rFonts w:eastAsia="Calibri" w:cs="Calibri"/>
          <w:color w:val="000000"/>
          <w:szCs w:val="22"/>
          <w:lang w:val="en-GB" w:eastAsia="hr-HR"/>
        </w:rPr>
        <w:t xml:space="preserve"> nego što bi bilo moguće izvući bilo kakav zaključak.</w:t>
      </w:r>
    </w:p>
    <w:p w14:paraId="285DEE91" w14:textId="1034DE99" w:rsidR="00474EC1" w:rsidRDefault="00474EC1" w:rsidP="00936BE4">
      <w:pPr>
        <w:autoSpaceDE w:val="0"/>
        <w:autoSpaceDN w:val="0"/>
        <w:adjustRightInd w:val="0"/>
        <w:spacing w:before="0" w:after="160"/>
        <w:rPr>
          <w:rFonts w:eastAsia="Calibri" w:cs="Calibri"/>
          <w:bCs/>
          <w:color w:val="000000"/>
          <w:szCs w:val="22"/>
          <w:lang w:val="en-GB" w:eastAsia="en-US"/>
        </w:rPr>
      </w:pPr>
      <w:bookmarkStart w:id="326" w:name="_Hlk66293837"/>
      <w:r w:rsidRPr="00474EC1">
        <w:rPr>
          <w:rFonts w:eastAsia="Calibri" w:cs="Calibri"/>
          <w:bCs/>
          <w:color w:val="000000"/>
          <w:szCs w:val="22"/>
          <w:lang w:val="en-GB" w:eastAsia="en-US"/>
        </w:rPr>
        <w:t>Neophodno je uspostaviti sistematsk</w:t>
      </w:r>
      <w:r w:rsidR="00FB55BF">
        <w:rPr>
          <w:rFonts w:eastAsia="Calibri" w:cs="Calibri"/>
          <w:bCs/>
          <w:color w:val="000000"/>
          <w:szCs w:val="22"/>
          <w:lang w:val="en-GB" w:eastAsia="en-US"/>
        </w:rPr>
        <w:t>i monitoring</w:t>
      </w:r>
      <w:r w:rsidRPr="00474EC1">
        <w:rPr>
          <w:rFonts w:eastAsia="Calibri" w:cs="Calibri"/>
          <w:bCs/>
          <w:color w:val="000000"/>
          <w:szCs w:val="22"/>
          <w:lang w:val="en-GB" w:eastAsia="en-US"/>
        </w:rPr>
        <w:t xml:space="preserve"> ptica na otvorenom moru, po mogućnosti u zajedničkim programima koji će se uspostaviti i za sisare i kornjače, </w:t>
      </w:r>
      <w:r w:rsidR="00FB55BF">
        <w:rPr>
          <w:rFonts w:eastAsia="Calibri" w:cs="Calibri"/>
          <w:bCs/>
          <w:color w:val="000000"/>
          <w:szCs w:val="22"/>
          <w:lang w:val="en-GB" w:eastAsia="en-US"/>
        </w:rPr>
        <w:t xml:space="preserve">čime se postižu određene uštede. </w:t>
      </w:r>
      <w:r w:rsidRPr="00474EC1">
        <w:rPr>
          <w:rFonts w:eastAsia="Calibri" w:cs="Calibri"/>
          <w:bCs/>
          <w:color w:val="000000"/>
          <w:szCs w:val="22"/>
          <w:lang w:val="en-GB" w:eastAsia="en-US"/>
        </w:rPr>
        <w:t xml:space="preserve">Takođe je potrebno </w:t>
      </w:r>
      <w:r w:rsidR="00FB55BF">
        <w:rPr>
          <w:rFonts w:eastAsia="Calibri" w:cs="Calibri"/>
          <w:bCs/>
          <w:color w:val="000000"/>
          <w:szCs w:val="22"/>
          <w:lang w:val="en-GB" w:eastAsia="en-US"/>
        </w:rPr>
        <w:t xml:space="preserve">sprovoditi sistematski monitoring </w:t>
      </w:r>
      <w:r w:rsidRPr="00474EC1">
        <w:rPr>
          <w:rFonts w:eastAsia="Calibri" w:cs="Calibri"/>
          <w:bCs/>
          <w:color w:val="000000"/>
          <w:szCs w:val="22"/>
          <w:lang w:val="en-GB" w:eastAsia="en-US"/>
        </w:rPr>
        <w:t xml:space="preserve">slučajne smrtnosti izazvane </w:t>
      </w:r>
      <w:r w:rsidR="00016698">
        <w:rPr>
          <w:rFonts w:eastAsia="Calibri" w:cs="Calibri"/>
          <w:bCs/>
          <w:color w:val="000000"/>
          <w:szCs w:val="22"/>
          <w:lang w:val="en-GB" w:eastAsia="en-US"/>
        </w:rPr>
        <w:t xml:space="preserve">ljudskim faktorom </w:t>
      </w:r>
      <w:r w:rsidRPr="00474EC1">
        <w:rPr>
          <w:rFonts w:eastAsia="Calibri" w:cs="Calibri"/>
          <w:bCs/>
          <w:color w:val="000000"/>
          <w:szCs w:val="22"/>
          <w:lang w:val="en-GB" w:eastAsia="en-US"/>
        </w:rPr>
        <w:t xml:space="preserve">(D1C1). Metodologiju </w:t>
      </w:r>
      <w:r w:rsidR="00016698">
        <w:rPr>
          <w:rFonts w:eastAsia="Calibri" w:cs="Calibri"/>
          <w:bCs/>
          <w:color w:val="000000"/>
          <w:szCs w:val="22"/>
          <w:lang w:val="en-GB" w:eastAsia="en-US"/>
        </w:rPr>
        <w:t>monitoringa</w:t>
      </w:r>
      <w:r w:rsidRPr="00474EC1">
        <w:rPr>
          <w:rFonts w:eastAsia="Calibri" w:cs="Calibri"/>
          <w:bCs/>
          <w:color w:val="000000"/>
          <w:szCs w:val="22"/>
          <w:lang w:val="en-GB" w:eastAsia="en-US"/>
        </w:rPr>
        <w:t xml:space="preserve"> kriterijuma D1C1 treba definisati nakon sprovođenja detaljnih naučnih istraživanja o ishrani i odabiru staništa morskih ptica i dostupnosti pl</w:t>
      </w:r>
      <w:r w:rsidR="00016698">
        <w:rPr>
          <w:rFonts w:eastAsia="Calibri" w:cs="Calibri"/>
          <w:bCs/>
          <w:color w:val="000000"/>
          <w:szCs w:val="22"/>
          <w:lang w:val="en-GB" w:eastAsia="en-US"/>
        </w:rPr>
        <w:t>ijena</w:t>
      </w:r>
      <w:r w:rsidRPr="00474EC1">
        <w:rPr>
          <w:rFonts w:eastAsia="Calibri" w:cs="Calibri"/>
          <w:bCs/>
          <w:color w:val="000000"/>
          <w:szCs w:val="22"/>
          <w:lang w:val="en-GB" w:eastAsia="en-US"/>
        </w:rPr>
        <w:t xml:space="preserve">. Ova vrsta monitoringa </w:t>
      </w:r>
      <w:r w:rsidR="00016698">
        <w:rPr>
          <w:rFonts w:eastAsia="Calibri" w:cs="Calibri"/>
          <w:bCs/>
          <w:color w:val="000000"/>
          <w:szCs w:val="22"/>
          <w:lang w:val="en-GB" w:eastAsia="en-US"/>
        </w:rPr>
        <w:t>nije obavezna Prema Direktivi o pricama</w:t>
      </w:r>
      <w:r w:rsidR="009611D5">
        <w:rPr>
          <w:rFonts w:eastAsia="Calibri" w:cs="Calibri"/>
          <w:bCs/>
          <w:color w:val="000000"/>
          <w:szCs w:val="22"/>
          <w:lang w:val="en-GB" w:eastAsia="en-US"/>
        </w:rPr>
        <w:t xml:space="preserve">, ali je </w:t>
      </w:r>
      <w:r w:rsidRPr="00474EC1">
        <w:rPr>
          <w:rFonts w:eastAsia="Calibri" w:cs="Calibri"/>
          <w:bCs/>
          <w:color w:val="000000"/>
          <w:szCs w:val="22"/>
          <w:lang w:val="en-GB" w:eastAsia="en-US"/>
        </w:rPr>
        <w:t xml:space="preserve">usko povezana sa </w:t>
      </w:r>
      <w:r w:rsidR="00016698">
        <w:rPr>
          <w:rFonts w:eastAsia="Calibri" w:cs="Calibri"/>
          <w:bCs/>
          <w:color w:val="000000"/>
          <w:szCs w:val="22"/>
          <w:lang w:val="en-GB" w:eastAsia="en-US"/>
        </w:rPr>
        <w:t>monitoringom</w:t>
      </w:r>
      <w:r w:rsidRPr="00474EC1">
        <w:rPr>
          <w:rFonts w:eastAsia="Calibri" w:cs="Calibri"/>
          <w:bCs/>
          <w:color w:val="000000"/>
          <w:szCs w:val="22"/>
          <w:lang w:val="en-GB" w:eastAsia="en-US"/>
        </w:rPr>
        <w:t xml:space="preserve"> proizvodnje mora i stanj</w:t>
      </w:r>
      <w:r w:rsidR="00016698">
        <w:rPr>
          <w:rFonts w:eastAsia="Calibri" w:cs="Calibri"/>
          <w:bCs/>
          <w:color w:val="000000"/>
          <w:szCs w:val="22"/>
          <w:lang w:val="en-GB" w:eastAsia="en-US"/>
        </w:rPr>
        <w:t>em</w:t>
      </w:r>
      <w:r w:rsidRPr="00474EC1">
        <w:rPr>
          <w:rFonts w:eastAsia="Calibri" w:cs="Calibri"/>
          <w:bCs/>
          <w:color w:val="000000"/>
          <w:szCs w:val="22"/>
          <w:lang w:val="en-GB" w:eastAsia="en-US"/>
        </w:rPr>
        <w:t xml:space="preserve"> ribarstva i </w:t>
      </w:r>
      <w:r w:rsidR="009611D5">
        <w:rPr>
          <w:rFonts w:eastAsia="Calibri" w:cs="Calibri"/>
          <w:bCs/>
          <w:color w:val="000000"/>
          <w:szCs w:val="22"/>
          <w:lang w:val="en-GB" w:eastAsia="en-US"/>
        </w:rPr>
        <w:t xml:space="preserve">trebala bi </w:t>
      </w:r>
      <w:r w:rsidRPr="00474EC1">
        <w:rPr>
          <w:rFonts w:eastAsia="Calibri" w:cs="Calibri"/>
          <w:bCs/>
          <w:color w:val="000000"/>
          <w:szCs w:val="22"/>
          <w:lang w:val="en-GB" w:eastAsia="en-US"/>
        </w:rPr>
        <w:t xml:space="preserve">biti </w:t>
      </w:r>
      <w:r w:rsidR="00016698">
        <w:rPr>
          <w:rFonts w:eastAsia="Calibri" w:cs="Calibri"/>
          <w:bCs/>
          <w:color w:val="000000"/>
          <w:szCs w:val="22"/>
          <w:lang w:val="en-GB" w:eastAsia="en-US"/>
        </w:rPr>
        <w:t>uvršten</w:t>
      </w:r>
      <w:r w:rsidR="009611D5">
        <w:rPr>
          <w:rFonts w:eastAsia="Calibri" w:cs="Calibri"/>
          <w:bCs/>
          <w:color w:val="000000"/>
          <w:szCs w:val="22"/>
          <w:lang w:val="en-GB" w:eastAsia="en-US"/>
        </w:rPr>
        <w:t>a</w:t>
      </w:r>
      <w:r w:rsidR="00016698">
        <w:rPr>
          <w:rFonts w:eastAsia="Calibri" w:cs="Calibri"/>
          <w:bCs/>
          <w:color w:val="000000"/>
          <w:szCs w:val="22"/>
          <w:lang w:val="en-GB" w:eastAsia="en-US"/>
        </w:rPr>
        <w:t xml:space="preserve"> </w:t>
      </w:r>
      <w:r w:rsidRPr="00474EC1">
        <w:rPr>
          <w:rFonts w:eastAsia="Calibri" w:cs="Calibri"/>
          <w:bCs/>
          <w:color w:val="000000"/>
          <w:szCs w:val="22"/>
          <w:lang w:val="en-GB" w:eastAsia="en-US"/>
        </w:rPr>
        <w:t>u program monitoringa.</w:t>
      </w:r>
    </w:p>
    <w:p w14:paraId="46B71762" w14:textId="77777777" w:rsidR="00A9366B" w:rsidRPr="001C6CCA" w:rsidRDefault="00A9366B" w:rsidP="00936BE4">
      <w:pPr>
        <w:autoSpaceDE w:val="0"/>
        <w:autoSpaceDN w:val="0"/>
        <w:adjustRightInd w:val="0"/>
        <w:spacing w:before="0" w:after="160"/>
        <w:rPr>
          <w:rFonts w:eastAsia="Calibri" w:cs="Calibri"/>
          <w:bCs/>
          <w:color w:val="000000"/>
          <w:szCs w:val="22"/>
          <w:lang w:val="en-GB" w:eastAsia="en-US"/>
        </w:rPr>
      </w:pPr>
    </w:p>
    <w:p w14:paraId="2BCB42DD" w14:textId="68D53D34" w:rsidR="00E575DD" w:rsidRPr="001C6CCA" w:rsidRDefault="00E575DD" w:rsidP="009A4C87">
      <w:pPr>
        <w:pStyle w:val="Heading3"/>
        <w:rPr>
          <w:lang w:val="en-GB"/>
        </w:rPr>
      </w:pPr>
      <w:r w:rsidRPr="001C6CCA">
        <w:rPr>
          <w:lang w:val="en-GB"/>
        </w:rPr>
        <w:t xml:space="preserve"> </w:t>
      </w:r>
      <w:bookmarkStart w:id="327" w:name="_Toc68180822"/>
      <w:bookmarkStart w:id="328" w:name="_Toc83630972"/>
      <w:r w:rsidR="000A2FFC">
        <w:rPr>
          <w:lang w:val="en-GB"/>
        </w:rPr>
        <w:t>Morski s</w:t>
      </w:r>
      <w:r w:rsidR="00057F97">
        <w:rPr>
          <w:lang w:val="en-GB"/>
        </w:rPr>
        <w:t>isari</w:t>
      </w:r>
      <w:r w:rsidRPr="001C6CCA">
        <w:rPr>
          <w:lang w:val="en-GB"/>
        </w:rPr>
        <w:t xml:space="preserve"> (Cetacea)</w:t>
      </w:r>
      <w:bookmarkEnd w:id="327"/>
      <w:bookmarkEnd w:id="328"/>
    </w:p>
    <w:p w14:paraId="0CF640FB" w14:textId="31F658E4" w:rsidR="00016698" w:rsidRDefault="009611D5" w:rsidP="00554C1A">
      <w:pPr>
        <w:shd w:val="clear" w:color="auto" w:fill="FFFFFF"/>
        <w:spacing w:before="0" w:after="120"/>
        <w:textAlignment w:val="baseline"/>
        <w:rPr>
          <w:szCs w:val="22"/>
          <w:lang w:val="en-GB"/>
        </w:rPr>
      </w:pPr>
      <w:r>
        <w:rPr>
          <w:szCs w:val="22"/>
          <w:lang w:val="en-GB"/>
        </w:rPr>
        <w:t>Morski sisari</w:t>
      </w:r>
      <w:r w:rsidR="00016698" w:rsidRPr="00016698">
        <w:rPr>
          <w:szCs w:val="22"/>
          <w:lang w:val="en-GB"/>
        </w:rPr>
        <w:t xml:space="preserve"> </w:t>
      </w:r>
      <w:r w:rsidR="00016698">
        <w:rPr>
          <w:szCs w:val="22"/>
          <w:lang w:val="en-GB"/>
        </w:rPr>
        <w:t>(</w:t>
      </w:r>
      <w:r w:rsidR="00016698" w:rsidRPr="001C6CCA">
        <w:rPr>
          <w:color w:val="000000"/>
          <w:szCs w:val="22"/>
          <w:lang w:val="en-GB" w:eastAsia="hr-HR"/>
        </w:rPr>
        <w:t>Cetaceans</w:t>
      </w:r>
      <w:r w:rsidR="00016698">
        <w:rPr>
          <w:color w:val="000000"/>
          <w:szCs w:val="22"/>
          <w:lang w:val="en-GB" w:eastAsia="hr-HR"/>
        </w:rPr>
        <w:t>)</w:t>
      </w:r>
      <w:r w:rsidR="00016698" w:rsidRPr="001C6CCA">
        <w:rPr>
          <w:color w:val="000000"/>
          <w:szCs w:val="22"/>
          <w:lang w:val="en-GB" w:eastAsia="hr-HR"/>
        </w:rPr>
        <w:t xml:space="preserve"> </w:t>
      </w:r>
      <w:r w:rsidR="00016698" w:rsidRPr="00016698">
        <w:rPr>
          <w:szCs w:val="22"/>
          <w:lang w:val="en-GB"/>
        </w:rPr>
        <w:t>su vrlo pokretni</w:t>
      </w:r>
      <w:r>
        <w:rPr>
          <w:szCs w:val="22"/>
          <w:lang w:val="en-GB"/>
        </w:rPr>
        <w:t xml:space="preserve"> </w:t>
      </w:r>
      <w:r w:rsidR="00B23701">
        <w:rPr>
          <w:szCs w:val="22"/>
          <w:lang w:val="en-GB"/>
        </w:rPr>
        <w:t xml:space="preserve">i </w:t>
      </w:r>
      <w:r w:rsidR="00016698">
        <w:rPr>
          <w:szCs w:val="22"/>
          <w:lang w:val="en-GB"/>
        </w:rPr>
        <w:t xml:space="preserve">rasprostranjenost nekih od njih </w:t>
      </w:r>
      <w:r>
        <w:rPr>
          <w:szCs w:val="22"/>
          <w:lang w:val="en-GB"/>
        </w:rPr>
        <w:t xml:space="preserve">je </w:t>
      </w:r>
      <w:r w:rsidR="00016698">
        <w:rPr>
          <w:szCs w:val="22"/>
          <w:lang w:val="en-GB"/>
        </w:rPr>
        <w:t xml:space="preserve">široka, </w:t>
      </w:r>
      <w:r w:rsidR="00016698" w:rsidRPr="00016698">
        <w:rPr>
          <w:szCs w:val="22"/>
          <w:lang w:val="en-GB"/>
        </w:rPr>
        <w:t xml:space="preserve">uključujući redovne sezonske migracije. To znači da je većina primjeraka pronađenih u crnogorskim vodama dio mnogo većih i raširenijih bioloških populacija. Takođe, broj </w:t>
      </w:r>
      <w:r w:rsidR="00016698">
        <w:rPr>
          <w:szCs w:val="22"/>
          <w:lang w:val="en-GB"/>
        </w:rPr>
        <w:t>jediniki koje</w:t>
      </w:r>
      <w:r w:rsidR="00016698" w:rsidRPr="00016698">
        <w:rPr>
          <w:szCs w:val="22"/>
          <w:lang w:val="en-GB"/>
        </w:rPr>
        <w:t xml:space="preserve"> su prisutn</w:t>
      </w:r>
      <w:r>
        <w:rPr>
          <w:szCs w:val="22"/>
          <w:lang w:val="en-GB"/>
        </w:rPr>
        <w:t>e</w:t>
      </w:r>
      <w:r w:rsidR="00016698" w:rsidRPr="00016698">
        <w:rPr>
          <w:szCs w:val="22"/>
          <w:lang w:val="en-GB"/>
        </w:rPr>
        <w:t xml:space="preserve"> u bilo kom trenutku može biti samo mali dio onih koji koriste crnogorske vode tokom svog života. Proc</w:t>
      </w:r>
      <w:r w:rsidR="00016698">
        <w:rPr>
          <w:szCs w:val="22"/>
          <w:lang w:val="en-GB"/>
        </w:rPr>
        <w:t>j</w:t>
      </w:r>
      <w:r w:rsidR="00016698" w:rsidRPr="00016698">
        <w:rPr>
          <w:szCs w:val="22"/>
          <w:lang w:val="en-GB"/>
        </w:rPr>
        <w:t xml:space="preserve">ena GES-a </w:t>
      </w:r>
      <w:r w:rsidR="004271B9">
        <w:rPr>
          <w:szCs w:val="22"/>
          <w:lang w:val="en-GB"/>
        </w:rPr>
        <w:t xml:space="preserve">u ovom </w:t>
      </w:r>
      <w:r w:rsidR="00016698" w:rsidRPr="00016698">
        <w:rPr>
          <w:szCs w:val="22"/>
          <w:lang w:val="en-GB"/>
        </w:rPr>
        <w:t>izv</w:t>
      </w:r>
      <w:r w:rsidR="00016698">
        <w:rPr>
          <w:szCs w:val="22"/>
          <w:lang w:val="en-GB"/>
        </w:rPr>
        <w:t>j</w:t>
      </w:r>
      <w:r w:rsidR="00016698" w:rsidRPr="00016698">
        <w:rPr>
          <w:szCs w:val="22"/>
          <w:lang w:val="en-GB"/>
        </w:rPr>
        <w:t>eštaj</w:t>
      </w:r>
      <w:r w:rsidR="004271B9">
        <w:rPr>
          <w:szCs w:val="22"/>
          <w:lang w:val="en-GB"/>
        </w:rPr>
        <w:t>u se</w:t>
      </w:r>
      <w:r w:rsidR="00016698" w:rsidRPr="00016698">
        <w:rPr>
          <w:szCs w:val="22"/>
          <w:lang w:val="en-GB"/>
        </w:rPr>
        <w:t xml:space="preserve"> zasniva na dv</w:t>
      </w:r>
      <w:r w:rsidR="00016698">
        <w:rPr>
          <w:szCs w:val="22"/>
          <w:lang w:val="en-GB"/>
        </w:rPr>
        <w:t>ije</w:t>
      </w:r>
      <w:r w:rsidR="00016698" w:rsidRPr="00016698">
        <w:rPr>
          <w:szCs w:val="22"/>
          <w:lang w:val="en-GB"/>
        </w:rPr>
        <w:t xml:space="preserve"> vrste </w:t>
      </w:r>
      <w:r w:rsidR="00016698">
        <w:rPr>
          <w:szCs w:val="22"/>
          <w:lang w:val="en-GB"/>
        </w:rPr>
        <w:t>morskih sisara</w:t>
      </w:r>
      <w:r w:rsidR="00016698" w:rsidRPr="00016698">
        <w:rPr>
          <w:szCs w:val="22"/>
          <w:lang w:val="en-GB"/>
        </w:rPr>
        <w:t xml:space="preserve"> koj</w:t>
      </w:r>
      <w:r w:rsidR="004271B9">
        <w:rPr>
          <w:szCs w:val="22"/>
          <w:lang w:val="en-GB"/>
        </w:rPr>
        <w:t>i</w:t>
      </w:r>
      <w:r w:rsidR="00016698" w:rsidRPr="00016698">
        <w:rPr>
          <w:szCs w:val="22"/>
          <w:lang w:val="en-GB"/>
        </w:rPr>
        <w:t xml:space="preserve"> se smatraju redovno prisutnim u Jadranskom moru: </w:t>
      </w:r>
      <w:r w:rsidR="00016698">
        <w:rPr>
          <w:szCs w:val="22"/>
        </w:rPr>
        <w:t>obični kljunasti delfin (</w:t>
      </w:r>
      <w:r w:rsidR="00016698" w:rsidRPr="00E6555D">
        <w:rPr>
          <w:i/>
          <w:szCs w:val="22"/>
        </w:rPr>
        <w:t>Tursiops truncatus</w:t>
      </w:r>
      <w:r w:rsidR="00016698">
        <w:rPr>
          <w:szCs w:val="22"/>
        </w:rPr>
        <w:t>) i prugasti delfin (</w:t>
      </w:r>
      <w:r w:rsidR="00016698" w:rsidRPr="00E6555D">
        <w:rPr>
          <w:i/>
          <w:szCs w:val="22"/>
        </w:rPr>
        <w:t>Stenella coeruleoalba</w:t>
      </w:r>
      <w:r w:rsidR="00016698">
        <w:rPr>
          <w:szCs w:val="22"/>
        </w:rPr>
        <w:t>)</w:t>
      </w:r>
      <w:r w:rsidR="00C9607F">
        <w:rPr>
          <w:szCs w:val="22"/>
        </w:rPr>
        <w:t>.</w:t>
      </w:r>
    </w:p>
    <w:p w14:paraId="7DFC8642" w14:textId="21C58624" w:rsidR="00E575DD" w:rsidRPr="001C6CCA" w:rsidRDefault="00487A6A" w:rsidP="00361C2F">
      <w:pPr>
        <w:pStyle w:val="Heading4"/>
        <w:rPr>
          <w:lang w:val="en-GB"/>
        </w:rPr>
      </w:pPr>
      <w:r>
        <w:rPr>
          <w:lang w:val="en-GB"/>
        </w:rPr>
        <w:t>Relevantni p</w:t>
      </w:r>
      <w:r w:rsidR="00E575DD" w:rsidRPr="001C6CCA">
        <w:rPr>
          <w:lang w:val="en-GB"/>
        </w:rPr>
        <w:t>r</w:t>
      </w:r>
      <w:r w:rsidR="00016698">
        <w:rPr>
          <w:lang w:val="en-GB"/>
        </w:rPr>
        <w:t>itisci i uticaji</w:t>
      </w:r>
    </w:p>
    <w:p w14:paraId="13426FFE" w14:textId="54ED75BE" w:rsidR="00016698" w:rsidRPr="00016698" w:rsidRDefault="004271B9" w:rsidP="00016698">
      <w:pPr>
        <w:autoSpaceDE w:val="0"/>
        <w:autoSpaceDN w:val="0"/>
        <w:adjustRightInd w:val="0"/>
        <w:spacing w:before="0" w:after="0"/>
        <w:rPr>
          <w:rFonts w:eastAsia="Calibri" w:cs="Calibri"/>
          <w:color w:val="000000"/>
          <w:szCs w:val="22"/>
          <w:lang w:val="en-GB" w:eastAsia="en-US"/>
        </w:rPr>
      </w:pPr>
      <w:r>
        <w:rPr>
          <w:rFonts w:eastAsia="Calibri" w:cs="Calibri"/>
          <w:color w:val="000000"/>
          <w:szCs w:val="22"/>
          <w:lang w:val="en-GB" w:eastAsia="en-US"/>
        </w:rPr>
        <w:t>Na m</w:t>
      </w:r>
      <w:r w:rsidR="009611D5">
        <w:rPr>
          <w:rFonts w:eastAsia="Calibri" w:cs="Calibri"/>
          <w:color w:val="000000"/>
          <w:szCs w:val="22"/>
          <w:lang w:val="en-GB" w:eastAsia="en-US"/>
        </w:rPr>
        <w:t>orsk</w:t>
      </w:r>
      <w:r>
        <w:rPr>
          <w:rFonts w:eastAsia="Calibri" w:cs="Calibri"/>
          <w:color w:val="000000"/>
          <w:szCs w:val="22"/>
          <w:lang w:val="en-GB" w:eastAsia="en-US"/>
        </w:rPr>
        <w:t>e</w:t>
      </w:r>
      <w:r w:rsidR="009611D5">
        <w:rPr>
          <w:rFonts w:eastAsia="Calibri" w:cs="Calibri"/>
          <w:color w:val="000000"/>
          <w:szCs w:val="22"/>
          <w:lang w:val="en-GB" w:eastAsia="en-US"/>
        </w:rPr>
        <w:t xml:space="preserve"> sisare </w:t>
      </w:r>
      <w:r>
        <w:rPr>
          <w:rFonts w:eastAsia="Calibri" w:cs="Calibri"/>
          <w:color w:val="000000"/>
          <w:szCs w:val="22"/>
          <w:lang w:val="en-GB" w:eastAsia="en-US"/>
        </w:rPr>
        <w:t xml:space="preserve">utječu </w:t>
      </w:r>
      <w:r w:rsidR="00016698" w:rsidRPr="00016698">
        <w:rPr>
          <w:rFonts w:eastAsia="Calibri" w:cs="Calibri"/>
          <w:color w:val="000000"/>
          <w:szCs w:val="22"/>
          <w:lang w:val="en-GB" w:eastAsia="en-US"/>
        </w:rPr>
        <w:t>različiti pritisci (tabela 3.7). Postoje poteškoće u uspostavljanju direktne veze između pojedinačnih pritisaka i njihovog uticaja, ali kumulativni uticaj čitavog niza pritisaka zabrinjava i može uticati na dugoročnu održivost nekih vrsta.</w:t>
      </w:r>
    </w:p>
    <w:p w14:paraId="76CF2F06" w14:textId="77777777" w:rsidR="00016698" w:rsidRPr="00016698" w:rsidRDefault="00016698" w:rsidP="00016698">
      <w:pPr>
        <w:autoSpaceDE w:val="0"/>
        <w:autoSpaceDN w:val="0"/>
        <w:adjustRightInd w:val="0"/>
        <w:spacing w:before="0" w:after="0"/>
        <w:rPr>
          <w:rFonts w:eastAsia="Calibri" w:cs="Calibri"/>
          <w:color w:val="000000"/>
          <w:szCs w:val="22"/>
          <w:lang w:val="en-GB" w:eastAsia="en-US"/>
        </w:rPr>
      </w:pPr>
    </w:p>
    <w:p w14:paraId="445E75A5" w14:textId="61D4E3A5" w:rsidR="00E575DD" w:rsidRPr="008A7B65" w:rsidRDefault="002E5A21" w:rsidP="008A7B65">
      <w:pPr>
        <w:autoSpaceDE w:val="0"/>
        <w:autoSpaceDN w:val="0"/>
        <w:adjustRightInd w:val="0"/>
        <w:spacing w:before="0" w:after="0"/>
        <w:rPr>
          <w:rFonts w:eastAsia="Calibri" w:cs="Calibri"/>
          <w:color w:val="000000"/>
          <w:szCs w:val="22"/>
          <w:lang w:val="en-GB" w:eastAsia="en-US"/>
        </w:rPr>
      </w:pPr>
      <w:bookmarkStart w:id="329" w:name="_Toc83643203"/>
      <w:r w:rsidRPr="001C6CCA">
        <w:rPr>
          <w:rFonts w:eastAsia="Calibri"/>
          <w:b/>
          <w:szCs w:val="22"/>
          <w:lang w:val="en-GB" w:eastAsia="en-US"/>
        </w:rPr>
        <w:t>Tab</w:t>
      </w:r>
      <w:r w:rsidR="00A1459F">
        <w:rPr>
          <w:rFonts w:eastAsia="Calibri"/>
          <w:b/>
          <w:szCs w:val="22"/>
          <w:lang w:val="en-GB" w:eastAsia="en-US"/>
        </w:rPr>
        <w:t>ela</w:t>
      </w:r>
      <w:r w:rsidRPr="001C6CCA">
        <w:rPr>
          <w:rFonts w:eastAsia="Calibri"/>
          <w:b/>
          <w:szCs w:val="22"/>
          <w:lang w:val="en-GB" w:eastAsia="en-US"/>
        </w:rPr>
        <w:t xml:space="preserve"> </w:t>
      </w:r>
      <w:r w:rsidR="00C000AE" w:rsidRPr="00D932B6">
        <w:rPr>
          <w:b/>
          <w:szCs w:val="22"/>
        </w:rPr>
        <w:fldChar w:fldCharType="begin"/>
      </w:r>
      <w:r w:rsidR="00C000AE" w:rsidRPr="00D932B6">
        <w:rPr>
          <w:b/>
          <w:szCs w:val="22"/>
        </w:rPr>
        <w:instrText xml:space="preserve"> STYLEREF 1 \s </w:instrText>
      </w:r>
      <w:r w:rsidR="00C000AE" w:rsidRPr="00D932B6">
        <w:rPr>
          <w:b/>
          <w:szCs w:val="22"/>
        </w:rPr>
        <w:fldChar w:fldCharType="separate"/>
      </w:r>
      <w:r w:rsidR="000D1E20">
        <w:rPr>
          <w:b/>
          <w:noProof/>
          <w:szCs w:val="22"/>
        </w:rPr>
        <w:t>3</w:t>
      </w:r>
      <w:r w:rsidR="00C000AE" w:rsidRPr="00D932B6">
        <w:rPr>
          <w:b/>
          <w:szCs w:val="22"/>
        </w:rPr>
        <w:fldChar w:fldCharType="end"/>
      </w:r>
      <w:r w:rsidR="00C000AE" w:rsidRPr="00D932B6">
        <w:rPr>
          <w:b/>
          <w:szCs w:val="22"/>
        </w:rPr>
        <w:t>.</w:t>
      </w:r>
      <w:r w:rsidR="00C000AE" w:rsidRPr="00D932B6">
        <w:rPr>
          <w:b/>
          <w:szCs w:val="22"/>
        </w:rPr>
        <w:fldChar w:fldCharType="begin"/>
      </w:r>
      <w:r w:rsidR="00C000AE" w:rsidRPr="00D932B6">
        <w:rPr>
          <w:b/>
          <w:szCs w:val="22"/>
        </w:rPr>
        <w:instrText xml:space="preserve"> SEQ Table \* ARABIC \s 1 </w:instrText>
      </w:r>
      <w:r w:rsidR="00C000AE" w:rsidRPr="00D932B6">
        <w:rPr>
          <w:b/>
          <w:szCs w:val="22"/>
        </w:rPr>
        <w:fldChar w:fldCharType="separate"/>
      </w:r>
      <w:r w:rsidR="000D1E20">
        <w:rPr>
          <w:b/>
          <w:noProof/>
          <w:szCs w:val="22"/>
        </w:rPr>
        <w:t>7</w:t>
      </w:r>
      <w:r w:rsidR="00C000AE" w:rsidRPr="00D932B6">
        <w:rPr>
          <w:b/>
          <w:szCs w:val="22"/>
        </w:rPr>
        <w:fldChar w:fldCharType="end"/>
      </w:r>
      <w:r w:rsidR="00C000AE">
        <w:rPr>
          <w:b/>
          <w:szCs w:val="22"/>
        </w:rPr>
        <w:t>.</w:t>
      </w:r>
      <w:r w:rsidR="00C000AE" w:rsidRPr="001C6CCA">
        <w:rPr>
          <w:rFonts w:eastAsia="Calibri" w:cs="Calibri"/>
          <w:b/>
          <w:szCs w:val="22"/>
          <w:lang w:val="en-GB" w:eastAsia="en-US"/>
        </w:rPr>
        <w:t xml:space="preserve"> </w:t>
      </w:r>
      <w:r w:rsidR="008A7B65" w:rsidRPr="008A7B65">
        <w:rPr>
          <w:rFonts w:eastAsia="Calibri" w:cs="Calibri"/>
          <w:b/>
          <w:color w:val="000000"/>
          <w:szCs w:val="22"/>
          <w:lang w:val="en-GB" w:eastAsia="en-US"/>
        </w:rPr>
        <w:t xml:space="preserve">Pregled najvažnijih pritisaka i aktivnosti </w:t>
      </w:r>
      <w:r w:rsidR="008A7B65">
        <w:rPr>
          <w:rFonts w:eastAsia="Calibri" w:cs="Calibri"/>
          <w:b/>
          <w:color w:val="000000"/>
          <w:szCs w:val="22"/>
          <w:lang w:val="en-GB" w:eastAsia="en-US"/>
        </w:rPr>
        <w:t>koje utiču na morske sisare</w:t>
      </w:r>
      <w:bookmarkEnd w:id="329"/>
    </w:p>
    <w:tbl>
      <w:tblPr>
        <w:tblStyle w:val="GolderTable8"/>
        <w:tblW w:w="8926"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823"/>
        <w:gridCol w:w="5103"/>
      </w:tblGrid>
      <w:tr w:rsidR="008A7B65" w:rsidRPr="001C6CCA" w14:paraId="65313B94" w14:textId="77777777" w:rsidTr="00A1459F">
        <w:trPr>
          <w:jc w:val="center"/>
        </w:trPr>
        <w:tc>
          <w:tcPr>
            <w:tcW w:w="3823" w:type="dxa"/>
            <w:shd w:val="clear" w:color="auto" w:fill="365F91"/>
          </w:tcPr>
          <w:p w14:paraId="76D41DC5" w14:textId="3C9D9A11" w:rsidR="008A7B65" w:rsidRPr="00A1459F" w:rsidRDefault="008A7B65" w:rsidP="008A7B65">
            <w:pPr>
              <w:spacing w:before="0" w:after="0" w:line="240" w:lineRule="auto"/>
              <w:rPr>
                <w:b/>
                <w:color w:val="FFFFFF" w:themeColor="background1"/>
                <w:lang w:val="en-GB" w:eastAsia="en-US"/>
              </w:rPr>
            </w:pPr>
            <w:r w:rsidRPr="00A1459F">
              <w:rPr>
                <w:b/>
                <w:color w:val="FFFFFF" w:themeColor="background1"/>
                <w:lang w:val="en-GB" w:eastAsia="en-US"/>
              </w:rPr>
              <w:t xml:space="preserve">Relevantni pritisak </w:t>
            </w:r>
          </w:p>
        </w:tc>
        <w:tc>
          <w:tcPr>
            <w:tcW w:w="5103" w:type="dxa"/>
            <w:shd w:val="clear" w:color="auto" w:fill="365F91"/>
          </w:tcPr>
          <w:p w14:paraId="5F3E52C1" w14:textId="77777777" w:rsidR="00E36DAD" w:rsidRDefault="00A1459F" w:rsidP="00A1459F">
            <w:pPr>
              <w:spacing w:before="0" w:after="0" w:line="240" w:lineRule="auto"/>
              <w:rPr>
                <w:b/>
                <w:color w:val="FFFFFF" w:themeColor="background1"/>
                <w:lang w:val="en-GB" w:eastAsia="en-US"/>
              </w:rPr>
            </w:pPr>
            <w:r w:rsidRPr="00A1459F">
              <w:rPr>
                <w:b/>
                <w:color w:val="FFFFFF" w:themeColor="background1"/>
                <w:lang w:val="en-GB" w:eastAsia="en-US"/>
              </w:rPr>
              <w:t xml:space="preserve">Korišćenje/aktivnost odgovorna za pritiske  </w:t>
            </w:r>
          </w:p>
          <w:p w14:paraId="4FEA28EF" w14:textId="1C3603D9" w:rsidR="00A1459F" w:rsidRPr="00A1459F" w:rsidRDefault="00A1459F" w:rsidP="00A1459F">
            <w:pPr>
              <w:spacing w:before="0" w:after="0" w:line="240" w:lineRule="auto"/>
              <w:rPr>
                <w:b/>
                <w:color w:val="FFFFFF" w:themeColor="background1"/>
                <w:lang w:val="en-GB" w:eastAsia="en-US"/>
              </w:rPr>
            </w:pPr>
          </w:p>
        </w:tc>
      </w:tr>
      <w:tr w:rsidR="00E575DD" w:rsidRPr="001C6CCA" w14:paraId="024F510E" w14:textId="77777777" w:rsidTr="008429F2">
        <w:trPr>
          <w:trHeight w:val="714"/>
          <w:jc w:val="center"/>
        </w:trPr>
        <w:tc>
          <w:tcPr>
            <w:tcW w:w="3823" w:type="dxa"/>
          </w:tcPr>
          <w:p w14:paraId="2CC7860B" w14:textId="42F5C305" w:rsidR="008A7B65" w:rsidRPr="001C6CCA" w:rsidRDefault="008A7B65" w:rsidP="008A7B65">
            <w:pPr>
              <w:spacing w:before="0" w:after="0" w:line="240" w:lineRule="auto"/>
              <w:rPr>
                <w:sz w:val="20"/>
                <w:szCs w:val="20"/>
                <w:lang w:val="en-GB" w:eastAsia="en-US"/>
              </w:rPr>
            </w:pPr>
            <w:r>
              <w:rPr>
                <w:sz w:val="20"/>
                <w:szCs w:val="20"/>
                <w:lang w:val="en-GB" w:eastAsia="en-US"/>
              </w:rPr>
              <w:t>E</w:t>
            </w:r>
            <w:r w:rsidRPr="008A7B65">
              <w:rPr>
                <w:sz w:val="20"/>
                <w:szCs w:val="20"/>
                <w:lang w:val="en-GB" w:eastAsia="en-US"/>
              </w:rPr>
              <w:t>kstrakcija divljih vrsta ili njihova smrtnost/povreda</w:t>
            </w:r>
          </w:p>
        </w:tc>
        <w:tc>
          <w:tcPr>
            <w:tcW w:w="5103" w:type="dxa"/>
          </w:tcPr>
          <w:p w14:paraId="7D6E0F56" w14:textId="700E404A" w:rsidR="00E575DD" w:rsidRPr="008A7B65" w:rsidRDefault="008A7B65" w:rsidP="008A7B65">
            <w:pPr>
              <w:autoSpaceDE w:val="0"/>
              <w:autoSpaceDN w:val="0"/>
              <w:adjustRightInd w:val="0"/>
              <w:spacing w:before="0" w:after="0" w:line="240" w:lineRule="auto"/>
              <w:rPr>
                <w:rFonts w:cs="Calibri"/>
                <w:color w:val="000000"/>
                <w:sz w:val="20"/>
                <w:szCs w:val="20"/>
                <w:shd w:val="clear" w:color="auto" w:fill="FFFFFF"/>
                <w:lang w:val="en-GB" w:eastAsia="en-US"/>
              </w:rPr>
            </w:pPr>
            <w:r>
              <w:rPr>
                <w:rFonts w:cs="Calibri"/>
                <w:color w:val="000000"/>
                <w:sz w:val="20"/>
                <w:szCs w:val="20"/>
                <w:shd w:val="clear" w:color="auto" w:fill="FFFFFF"/>
                <w:lang w:val="en-GB" w:eastAsia="en-US"/>
              </w:rPr>
              <w:t xml:space="preserve">Ribolov i ulov školjki </w:t>
            </w:r>
            <w:r w:rsidR="00E575DD" w:rsidRPr="001C6CCA">
              <w:rPr>
                <w:sz w:val="20"/>
                <w:szCs w:val="20"/>
                <w:lang w:val="en-GB" w:eastAsia="en-US"/>
              </w:rPr>
              <w:t>(profes</w:t>
            </w:r>
            <w:r>
              <w:rPr>
                <w:sz w:val="20"/>
                <w:szCs w:val="20"/>
                <w:lang w:val="en-GB" w:eastAsia="en-US"/>
              </w:rPr>
              <w:t>ionalni, rekreativni</w:t>
            </w:r>
            <w:r w:rsidR="00E575DD" w:rsidRPr="001C6CCA">
              <w:rPr>
                <w:sz w:val="20"/>
                <w:szCs w:val="20"/>
                <w:lang w:val="en-GB" w:eastAsia="en-US"/>
              </w:rPr>
              <w:t>)</w:t>
            </w:r>
          </w:p>
        </w:tc>
      </w:tr>
      <w:tr w:rsidR="00E575DD" w:rsidRPr="001C6CCA" w14:paraId="7608EE1E" w14:textId="77777777" w:rsidTr="00E518EC">
        <w:trPr>
          <w:trHeight w:val="424"/>
          <w:jc w:val="center"/>
        </w:trPr>
        <w:tc>
          <w:tcPr>
            <w:tcW w:w="3823" w:type="dxa"/>
            <w:vMerge w:val="restart"/>
          </w:tcPr>
          <w:p w14:paraId="474B88B1" w14:textId="77777777" w:rsidR="008A7B65" w:rsidRPr="00016698" w:rsidRDefault="008A7B65" w:rsidP="008A7B65">
            <w:pPr>
              <w:spacing w:before="0" w:after="0"/>
              <w:rPr>
                <w:sz w:val="20"/>
                <w:szCs w:val="20"/>
                <w:lang w:val="en-GB" w:eastAsia="en-US"/>
              </w:rPr>
            </w:pPr>
            <w:r w:rsidRPr="00016698">
              <w:rPr>
                <w:sz w:val="20"/>
                <w:szCs w:val="20"/>
                <w:lang w:val="en-GB" w:eastAsia="en-US"/>
              </w:rPr>
              <w:t>Unos antropogenog zvuka (impul</w:t>
            </w:r>
            <w:r>
              <w:rPr>
                <w:sz w:val="20"/>
                <w:szCs w:val="20"/>
                <w:lang w:val="en-GB" w:eastAsia="en-US"/>
              </w:rPr>
              <w:t>sni</w:t>
            </w:r>
            <w:r w:rsidRPr="00016698">
              <w:rPr>
                <w:sz w:val="20"/>
                <w:szCs w:val="20"/>
                <w:lang w:val="en-GB" w:eastAsia="en-US"/>
              </w:rPr>
              <w:t>, kontinuiran)</w:t>
            </w:r>
          </w:p>
          <w:p w14:paraId="37E52E79" w14:textId="763AC2AE" w:rsidR="00E575DD" w:rsidRPr="001C6CCA" w:rsidRDefault="00E575DD" w:rsidP="00F65CFF">
            <w:pPr>
              <w:spacing w:before="0" w:after="0" w:line="240" w:lineRule="auto"/>
              <w:jc w:val="left"/>
              <w:rPr>
                <w:sz w:val="20"/>
                <w:szCs w:val="20"/>
                <w:lang w:val="en-GB" w:eastAsia="en-US"/>
              </w:rPr>
            </w:pPr>
          </w:p>
        </w:tc>
        <w:tc>
          <w:tcPr>
            <w:tcW w:w="5103" w:type="dxa"/>
          </w:tcPr>
          <w:p w14:paraId="3D6020AA" w14:textId="77777777" w:rsidR="008A7B65" w:rsidRPr="008A7B65" w:rsidRDefault="008A7B65" w:rsidP="008A7B65">
            <w:pPr>
              <w:spacing w:before="0" w:after="0"/>
              <w:rPr>
                <w:sz w:val="20"/>
                <w:szCs w:val="20"/>
                <w:lang w:val="en-GB" w:eastAsia="en-US"/>
              </w:rPr>
            </w:pPr>
            <w:r>
              <w:rPr>
                <w:sz w:val="20"/>
                <w:szCs w:val="20"/>
                <w:lang w:val="en-GB" w:eastAsia="en-US"/>
              </w:rPr>
              <w:t>E</w:t>
            </w:r>
            <w:r w:rsidRPr="008A7B65">
              <w:rPr>
                <w:sz w:val="20"/>
                <w:szCs w:val="20"/>
                <w:lang w:val="en-GB" w:eastAsia="en-US"/>
              </w:rPr>
              <w:t>kstrakcija nafte i gasa, uključujući infrastrukturu</w:t>
            </w:r>
          </w:p>
          <w:p w14:paraId="6E34AE20" w14:textId="55912C5F" w:rsidR="00E575DD" w:rsidRPr="001C6CCA" w:rsidRDefault="00E575DD" w:rsidP="00F65CFF">
            <w:pPr>
              <w:spacing w:before="0" w:after="0"/>
              <w:rPr>
                <w:sz w:val="20"/>
                <w:szCs w:val="20"/>
                <w:lang w:val="en-GB" w:eastAsia="en-US"/>
              </w:rPr>
            </w:pPr>
          </w:p>
        </w:tc>
      </w:tr>
      <w:tr w:rsidR="00E575DD" w:rsidRPr="001C6CCA" w14:paraId="3C205F49" w14:textId="77777777" w:rsidTr="00E518EC">
        <w:trPr>
          <w:jc w:val="center"/>
        </w:trPr>
        <w:tc>
          <w:tcPr>
            <w:tcW w:w="3823" w:type="dxa"/>
            <w:vMerge/>
          </w:tcPr>
          <w:p w14:paraId="4FA3F5B3" w14:textId="77777777" w:rsidR="00E575DD" w:rsidRPr="001C6CCA" w:rsidRDefault="00E575DD" w:rsidP="00F65CFF">
            <w:pPr>
              <w:spacing w:before="0" w:after="0"/>
              <w:rPr>
                <w:sz w:val="20"/>
                <w:szCs w:val="20"/>
                <w:lang w:val="en-GB" w:eastAsia="en-US"/>
              </w:rPr>
            </w:pPr>
          </w:p>
        </w:tc>
        <w:tc>
          <w:tcPr>
            <w:tcW w:w="5103" w:type="dxa"/>
          </w:tcPr>
          <w:p w14:paraId="364036C2" w14:textId="77777777" w:rsidR="008A7B65" w:rsidRPr="008A7B65" w:rsidRDefault="008A7B65" w:rsidP="008A7B65">
            <w:pPr>
              <w:spacing w:before="0" w:after="0"/>
              <w:rPr>
                <w:sz w:val="20"/>
                <w:szCs w:val="20"/>
                <w:lang w:val="en-GB" w:eastAsia="en-US"/>
              </w:rPr>
            </w:pPr>
            <w:r w:rsidRPr="008A7B65">
              <w:rPr>
                <w:sz w:val="20"/>
                <w:szCs w:val="20"/>
                <w:lang w:val="en-GB" w:eastAsia="en-US"/>
              </w:rPr>
              <w:t>Vojne operacije</w:t>
            </w:r>
          </w:p>
          <w:p w14:paraId="6015B728" w14:textId="4055CA57" w:rsidR="00E575DD" w:rsidRPr="001C6CCA" w:rsidRDefault="00E575DD" w:rsidP="00F65CFF">
            <w:pPr>
              <w:spacing w:before="0" w:after="0"/>
              <w:rPr>
                <w:sz w:val="20"/>
                <w:szCs w:val="20"/>
                <w:lang w:val="en-GB" w:eastAsia="en-US"/>
              </w:rPr>
            </w:pPr>
          </w:p>
        </w:tc>
      </w:tr>
      <w:tr w:rsidR="00E575DD" w:rsidRPr="001C6CCA" w14:paraId="7BA3E4B1" w14:textId="77777777" w:rsidTr="00E518EC">
        <w:trPr>
          <w:jc w:val="center"/>
        </w:trPr>
        <w:tc>
          <w:tcPr>
            <w:tcW w:w="3823" w:type="dxa"/>
            <w:vMerge/>
          </w:tcPr>
          <w:p w14:paraId="40F4409F" w14:textId="77777777" w:rsidR="00E575DD" w:rsidRPr="001C6CCA" w:rsidRDefault="00E575DD" w:rsidP="00F65CFF">
            <w:pPr>
              <w:spacing w:before="0" w:after="0"/>
              <w:rPr>
                <w:sz w:val="20"/>
                <w:szCs w:val="20"/>
                <w:lang w:val="en-GB" w:eastAsia="en-US"/>
              </w:rPr>
            </w:pPr>
          </w:p>
        </w:tc>
        <w:tc>
          <w:tcPr>
            <w:tcW w:w="5103" w:type="dxa"/>
          </w:tcPr>
          <w:p w14:paraId="52E4194F" w14:textId="77777777" w:rsidR="008A7B65" w:rsidRPr="008A7B65" w:rsidRDefault="008A7B65" w:rsidP="008A7B65">
            <w:pPr>
              <w:spacing w:before="0" w:after="0"/>
              <w:rPr>
                <w:sz w:val="20"/>
                <w:szCs w:val="20"/>
                <w:lang w:val="en-GB" w:eastAsia="en-US"/>
              </w:rPr>
            </w:pPr>
            <w:r>
              <w:rPr>
                <w:sz w:val="20"/>
                <w:szCs w:val="20"/>
                <w:lang w:val="en-GB" w:eastAsia="en-US"/>
              </w:rPr>
              <w:t>Transport - šiping</w:t>
            </w:r>
          </w:p>
          <w:p w14:paraId="755FEA14" w14:textId="4A4EFA46" w:rsidR="00E575DD" w:rsidRPr="001C6CCA" w:rsidRDefault="00E575DD" w:rsidP="00F65CFF">
            <w:pPr>
              <w:spacing w:before="0" w:after="0"/>
              <w:rPr>
                <w:sz w:val="20"/>
                <w:szCs w:val="20"/>
                <w:lang w:val="en-GB" w:eastAsia="en-US"/>
              </w:rPr>
            </w:pPr>
          </w:p>
        </w:tc>
      </w:tr>
      <w:tr w:rsidR="00E575DD" w:rsidRPr="001C6CCA" w14:paraId="39207611" w14:textId="77777777" w:rsidTr="00E518EC">
        <w:trPr>
          <w:jc w:val="center"/>
        </w:trPr>
        <w:tc>
          <w:tcPr>
            <w:tcW w:w="3823" w:type="dxa"/>
          </w:tcPr>
          <w:p w14:paraId="084FC7FE" w14:textId="6FC9D94B" w:rsidR="008A7B65" w:rsidRPr="00016698" w:rsidRDefault="008A7B65" w:rsidP="008A7B65">
            <w:pPr>
              <w:spacing w:before="0" w:after="0"/>
              <w:rPr>
                <w:sz w:val="20"/>
                <w:szCs w:val="20"/>
                <w:lang w:val="en-GB" w:eastAsia="en-US"/>
              </w:rPr>
            </w:pPr>
            <w:r w:rsidRPr="00016698">
              <w:rPr>
                <w:sz w:val="20"/>
                <w:szCs w:val="20"/>
                <w:lang w:val="en-GB" w:eastAsia="en-US"/>
              </w:rPr>
              <w:t>Morsk</w:t>
            </w:r>
            <w:r>
              <w:rPr>
                <w:sz w:val="20"/>
                <w:szCs w:val="20"/>
                <w:lang w:val="en-GB" w:eastAsia="en-US"/>
              </w:rPr>
              <w:t>i otpad</w:t>
            </w:r>
          </w:p>
          <w:p w14:paraId="059B5607" w14:textId="77777777" w:rsidR="00E575DD" w:rsidRPr="001C6CCA" w:rsidRDefault="00E575DD" w:rsidP="00F65CFF">
            <w:pPr>
              <w:spacing w:before="0" w:after="0"/>
              <w:rPr>
                <w:sz w:val="20"/>
                <w:szCs w:val="20"/>
                <w:lang w:val="en-GB" w:eastAsia="en-US"/>
              </w:rPr>
            </w:pPr>
          </w:p>
        </w:tc>
        <w:tc>
          <w:tcPr>
            <w:tcW w:w="5103" w:type="dxa"/>
          </w:tcPr>
          <w:p w14:paraId="4A85B06C" w14:textId="77777777" w:rsidR="008A7B65" w:rsidRPr="008A7B65" w:rsidRDefault="008A7B65" w:rsidP="008A7B65">
            <w:pPr>
              <w:spacing w:before="0" w:after="0"/>
              <w:rPr>
                <w:sz w:val="20"/>
                <w:szCs w:val="20"/>
                <w:lang w:val="en-GB" w:eastAsia="en-US"/>
              </w:rPr>
            </w:pPr>
            <w:r w:rsidRPr="008A7B65">
              <w:rPr>
                <w:sz w:val="20"/>
                <w:szCs w:val="20"/>
                <w:lang w:val="en-GB" w:eastAsia="en-US"/>
              </w:rPr>
              <w:t>Tretman i odlaganje otpada</w:t>
            </w:r>
          </w:p>
          <w:p w14:paraId="333FFED8" w14:textId="426C29A0" w:rsidR="00E575DD" w:rsidRPr="001C6CCA" w:rsidRDefault="00E575DD" w:rsidP="00F65CFF">
            <w:pPr>
              <w:spacing w:before="0" w:after="0"/>
              <w:rPr>
                <w:sz w:val="20"/>
                <w:szCs w:val="20"/>
                <w:lang w:val="en-GB" w:eastAsia="en-US"/>
              </w:rPr>
            </w:pPr>
          </w:p>
        </w:tc>
      </w:tr>
      <w:tr w:rsidR="008A7B65" w:rsidRPr="001C6CCA" w14:paraId="3ACFF4D7" w14:textId="77777777" w:rsidTr="00E518EC">
        <w:trPr>
          <w:jc w:val="center"/>
        </w:trPr>
        <w:tc>
          <w:tcPr>
            <w:tcW w:w="3823" w:type="dxa"/>
            <w:vMerge w:val="restart"/>
          </w:tcPr>
          <w:p w14:paraId="5355888D" w14:textId="1A2CF9F8" w:rsidR="008A7B65" w:rsidRDefault="008A7B65" w:rsidP="008A7B65">
            <w:pPr>
              <w:spacing w:before="0" w:after="0"/>
              <w:rPr>
                <w:sz w:val="20"/>
                <w:szCs w:val="20"/>
                <w:lang w:val="en-GB" w:eastAsia="en-US"/>
              </w:rPr>
            </w:pPr>
            <w:r w:rsidRPr="00016698">
              <w:rPr>
                <w:sz w:val="20"/>
                <w:szCs w:val="20"/>
                <w:lang w:val="en-GB" w:eastAsia="en-US"/>
              </w:rPr>
              <w:t>Unos drugih supstanci (npr. Sintetičkih supstanci, nesintetičkih supstanci, radionuklida)</w:t>
            </w:r>
          </w:p>
          <w:p w14:paraId="2D5E3C99" w14:textId="6804C601" w:rsidR="008A7B65" w:rsidRPr="001C6CCA" w:rsidRDefault="008A7B65" w:rsidP="008A7B65">
            <w:pPr>
              <w:spacing w:before="0" w:after="0"/>
              <w:rPr>
                <w:sz w:val="20"/>
                <w:szCs w:val="20"/>
                <w:lang w:val="en-GB" w:eastAsia="en-US"/>
              </w:rPr>
            </w:pPr>
          </w:p>
        </w:tc>
        <w:tc>
          <w:tcPr>
            <w:tcW w:w="5103" w:type="dxa"/>
          </w:tcPr>
          <w:p w14:paraId="13478BEE" w14:textId="1A83BDC9" w:rsidR="008A7B65" w:rsidRPr="001C6CCA" w:rsidRDefault="008A7B65" w:rsidP="008A7B65">
            <w:pPr>
              <w:spacing w:before="0" w:after="0"/>
              <w:rPr>
                <w:sz w:val="20"/>
                <w:szCs w:val="20"/>
                <w:lang w:val="en-GB" w:eastAsia="en-US"/>
              </w:rPr>
            </w:pPr>
            <w:r w:rsidRPr="0030261A">
              <w:rPr>
                <w:sz w:val="20"/>
                <w:szCs w:val="20"/>
                <w:lang w:val="en-GB" w:eastAsia="en-US"/>
              </w:rPr>
              <w:t>Poljoprivreda</w:t>
            </w:r>
          </w:p>
        </w:tc>
      </w:tr>
      <w:tr w:rsidR="008A7B65" w:rsidRPr="001C6CCA" w14:paraId="56BFFCF8" w14:textId="77777777" w:rsidTr="00E518EC">
        <w:trPr>
          <w:jc w:val="center"/>
        </w:trPr>
        <w:tc>
          <w:tcPr>
            <w:tcW w:w="3823" w:type="dxa"/>
            <w:vMerge/>
          </w:tcPr>
          <w:p w14:paraId="56F0AB9A" w14:textId="77777777" w:rsidR="008A7B65" w:rsidRPr="001C6CCA" w:rsidRDefault="008A7B65" w:rsidP="008A7B65">
            <w:pPr>
              <w:spacing w:before="0" w:after="0"/>
              <w:rPr>
                <w:sz w:val="20"/>
                <w:szCs w:val="20"/>
                <w:lang w:val="en-GB" w:eastAsia="en-US"/>
              </w:rPr>
            </w:pPr>
          </w:p>
        </w:tc>
        <w:tc>
          <w:tcPr>
            <w:tcW w:w="5103" w:type="dxa"/>
          </w:tcPr>
          <w:p w14:paraId="69F4286E" w14:textId="0DECA7CF" w:rsidR="008A7B65" w:rsidRPr="001C6CCA" w:rsidRDefault="008A7B65" w:rsidP="008A7B65">
            <w:pPr>
              <w:spacing w:before="0" w:after="0"/>
              <w:rPr>
                <w:sz w:val="20"/>
                <w:szCs w:val="20"/>
                <w:lang w:val="en-GB" w:eastAsia="en-US"/>
              </w:rPr>
            </w:pPr>
            <w:r w:rsidRPr="0030261A">
              <w:rPr>
                <w:sz w:val="20"/>
                <w:szCs w:val="20"/>
                <w:lang w:val="en-GB" w:eastAsia="en-US"/>
              </w:rPr>
              <w:t>Urban</w:t>
            </w:r>
            <w:r w:rsidR="00D868D8">
              <w:rPr>
                <w:sz w:val="20"/>
                <w:szCs w:val="20"/>
                <w:lang w:val="en-GB" w:eastAsia="en-US"/>
              </w:rPr>
              <w:t>i izvori</w:t>
            </w:r>
          </w:p>
        </w:tc>
      </w:tr>
      <w:tr w:rsidR="008A7B65" w:rsidRPr="001C6CCA" w14:paraId="352E0CF5" w14:textId="77777777" w:rsidTr="00E518EC">
        <w:trPr>
          <w:jc w:val="center"/>
        </w:trPr>
        <w:tc>
          <w:tcPr>
            <w:tcW w:w="3823" w:type="dxa"/>
            <w:vMerge/>
          </w:tcPr>
          <w:p w14:paraId="1E589D59" w14:textId="77777777" w:rsidR="008A7B65" w:rsidRPr="001C6CCA" w:rsidRDefault="008A7B65" w:rsidP="008A7B65">
            <w:pPr>
              <w:spacing w:before="0" w:after="0"/>
              <w:rPr>
                <w:sz w:val="20"/>
                <w:szCs w:val="20"/>
                <w:lang w:val="en-GB" w:eastAsia="en-US"/>
              </w:rPr>
            </w:pPr>
          </w:p>
        </w:tc>
        <w:tc>
          <w:tcPr>
            <w:tcW w:w="5103" w:type="dxa"/>
          </w:tcPr>
          <w:p w14:paraId="48991E59" w14:textId="37CCEB24" w:rsidR="008A7B65" w:rsidRPr="001C6CCA" w:rsidRDefault="008A7B65" w:rsidP="008A7B65">
            <w:pPr>
              <w:spacing w:before="0" w:after="0"/>
              <w:rPr>
                <w:sz w:val="20"/>
                <w:szCs w:val="20"/>
                <w:lang w:val="en-GB" w:eastAsia="en-US"/>
              </w:rPr>
            </w:pPr>
            <w:r w:rsidRPr="0030261A">
              <w:rPr>
                <w:sz w:val="20"/>
                <w:szCs w:val="20"/>
                <w:lang w:val="en-GB" w:eastAsia="en-US"/>
              </w:rPr>
              <w:t>Industrijsk</w:t>
            </w:r>
            <w:r w:rsidR="006E384C">
              <w:rPr>
                <w:sz w:val="20"/>
                <w:szCs w:val="20"/>
                <w:lang w:val="en-GB" w:eastAsia="en-US"/>
              </w:rPr>
              <w:t>i izvori</w:t>
            </w:r>
          </w:p>
        </w:tc>
      </w:tr>
      <w:tr w:rsidR="00E575DD" w:rsidRPr="001C6CCA" w14:paraId="21FF8185" w14:textId="77777777" w:rsidTr="00B94BBC">
        <w:trPr>
          <w:trHeight w:val="296"/>
          <w:jc w:val="center"/>
        </w:trPr>
        <w:tc>
          <w:tcPr>
            <w:tcW w:w="3823" w:type="dxa"/>
            <w:vMerge/>
          </w:tcPr>
          <w:p w14:paraId="42B3D790" w14:textId="77777777" w:rsidR="00E575DD" w:rsidRPr="001C6CCA" w:rsidRDefault="00E575DD" w:rsidP="00F65CFF">
            <w:pPr>
              <w:spacing w:before="0" w:after="0"/>
              <w:rPr>
                <w:sz w:val="20"/>
                <w:szCs w:val="20"/>
                <w:lang w:val="en-GB" w:eastAsia="en-US"/>
              </w:rPr>
            </w:pPr>
          </w:p>
        </w:tc>
        <w:tc>
          <w:tcPr>
            <w:tcW w:w="5103" w:type="dxa"/>
          </w:tcPr>
          <w:p w14:paraId="4D989548" w14:textId="77777777" w:rsidR="00E575DD" w:rsidRDefault="00E575DD" w:rsidP="00F65CFF">
            <w:pPr>
              <w:spacing w:before="0" w:after="0"/>
              <w:rPr>
                <w:sz w:val="20"/>
                <w:szCs w:val="20"/>
                <w:lang w:val="en-GB" w:eastAsia="en-US"/>
              </w:rPr>
            </w:pPr>
            <w:r w:rsidRPr="001C6CCA">
              <w:rPr>
                <w:sz w:val="20"/>
                <w:szCs w:val="20"/>
                <w:lang w:val="en-GB" w:eastAsia="en-US"/>
              </w:rPr>
              <w:t>Transport</w:t>
            </w:r>
          </w:p>
          <w:p w14:paraId="086190DF" w14:textId="61FC5279" w:rsidR="008A7B65" w:rsidRPr="001C6CCA" w:rsidRDefault="008A7B65" w:rsidP="008A7B65">
            <w:pPr>
              <w:spacing w:before="0" w:after="0"/>
              <w:rPr>
                <w:sz w:val="20"/>
                <w:szCs w:val="20"/>
                <w:lang w:val="en-GB" w:eastAsia="en-US"/>
              </w:rPr>
            </w:pPr>
          </w:p>
        </w:tc>
      </w:tr>
    </w:tbl>
    <w:p w14:paraId="2A6F9550" w14:textId="77777777" w:rsidR="00016698" w:rsidRDefault="00016698" w:rsidP="00B94BBC">
      <w:pPr>
        <w:spacing w:before="0" w:after="160"/>
        <w:rPr>
          <w:rFonts w:eastAsia="Calibri" w:cs="Calibri"/>
          <w:szCs w:val="22"/>
          <w:lang w:val="en-GB" w:eastAsia="en-US"/>
        </w:rPr>
      </w:pPr>
    </w:p>
    <w:p w14:paraId="4DCB1CA5" w14:textId="55704775" w:rsidR="00016698" w:rsidRPr="00016698" w:rsidRDefault="00016698" w:rsidP="00016698">
      <w:pPr>
        <w:spacing w:before="0" w:after="160"/>
        <w:rPr>
          <w:rFonts w:eastAsia="Calibri" w:cs="Calibri"/>
          <w:szCs w:val="22"/>
          <w:lang w:val="en-GB" w:eastAsia="en-US"/>
        </w:rPr>
      </w:pPr>
      <w:r w:rsidRPr="00016698">
        <w:rPr>
          <w:rFonts w:eastAsia="Calibri" w:cs="Calibri"/>
          <w:szCs w:val="22"/>
          <w:lang w:val="en-GB" w:eastAsia="en-US"/>
        </w:rPr>
        <w:t xml:space="preserve">Glavni pritisci na </w:t>
      </w:r>
      <w:r w:rsidR="009611D5">
        <w:rPr>
          <w:rFonts w:eastAsia="Calibri" w:cs="Calibri"/>
          <w:szCs w:val="22"/>
          <w:lang w:val="en-GB" w:eastAsia="en-US"/>
        </w:rPr>
        <w:t xml:space="preserve">sisare </w:t>
      </w:r>
      <w:r w:rsidRPr="00016698">
        <w:rPr>
          <w:rFonts w:eastAsia="Calibri" w:cs="Calibri"/>
          <w:szCs w:val="22"/>
          <w:lang w:val="en-GB" w:eastAsia="en-US"/>
        </w:rPr>
        <w:t xml:space="preserve">na jadranskom nivou su najverovatnije interakcije sa ribarstvom </w:t>
      </w:r>
      <w:r w:rsidR="00BA2694">
        <w:rPr>
          <w:rFonts w:eastAsia="Calibri" w:cs="Calibri"/>
          <w:szCs w:val="22"/>
          <w:lang w:val="en-GB" w:eastAsia="en-US"/>
        </w:rPr>
        <w:t>–</w:t>
      </w:r>
      <w:r w:rsidRPr="00016698">
        <w:rPr>
          <w:rFonts w:eastAsia="Calibri" w:cs="Calibri"/>
          <w:szCs w:val="22"/>
          <w:lang w:val="en-GB" w:eastAsia="en-US"/>
        </w:rPr>
        <w:t xml:space="preserve"> </w:t>
      </w:r>
      <w:r w:rsidR="00BA2694">
        <w:rPr>
          <w:rFonts w:eastAsia="Calibri" w:cs="Calibri"/>
          <w:szCs w:val="22"/>
          <w:lang w:val="en-GB" w:eastAsia="en-US"/>
        </w:rPr>
        <w:t>slučajnim ulovom</w:t>
      </w:r>
      <w:r w:rsidRPr="00016698">
        <w:rPr>
          <w:rFonts w:eastAsia="Calibri" w:cs="Calibri"/>
          <w:szCs w:val="22"/>
          <w:lang w:val="en-GB" w:eastAsia="en-US"/>
        </w:rPr>
        <w:t xml:space="preserve"> i morskim otpadom, ali potreb</w:t>
      </w:r>
      <w:r w:rsidR="00B23701">
        <w:rPr>
          <w:rFonts w:eastAsia="Calibri" w:cs="Calibri"/>
          <w:szCs w:val="22"/>
          <w:lang w:val="en-GB" w:eastAsia="en-US"/>
        </w:rPr>
        <w:t>n</w:t>
      </w:r>
      <w:r w:rsidRPr="00016698">
        <w:rPr>
          <w:rFonts w:eastAsia="Calibri" w:cs="Calibri"/>
          <w:szCs w:val="22"/>
          <w:lang w:val="en-GB" w:eastAsia="en-US"/>
        </w:rPr>
        <w:t xml:space="preserve">a </w:t>
      </w:r>
      <w:r w:rsidR="00B23701">
        <w:rPr>
          <w:rFonts w:eastAsia="Calibri" w:cs="Calibri"/>
          <w:szCs w:val="22"/>
          <w:lang w:val="en-GB" w:eastAsia="en-US"/>
        </w:rPr>
        <w:t xml:space="preserve">su daljnja itraživanja </w:t>
      </w:r>
      <w:r w:rsidRPr="00016698">
        <w:rPr>
          <w:rFonts w:eastAsia="Calibri" w:cs="Calibri"/>
          <w:szCs w:val="22"/>
          <w:lang w:val="en-GB" w:eastAsia="en-US"/>
        </w:rPr>
        <w:t xml:space="preserve">o potencijalnim uticajima na </w:t>
      </w:r>
      <w:r w:rsidR="006E384C">
        <w:rPr>
          <w:rFonts w:eastAsia="Calibri" w:cs="Calibri"/>
          <w:szCs w:val="22"/>
          <w:lang w:val="en-GB" w:eastAsia="en-US"/>
        </w:rPr>
        <w:t xml:space="preserve">ovu skupinu organizama </w:t>
      </w:r>
      <w:r w:rsidR="00615D4E">
        <w:rPr>
          <w:rFonts w:eastAsia="Calibri" w:cs="Calibri"/>
          <w:szCs w:val="22"/>
          <w:lang w:val="en-GB" w:eastAsia="en-US"/>
        </w:rPr>
        <w:t>od</w:t>
      </w:r>
      <w:r w:rsidRPr="00016698">
        <w:rPr>
          <w:rFonts w:eastAsia="Calibri" w:cs="Calibri"/>
          <w:szCs w:val="22"/>
          <w:lang w:val="en-GB" w:eastAsia="en-US"/>
        </w:rPr>
        <w:t xml:space="preserve"> ljudskih aktivnosti koje generišu buku, kao i o kumulativn</w:t>
      </w:r>
      <w:r w:rsidR="00615D4E">
        <w:rPr>
          <w:rFonts w:eastAsia="Calibri" w:cs="Calibri"/>
          <w:szCs w:val="22"/>
          <w:lang w:val="en-GB" w:eastAsia="en-US"/>
        </w:rPr>
        <w:t xml:space="preserve">im uticajima antropogenih </w:t>
      </w:r>
      <w:r w:rsidRPr="00016698">
        <w:rPr>
          <w:rFonts w:eastAsia="Calibri" w:cs="Calibri"/>
          <w:szCs w:val="22"/>
          <w:lang w:val="en-GB" w:eastAsia="en-US"/>
        </w:rPr>
        <w:t>pritis</w:t>
      </w:r>
      <w:r w:rsidR="00615D4E">
        <w:rPr>
          <w:rFonts w:eastAsia="Calibri" w:cs="Calibri"/>
          <w:szCs w:val="22"/>
          <w:lang w:val="en-GB" w:eastAsia="en-US"/>
        </w:rPr>
        <w:t>aka</w:t>
      </w:r>
      <w:r w:rsidRPr="00016698">
        <w:rPr>
          <w:rFonts w:eastAsia="Calibri" w:cs="Calibri"/>
          <w:szCs w:val="22"/>
          <w:lang w:val="en-GB" w:eastAsia="en-US"/>
        </w:rPr>
        <w:t>.</w:t>
      </w:r>
    </w:p>
    <w:p w14:paraId="2056C393" w14:textId="77777777" w:rsidR="00DA07A2" w:rsidRDefault="00016698" w:rsidP="00DA07A2">
      <w:pPr>
        <w:spacing w:before="0" w:after="160"/>
        <w:rPr>
          <w:rFonts w:eastAsia="Calibri" w:cs="Calibri"/>
          <w:szCs w:val="22"/>
          <w:lang w:val="en-GB" w:eastAsia="en-US"/>
        </w:rPr>
      </w:pPr>
      <w:r w:rsidRPr="00016698">
        <w:rPr>
          <w:rFonts w:eastAsia="Calibri" w:cs="Calibri"/>
          <w:szCs w:val="22"/>
          <w:lang w:val="en-GB" w:eastAsia="en-US"/>
        </w:rPr>
        <w:t>Pored pritisaka navedenih u tabeli 4.6, klimatske prom</w:t>
      </w:r>
      <w:r w:rsidR="00615D4E">
        <w:rPr>
          <w:rFonts w:eastAsia="Calibri" w:cs="Calibri"/>
          <w:szCs w:val="22"/>
          <w:lang w:val="en-GB" w:eastAsia="en-US"/>
        </w:rPr>
        <w:t>j</w:t>
      </w:r>
      <w:r w:rsidRPr="00016698">
        <w:rPr>
          <w:rFonts w:eastAsia="Calibri" w:cs="Calibri"/>
          <w:szCs w:val="22"/>
          <w:lang w:val="en-GB" w:eastAsia="en-US"/>
        </w:rPr>
        <w:t xml:space="preserve">ene se takođe smatraju pokretačem negativnih uticaja, </w:t>
      </w:r>
      <w:r w:rsidR="00615D4E">
        <w:rPr>
          <w:rFonts w:eastAsia="Calibri" w:cs="Calibri"/>
          <w:szCs w:val="22"/>
          <w:lang w:val="en-GB" w:eastAsia="en-US"/>
        </w:rPr>
        <w:t xml:space="preserve">međutim </w:t>
      </w:r>
      <w:r w:rsidRPr="00016698">
        <w:rPr>
          <w:rFonts w:eastAsia="Calibri" w:cs="Calibri"/>
          <w:szCs w:val="22"/>
          <w:lang w:val="en-GB" w:eastAsia="en-US"/>
        </w:rPr>
        <w:t>uticaji klimatskih prom</w:t>
      </w:r>
      <w:r w:rsidR="00615D4E">
        <w:rPr>
          <w:rFonts w:eastAsia="Calibri" w:cs="Calibri"/>
          <w:szCs w:val="22"/>
          <w:lang w:val="en-GB" w:eastAsia="en-US"/>
        </w:rPr>
        <w:t>j</w:t>
      </w:r>
      <w:r w:rsidRPr="00016698">
        <w:rPr>
          <w:rFonts w:eastAsia="Calibri" w:cs="Calibri"/>
          <w:szCs w:val="22"/>
          <w:lang w:val="en-GB" w:eastAsia="en-US"/>
        </w:rPr>
        <w:t xml:space="preserve">ena </w:t>
      </w:r>
      <w:r w:rsidR="0034276C">
        <w:rPr>
          <w:rFonts w:eastAsia="Calibri" w:cs="Calibri"/>
          <w:szCs w:val="22"/>
          <w:lang w:val="en-GB" w:eastAsia="en-US"/>
        </w:rPr>
        <w:t xml:space="preserve">na morske sisare su </w:t>
      </w:r>
      <w:r w:rsidR="00373F35">
        <w:rPr>
          <w:rFonts w:eastAsia="Calibri" w:cs="Calibri"/>
          <w:szCs w:val="22"/>
          <w:lang w:val="en-GB" w:eastAsia="en-US"/>
        </w:rPr>
        <w:t>i dalje nedovoljno poznati</w:t>
      </w:r>
      <w:r w:rsidRPr="00016698">
        <w:rPr>
          <w:rFonts w:eastAsia="Calibri" w:cs="Calibri"/>
          <w:szCs w:val="22"/>
          <w:lang w:val="en-GB" w:eastAsia="en-US"/>
        </w:rPr>
        <w:t>. Izuzetno je teško razdvojiti prom</w:t>
      </w:r>
      <w:r w:rsidR="00373F35">
        <w:rPr>
          <w:rFonts w:eastAsia="Calibri" w:cs="Calibri"/>
          <w:szCs w:val="22"/>
          <w:lang w:val="en-GB" w:eastAsia="en-US"/>
        </w:rPr>
        <w:t>j</w:t>
      </w:r>
      <w:r w:rsidRPr="00016698">
        <w:rPr>
          <w:rFonts w:eastAsia="Calibri" w:cs="Calibri"/>
          <w:szCs w:val="22"/>
          <w:lang w:val="en-GB" w:eastAsia="en-US"/>
        </w:rPr>
        <w:t xml:space="preserve">ene u </w:t>
      </w:r>
      <w:r w:rsidR="00373F35">
        <w:rPr>
          <w:rFonts w:eastAsia="Calibri" w:cs="Calibri"/>
          <w:szCs w:val="22"/>
          <w:lang w:val="en-GB" w:eastAsia="en-US"/>
        </w:rPr>
        <w:t>brojnosti ili rasprostranjenosti koje su r</w:t>
      </w:r>
      <w:r w:rsidRPr="00016698">
        <w:rPr>
          <w:rFonts w:eastAsia="Calibri" w:cs="Calibri"/>
          <w:szCs w:val="22"/>
          <w:lang w:val="en-GB" w:eastAsia="en-US"/>
        </w:rPr>
        <w:t>ezultat kratko</w:t>
      </w:r>
      <w:r w:rsidR="00373F35">
        <w:rPr>
          <w:rFonts w:eastAsia="Calibri" w:cs="Calibri"/>
          <w:szCs w:val="22"/>
          <w:lang w:val="en-GB" w:eastAsia="en-US"/>
        </w:rPr>
        <w:t>ročne</w:t>
      </w:r>
      <w:r w:rsidRPr="00016698">
        <w:rPr>
          <w:rFonts w:eastAsia="Calibri" w:cs="Calibri"/>
          <w:szCs w:val="22"/>
          <w:lang w:val="en-GB" w:eastAsia="en-US"/>
        </w:rPr>
        <w:t xml:space="preserve"> regionalne prom</w:t>
      </w:r>
      <w:r w:rsidR="00373F35">
        <w:rPr>
          <w:rFonts w:eastAsia="Calibri" w:cs="Calibri"/>
          <w:szCs w:val="22"/>
          <w:lang w:val="en-GB" w:eastAsia="en-US"/>
        </w:rPr>
        <w:t>j</w:t>
      </w:r>
      <w:r w:rsidRPr="00016698">
        <w:rPr>
          <w:rFonts w:eastAsia="Calibri" w:cs="Calibri"/>
          <w:szCs w:val="22"/>
          <w:lang w:val="en-GB" w:eastAsia="en-US"/>
        </w:rPr>
        <w:t>enljivosti resursa p</w:t>
      </w:r>
      <w:r w:rsidR="00373F35">
        <w:rPr>
          <w:rFonts w:eastAsia="Calibri" w:cs="Calibri"/>
          <w:szCs w:val="22"/>
          <w:lang w:val="en-GB" w:eastAsia="en-US"/>
        </w:rPr>
        <w:t xml:space="preserve">lijena </w:t>
      </w:r>
      <w:r w:rsidRPr="00016698">
        <w:rPr>
          <w:rFonts w:eastAsia="Calibri" w:cs="Calibri"/>
          <w:szCs w:val="22"/>
          <w:lang w:val="en-GB" w:eastAsia="en-US"/>
        </w:rPr>
        <w:t>od prom</w:t>
      </w:r>
      <w:r w:rsidR="00373F35">
        <w:rPr>
          <w:rFonts w:eastAsia="Calibri" w:cs="Calibri"/>
          <w:szCs w:val="22"/>
          <w:lang w:val="en-GB" w:eastAsia="en-US"/>
        </w:rPr>
        <w:t>j</w:t>
      </w:r>
      <w:r w:rsidRPr="00016698">
        <w:rPr>
          <w:rFonts w:eastAsia="Calibri" w:cs="Calibri"/>
          <w:szCs w:val="22"/>
          <w:lang w:val="en-GB" w:eastAsia="en-US"/>
        </w:rPr>
        <w:t>ena usl</w:t>
      </w:r>
      <w:r w:rsidR="00373F35">
        <w:rPr>
          <w:rFonts w:eastAsia="Calibri" w:cs="Calibri"/>
          <w:szCs w:val="22"/>
          <w:lang w:val="en-GB" w:eastAsia="en-US"/>
        </w:rPr>
        <w:t>j</w:t>
      </w:r>
      <w:r w:rsidRPr="00016698">
        <w:rPr>
          <w:rFonts w:eastAsia="Calibri" w:cs="Calibri"/>
          <w:szCs w:val="22"/>
          <w:lang w:val="en-GB" w:eastAsia="en-US"/>
        </w:rPr>
        <w:t>ed dugoročnih prom</w:t>
      </w:r>
      <w:r w:rsidR="00373F35">
        <w:rPr>
          <w:rFonts w:eastAsia="Calibri" w:cs="Calibri"/>
          <w:szCs w:val="22"/>
          <w:lang w:val="en-GB" w:eastAsia="en-US"/>
        </w:rPr>
        <w:t>j</w:t>
      </w:r>
      <w:r w:rsidRPr="00016698">
        <w:rPr>
          <w:rFonts w:eastAsia="Calibri" w:cs="Calibri"/>
          <w:szCs w:val="22"/>
          <w:lang w:val="en-GB" w:eastAsia="en-US"/>
        </w:rPr>
        <w:t>ena u životnoj sredini koje mogu</w:t>
      </w:r>
      <w:r w:rsidR="00DA07A2" w:rsidRPr="00DA07A2">
        <w:rPr>
          <w:rFonts w:eastAsia="Calibri" w:cs="Calibri"/>
          <w:szCs w:val="22"/>
          <w:lang w:val="en-GB" w:eastAsia="en-US"/>
        </w:rPr>
        <w:t xml:space="preserve"> </w:t>
      </w:r>
    </w:p>
    <w:p w14:paraId="15BFE7B8" w14:textId="6B2E3986" w:rsidR="00016698" w:rsidRPr="001C6CCA" w:rsidRDefault="00016698" w:rsidP="00016698">
      <w:pPr>
        <w:spacing w:before="0" w:after="160"/>
        <w:rPr>
          <w:rFonts w:eastAsia="Calibri" w:cs="Calibri"/>
          <w:szCs w:val="22"/>
          <w:lang w:val="en-GB" w:eastAsia="en-US"/>
        </w:rPr>
      </w:pPr>
      <w:r w:rsidRPr="00016698">
        <w:rPr>
          <w:rFonts w:eastAsia="Calibri" w:cs="Calibri"/>
          <w:szCs w:val="22"/>
          <w:lang w:val="en-GB" w:eastAsia="en-US"/>
        </w:rPr>
        <w:t>biti prirodne ili izazvane ljudskim aktivnostima. Neke informacije ukazuju na pritisak srednjeg intenziteta klimatskih prom</w:t>
      </w:r>
      <w:r w:rsidR="00373F35">
        <w:rPr>
          <w:rFonts w:eastAsia="Calibri" w:cs="Calibri"/>
          <w:szCs w:val="22"/>
          <w:lang w:val="en-GB" w:eastAsia="en-US"/>
        </w:rPr>
        <w:t>j</w:t>
      </w:r>
      <w:r w:rsidRPr="00016698">
        <w:rPr>
          <w:rFonts w:eastAsia="Calibri" w:cs="Calibri"/>
          <w:szCs w:val="22"/>
          <w:lang w:val="en-GB" w:eastAsia="en-US"/>
        </w:rPr>
        <w:t xml:space="preserve">ena na južnom Jadranu </w:t>
      </w:r>
      <w:r w:rsidR="00373F35" w:rsidRPr="001C6CCA">
        <w:rPr>
          <w:rFonts w:eastAsia="Calibri" w:cs="Calibri"/>
          <w:szCs w:val="22"/>
          <w:lang w:val="en-GB" w:eastAsia="en-US"/>
        </w:rPr>
        <w:t>(UNEP/MAP RAC/SPA, 2015</w:t>
      </w:r>
      <w:r w:rsidR="00373F35" w:rsidRPr="001C6CCA">
        <w:rPr>
          <w:rFonts w:eastAsia="Calibri" w:cs="Calibri"/>
          <w:szCs w:val="22"/>
          <w:vertAlign w:val="superscript"/>
          <w:lang w:val="en-GB" w:eastAsia="en-US"/>
        </w:rPr>
        <w:footnoteReference w:id="65"/>
      </w:r>
      <w:r w:rsidR="00373F35" w:rsidRPr="001C6CCA">
        <w:rPr>
          <w:rFonts w:eastAsia="Calibri" w:cs="Calibri"/>
          <w:szCs w:val="22"/>
          <w:lang w:val="en-GB" w:eastAsia="en-US"/>
        </w:rPr>
        <w:t>).</w:t>
      </w:r>
    </w:p>
    <w:p w14:paraId="6590CF6B" w14:textId="205B990D" w:rsidR="0034276C" w:rsidRPr="0034276C" w:rsidRDefault="0034276C" w:rsidP="0034276C">
      <w:pPr>
        <w:pStyle w:val="Heading4"/>
        <w:rPr>
          <w:lang w:val="en-GB"/>
        </w:rPr>
      </w:pPr>
      <w:r w:rsidRPr="0034276C">
        <w:rPr>
          <w:lang w:val="en-GB"/>
        </w:rPr>
        <w:t xml:space="preserve">Rezime </w:t>
      </w:r>
      <w:r w:rsidR="001C6020">
        <w:rPr>
          <w:lang w:val="en-GB"/>
        </w:rPr>
        <w:t xml:space="preserve">stanja </w:t>
      </w:r>
      <w:r w:rsidR="00DA07A2">
        <w:rPr>
          <w:lang w:val="en-GB"/>
        </w:rPr>
        <w:t xml:space="preserve">morskih sisara na osnovu </w:t>
      </w:r>
      <w:r w:rsidR="00487A6A">
        <w:rPr>
          <w:lang w:val="en-GB"/>
        </w:rPr>
        <w:t>P</w:t>
      </w:r>
      <w:r w:rsidRPr="0034276C">
        <w:rPr>
          <w:lang w:val="en-GB"/>
        </w:rPr>
        <w:t xml:space="preserve">očetne procjene </w:t>
      </w:r>
    </w:p>
    <w:p w14:paraId="39BEB8A5" w14:textId="3FA1F256" w:rsidR="00373F35" w:rsidRDefault="00373F35" w:rsidP="00373F35">
      <w:pPr>
        <w:shd w:val="clear" w:color="auto" w:fill="FFFFFF"/>
        <w:spacing w:before="0" w:after="180"/>
        <w:textAlignment w:val="baseline"/>
        <w:rPr>
          <w:szCs w:val="22"/>
        </w:rPr>
      </w:pPr>
      <w:bookmarkStart w:id="330" w:name="_Hlk67901397"/>
      <w:r w:rsidRPr="00373F35">
        <w:rPr>
          <w:rFonts w:cs="Calibri"/>
          <w:szCs w:val="22"/>
          <w:lang w:val="en-GB"/>
        </w:rPr>
        <w:t xml:space="preserve">Prema poglavlju 2.1.1 </w:t>
      </w:r>
      <w:r>
        <w:rPr>
          <w:rFonts w:cs="Calibri"/>
          <w:szCs w:val="22"/>
          <w:lang w:val="en-GB"/>
        </w:rPr>
        <w:t>Početne procjene stanja morske sredine</w:t>
      </w:r>
      <w:r w:rsidR="0034276C">
        <w:rPr>
          <w:rFonts w:cs="Calibri"/>
          <w:szCs w:val="22"/>
          <w:lang w:val="en-GB"/>
        </w:rPr>
        <w:t xml:space="preserve"> Crne Gore,</w:t>
      </w:r>
      <w:r w:rsidRPr="00373F35">
        <w:rPr>
          <w:rFonts w:cs="Calibri"/>
          <w:szCs w:val="22"/>
          <w:lang w:val="en-GB"/>
        </w:rPr>
        <w:t xml:space="preserve"> samo dv</w:t>
      </w:r>
      <w:r>
        <w:rPr>
          <w:rFonts w:cs="Calibri"/>
          <w:szCs w:val="22"/>
          <w:lang w:val="en-GB"/>
        </w:rPr>
        <w:t>ij</w:t>
      </w:r>
      <w:r w:rsidRPr="00373F35">
        <w:rPr>
          <w:rFonts w:cs="Calibri"/>
          <w:szCs w:val="22"/>
          <w:lang w:val="en-GB"/>
        </w:rPr>
        <w:t xml:space="preserve">e vrste kitova smatraju se </w:t>
      </w:r>
      <w:r>
        <w:rPr>
          <w:rFonts w:cs="Calibri"/>
          <w:szCs w:val="22"/>
          <w:lang w:val="en-GB"/>
        </w:rPr>
        <w:t>redovno prisutnim</w:t>
      </w:r>
      <w:r w:rsidRPr="00373F35">
        <w:rPr>
          <w:rFonts w:cs="Calibri"/>
          <w:szCs w:val="22"/>
          <w:lang w:val="en-GB"/>
        </w:rPr>
        <w:t xml:space="preserve"> vrstama u Jadranskom moru: </w:t>
      </w:r>
      <w:r>
        <w:rPr>
          <w:szCs w:val="22"/>
        </w:rPr>
        <w:t>obični kljunasti delfin (</w:t>
      </w:r>
      <w:r w:rsidRPr="00E6555D">
        <w:rPr>
          <w:i/>
          <w:szCs w:val="22"/>
        </w:rPr>
        <w:t>Tursiops truncatus</w:t>
      </w:r>
      <w:r>
        <w:rPr>
          <w:szCs w:val="22"/>
        </w:rPr>
        <w:t>) i prugasti delfin (</w:t>
      </w:r>
      <w:r w:rsidRPr="00E6555D">
        <w:rPr>
          <w:i/>
          <w:szCs w:val="22"/>
        </w:rPr>
        <w:t>Stenella coeruleoalba</w:t>
      </w:r>
      <w:r w:rsidR="00644D3D">
        <w:rPr>
          <w:szCs w:val="22"/>
        </w:rPr>
        <w:t>)</w:t>
      </w:r>
      <w:r w:rsidR="00DA07A2">
        <w:rPr>
          <w:szCs w:val="22"/>
        </w:rPr>
        <w:t>,</w:t>
      </w:r>
      <w:r w:rsidR="004376C7" w:rsidRPr="004376C7">
        <w:t xml:space="preserve"> </w:t>
      </w:r>
      <w:r w:rsidR="00DA07A2">
        <w:rPr>
          <w:szCs w:val="22"/>
        </w:rPr>
        <w:t xml:space="preserve">dok su Cuvierov kljunasti </w:t>
      </w:r>
      <w:r w:rsidR="00DA07A2" w:rsidRPr="00DF032D">
        <w:rPr>
          <w:szCs w:val="22"/>
        </w:rPr>
        <w:t>kit (</w:t>
      </w:r>
      <w:r w:rsidR="00DA07A2" w:rsidRPr="00DF032D">
        <w:rPr>
          <w:i/>
          <w:szCs w:val="22"/>
        </w:rPr>
        <w:t>Ziphius cavirostris</w:t>
      </w:r>
      <w:r w:rsidR="00DA07A2" w:rsidRPr="00DF032D">
        <w:rPr>
          <w:szCs w:val="22"/>
        </w:rPr>
        <w:t>) i glavati dupin (</w:t>
      </w:r>
      <w:r w:rsidR="00DA07A2" w:rsidRPr="00DF032D">
        <w:rPr>
          <w:i/>
          <w:szCs w:val="22"/>
        </w:rPr>
        <w:t>Grampus griseus</w:t>
      </w:r>
      <w:r w:rsidR="00DA07A2" w:rsidRPr="00DF032D">
        <w:rPr>
          <w:szCs w:val="22"/>
        </w:rPr>
        <w:t>) vje</w:t>
      </w:r>
      <w:r w:rsidR="00DA07A2">
        <w:rPr>
          <w:szCs w:val="22"/>
        </w:rPr>
        <w:t>rojatno stalno prisutni ali u malom broju.</w:t>
      </w:r>
    </w:p>
    <w:p w14:paraId="54B2EBBE" w14:textId="35A15EB9" w:rsidR="00373F35" w:rsidRPr="001C6CCA" w:rsidRDefault="00373F35" w:rsidP="00373F35">
      <w:pPr>
        <w:shd w:val="clear" w:color="auto" w:fill="FFFFFF"/>
        <w:spacing w:before="0" w:after="180"/>
        <w:textAlignment w:val="baseline"/>
        <w:rPr>
          <w:rFonts w:cs="Calibri"/>
          <w:szCs w:val="22"/>
          <w:lang w:val="en-GB"/>
        </w:rPr>
      </w:pPr>
      <w:r w:rsidRPr="00373F35">
        <w:rPr>
          <w:rFonts w:cs="Calibri"/>
          <w:szCs w:val="22"/>
          <w:lang w:val="en-GB"/>
        </w:rPr>
        <w:t>Procjena GES-a za ove dvije vrste zasnovana je na kom</w:t>
      </w:r>
      <w:r>
        <w:rPr>
          <w:rFonts w:cs="Calibri"/>
          <w:szCs w:val="22"/>
          <w:lang w:val="en-GB"/>
        </w:rPr>
        <w:t xml:space="preserve">binovanim rezultatima prva dva </w:t>
      </w:r>
      <w:r w:rsidR="00644D3D">
        <w:rPr>
          <w:rFonts w:cs="Calibri"/>
          <w:szCs w:val="22"/>
          <w:lang w:val="en-GB"/>
        </w:rPr>
        <w:t>vazdušna istraživanj</w:t>
      </w:r>
      <w:r w:rsidRPr="00373F35">
        <w:rPr>
          <w:rFonts w:cs="Calibri"/>
          <w:szCs w:val="22"/>
          <w:lang w:val="en-GB"/>
        </w:rPr>
        <w:t>a</w:t>
      </w:r>
      <w:r>
        <w:rPr>
          <w:rFonts w:cs="Calibri"/>
          <w:szCs w:val="22"/>
          <w:lang w:val="en-GB"/>
        </w:rPr>
        <w:t xml:space="preserve"> sprovedena </w:t>
      </w:r>
      <w:r w:rsidRPr="00373F35">
        <w:rPr>
          <w:rFonts w:cs="Calibri"/>
          <w:szCs w:val="22"/>
          <w:lang w:val="en-GB"/>
        </w:rPr>
        <w:t>u ljeto 2010. i 2013. godine, i dva istraživanja foto-identifikacij</w:t>
      </w:r>
      <w:r w:rsidR="00644D3D">
        <w:rPr>
          <w:rFonts w:cs="Calibri"/>
          <w:szCs w:val="22"/>
          <w:lang w:val="en-GB"/>
        </w:rPr>
        <w:t>om</w:t>
      </w:r>
      <w:r w:rsidRPr="00373F35">
        <w:rPr>
          <w:rFonts w:cs="Calibri"/>
          <w:szCs w:val="22"/>
          <w:lang w:val="en-GB"/>
        </w:rPr>
        <w:t xml:space="preserve"> </w:t>
      </w:r>
      <w:r w:rsidR="00644D3D">
        <w:rPr>
          <w:rFonts w:cs="Calibri"/>
          <w:szCs w:val="22"/>
          <w:lang w:val="en-GB"/>
        </w:rPr>
        <w:t xml:space="preserve">u teritorijalnim vodama Crne Gore </w:t>
      </w:r>
      <w:r w:rsidRPr="00373F35">
        <w:rPr>
          <w:rFonts w:cs="Calibri"/>
          <w:szCs w:val="22"/>
          <w:lang w:val="en-GB"/>
        </w:rPr>
        <w:t>(</w:t>
      </w:r>
      <w:r w:rsidR="00DA07A2">
        <w:rPr>
          <w:rFonts w:cs="Calibri"/>
          <w:szCs w:val="22"/>
          <w:lang w:val="en-GB"/>
        </w:rPr>
        <w:t xml:space="preserve">sprovedena </w:t>
      </w:r>
      <w:r w:rsidRPr="00373F35">
        <w:rPr>
          <w:rFonts w:cs="Calibri"/>
          <w:szCs w:val="22"/>
          <w:lang w:val="en-GB"/>
        </w:rPr>
        <w:t xml:space="preserve">2013. i 2020. godine). </w:t>
      </w:r>
      <w:r w:rsidR="00644D3D">
        <w:rPr>
          <w:rFonts w:cs="Calibri"/>
          <w:szCs w:val="22"/>
          <w:lang w:val="en-GB"/>
        </w:rPr>
        <w:t xml:space="preserve">Procjenjuje se da brojnost običnog kljunastog delfina u cijelom Jadranu iznosi </w:t>
      </w:r>
      <w:r w:rsidRPr="00373F35">
        <w:rPr>
          <w:rFonts w:cs="Calibri"/>
          <w:szCs w:val="22"/>
          <w:lang w:val="en-GB"/>
        </w:rPr>
        <w:t xml:space="preserve">5.700 </w:t>
      </w:r>
      <w:r w:rsidR="00644D3D">
        <w:rPr>
          <w:rFonts w:cs="Calibri"/>
          <w:szCs w:val="22"/>
          <w:lang w:val="en-GB"/>
        </w:rPr>
        <w:t xml:space="preserve">jedinki, sa 0,042 jedinki po </w:t>
      </w:r>
      <w:r w:rsidR="00644D3D" w:rsidRPr="00992EE5">
        <w:rPr>
          <w:rFonts w:eastAsia="Calibri"/>
          <w:lang w:val="sq-AL"/>
        </w:rPr>
        <w:t>km</w:t>
      </w:r>
      <w:r w:rsidR="00644D3D" w:rsidRPr="00992EE5">
        <w:rPr>
          <w:rFonts w:eastAsia="Calibri"/>
          <w:vertAlign w:val="superscript"/>
          <w:lang w:val="sq-AL"/>
        </w:rPr>
        <w:t>2</w:t>
      </w:r>
      <w:r w:rsidRPr="00373F35">
        <w:rPr>
          <w:rFonts w:cs="Calibri"/>
          <w:szCs w:val="22"/>
          <w:lang w:val="en-GB"/>
        </w:rPr>
        <w:t xml:space="preserve">, od toga 1.800 </w:t>
      </w:r>
      <w:r w:rsidR="00644D3D">
        <w:rPr>
          <w:rFonts w:cs="Calibri"/>
          <w:szCs w:val="22"/>
          <w:lang w:val="en-GB"/>
        </w:rPr>
        <w:t>jedinki</w:t>
      </w:r>
      <w:r w:rsidRPr="00373F35">
        <w:rPr>
          <w:rFonts w:cs="Calibri"/>
          <w:szCs w:val="22"/>
          <w:lang w:val="en-GB"/>
        </w:rPr>
        <w:t xml:space="preserve"> u južnom Ja</w:t>
      </w:r>
      <w:r w:rsidR="00644D3D">
        <w:rPr>
          <w:rFonts w:cs="Calibri"/>
          <w:szCs w:val="22"/>
          <w:lang w:val="en-GB"/>
        </w:rPr>
        <w:t xml:space="preserve">dranu ili 0,032 jedinki po </w:t>
      </w:r>
      <w:r w:rsidR="00644D3D" w:rsidRPr="00992EE5">
        <w:rPr>
          <w:rFonts w:eastAsia="Calibri"/>
          <w:lang w:val="sq-AL"/>
        </w:rPr>
        <w:t>km</w:t>
      </w:r>
      <w:r w:rsidR="00644D3D" w:rsidRPr="00992EE5">
        <w:rPr>
          <w:rFonts w:eastAsia="Calibri"/>
          <w:vertAlign w:val="superscript"/>
          <w:lang w:val="sq-AL"/>
        </w:rPr>
        <w:t>2</w:t>
      </w:r>
      <w:r w:rsidRPr="00373F35">
        <w:rPr>
          <w:rFonts w:cs="Calibri"/>
          <w:szCs w:val="22"/>
          <w:lang w:val="en-GB"/>
        </w:rPr>
        <w:t>. Proc</w:t>
      </w:r>
      <w:r w:rsidR="00644D3D">
        <w:rPr>
          <w:rFonts w:cs="Calibri"/>
          <w:szCs w:val="22"/>
          <w:lang w:val="en-GB"/>
        </w:rPr>
        <w:t>ij</w:t>
      </w:r>
      <w:r w:rsidRPr="00373F35">
        <w:rPr>
          <w:rFonts w:cs="Calibri"/>
          <w:szCs w:val="22"/>
          <w:lang w:val="en-GB"/>
        </w:rPr>
        <w:t xml:space="preserve">enjena relativna gustina u teritorijalnim vodama </w:t>
      </w:r>
      <w:r w:rsidR="00644D3D">
        <w:rPr>
          <w:rFonts w:cs="Calibri"/>
          <w:szCs w:val="22"/>
          <w:lang w:val="en-GB"/>
        </w:rPr>
        <w:t xml:space="preserve">Crne Gore </w:t>
      </w:r>
      <w:r w:rsidRPr="00373F35">
        <w:rPr>
          <w:rFonts w:cs="Calibri"/>
          <w:szCs w:val="22"/>
          <w:lang w:val="en-GB"/>
        </w:rPr>
        <w:t>je iznad relativne gustine na južnom Jadranu, kao i na jadranskom nivou (tabela 3.8). Proc</w:t>
      </w:r>
      <w:r w:rsidR="00644D3D">
        <w:rPr>
          <w:rFonts w:cs="Calibri"/>
          <w:szCs w:val="22"/>
          <w:lang w:val="en-GB"/>
        </w:rPr>
        <w:t>ij</w:t>
      </w:r>
      <w:r w:rsidRPr="00373F35">
        <w:rPr>
          <w:rFonts w:cs="Calibri"/>
          <w:szCs w:val="22"/>
          <w:lang w:val="en-GB"/>
        </w:rPr>
        <w:t xml:space="preserve">enjena brojnost prugastih delfina u 2010. godini </w:t>
      </w:r>
      <w:r w:rsidR="00644D3D">
        <w:rPr>
          <w:rFonts w:cs="Calibri"/>
          <w:szCs w:val="22"/>
          <w:lang w:val="en-GB"/>
        </w:rPr>
        <w:t>iznosi</w:t>
      </w:r>
      <w:r w:rsidRPr="00373F35">
        <w:rPr>
          <w:rFonts w:cs="Calibri"/>
          <w:szCs w:val="22"/>
          <w:lang w:val="en-GB"/>
        </w:rPr>
        <w:t xml:space="preserve"> 15.343 jedinki i 41.533 </w:t>
      </w:r>
      <w:r w:rsidR="00644D3D">
        <w:rPr>
          <w:rFonts w:cs="Calibri"/>
          <w:szCs w:val="22"/>
          <w:lang w:val="en-GB"/>
        </w:rPr>
        <w:t>jedini prema istraživanju</w:t>
      </w:r>
      <w:r w:rsidRPr="00373F35">
        <w:rPr>
          <w:rFonts w:cs="Calibri"/>
          <w:szCs w:val="22"/>
          <w:lang w:val="en-GB"/>
        </w:rPr>
        <w:t xml:space="preserve"> iz 2013. godine (Fortuna </w:t>
      </w:r>
      <w:r w:rsidR="00644D3D">
        <w:rPr>
          <w:rFonts w:cs="Calibri"/>
          <w:szCs w:val="22"/>
          <w:lang w:val="en-GB"/>
        </w:rPr>
        <w:t>i sar.</w:t>
      </w:r>
      <w:r w:rsidRPr="00373F35">
        <w:rPr>
          <w:rFonts w:cs="Calibri"/>
          <w:szCs w:val="22"/>
          <w:lang w:val="en-GB"/>
        </w:rPr>
        <w:t xml:space="preserve">, 2015). Treće vazdušno </w:t>
      </w:r>
      <w:r w:rsidR="00644D3D">
        <w:rPr>
          <w:rFonts w:cs="Calibri"/>
          <w:szCs w:val="22"/>
          <w:lang w:val="en-GB"/>
        </w:rPr>
        <w:t>istraživanje</w:t>
      </w:r>
      <w:r w:rsidRPr="00373F35">
        <w:rPr>
          <w:rFonts w:cs="Calibri"/>
          <w:szCs w:val="22"/>
          <w:lang w:val="en-GB"/>
        </w:rPr>
        <w:t xml:space="preserve"> sprovedeno je 2018. godine u okviru projekta </w:t>
      </w:r>
      <w:r w:rsidR="00644D3D" w:rsidRPr="001C6CCA">
        <w:rPr>
          <w:rFonts w:eastAsia="Calibri" w:cs="Calibri"/>
          <w:color w:val="000000"/>
          <w:szCs w:val="22"/>
          <w:lang w:val="en-GB" w:eastAsia="en-US"/>
        </w:rPr>
        <w:t>ACCOBAMS Survey Initiative (ASI)</w:t>
      </w:r>
      <w:r w:rsidR="00644D3D" w:rsidRPr="00644D3D">
        <w:rPr>
          <w:rFonts w:eastAsia="Calibri" w:cs="Calibri"/>
          <w:color w:val="000000"/>
          <w:szCs w:val="22"/>
          <w:vertAlign w:val="superscript"/>
          <w:lang w:val="en-GB" w:eastAsia="en-US"/>
        </w:rPr>
        <w:t xml:space="preserve"> </w:t>
      </w:r>
      <w:r w:rsidR="00644D3D" w:rsidRPr="001C6CCA">
        <w:rPr>
          <w:rFonts w:eastAsia="Calibri" w:cs="Calibri"/>
          <w:color w:val="000000"/>
          <w:szCs w:val="22"/>
          <w:vertAlign w:val="superscript"/>
          <w:lang w:val="en-GB" w:eastAsia="en-US"/>
        </w:rPr>
        <w:footnoteReference w:id="66"/>
      </w:r>
      <w:r w:rsidR="00644D3D" w:rsidRPr="001C6CCA">
        <w:rPr>
          <w:rFonts w:eastAsia="Calibri" w:cs="Calibri"/>
          <w:color w:val="000000"/>
          <w:szCs w:val="22"/>
          <w:lang w:val="en-GB" w:eastAsia="en-US"/>
        </w:rPr>
        <w:t xml:space="preserve">, </w:t>
      </w:r>
      <w:r w:rsidRPr="00373F35">
        <w:rPr>
          <w:rFonts w:cs="Calibri"/>
          <w:szCs w:val="22"/>
          <w:lang w:val="en-GB"/>
        </w:rPr>
        <w:t>ali podaci se još</w:t>
      </w:r>
      <w:r w:rsidR="00644D3D">
        <w:rPr>
          <w:rFonts w:cs="Calibri"/>
          <w:szCs w:val="22"/>
          <w:lang w:val="en-GB"/>
        </w:rPr>
        <w:t xml:space="preserve"> uvijek</w:t>
      </w:r>
      <w:r w:rsidRPr="00373F35">
        <w:rPr>
          <w:rFonts w:cs="Calibri"/>
          <w:szCs w:val="22"/>
          <w:lang w:val="en-GB"/>
        </w:rPr>
        <w:t xml:space="preserve"> obrađuju. Što se tiče ostalih podataka relevantnih za Crnu Goru, nedostaju podaci o demografiji </w:t>
      </w:r>
      <w:r w:rsidR="00644D3D">
        <w:rPr>
          <w:rFonts w:cs="Calibri"/>
          <w:szCs w:val="22"/>
          <w:lang w:val="en-GB"/>
        </w:rPr>
        <w:t>populacije</w:t>
      </w:r>
      <w:r w:rsidRPr="00373F35">
        <w:rPr>
          <w:rFonts w:cs="Calibri"/>
          <w:szCs w:val="22"/>
          <w:lang w:val="en-GB"/>
        </w:rPr>
        <w:t xml:space="preserve">, posebno o slučajnoj stopi smrtnosti. Na nivou Jadranskog mora još nije </w:t>
      </w:r>
      <w:r w:rsidR="00A75CB6">
        <w:rPr>
          <w:rFonts w:cs="Calibri"/>
          <w:szCs w:val="22"/>
          <w:lang w:val="en-GB"/>
        </w:rPr>
        <w:t>sprovedena</w:t>
      </w:r>
      <w:r w:rsidRPr="00373F35">
        <w:rPr>
          <w:rFonts w:cs="Calibri"/>
          <w:szCs w:val="22"/>
          <w:lang w:val="en-GB"/>
        </w:rPr>
        <w:t xml:space="preserve"> nijedna proc</w:t>
      </w:r>
      <w:r w:rsidR="00644D3D">
        <w:rPr>
          <w:rFonts w:cs="Calibri"/>
          <w:szCs w:val="22"/>
          <w:lang w:val="en-GB"/>
        </w:rPr>
        <w:t>j</w:t>
      </w:r>
      <w:r w:rsidRPr="00373F35">
        <w:rPr>
          <w:rFonts w:cs="Calibri"/>
          <w:szCs w:val="22"/>
          <w:lang w:val="en-GB"/>
        </w:rPr>
        <w:t xml:space="preserve">ena statusa zaštite </w:t>
      </w:r>
      <w:r w:rsidR="00644D3D">
        <w:rPr>
          <w:szCs w:val="22"/>
        </w:rPr>
        <w:t>običnih kljunastih delfina</w:t>
      </w:r>
      <w:r w:rsidRPr="00373F35">
        <w:rPr>
          <w:rFonts w:cs="Calibri"/>
          <w:szCs w:val="22"/>
          <w:lang w:val="en-GB"/>
        </w:rPr>
        <w:t xml:space="preserve"> i prugastih delfina, kao što je regionalna proc</w:t>
      </w:r>
      <w:r w:rsidR="00644D3D">
        <w:rPr>
          <w:rFonts w:cs="Calibri"/>
          <w:szCs w:val="22"/>
          <w:lang w:val="en-GB"/>
        </w:rPr>
        <w:t>j</w:t>
      </w:r>
      <w:r w:rsidRPr="00373F35">
        <w:rPr>
          <w:rFonts w:cs="Calibri"/>
          <w:szCs w:val="22"/>
          <w:lang w:val="en-GB"/>
        </w:rPr>
        <w:t>ena zasnovana na kriterijumima IUCN.</w:t>
      </w:r>
    </w:p>
    <w:p w14:paraId="3E72BB16" w14:textId="60C0B04F" w:rsidR="00016698" w:rsidRDefault="00E575DD" w:rsidP="00B71D9B">
      <w:pPr>
        <w:shd w:val="clear" w:color="auto" w:fill="FFFFFF"/>
        <w:spacing w:before="0" w:after="0" w:line="240" w:lineRule="auto"/>
        <w:textAlignment w:val="baseline"/>
        <w:rPr>
          <w:rFonts w:cs="Calibri"/>
          <w:szCs w:val="22"/>
          <w:lang w:val="en-GB"/>
        </w:rPr>
      </w:pPr>
      <w:bookmarkStart w:id="331" w:name="_Toc83643204"/>
      <w:bookmarkEnd w:id="330"/>
      <w:r w:rsidRPr="001C6CCA">
        <w:rPr>
          <w:b/>
          <w:bCs/>
          <w:szCs w:val="22"/>
          <w:lang w:val="en-GB" w:eastAsia="hr-HR"/>
        </w:rPr>
        <w:t>Tab</w:t>
      </w:r>
      <w:r w:rsidR="00016698">
        <w:rPr>
          <w:b/>
          <w:bCs/>
          <w:szCs w:val="22"/>
          <w:lang w:val="en-GB" w:eastAsia="hr-HR"/>
        </w:rPr>
        <w:t>ela</w:t>
      </w:r>
      <w:r w:rsidRPr="001C6CCA">
        <w:rPr>
          <w:b/>
          <w:bCs/>
          <w:szCs w:val="22"/>
          <w:lang w:val="en-GB" w:eastAsia="hr-HR"/>
        </w:rPr>
        <w:t xml:space="preserve"> </w:t>
      </w:r>
      <w:r w:rsidR="00C000AE" w:rsidRPr="00D932B6">
        <w:rPr>
          <w:b/>
          <w:szCs w:val="22"/>
        </w:rPr>
        <w:fldChar w:fldCharType="begin"/>
      </w:r>
      <w:r w:rsidR="00C000AE" w:rsidRPr="00D932B6">
        <w:rPr>
          <w:b/>
          <w:szCs w:val="22"/>
        </w:rPr>
        <w:instrText xml:space="preserve"> STYLEREF 1 \s </w:instrText>
      </w:r>
      <w:r w:rsidR="00C000AE" w:rsidRPr="00D932B6">
        <w:rPr>
          <w:b/>
          <w:szCs w:val="22"/>
        </w:rPr>
        <w:fldChar w:fldCharType="separate"/>
      </w:r>
      <w:r w:rsidR="000D1E20">
        <w:rPr>
          <w:b/>
          <w:noProof/>
          <w:szCs w:val="22"/>
        </w:rPr>
        <w:t>3</w:t>
      </w:r>
      <w:r w:rsidR="00C000AE" w:rsidRPr="00D932B6">
        <w:rPr>
          <w:b/>
          <w:szCs w:val="22"/>
        </w:rPr>
        <w:fldChar w:fldCharType="end"/>
      </w:r>
      <w:r w:rsidR="00C000AE" w:rsidRPr="00D932B6">
        <w:rPr>
          <w:b/>
          <w:szCs w:val="22"/>
        </w:rPr>
        <w:t>.</w:t>
      </w:r>
      <w:r w:rsidR="00C000AE" w:rsidRPr="00D932B6">
        <w:rPr>
          <w:b/>
          <w:szCs w:val="22"/>
        </w:rPr>
        <w:fldChar w:fldCharType="begin"/>
      </w:r>
      <w:r w:rsidR="00C000AE" w:rsidRPr="00D932B6">
        <w:rPr>
          <w:b/>
          <w:szCs w:val="22"/>
        </w:rPr>
        <w:instrText xml:space="preserve"> SEQ Table \* ARABIC \s 1 </w:instrText>
      </w:r>
      <w:r w:rsidR="00C000AE" w:rsidRPr="00D932B6">
        <w:rPr>
          <w:b/>
          <w:szCs w:val="22"/>
        </w:rPr>
        <w:fldChar w:fldCharType="separate"/>
      </w:r>
      <w:r w:rsidR="000D1E20">
        <w:rPr>
          <w:b/>
          <w:noProof/>
          <w:szCs w:val="22"/>
        </w:rPr>
        <w:t>8</w:t>
      </w:r>
      <w:r w:rsidR="00C000AE" w:rsidRPr="00D932B6">
        <w:rPr>
          <w:b/>
          <w:szCs w:val="22"/>
        </w:rPr>
        <w:fldChar w:fldCharType="end"/>
      </w:r>
      <w:r w:rsidR="00C000AE">
        <w:rPr>
          <w:b/>
          <w:szCs w:val="22"/>
        </w:rPr>
        <w:t>.</w:t>
      </w:r>
      <w:r w:rsidR="00016698" w:rsidRPr="000C6DC2">
        <w:rPr>
          <w:b/>
          <w:szCs w:val="22"/>
        </w:rPr>
        <w:t>Procjena brojnosti</w:t>
      </w:r>
      <w:r w:rsidR="00644D3D">
        <w:rPr>
          <w:b/>
          <w:szCs w:val="22"/>
        </w:rPr>
        <w:t xml:space="preserve"> običnih kljunastih delfina</w:t>
      </w:r>
      <w:r w:rsidR="00016698" w:rsidRPr="00016698">
        <w:rPr>
          <w:b/>
          <w:bCs/>
          <w:szCs w:val="22"/>
          <w:lang w:val="en-GB" w:eastAsia="hr-HR"/>
        </w:rPr>
        <w:t xml:space="preserve"> </w:t>
      </w:r>
      <w:r w:rsidR="00016698" w:rsidRPr="001C6CCA">
        <w:rPr>
          <w:b/>
          <w:bCs/>
          <w:szCs w:val="22"/>
          <w:lang w:val="en-GB" w:eastAsia="hr-HR"/>
        </w:rPr>
        <w:t>(</w:t>
      </w:r>
      <w:r w:rsidR="00016698" w:rsidRPr="001C6CCA">
        <w:rPr>
          <w:b/>
          <w:bCs/>
          <w:i/>
          <w:iCs/>
          <w:szCs w:val="22"/>
          <w:lang w:val="en-GB" w:eastAsia="hr-HR"/>
        </w:rPr>
        <w:t>Tursiops truncatus</w:t>
      </w:r>
      <w:r w:rsidR="00016698" w:rsidRPr="001C6CCA">
        <w:rPr>
          <w:b/>
          <w:bCs/>
          <w:szCs w:val="22"/>
          <w:lang w:val="en-GB" w:eastAsia="hr-HR"/>
        </w:rPr>
        <w:t xml:space="preserve">) </w:t>
      </w:r>
      <w:r w:rsidR="00016698" w:rsidRPr="000C6DC2">
        <w:rPr>
          <w:b/>
          <w:szCs w:val="22"/>
        </w:rPr>
        <w:t>u Jadran</w:t>
      </w:r>
      <w:r w:rsidR="00016698">
        <w:rPr>
          <w:b/>
          <w:szCs w:val="22"/>
        </w:rPr>
        <w:t xml:space="preserve">skom moru </w:t>
      </w:r>
      <w:r w:rsidR="00016698" w:rsidRPr="000C6DC2">
        <w:rPr>
          <w:b/>
          <w:szCs w:val="22"/>
        </w:rPr>
        <w:t xml:space="preserve">na osnovu podataka iz </w:t>
      </w:r>
      <w:r w:rsidR="00016698">
        <w:rPr>
          <w:b/>
          <w:szCs w:val="22"/>
        </w:rPr>
        <w:t xml:space="preserve">ljetnjih </w:t>
      </w:r>
      <w:r w:rsidR="00016698" w:rsidRPr="000C6DC2">
        <w:rPr>
          <w:b/>
          <w:szCs w:val="22"/>
        </w:rPr>
        <w:t xml:space="preserve">vazdušnih istraživanja 2010. i 2013. </w:t>
      </w:r>
      <w:r w:rsidR="00016698" w:rsidRPr="00016698">
        <w:rPr>
          <w:i/>
          <w:szCs w:val="22"/>
        </w:rPr>
        <w:t>Izvor</w:t>
      </w:r>
      <w:r w:rsidR="00DA07A2">
        <w:rPr>
          <w:i/>
          <w:szCs w:val="22"/>
        </w:rPr>
        <w:t>:</w:t>
      </w:r>
      <w:r w:rsidR="00016698" w:rsidRPr="00016698">
        <w:rPr>
          <w:i/>
          <w:szCs w:val="22"/>
        </w:rPr>
        <w:t xml:space="preserve"> Fortuna i sar</w:t>
      </w:r>
      <w:r w:rsidR="00DA07A2">
        <w:rPr>
          <w:i/>
          <w:szCs w:val="22"/>
        </w:rPr>
        <w:t>.,</w:t>
      </w:r>
      <w:r w:rsidR="00016698" w:rsidRPr="00016698">
        <w:rPr>
          <w:i/>
          <w:szCs w:val="22"/>
        </w:rPr>
        <w:t xml:space="preserve"> 2018.</w:t>
      </w:r>
      <w:bookmarkEnd w:id="331"/>
    </w:p>
    <w:p w14:paraId="54B73106" w14:textId="77777777" w:rsidR="00B71D9B" w:rsidRPr="001C6CCA" w:rsidRDefault="00B71D9B" w:rsidP="00B71D9B">
      <w:pPr>
        <w:shd w:val="clear" w:color="auto" w:fill="FFFFFF"/>
        <w:spacing w:before="0" w:after="0" w:line="240" w:lineRule="auto"/>
        <w:textAlignment w:val="baseline"/>
        <w:rPr>
          <w:rFonts w:cs="Calibri"/>
          <w:color w:val="000000"/>
          <w:szCs w:val="22"/>
          <w:lang w:val="en-GB" w:eastAsia="hr-HR"/>
        </w:rPr>
      </w:pPr>
    </w:p>
    <w:tbl>
      <w:tblPr>
        <w:tblStyle w:val="GridTable4-Accent51"/>
        <w:tblW w:w="0" w:type="auto"/>
        <w:tblLook w:val="04A0" w:firstRow="1" w:lastRow="0" w:firstColumn="1" w:lastColumn="0" w:noHBand="0" w:noVBand="1"/>
      </w:tblPr>
      <w:tblGrid>
        <w:gridCol w:w="2830"/>
        <w:gridCol w:w="3828"/>
        <w:gridCol w:w="2358"/>
      </w:tblGrid>
      <w:tr w:rsidR="00016698" w:rsidRPr="001C6CCA" w14:paraId="7796B6DB" w14:textId="77777777" w:rsidTr="006332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1F497D" w:themeFill="text2"/>
          </w:tcPr>
          <w:p w14:paraId="25E29425" w14:textId="04CB9BAB" w:rsidR="00016698" w:rsidRPr="0063326A" w:rsidRDefault="00016698" w:rsidP="00016698">
            <w:pPr>
              <w:spacing w:before="0" w:after="0" w:line="240" w:lineRule="auto"/>
              <w:jc w:val="left"/>
              <w:rPr>
                <w:color w:val="FFFFFF" w:themeColor="background1"/>
                <w:lang w:val="en-GB" w:eastAsia="en-US"/>
              </w:rPr>
            </w:pPr>
            <w:r w:rsidRPr="0063326A">
              <w:rPr>
                <w:color w:val="FFFFFF" w:themeColor="background1"/>
                <w:lang w:val="en-GB" w:eastAsia="en-US"/>
              </w:rPr>
              <w:t>Područje</w:t>
            </w:r>
          </w:p>
        </w:tc>
        <w:tc>
          <w:tcPr>
            <w:tcW w:w="3828" w:type="dxa"/>
            <w:shd w:val="clear" w:color="auto" w:fill="1F497D" w:themeFill="text2"/>
          </w:tcPr>
          <w:p w14:paraId="005A24DD" w14:textId="44B2A1EB" w:rsidR="00016698" w:rsidRPr="0063326A" w:rsidRDefault="00016698" w:rsidP="00016698">
            <w:pPr>
              <w:spacing w:before="0" w:after="0" w:line="240" w:lineRule="auto"/>
              <w:jc w:val="left"/>
              <w:cnfStyle w:val="100000000000" w:firstRow="1" w:lastRow="0" w:firstColumn="0" w:lastColumn="0" w:oddVBand="0" w:evenVBand="0" w:oddHBand="0" w:evenHBand="0" w:firstRowFirstColumn="0" w:firstRowLastColumn="0" w:lastRowFirstColumn="0" w:lastRowLastColumn="0"/>
              <w:rPr>
                <w:color w:val="FFFFFF" w:themeColor="background1"/>
                <w:lang w:val="en-GB" w:eastAsia="en-US"/>
              </w:rPr>
            </w:pPr>
            <w:r w:rsidRPr="0063326A">
              <w:rPr>
                <w:color w:val="FFFFFF" w:themeColor="background1"/>
                <w:lang w:val="en-GB" w:eastAsia="en-US"/>
              </w:rPr>
              <w:t>Brojnost (N) (CI=interval pouzdanosti)</w:t>
            </w:r>
          </w:p>
        </w:tc>
        <w:tc>
          <w:tcPr>
            <w:tcW w:w="2358" w:type="dxa"/>
            <w:shd w:val="clear" w:color="auto" w:fill="1F497D" w:themeFill="text2"/>
          </w:tcPr>
          <w:p w14:paraId="1D44E876" w14:textId="0CF52D64" w:rsidR="00016698" w:rsidRPr="0063326A" w:rsidRDefault="00016698" w:rsidP="00016698">
            <w:pPr>
              <w:spacing w:before="0" w:after="0" w:line="240" w:lineRule="auto"/>
              <w:jc w:val="left"/>
              <w:cnfStyle w:val="100000000000" w:firstRow="1" w:lastRow="0" w:firstColumn="0" w:lastColumn="0" w:oddVBand="0" w:evenVBand="0" w:oddHBand="0" w:evenHBand="0" w:firstRowFirstColumn="0" w:firstRowLastColumn="0" w:lastRowFirstColumn="0" w:lastRowLastColumn="0"/>
              <w:rPr>
                <w:color w:val="FFFFFF" w:themeColor="background1"/>
                <w:lang w:val="en-GB" w:eastAsia="en-US"/>
              </w:rPr>
            </w:pPr>
            <w:r w:rsidRPr="0063326A">
              <w:rPr>
                <w:color w:val="FFFFFF" w:themeColor="background1"/>
                <w:lang w:val="en-GB" w:eastAsia="en-US"/>
              </w:rPr>
              <w:t>Relativna gustina (ind/km2)</w:t>
            </w:r>
          </w:p>
        </w:tc>
      </w:tr>
      <w:tr w:rsidR="00016698" w:rsidRPr="001C6CCA" w14:paraId="04D1DA3F" w14:textId="77777777" w:rsidTr="00AA6D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E07F038" w14:textId="77777777" w:rsidR="00016698" w:rsidRPr="00F65CFF" w:rsidRDefault="00016698" w:rsidP="00016698">
            <w:pPr>
              <w:spacing w:before="0" w:after="0" w:line="240" w:lineRule="auto"/>
              <w:jc w:val="left"/>
              <w:rPr>
                <w:sz w:val="20"/>
                <w:szCs w:val="20"/>
                <w:lang w:eastAsia="en-US"/>
              </w:rPr>
            </w:pPr>
            <w:r>
              <w:rPr>
                <w:sz w:val="20"/>
                <w:szCs w:val="20"/>
                <w:lang w:eastAsia="en-US"/>
              </w:rPr>
              <w:t>Jadransko more</w:t>
            </w:r>
          </w:p>
          <w:p w14:paraId="38A23EF4" w14:textId="77777777" w:rsidR="00016698" w:rsidRPr="001C6CCA" w:rsidRDefault="00016698" w:rsidP="00016698">
            <w:pPr>
              <w:spacing w:before="0" w:after="0" w:line="240" w:lineRule="auto"/>
              <w:jc w:val="left"/>
              <w:rPr>
                <w:sz w:val="20"/>
                <w:szCs w:val="20"/>
                <w:lang w:val="en-GB" w:eastAsia="en-US"/>
              </w:rPr>
            </w:pPr>
          </w:p>
        </w:tc>
        <w:tc>
          <w:tcPr>
            <w:tcW w:w="3828" w:type="dxa"/>
          </w:tcPr>
          <w:p w14:paraId="4355EC22" w14:textId="77777777" w:rsidR="00016698" w:rsidRPr="001C6CCA" w:rsidRDefault="00016698" w:rsidP="00016698">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 xml:space="preserve">5700 (CI = 4300–7600) </w:t>
            </w:r>
          </w:p>
          <w:p w14:paraId="5250B7DB" w14:textId="77777777" w:rsidR="00016698" w:rsidRPr="001C6CCA" w:rsidRDefault="00016698" w:rsidP="0001669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val="en-GB" w:eastAsia="en-US"/>
              </w:rPr>
            </w:pPr>
          </w:p>
        </w:tc>
        <w:tc>
          <w:tcPr>
            <w:tcW w:w="2358" w:type="dxa"/>
          </w:tcPr>
          <w:p w14:paraId="7DAA2EC9" w14:textId="77777777" w:rsidR="00016698" w:rsidRPr="001C6CCA" w:rsidRDefault="00016698" w:rsidP="0001669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val="en-GB" w:eastAsia="en-US"/>
              </w:rPr>
            </w:pPr>
            <w:r w:rsidRPr="001C6CCA">
              <w:rPr>
                <w:sz w:val="20"/>
                <w:szCs w:val="20"/>
                <w:lang w:val="en-GB" w:eastAsia="en-US"/>
              </w:rPr>
              <w:t>0,042</w:t>
            </w:r>
          </w:p>
        </w:tc>
      </w:tr>
      <w:tr w:rsidR="00016698" w:rsidRPr="001C6CCA" w14:paraId="59D805CB" w14:textId="77777777" w:rsidTr="00AA6D51">
        <w:tc>
          <w:tcPr>
            <w:cnfStyle w:val="001000000000" w:firstRow="0" w:lastRow="0" w:firstColumn="1" w:lastColumn="0" w:oddVBand="0" w:evenVBand="0" w:oddHBand="0" w:evenHBand="0" w:firstRowFirstColumn="0" w:firstRowLastColumn="0" w:lastRowFirstColumn="0" w:lastRowLastColumn="0"/>
            <w:tcW w:w="2830" w:type="dxa"/>
          </w:tcPr>
          <w:p w14:paraId="71976B55" w14:textId="77777777" w:rsidR="00016698" w:rsidRPr="00F65CFF" w:rsidRDefault="00016698" w:rsidP="00016698">
            <w:pPr>
              <w:spacing w:before="0" w:after="0" w:line="240" w:lineRule="auto"/>
              <w:jc w:val="left"/>
              <w:rPr>
                <w:sz w:val="20"/>
                <w:szCs w:val="20"/>
                <w:lang w:eastAsia="en-US"/>
              </w:rPr>
            </w:pPr>
            <w:r>
              <w:rPr>
                <w:sz w:val="20"/>
                <w:szCs w:val="20"/>
                <w:lang w:eastAsia="en-US"/>
              </w:rPr>
              <w:t>Sjeverni Jadran</w:t>
            </w:r>
          </w:p>
          <w:p w14:paraId="17FA820C" w14:textId="77777777" w:rsidR="00016698" w:rsidRPr="001C6CCA" w:rsidRDefault="00016698" w:rsidP="00016698">
            <w:pPr>
              <w:spacing w:before="0" w:after="0" w:line="240" w:lineRule="auto"/>
              <w:jc w:val="left"/>
              <w:rPr>
                <w:sz w:val="20"/>
                <w:szCs w:val="20"/>
                <w:lang w:val="en-GB" w:eastAsia="en-US"/>
              </w:rPr>
            </w:pPr>
          </w:p>
        </w:tc>
        <w:tc>
          <w:tcPr>
            <w:tcW w:w="3828" w:type="dxa"/>
          </w:tcPr>
          <w:p w14:paraId="005BBF16" w14:textId="77777777" w:rsidR="00016698" w:rsidRPr="001C6CCA" w:rsidRDefault="00016698" w:rsidP="00016698">
            <w:pPr>
              <w:autoSpaceDE w:val="0"/>
              <w:autoSpaceDN w:val="0"/>
              <w:adjustRightInd w:val="0"/>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 xml:space="preserve">2.600 (CIs=2.200 – 2.900) </w:t>
            </w:r>
          </w:p>
          <w:p w14:paraId="5ABE665D" w14:textId="77777777" w:rsidR="00016698" w:rsidRPr="001C6CCA" w:rsidRDefault="00016698" w:rsidP="0001669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val="en-GB" w:eastAsia="en-US"/>
              </w:rPr>
            </w:pPr>
          </w:p>
        </w:tc>
        <w:tc>
          <w:tcPr>
            <w:tcW w:w="2358" w:type="dxa"/>
          </w:tcPr>
          <w:p w14:paraId="5569E08B" w14:textId="77777777" w:rsidR="00016698" w:rsidRPr="001C6CCA" w:rsidRDefault="00016698" w:rsidP="0001669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val="en-GB" w:eastAsia="en-US"/>
              </w:rPr>
            </w:pPr>
            <w:r w:rsidRPr="001C6CCA">
              <w:rPr>
                <w:sz w:val="20"/>
                <w:szCs w:val="20"/>
                <w:lang w:val="en-GB" w:eastAsia="en-US"/>
              </w:rPr>
              <w:t>0,057</w:t>
            </w:r>
          </w:p>
        </w:tc>
      </w:tr>
      <w:tr w:rsidR="00016698" w:rsidRPr="001C6CCA" w14:paraId="0BD2974B" w14:textId="77777777" w:rsidTr="00AA6D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8FD97A9" w14:textId="77777777" w:rsidR="00016698" w:rsidRPr="00F65CFF" w:rsidRDefault="00016698" w:rsidP="00016698">
            <w:pPr>
              <w:spacing w:before="0" w:after="0" w:line="240" w:lineRule="auto"/>
              <w:jc w:val="left"/>
              <w:rPr>
                <w:sz w:val="20"/>
                <w:szCs w:val="20"/>
                <w:lang w:eastAsia="en-US"/>
              </w:rPr>
            </w:pPr>
            <w:r>
              <w:rPr>
                <w:sz w:val="20"/>
                <w:szCs w:val="20"/>
                <w:lang w:eastAsia="en-US"/>
              </w:rPr>
              <w:t>Srednji Jadran</w:t>
            </w:r>
          </w:p>
          <w:p w14:paraId="27DC24DD" w14:textId="77777777" w:rsidR="00016698" w:rsidRPr="001C6CCA" w:rsidRDefault="00016698" w:rsidP="00016698">
            <w:pPr>
              <w:spacing w:before="0" w:after="0" w:line="240" w:lineRule="auto"/>
              <w:jc w:val="left"/>
              <w:rPr>
                <w:sz w:val="20"/>
                <w:szCs w:val="20"/>
                <w:lang w:val="en-GB" w:eastAsia="en-US"/>
              </w:rPr>
            </w:pPr>
          </w:p>
        </w:tc>
        <w:tc>
          <w:tcPr>
            <w:tcW w:w="3828" w:type="dxa"/>
          </w:tcPr>
          <w:p w14:paraId="437EFC2A" w14:textId="77777777" w:rsidR="00016698" w:rsidRPr="001C6CCA" w:rsidRDefault="00016698" w:rsidP="0001669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val="en-GB" w:eastAsia="en-US"/>
              </w:rPr>
            </w:pPr>
            <w:r w:rsidRPr="001C6CCA">
              <w:rPr>
                <w:sz w:val="20"/>
                <w:szCs w:val="20"/>
                <w:lang w:val="en-GB" w:eastAsia="en-US"/>
              </w:rPr>
              <w:t>1.100 (CIs=800 – 1.500)</w:t>
            </w:r>
          </w:p>
        </w:tc>
        <w:tc>
          <w:tcPr>
            <w:tcW w:w="2358" w:type="dxa"/>
          </w:tcPr>
          <w:p w14:paraId="799CB4D7" w14:textId="77777777" w:rsidR="00016698" w:rsidRPr="001C6CCA" w:rsidRDefault="00016698" w:rsidP="0001669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val="en-GB" w:eastAsia="en-US"/>
              </w:rPr>
            </w:pPr>
            <w:r w:rsidRPr="001C6CCA">
              <w:rPr>
                <w:sz w:val="20"/>
                <w:szCs w:val="20"/>
                <w:lang w:val="en-GB" w:eastAsia="en-US"/>
              </w:rPr>
              <w:t>0.034</w:t>
            </w:r>
          </w:p>
        </w:tc>
      </w:tr>
      <w:tr w:rsidR="00016698" w:rsidRPr="001C6CCA" w14:paraId="540F2B69" w14:textId="77777777" w:rsidTr="00AA6D51">
        <w:tc>
          <w:tcPr>
            <w:cnfStyle w:val="001000000000" w:firstRow="0" w:lastRow="0" w:firstColumn="1" w:lastColumn="0" w:oddVBand="0" w:evenVBand="0" w:oddHBand="0" w:evenHBand="0" w:firstRowFirstColumn="0" w:firstRowLastColumn="0" w:lastRowFirstColumn="0" w:lastRowLastColumn="0"/>
            <w:tcW w:w="2830" w:type="dxa"/>
          </w:tcPr>
          <w:p w14:paraId="13B00AEF" w14:textId="77777777" w:rsidR="00016698" w:rsidRPr="00F65CFF" w:rsidRDefault="00016698" w:rsidP="00016698">
            <w:pPr>
              <w:spacing w:before="0" w:after="0" w:line="240" w:lineRule="auto"/>
              <w:jc w:val="left"/>
              <w:rPr>
                <w:sz w:val="20"/>
                <w:szCs w:val="20"/>
                <w:lang w:eastAsia="en-US"/>
              </w:rPr>
            </w:pPr>
            <w:r>
              <w:rPr>
                <w:sz w:val="20"/>
                <w:szCs w:val="20"/>
                <w:lang w:eastAsia="en-US"/>
              </w:rPr>
              <w:t>Južni Jadran</w:t>
            </w:r>
            <w:r w:rsidRPr="00F65CFF">
              <w:rPr>
                <w:sz w:val="20"/>
                <w:szCs w:val="20"/>
                <w:lang w:eastAsia="en-US"/>
              </w:rPr>
              <w:t xml:space="preserve"> </w:t>
            </w:r>
          </w:p>
          <w:p w14:paraId="691AE339" w14:textId="77777777" w:rsidR="00016698" w:rsidRPr="001C6CCA" w:rsidRDefault="00016698" w:rsidP="00016698">
            <w:pPr>
              <w:spacing w:before="0" w:after="0" w:line="240" w:lineRule="auto"/>
              <w:jc w:val="left"/>
              <w:rPr>
                <w:sz w:val="20"/>
                <w:szCs w:val="20"/>
                <w:lang w:val="en-GB" w:eastAsia="en-US"/>
              </w:rPr>
            </w:pPr>
          </w:p>
        </w:tc>
        <w:tc>
          <w:tcPr>
            <w:tcW w:w="3828" w:type="dxa"/>
          </w:tcPr>
          <w:p w14:paraId="478C038F" w14:textId="77777777" w:rsidR="00016698" w:rsidRPr="001C6CCA" w:rsidRDefault="00016698" w:rsidP="0001669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val="en-GB" w:eastAsia="en-US"/>
              </w:rPr>
            </w:pPr>
            <w:r w:rsidRPr="001C6CCA">
              <w:rPr>
                <w:sz w:val="20"/>
                <w:szCs w:val="20"/>
                <w:lang w:val="en-GB" w:eastAsia="en-US"/>
              </w:rPr>
              <w:t>1800 (CI = 1500–2400)</w:t>
            </w:r>
          </w:p>
        </w:tc>
        <w:tc>
          <w:tcPr>
            <w:tcW w:w="2358" w:type="dxa"/>
          </w:tcPr>
          <w:p w14:paraId="61715678" w14:textId="77777777" w:rsidR="00016698" w:rsidRPr="001C6CCA" w:rsidRDefault="00016698" w:rsidP="0001669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val="en-GB" w:eastAsia="en-US"/>
              </w:rPr>
            </w:pPr>
            <w:r w:rsidRPr="001C6CCA">
              <w:rPr>
                <w:sz w:val="20"/>
                <w:szCs w:val="20"/>
                <w:lang w:val="en-GB" w:eastAsia="en-US"/>
              </w:rPr>
              <w:t>0,032</w:t>
            </w:r>
          </w:p>
        </w:tc>
      </w:tr>
      <w:tr w:rsidR="00016698" w:rsidRPr="001C6CCA" w14:paraId="25DC18D4" w14:textId="77777777" w:rsidTr="00AA6D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3A032D0" w14:textId="77777777" w:rsidR="00016698" w:rsidRPr="00F65CFF" w:rsidRDefault="00016698" w:rsidP="00016698">
            <w:pPr>
              <w:spacing w:before="0" w:after="0" w:line="240" w:lineRule="auto"/>
              <w:jc w:val="left"/>
              <w:rPr>
                <w:sz w:val="20"/>
                <w:szCs w:val="20"/>
                <w:lang w:eastAsia="en-US"/>
              </w:rPr>
            </w:pPr>
            <w:r w:rsidRPr="00F65CFF">
              <w:rPr>
                <w:sz w:val="20"/>
                <w:szCs w:val="20"/>
                <w:lang w:eastAsia="en-US"/>
              </w:rPr>
              <w:t>Ter</w:t>
            </w:r>
            <w:r>
              <w:rPr>
                <w:sz w:val="20"/>
                <w:szCs w:val="20"/>
                <w:lang w:eastAsia="en-US"/>
              </w:rPr>
              <w:t>itorijalno more Crne Gore</w:t>
            </w:r>
          </w:p>
          <w:p w14:paraId="79D91F09" w14:textId="77777777" w:rsidR="00016698" w:rsidRPr="001C6CCA" w:rsidRDefault="00016698" w:rsidP="00016698">
            <w:pPr>
              <w:spacing w:before="0" w:after="0" w:line="240" w:lineRule="auto"/>
              <w:jc w:val="left"/>
              <w:rPr>
                <w:sz w:val="20"/>
                <w:szCs w:val="20"/>
                <w:lang w:val="en-GB" w:eastAsia="en-US"/>
              </w:rPr>
            </w:pPr>
          </w:p>
        </w:tc>
        <w:tc>
          <w:tcPr>
            <w:tcW w:w="3828" w:type="dxa"/>
          </w:tcPr>
          <w:p w14:paraId="198895A8" w14:textId="77777777" w:rsidR="00016698" w:rsidRPr="001C6CCA" w:rsidRDefault="00016698" w:rsidP="0001669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val="en-GB" w:eastAsia="en-US"/>
              </w:rPr>
            </w:pPr>
            <w:r w:rsidRPr="001C6CCA">
              <w:rPr>
                <w:sz w:val="20"/>
                <w:szCs w:val="20"/>
                <w:lang w:val="en-GB" w:eastAsia="en-US"/>
              </w:rPr>
              <w:t>100 (CIs=40-200)</w:t>
            </w:r>
          </w:p>
        </w:tc>
        <w:tc>
          <w:tcPr>
            <w:tcW w:w="2358" w:type="dxa"/>
          </w:tcPr>
          <w:p w14:paraId="27E20B66" w14:textId="77777777" w:rsidR="00016698" w:rsidRPr="001C6CCA" w:rsidRDefault="00016698" w:rsidP="0001669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val="en-GB" w:eastAsia="en-US"/>
              </w:rPr>
            </w:pPr>
            <w:r w:rsidRPr="001C6CCA">
              <w:rPr>
                <w:sz w:val="20"/>
                <w:szCs w:val="20"/>
                <w:lang w:val="en-GB" w:eastAsia="en-US"/>
              </w:rPr>
              <w:t>0.049</w:t>
            </w:r>
          </w:p>
        </w:tc>
      </w:tr>
      <w:tr w:rsidR="00016698" w:rsidRPr="001C6CCA" w14:paraId="095BE255" w14:textId="77777777" w:rsidTr="00AA6D51">
        <w:tc>
          <w:tcPr>
            <w:cnfStyle w:val="001000000000" w:firstRow="0" w:lastRow="0" w:firstColumn="1" w:lastColumn="0" w:oddVBand="0" w:evenVBand="0" w:oddHBand="0" w:evenHBand="0" w:firstRowFirstColumn="0" w:firstRowLastColumn="0" w:lastRowFirstColumn="0" w:lastRowLastColumn="0"/>
            <w:tcW w:w="2830" w:type="dxa"/>
          </w:tcPr>
          <w:p w14:paraId="13CA340D" w14:textId="7F2AEBDC" w:rsidR="00016698" w:rsidRDefault="00016698" w:rsidP="00016698">
            <w:pPr>
              <w:spacing w:before="0" w:after="0" w:line="240" w:lineRule="auto"/>
              <w:jc w:val="left"/>
              <w:rPr>
                <w:b w:val="0"/>
                <w:bCs w:val="0"/>
                <w:sz w:val="20"/>
                <w:szCs w:val="20"/>
                <w:lang w:eastAsia="en-US"/>
              </w:rPr>
            </w:pPr>
            <w:r>
              <w:rPr>
                <w:sz w:val="20"/>
                <w:szCs w:val="20"/>
                <w:lang w:eastAsia="en-US"/>
              </w:rPr>
              <w:t>Crna Gora</w:t>
            </w:r>
          </w:p>
          <w:p w14:paraId="38442DE8" w14:textId="2F691FE4" w:rsidR="00016698" w:rsidRPr="00AA6D51" w:rsidRDefault="00016698" w:rsidP="00016698">
            <w:pPr>
              <w:spacing w:before="0" w:after="0" w:line="240" w:lineRule="auto"/>
              <w:jc w:val="left"/>
              <w:rPr>
                <w:b w:val="0"/>
                <w:sz w:val="20"/>
                <w:szCs w:val="20"/>
                <w:lang w:eastAsia="en-US"/>
              </w:rPr>
            </w:pPr>
            <w:r>
              <w:rPr>
                <w:b w:val="0"/>
                <w:sz w:val="20"/>
                <w:szCs w:val="20"/>
                <w:lang w:eastAsia="en-US"/>
              </w:rPr>
              <w:t>Kontinentalni šelf</w:t>
            </w:r>
          </w:p>
        </w:tc>
        <w:tc>
          <w:tcPr>
            <w:tcW w:w="3828" w:type="dxa"/>
          </w:tcPr>
          <w:p w14:paraId="2AA1E48A" w14:textId="77777777" w:rsidR="00016698" w:rsidRPr="001C6CCA" w:rsidRDefault="00016698" w:rsidP="0001669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val="en-GB" w:eastAsia="en-US"/>
              </w:rPr>
            </w:pPr>
            <w:r w:rsidRPr="001C6CCA">
              <w:rPr>
                <w:sz w:val="20"/>
                <w:szCs w:val="20"/>
                <w:lang w:val="en-GB" w:eastAsia="en-US"/>
              </w:rPr>
              <w:t>200 (CIs=100-300)</w:t>
            </w:r>
          </w:p>
        </w:tc>
        <w:tc>
          <w:tcPr>
            <w:tcW w:w="2358" w:type="dxa"/>
          </w:tcPr>
          <w:p w14:paraId="1FC95202" w14:textId="77777777" w:rsidR="00016698" w:rsidRPr="001C6CCA" w:rsidRDefault="00016698" w:rsidP="0001669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val="en-GB" w:eastAsia="en-US"/>
              </w:rPr>
            </w:pPr>
            <w:r w:rsidRPr="001C6CCA">
              <w:rPr>
                <w:sz w:val="20"/>
                <w:szCs w:val="20"/>
                <w:lang w:val="en-GB" w:eastAsia="en-US"/>
              </w:rPr>
              <w:t>0.029</w:t>
            </w:r>
          </w:p>
        </w:tc>
      </w:tr>
    </w:tbl>
    <w:p w14:paraId="53540B21" w14:textId="77777777" w:rsidR="006D7D31" w:rsidRPr="001C6CCA" w:rsidRDefault="006D7D31" w:rsidP="00F65CFF">
      <w:pPr>
        <w:spacing w:before="0" w:after="0" w:line="259" w:lineRule="auto"/>
        <w:jc w:val="left"/>
        <w:rPr>
          <w:rFonts w:eastAsia="Calibri"/>
          <w:sz w:val="20"/>
          <w:szCs w:val="20"/>
          <w:lang w:val="en-GB" w:eastAsia="en-US"/>
        </w:rPr>
      </w:pPr>
    </w:p>
    <w:p w14:paraId="548C375A" w14:textId="77777777" w:rsidR="00CD6F51" w:rsidRDefault="00CD6F51" w:rsidP="00CD6F51">
      <w:pPr>
        <w:pStyle w:val="Heading4"/>
        <w:numPr>
          <w:ilvl w:val="0"/>
          <w:numId w:val="0"/>
        </w:numPr>
        <w:ind w:left="864"/>
        <w:rPr>
          <w:lang w:val="en-GB"/>
        </w:rPr>
      </w:pPr>
    </w:p>
    <w:p w14:paraId="496E33F8" w14:textId="094E7B6C" w:rsidR="00E575DD" w:rsidRPr="001C6CCA" w:rsidRDefault="00527ACB" w:rsidP="002E5A21">
      <w:pPr>
        <w:pStyle w:val="Heading4"/>
        <w:rPr>
          <w:lang w:val="en-GB"/>
        </w:rPr>
      </w:pPr>
      <w:r>
        <w:rPr>
          <w:lang w:val="en-GB"/>
        </w:rPr>
        <w:t>Postizanje GES-a</w:t>
      </w:r>
    </w:p>
    <w:p w14:paraId="1CA6BA3C" w14:textId="77777777" w:rsidR="00527ACB" w:rsidRPr="00527ACB" w:rsidRDefault="00527ACB" w:rsidP="00527ACB">
      <w:pPr>
        <w:shd w:val="clear" w:color="auto" w:fill="FFFFFF"/>
        <w:spacing w:before="0" w:after="0"/>
        <w:textAlignment w:val="baseline"/>
        <w:rPr>
          <w:rFonts w:cs="Calibri"/>
          <w:szCs w:val="22"/>
          <w:lang w:val="en-GB" w:eastAsia="hr-HR"/>
        </w:rPr>
      </w:pPr>
      <w:r w:rsidRPr="00527ACB">
        <w:rPr>
          <w:rFonts w:cs="Calibri"/>
          <w:szCs w:val="22"/>
          <w:lang w:val="en-GB" w:eastAsia="hr-HR"/>
        </w:rPr>
        <w:t>Određivanje GES karakteristika zasniva se na kriterijumima prikazanim u tabeli 3.4.</w:t>
      </w:r>
    </w:p>
    <w:p w14:paraId="16059473" w14:textId="77777777" w:rsidR="00644D3D" w:rsidRDefault="00644D3D" w:rsidP="00527ACB">
      <w:pPr>
        <w:shd w:val="clear" w:color="auto" w:fill="FFFFFF"/>
        <w:spacing w:before="0" w:after="0"/>
        <w:textAlignment w:val="baseline"/>
        <w:rPr>
          <w:rFonts w:cs="Calibri"/>
          <w:szCs w:val="22"/>
          <w:lang w:val="en-GB" w:eastAsia="hr-HR"/>
        </w:rPr>
      </w:pPr>
    </w:p>
    <w:p w14:paraId="044D16E5" w14:textId="161C6CDC" w:rsidR="00527ACB" w:rsidRPr="001C6CCA" w:rsidRDefault="00527ACB" w:rsidP="00527ACB">
      <w:pPr>
        <w:shd w:val="clear" w:color="auto" w:fill="FFFFFF"/>
        <w:spacing w:before="0" w:after="0"/>
        <w:textAlignment w:val="baseline"/>
        <w:rPr>
          <w:rFonts w:cs="Calibri"/>
          <w:szCs w:val="22"/>
          <w:lang w:val="en-GB" w:eastAsia="hr-HR"/>
        </w:rPr>
      </w:pPr>
      <w:r w:rsidRPr="00527ACB">
        <w:rPr>
          <w:rFonts w:cs="Calibri"/>
          <w:szCs w:val="22"/>
          <w:lang w:val="en-GB" w:eastAsia="hr-HR"/>
        </w:rPr>
        <w:t>Za nek</w:t>
      </w:r>
      <w:r w:rsidR="00DA07A2">
        <w:rPr>
          <w:rFonts w:cs="Calibri"/>
          <w:szCs w:val="22"/>
          <w:lang w:val="en-GB" w:eastAsia="hr-HR"/>
        </w:rPr>
        <w:t>ke</w:t>
      </w:r>
      <w:r w:rsidRPr="00527ACB">
        <w:rPr>
          <w:rFonts w:cs="Calibri"/>
          <w:szCs w:val="22"/>
          <w:lang w:val="en-GB" w:eastAsia="hr-HR"/>
        </w:rPr>
        <w:t xml:space="preserve"> kri</w:t>
      </w:r>
      <w:r w:rsidR="00644D3D">
        <w:rPr>
          <w:rFonts w:cs="Calibri"/>
          <w:szCs w:val="22"/>
          <w:lang w:val="en-GB" w:eastAsia="hr-HR"/>
        </w:rPr>
        <w:t>terijum</w:t>
      </w:r>
      <w:r w:rsidR="00DA07A2">
        <w:rPr>
          <w:rFonts w:cs="Calibri"/>
          <w:szCs w:val="22"/>
          <w:lang w:val="en-GB" w:eastAsia="hr-HR"/>
        </w:rPr>
        <w:t>e</w:t>
      </w:r>
      <w:r w:rsidRPr="00527ACB">
        <w:rPr>
          <w:rFonts w:cs="Calibri"/>
          <w:szCs w:val="22"/>
          <w:lang w:val="en-GB" w:eastAsia="hr-HR"/>
        </w:rPr>
        <w:t xml:space="preserve"> nije bilo moguće proc</w:t>
      </w:r>
      <w:r w:rsidR="00644D3D">
        <w:rPr>
          <w:rFonts w:cs="Calibri"/>
          <w:szCs w:val="22"/>
          <w:lang w:val="en-GB" w:eastAsia="hr-HR"/>
        </w:rPr>
        <w:t>ij</w:t>
      </w:r>
      <w:r w:rsidRPr="00527ACB">
        <w:rPr>
          <w:rFonts w:cs="Calibri"/>
          <w:szCs w:val="22"/>
          <w:lang w:val="en-GB" w:eastAsia="hr-HR"/>
        </w:rPr>
        <w:t xml:space="preserve">eniti GES, zbog nedostatka ili ograničenja postojećih i dostupnih podataka (Tabela 3.9). </w:t>
      </w:r>
      <w:r w:rsidR="00644D3D">
        <w:rPr>
          <w:rFonts w:cs="Calibri"/>
          <w:szCs w:val="22"/>
          <w:lang w:val="en-GB" w:eastAsia="hr-HR"/>
        </w:rPr>
        <w:t xml:space="preserve">Konkretno za </w:t>
      </w:r>
      <w:r w:rsidRPr="00527ACB">
        <w:rPr>
          <w:rFonts w:cs="Calibri"/>
          <w:szCs w:val="22"/>
          <w:lang w:val="en-GB" w:eastAsia="hr-HR"/>
        </w:rPr>
        <w:t xml:space="preserve">brojnost populacije i </w:t>
      </w:r>
      <w:r w:rsidR="00644D3D">
        <w:rPr>
          <w:rFonts w:cs="Calibri"/>
          <w:szCs w:val="22"/>
          <w:lang w:val="en-GB" w:eastAsia="hr-HR"/>
        </w:rPr>
        <w:t xml:space="preserve">rasprostranjenost </w:t>
      </w:r>
      <w:r w:rsidRPr="00527ACB">
        <w:rPr>
          <w:rFonts w:cs="Calibri"/>
          <w:szCs w:val="22"/>
          <w:lang w:val="en-GB" w:eastAsia="hr-HR"/>
        </w:rPr>
        <w:t>vrsta, podaci iz dv</w:t>
      </w:r>
      <w:r w:rsidR="00644D3D">
        <w:rPr>
          <w:rFonts w:cs="Calibri"/>
          <w:szCs w:val="22"/>
          <w:lang w:val="en-GB" w:eastAsia="hr-HR"/>
        </w:rPr>
        <w:t>a s</w:t>
      </w:r>
      <w:r w:rsidRPr="00527ACB">
        <w:rPr>
          <w:rFonts w:cs="Calibri"/>
          <w:szCs w:val="22"/>
          <w:lang w:val="en-GB" w:eastAsia="hr-HR"/>
        </w:rPr>
        <w:t xml:space="preserve">provedena </w:t>
      </w:r>
      <w:r w:rsidR="00644D3D">
        <w:rPr>
          <w:rFonts w:cs="Calibri"/>
          <w:szCs w:val="22"/>
          <w:lang w:val="en-GB" w:eastAsia="hr-HR"/>
        </w:rPr>
        <w:t>vazdušna istraživanja</w:t>
      </w:r>
      <w:r w:rsidRPr="00527ACB">
        <w:rPr>
          <w:rFonts w:cs="Calibri"/>
          <w:szCs w:val="22"/>
          <w:lang w:val="en-GB" w:eastAsia="hr-HR"/>
        </w:rPr>
        <w:t xml:space="preserve"> cijelog Jadrana i </w:t>
      </w:r>
      <w:r w:rsidR="00644D3D" w:rsidRPr="00C21AA8">
        <w:rPr>
          <w:rFonts w:eastAsia="Calibri"/>
          <w:lang w:val="sq-AL"/>
        </w:rPr>
        <w:t>foto-identifikaci</w:t>
      </w:r>
      <w:r w:rsidR="00644D3D">
        <w:rPr>
          <w:rFonts w:eastAsia="Calibri"/>
          <w:lang w:val="sq-AL"/>
        </w:rPr>
        <w:t>ono</w:t>
      </w:r>
      <w:r w:rsidR="00C53535">
        <w:rPr>
          <w:rFonts w:eastAsia="Calibri"/>
          <w:lang w:val="sq-AL"/>
        </w:rPr>
        <w:t>g</w:t>
      </w:r>
      <w:r w:rsidR="00644D3D">
        <w:rPr>
          <w:rFonts w:eastAsia="Calibri"/>
          <w:lang w:val="sq-AL"/>
        </w:rPr>
        <w:t xml:space="preserve"> istraživanj</w:t>
      </w:r>
      <w:r w:rsidR="00C53535">
        <w:rPr>
          <w:rFonts w:eastAsia="Calibri"/>
          <w:lang w:val="sq-AL"/>
        </w:rPr>
        <w:t>a</w:t>
      </w:r>
      <w:r w:rsidR="00644D3D" w:rsidRPr="00C21AA8">
        <w:rPr>
          <w:rFonts w:eastAsia="Calibri"/>
          <w:lang w:val="sq-AL"/>
        </w:rPr>
        <w:t xml:space="preserve"> </w:t>
      </w:r>
      <w:r w:rsidRPr="00527ACB">
        <w:rPr>
          <w:rFonts w:cs="Calibri"/>
          <w:szCs w:val="22"/>
          <w:lang w:val="en-GB" w:eastAsia="hr-HR"/>
        </w:rPr>
        <w:t xml:space="preserve">teritorijalnih voda </w:t>
      </w:r>
      <w:r w:rsidR="00644D3D">
        <w:rPr>
          <w:rFonts w:cs="Calibri"/>
          <w:szCs w:val="22"/>
          <w:lang w:val="en-GB" w:eastAsia="hr-HR"/>
        </w:rPr>
        <w:t xml:space="preserve">Crne Gore </w:t>
      </w:r>
      <w:r w:rsidRPr="00527ACB">
        <w:rPr>
          <w:rFonts w:cs="Calibri"/>
          <w:szCs w:val="22"/>
          <w:lang w:val="en-GB" w:eastAsia="hr-HR"/>
        </w:rPr>
        <w:t xml:space="preserve">ne pokazuju pad ili </w:t>
      </w:r>
      <w:r w:rsidR="00F00BA2">
        <w:rPr>
          <w:rFonts w:cs="Calibri"/>
          <w:szCs w:val="22"/>
          <w:lang w:val="en-GB" w:eastAsia="hr-HR"/>
        </w:rPr>
        <w:t xml:space="preserve">uopšteno </w:t>
      </w:r>
      <w:r w:rsidRPr="00527ACB">
        <w:rPr>
          <w:rFonts w:cs="Calibri"/>
          <w:szCs w:val="22"/>
          <w:lang w:val="en-GB" w:eastAsia="hr-HR"/>
        </w:rPr>
        <w:t>negativne trendove.</w:t>
      </w:r>
      <w:r w:rsidR="00F00BA2">
        <w:rPr>
          <w:rFonts w:cs="Calibri"/>
          <w:szCs w:val="22"/>
          <w:lang w:val="en-GB" w:eastAsia="hr-HR"/>
        </w:rPr>
        <w:t xml:space="preserve"> </w:t>
      </w:r>
      <w:r w:rsidRPr="00527ACB">
        <w:rPr>
          <w:rFonts w:cs="Calibri"/>
          <w:szCs w:val="22"/>
          <w:lang w:val="en-GB" w:eastAsia="hr-HR"/>
        </w:rPr>
        <w:t xml:space="preserve"> Ipak, u nedostatku dugoročnih serija podataka, nesigurno je donositi zaključke o GES-u. Rezultati ASI 2018 (koji su u toku</w:t>
      </w:r>
      <w:r w:rsidR="00C53535">
        <w:rPr>
          <w:rFonts w:cs="Calibri"/>
          <w:szCs w:val="22"/>
          <w:lang w:val="en-GB" w:eastAsia="hr-HR"/>
        </w:rPr>
        <w:t xml:space="preserve"> obrade</w:t>
      </w:r>
      <w:r w:rsidRPr="00527ACB">
        <w:rPr>
          <w:rFonts w:cs="Calibri"/>
          <w:szCs w:val="22"/>
          <w:lang w:val="en-GB" w:eastAsia="hr-HR"/>
        </w:rPr>
        <w:t xml:space="preserve">) i budućih </w:t>
      </w:r>
      <w:r w:rsidR="002A18C6">
        <w:rPr>
          <w:rFonts w:cs="Calibri"/>
          <w:szCs w:val="22"/>
          <w:lang w:val="en-GB" w:eastAsia="hr-HR"/>
        </w:rPr>
        <w:t xml:space="preserve">planiranih </w:t>
      </w:r>
      <w:r w:rsidRPr="00527ACB">
        <w:rPr>
          <w:rFonts w:cs="Calibri"/>
          <w:szCs w:val="22"/>
          <w:lang w:val="en-GB" w:eastAsia="hr-HR"/>
        </w:rPr>
        <w:t>vazdušnih istraživanja trebalo bi da omoguće proc</w:t>
      </w:r>
      <w:r w:rsidR="00F00BA2">
        <w:rPr>
          <w:rFonts w:cs="Calibri"/>
          <w:szCs w:val="22"/>
          <w:lang w:val="en-GB" w:eastAsia="hr-HR"/>
        </w:rPr>
        <w:t>j</w:t>
      </w:r>
      <w:r w:rsidRPr="00527ACB">
        <w:rPr>
          <w:rFonts w:cs="Calibri"/>
          <w:szCs w:val="22"/>
          <w:lang w:val="en-GB" w:eastAsia="hr-HR"/>
        </w:rPr>
        <w:t>enu GES-a</w:t>
      </w:r>
      <w:r w:rsidR="002A18C6">
        <w:rPr>
          <w:rFonts w:cs="Calibri"/>
          <w:szCs w:val="22"/>
          <w:lang w:val="en-GB" w:eastAsia="hr-HR"/>
        </w:rPr>
        <w:t xml:space="preserve"> u sljedećem 6-godišnjem ciklusu procjene.</w:t>
      </w:r>
    </w:p>
    <w:p w14:paraId="069C74B4" w14:textId="77777777" w:rsidR="00514ED8" w:rsidRPr="001C6CCA" w:rsidRDefault="00514ED8" w:rsidP="00F0297B">
      <w:pPr>
        <w:shd w:val="clear" w:color="auto" w:fill="FFFFFF"/>
        <w:spacing w:before="0" w:after="0"/>
        <w:textAlignment w:val="baseline"/>
        <w:rPr>
          <w:rFonts w:cs="Calibri"/>
          <w:szCs w:val="22"/>
          <w:lang w:val="en-GB" w:eastAsia="hr-HR"/>
        </w:rPr>
      </w:pPr>
    </w:p>
    <w:p w14:paraId="145B36F1" w14:textId="2111F808" w:rsidR="00E575DD" w:rsidRPr="001C6CCA" w:rsidRDefault="00E575DD" w:rsidP="002E5A21">
      <w:pPr>
        <w:tabs>
          <w:tab w:val="left" w:pos="7328"/>
        </w:tabs>
        <w:spacing w:before="0"/>
        <w:rPr>
          <w:rFonts w:eastAsia="Calibri" w:cs="Calibri"/>
          <w:szCs w:val="22"/>
          <w:lang w:val="en-GB" w:eastAsia="en-US"/>
        </w:rPr>
      </w:pPr>
      <w:bookmarkStart w:id="332" w:name="_Toc83643205"/>
      <w:r w:rsidRPr="001C6CCA">
        <w:rPr>
          <w:rFonts w:eastAsia="Calibri" w:cs="Calibri"/>
          <w:b/>
          <w:szCs w:val="22"/>
          <w:lang w:val="en-GB" w:eastAsia="en-US"/>
        </w:rPr>
        <w:t>Tab</w:t>
      </w:r>
      <w:r w:rsidR="00F00BA2">
        <w:rPr>
          <w:rFonts w:eastAsia="Calibri" w:cs="Calibri"/>
          <w:b/>
          <w:szCs w:val="22"/>
          <w:lang w:val="en-GB" w:eastAsia="en-US"/>
        </w:rPr>
        <w:t>ela</w:t>
      </w:r>
      <w:bookmarkStart w:id="333" w:name="_Hlk67166480"/>
      <w:r w:rsidR="00F00BA2">
        <w:rPr>
          <w:rFonts w:eastAsia="Calibri" w:cs="Calibri"/>
          <w:b/>
          <w:szCs w:val="22"/>
          <w:lang w:val="en-GB" w:eastAsia="en-US"/>
        </w:rPr>
        <w:t xml:space="preserve"> </w:t>
      </w:r>
      <w:r w:rsidR="00C000AE" w:rsidRPr="00D932B6">
        <w:rPr>
          <w:b/>
          <w:szCs w:val="22"/>
        </w:rPr>
        <w:fldChar w:fldCharType="begin"/>
      </w:r>
      <w:r w:rsidR="00C000AE" w:rsidRPr="00D932B6">
        <w:rPr>
          <w:b/>
          <w:szCs w:val="22"/>
        </w:rPr>
        <w:instrText xml:space="preserve"> STYLEREF 1 \s </w:instrText>
      </w:r>
      <w:r w:rsidR="00C000AE" w:rsidRPr="00D932B6">
        <w:rPr>
          <w:b/>
          <w:szCs w:val="22"/>
        </w:rPr>
        <w:fldChar w:fldCharType="separate"/>
      </w:r>
      <w:r w:rsidR="000D1E20">
        <w:rPr>
          <w:b/>
          <w:noProof/>
          <w:szCs w:val="22"/>
        </w:rPr>
        <w:t>3</w:t>
      </w:r>
      <w:r w:rsidR="00C000AE" w:rsidRPr="00D932B6">
        <w:rPr>
          <w:b/>
          <w:szCs w:val="22"/>
        </w:rPr>
        <w:fldChar w:fldCharType="end"/>
      </w:r>
      <w:r w:rsidR="00C000AE" w:rsidRPr="00D932B6">
        <w:rPr>
          <w:b/>
          <w:szCs w:val="22"/>
        </w:rPr>
        <w:t>.</w:t>
      </w:r>
      <w:r w:rsidR="00C000AE" w:rsidRPr="00D932B6">
        <w:rPr>
          <w:b/>
          <w:szCs w:val="22"/>
        </w:rPr>
        <w:fldChar w:fldCharType="begin"/>
      </w:r>
      <w:r w:rsidR="00C000AE" w:rsidRPr="00D932B6">
        <w:rPr>
          <w:b/>
          <w:szCs w:val="22"/>
        </w:rPr>
        <w:instrText xml:space="preserve"> SEQ Table \* ARABIC \s 1 </w:instrText>
      </w:r>
      <w:r w:rsidR="00C000AE" w:rsidRPr="00D932B6">
        <w:rPr>
          <w:b/>
          <w:szCs w:val="22"/>
        </w:rPr>
        <w:fldChar w:fldCharType="separate"/>
      </w:r>
      <w:r w:rsidR="000D1E20">
        <w:rPr>
          <w:b/>
          <w:noProof/>
          <w:szCs w:val="22"/>
        </w:rPr>
        <w:t>9</w:t>
      </w:r>
      <w:r w:rsidR="00C000AE" w:rsidRPr="00D932B6">
        <w:rPr>
          <w:b/>
          <w:szCs w:val="22"/>
        </w:rPr>
        <w:fldChar w:fldCharType="end"/>
      </w:r>
      <w:r w:rsidR="00C000AE">
        <w:rPr>
          <w:b/>
          <w:szCs w:val="22"/>
        </w:rPr>
        <w:t>.</w:t>
      </w:r>
      <w:r w:rsidR="00C000AE" w:rsidRPr="001C6CCA">
        <w:rPr>
          <w:rFonts w:eastAsia="Calibri" w:cs="Calibri"/>
          <w:b/>
          <w:szCs w:val="22"/>
          <w:lang w:val="en-GB" w:eastAsia="en-US"/>
        </w:rPr>
        <w:t xml:space="preserve"> </w:t>
      </w:r>
      <w:bookmarkStart w:id="334" w:name="_Hlk67901658"/>
      <w:r w:rsidR="00864B0C">
        <w:rPr>
          <w:rFonts w:eastAsia="Calibri" w:cs="Calibri"/>
          <w:b/>
          <w:szCs w:val="22"/>
          <w:lang w:val="en-GB" w:eastAsia="en-US"/>
        </w:rPr>
        <w:t>P</w:t>
      </w:r>
      <w:r w:rsidR="00F00BA2" w:rsidRPr="00F00BA2">
        <w:rPr>
          <w:rFonts w:eastAsia="Calibri" w:cs="Calibri"/>
          <w:b/>
          <w:szCs w:val="22"/>
          <w:lang w:val="en-GB" w:eastAsia="en-US"/>
        </w:rPr>
        <w:t>roc</w:t>
      </w:r>
      <w:r w:rsidR="00F00BA2">
        <w:rPr>
          <w:rFonts w:eastAsia="Calibri" w:cs="Calibri"/>
          <w:b/>
          <w:szCs w:val="22"/>
          <w:lang w:val="en-GB" w:eastAsia="en-US"/>
        </w:rPr>
        <w:t>j</w:t>
      </w:r>
      <w:r w:rsidR="00F00BA2" w:rsidRPr="00F00BA2">
        <w:rPr>
          <w:rFonts w:eastAsia="Calibri" w:cs="Calibri"/>
          <w:b/>
          <w:szCs w:val="22"/>
          <w:lang w:val="en-GB" w:eastAsia="en-US"/>
        </w:rPr>
        <w:t xml:space="preserve">ena </w:t>
      </w:r>
      <w:r w:rsidR="00864B0C">
        <w:rPr>
          <w:rFonts w:eastAsia="Calibri" w:cs="Calibri"/>
          <w:b/>
          <w:szCs w:val="22"/>
          <w:lang w:val="en-GB" w:eastAsia="en-US"/>
        </w:rPr>
        <w:t xml:space="preserve">GES-a za morske </w:t>
      </w:r>
      <w:r w:rsidR="00F00BA2" w:rsidRPr="00F00BA2">
        <w:rPr>
          <w:rFonts w:eastAsia="Calibri" w:cs="Calibri"/>
          <w:b/>
          <w:szCs w:val="22"/>
          <w:lang w:val="en-GB" w:eastAsia="en-US"/>
        </w:rPr>
        <w:t>sisar</w:t>
      </w:r>
      <w:r w:rsidR="00A75CB6">
        <w:rPr>
          <w:rFonts w:eastAsia="Calibri" w:cs="Calibri"/>
          <w:b/>
          <w:szCs w:val="22"/>
          <w:lang w:val="en-GB" w:eastAsia="en-US"/>
        </w:rPr>
        <w:t>e</w:t>
      </w:r>
      <w:r w:rsidR="00F00BA2" w:rsidRPr="00F00BA2">
        <w:rPr>
          <w:rFonts w:eastAsia="Calibri" w:cs="Calibri"/>
          <w:b/>
          <w:szCs w:val="22"/>
          <w:lang w:val="en-GB" w:eastAsia="en-US"/>
        </w:rPr>
        <w:t xml:space="preserve"> </w:t>
      </w:r>
      <w:r w:rsidR="00864B0C">
        <w:rPr>
          <w:rFonts w:eastAsia="Calibri" w:cs="Calibri"/>
          <w:b/>
          <w:szCs w:val="22"/>
          <w:lang w:val="en-GB" w:eastAsia="en-US"/>
        </w:rPr>
        <w:t>prema</w:t>
      </w:r>
      <w:r w:rsidR="00F00BA2" w:rsidRPr="00F00BA2">
        <w:rPr>
          <w:rFonts w:eastAsia="Calibri" w:cs="Calibri"/>
          <w:b/>
          <w:szCs w:val="22"/>
          <w:lang w:val="en-GB" w:eastAsia="en-US"/>
        </w:rPr>
        <w:t xml:space="preserve"> kriterijumima </w:t>
      </w:r>
      <w:r w:rsidR="00864B0C">
        <w:rPr>
          <w:rFonts w:eastAsia="Calibri" w:cs="Calibri"/>
          <w:b/>
          <w:szCs w:val="22"/>
          <w:lang w:val="en-GB" w:eastAsia="en-US"/>
        </w:rPr>
        <w:t xml:space="preserve">iz Odluke </w:t>
      </w:r>
      <w:r w:rsidR="00F00BA2" w:rsidRPr="00F00BA2">
        <w:rPr>
          <w:rFonts w:eastAsia="Calibri" w:cs="Calibri"/>
          <w:b/>
          <w:szCs w:val="22"/>
          <w:lang w:val="en-GB" w:eastAsia="en-US"/>
        </w:rPr>
        <w:t xml:space="preserve">Komisije </w:t>
      </w:r>
      <w:r w:rsidRPr="001C6CCA">
        <w:rPr>
          <w:rFonts w:eastAsia="Calibri" w:cs="Calibri"/>
          <w:b/>
          <w:szCs w:val="22"/>
          <w:lang w:val="en-GB" w:eastAsia="en-US"/>
        </w:rPr>
        <w:t>2017/845/EU</w:t>
      </w:r>
      <w:bookmarkEnd w:id="332"/>
      <w:r w:rsidRPr="001C6CCA">
        <w:rPr>
          <w:rFonts w:eastAsia="Calibri" w:cs="Calibri"/>
          <w:b/>
          <w:bCs/>
          <w:szCs w:val="22"/>
          <w:lang w:val="en-GB" w:eastAsia="en-US"/>
        </w:rPr>
        <w:t xml:space="preserve"> </w:t>
      </w:r>
      <w:bookmarkEnd w:id="334"/>
    </w:p>
    <w:tbl>
      <w:tblPr>
        <w:tblStyle w:val="GolderTable8"/>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005"/>
        <w:gridCol w:w="3005"/>
        <w:gridCol w:w="3006"/>
      </w:tblGrid>
      <w:tr w:rsidR="00E36DAD" w:rsidRPr="001C6CCA" w14:paraId="425C108D" w14:textId="77777777" w:rsidTr="00E36DAD">
        <w:tc>
          <w:tcPr>
            <w:tcW w:w="901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06263AF1" w14:textId="3BC4BC28" w:rsidR="00E36DAD" w:rsidRPr="00E36DAD" w:rsidRDefault="00E36DAD" w:rsidP="00F65CFF">
            <w:pPr>
              <w:tabs>
                <w:tab w:val="left" w:pos="1992"/>
              </w:tabs>
              <w:spacing w:before="0" w:after="0" w:line="240" w:lineRule="auto"/>
              <w:jc w:val="center"/>
              <w:rPr>
                <w:b/>
                <w:color w:val="FFFFFF" w:themeColor="background1"/>
                <w:sz w:val="20"/>
                <w:szCs w:val="20"/>
                <w:lang w:val="en-GB" w:eastAsia="en-US"/>
              </w:rPr>
            </w:pPr>
            <w:r>
              <w:rPr>
                <w:b/>
                <w:color w:val="FFFFFF" w:themeColor="background1"/>
                <w:sz w:val="20"/>
                <w:szCs w:val="20"/>
                <w:lang w:val="en-GB" w:eastAsia="en-US"/>
              </w:rPr>
              <w:t>Područje procjene: subregionalni nivo</w:t>
            </w:r>
            <w:r w:rsidR="006F740E">
              <w:rPr>
                <w:b/>
                <w:color w:val="FFFFFF" w:themeColor="background1"/>
                <w:sz w:val="20"/>
                <w:szCs w:val="20"/>
                <w:lang w:val="en-GB" w:eastAsia="en-US"/>
              </w:rPr>
              <w:t xml:space="preserve"> -</w:t>
            </w:r>
            <w:r>
              <w:rPr>
                <w:b/>
                <w:color w:val="FFFFFF" w:themeColor="background1"/>
                <w:sz w:val="20"/>
                <w:szCs w:val="20"/>
                <w:lang w:val="en-GB" w:eastAsia="en-US"/>
              </w:rPr>
              <w:t xml:space="preserve"> Jadransko more</w:t>
            </w:r>
          </w:p>
          <w:p w14:paraId="53C186C5" w14:textId="60F3DB05" w:rsidR="00E36DAD" w:rsidRPr="00E36DAD" w:rsidRDefault="00E36DAD" w:rsidP="00F65CFF">
            <w:pPr>
              <w:tabs>
                <w:tab w:val="left" w:pos="1992"/>
              </w:tabs>
              <w:spacing w:before="0" w:after="0" w:line="240" w:lineRule="auto"/>
              <w:jc w:val="center"/>
              <w:rPr>
                <w:b/>
                <w:color w:val="FFFFFF" w:themeColor="background1"/>
                <w:sz w:val="20"/>
                <w:szCs w:val="20"/>
                <w:lang w:val="en-GB" w:eastAsia="en-US"/>
              </w:rPr>
            </w:pPr>
          </w:p>
        </w:tc>
      </w:tr>
      <w:tr w:rsidR="00E575DD" w:rsidRPr="001C6CCA" w14:paraId="040F3B96" w14:textId="77777777" w:rsidTr="00E36DAD">
        <w:tc>
          <w:tcPr>
            <w:tcW w:w="300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0A578163" w14:textId="0DF18D23" w:rsidR="00E575DD" w:rsidRPr="001C6CCA" w:rsidRDefault="00F00BA2" w:rsidP="00F65CFF">
            <w:pPr>
              <w:tabs>
                <w:tab w:val="left" w:pos="1992"/>
              </w:tabs>
              <w:spacing w:before="0" w:after="0" w:line="240" w:lineRule="auto"/>
              <w:jc w:val="left"/>
              <w:rPr>
                <w:b/>
                <w:color w:val="FFFFFF" w:themeColor="background1"/>
                <w:sz w:val="20"/>
                <w:szCs w:val="20"/>
                <w:lang w:val="en-GB" w:eastAsia="en-US"/>
              </w:rPr>
            </w:pPr>
            <w:bookmarkStart w:id="335" w:name="_Hlk66310749"/>
            <w:bookmarkEnd w:id="333"/>
            <w:r>
              <w:rPr>
                <w:b/>
                <w:color w:val="FFFFFF" w:themeColor="background1"/>
                <w:sz w:val="20"/>
                <w:szCs w:val="20"/>
                <w:lang w:val="en-GB" w:eastAsia="en-US"/>
              </w:rPr>
              <w:t>Kriterijum</w:t>
            </w:r>
          </w:p>
        </w:tc>
        <w:tc>
          <w:tcPr>
            <w:tcW w:w="601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9BD1720" w14:textId="3A6E2637" w:rsidR="00E575DD" w:rsidRPr="001C6CCA" w:rsidRDefault="00A75CB6" w:rsidP="00F65CFF">
            <w:pPr>
              <w:tabs>
                <w:tab w:val="left" w:pos="1992"/>
              </w:tabs>
              <w:spacing w:before="0" w:after="0" w:line="240" w:lineRule="auto"/>
              <w:jc w:val="center"/>
              <w:rPr>
                <w:b/>
                <w:color w:val="FFFFFF" w:themeColor="background1"/>
                <w:sz w:val="20"/>
                <w:szCs w:val="20"/>
                <w:lang w:val="en-GB" w:eastAsia="en-US"/>
              </w:rPr>
            </w:pPr>
            <w:r>
              <w:rPr>
                <w:b/>
                <w:color w:val="FFFFFF" w:themeColor="background1"/>
                <w:sz w:val="20"/>
                <w:szCs w:val="20"/>
                <w:lang w:val="en-GB" w:eastAsia="en-US"/>
              </w:rPr>
              <w:t>GES</w:t>
            </w:r>
          </w:p>
          <w:p w14:paraId="5A0B7187" w14:textId="77079A73" w:rsidR="00C17AD2" w:rsidRPr="001C6CCA" w:rsidRDefault="00C17AD2" w:rsidP="00F65CFF">
            <w:pPr>
              <w:tabs>
                <w:tab w:val="left" w:pos="1992"/>
              </w:tabs>
              <w:spacing w:before="0" w:after="0" w:line="240" w:lineRule="auto"/>
              <w:jc w:val="center"/>
              <w:rPr>
                <w:b/>
                <w:color w:val="FFFFFF" w:themeColor="background1"/>
                <w:sz w:val="20"/>
                <w:szCs w:val="20"/>
                <w:lang w:val="en-GB" w:eastAsia="en-US"/>
              </w:rPr>
            </w:pPr>
          </w:p>
        </w:tc>
      </w:tr>
      <w:tr w:rsidR="00E575DD" w:rsidRPr="001C6CCA" w14:paraId="26DFF024" w14:textId="77777777" w:rsidTr="00E36DAD">
        <w:tc>
          <w:tcPr>
            <w:tcW w:w="3005" w:type="dxa"/>
            <w:vMerge/>
            <w:tcBorders>
              <w:top w:val="single" w:sz="4" w:space="0" w:color="FFFFFF" w:themeColor="background1"/>
            </w:tcBorders>
          </w:tcPr>
          <w:p w14:paraId="576DA06A" w14:textId="77777777" w:rsidR="00E575DD" w:rsidRPr="001C6CCA" w:rsidRDefault="00E575DD" w:rsidP="00F65CFF">
            <w:pPr>
              <w:tabs>
                <w:tab w:val="left" w:pos="1992"/>
              </w:tabs>
              <w:spacing w:before="0" w:after="0" w:line="240" w:lineRule="auto"/>
              <w:jc w:val="left"/>
              <w:rPr>
                <w:sz w:val="20"/>
                <w:szCs w:val="20"/>
                <w:lang w:val="en-GB" w:eastAsia="en-US"/>
              </w:rPr>
            </w:pPr>
          </w:p>
        </w:tc>
        <w:tc>
          <w:tcPr>
            <w:tcW w:w="3005" w:type="dxa"/>
            <w:tcBorders>
              <w:top w:val="single" w:sz="4" w:space="0" w:color="FFFFFF" w:themeColor="background1"/>
            </w:tcBorders>
            <w:shd w:val="clear" w:color="auto" w:fill="8DB3E2" w:themeFill="text2" w:themeFillTint="66"/>
          </w:tcPr>
          <w:p w14:paraId="23AFE1D2" w14:textId="77777777" w:rsidR="00E575DD" w:rsidRPr="001C6CCA" w:rsidRDefault="00E575DD" w:rsidP="00F65CFF">
            <w:pPr>
              <w:autoSpaceDE w:val="0"/>
              <w:autoSpaceDN w:val="0"/>
              <w:adjustRightInd w:val="0"/>
              <w:spacing w:before="0" w:after="0" w:line="240" w:lineRule="auto"/>
              <w:jc w:val="left"/>
              <w:rPr>
                <w:rFonts w:cs="Calibri"/>
                <w:color w:val="000000"/>
                <w:sz w:val="20"/>
                <w:szCs w:val="20"/>
                <w:lang w:val="en-GB" w:eastAsia="en-US"/>
              </w:rPr>
            </w:pPr>
            <w:r w:rsidRPr="001C6CCA">
              <w:rPr>
                <w:rFonts w:cs="Calibri"/>
                <w:b/>
                <w:bCs/>
                <w:i/>
                <w:iCs/>
                <w:color w:val="000000"/>
                <w:sz w:val="20"/>
                <w:szCs w:val="20"/>
                <w:lang w:val="en-GB" w:eastAsia="en-US"/>
              </w:rPr>
              <w:t xml:space="preserve">Tursiops truncatus </w:t>
            </w:r>
          </w:p>
          <w:p w14:paraId="2D76EA91" w14:textId="77777777" w:rsidR="00E575DD" w:rsidRPr="001C6CCA" w:rsidRDefault="00E575DD" w:rsidP="00F65CFF">
            <w:pPr>
              <w:tabs>
                <w:tab w:val="left" w:pos="1992"/>
              </w:tabs>
              <w:spacing w:before="0" w:after="0" w:line="240" w:lineRule="auto"/>
              <w:jc w:val="left"/>
              <w:rPr>
                <w:sz w:val="20"/>
                <w:szCs w:val="20"/>
                <w:lang w:val="en-GB" w:eastAsia="en-US"/>
              </w:rPr>
            </w:pPr>
          </w:p>
        </w:tc>
        <w:tc>
          <w:tcPr>
            <w:tcW w:w="3006" w:type="dxa"/>
            <w:tcBorders>
              <w:top w:val="single" w:sz="4" w:space="0" w:color="FFFFFF" w:themeColor="background1"/>
            </w:tcBorders>
            <w:shd w:val="clear" w:color="auto" w:fill="8DB3E2" w:themeFill="text2" w:themeFillTint="66"/>
          </w:tcPr>
          <w:p w14:paraId="461175C5" w14:textId="77777777" w:rsidR="00E575DD" w:rsidRPr="001C6CCA" w:rsidRDefault="00E575DD" w:rsidP="00F65CFF">
            <w:pPr>
              <w:tabs>
                <w:tab w:val="left" w:pos="1992"/>
              </w:tabs>
              <w:spacing w:before="0" w:after="0" w:line="240" w:lineRule="auto"/>
              <w:jc w:val="left"/>
              <w:rPr>
                <w:b/>
                <w:i/>
                <w:sz w:val="20"/>
                <w:szCs w:val="20"/>
                <w:lang w:val="en-GB" w:eastAsia="en-US"/>
              </w:rPr>
            </w:pPr>
            <w:r w:rsidRPr="001C6CCA">
              <w:rPr>
                <w:b/>
                <w:i/>
                <w:sz w:val="20"/>
                <w:szCs w:val="20"/>
                <w:lang w:val="en-GB" w:eastAsia="en-US"/>
              </w:rPr>
              <w:t>Stenella coerueloalba</w:t>
            </w:r>
          </w:p>
        </w:tc>
      </w:tr>
      <w:tr w:rsidR="00E575DD" w:rsidRPr="001C6CCA" w14:paraId="04446188" w14:textId="77777777" w:rsidTr="00C17AD2">
        <w:tc>
          <w:tcPr>
            <w:tcW w:w="3005" w:type="dxa"/>
          </w:tcPr>
          <w:p w14:paraId="7A80116E" w14:textId="77777777" w:rsidR="00F00BA2" w:rsidRDefault="00F00BA2" w:rsidP="00F00BA2">
            <w:pPr>
              <w:spacing w:before="0" w:after="0" w:line="259" w:lineRule="auto"/>
              <w:jc w:val="left"/>
              <w:rPr>
                <w:rFonts w:eastAsiaTheme="minorHAnsi" w:cstheme="minorBidi"/>
                <w:sz w:val="20"/>
                <w:szCs w:val="20"/>
                <w:lang w:val="en-GB"/>
              </w:rPr>
            </w:pPr>
            <w:r w:rsidRPr="00D83AAE">
              <w:rPr>
                <w:rFonts w:eastAsiaTheme="minorHAnsi" w:cstheme="minorBidi"/>
                <w:b/>
                <w:sz w:val="20"/>
                <w:szCs w:val="20"/>
                <w:lang w:val="en-GB"/>
              </w:rPr>
              <w:t>D1C1 – Primarni:</w:t>
            </w:r>
            <w:r>
              <w:rPr>
                <w:sz w:val="20"/>
                <w:szCs w:val="20"/>
                <w:lang w:val="en-GB"/>
              </w:rPr>
              <w:t xml:space="preserve"> </w:t>
            </w:r>
          </w:p>
          <w:p w14:paraId="0FA36393" w14:textId="423ACA61" w:rsidR="00E575DD" w:rsidRPr="001C6CCA" w:rsidRDefault="00F00BA2" w:rsidP="00F00BA2">
            <w:pPr>
              <w:tabs>
                <w:tab w:val="left" w:pos="1992"/>
              </w:tabs>
              <w:spacing w:before="0" w:after="0" w:line="240" w:lineRule="auto"/>
              <w:jc w:val="left"/>
              <w:rPr>
                <w:sz w:val="20"/>
                <w:szCs w:val="20"/>
                <w:lang w:val="en-GB" w:eastAsia="en-US"/>
              </w:rPr>
            </w:pPr>
            <w:r w:rsidRPr="00D83AAE">
              <w:rPr>
                <w:rFonts w:eastAsiaTheme="minorHAnsi" w:cstheme="minorBidi"/>
                <w:sz w:val="20"/>
                <w:szCs w:val="20"/>
                <w:lang w:val="en-GB"/>
              </w:rPr>
              <w:t>Stopa smrtnosti po vrsti kao rezultat slučajnog</w:t>
            </w:r>
            <w:r w:rsidR="00A75CB6">
              <w:rPr>
                <w:rFonts w:eastAsiaTheme="minorHAnsi" w:cstheme="minorBidi"/>
                <w:sz w:val="20"/>
                <w:szCs w:val="20"/>
                <w:lang w:val="en-GB"/>
              </w:rPr>
              <w:t>-</w:t>
            </w:r>
            <w:r w:rsidRPr="00D83AAE">
              <w:rPr>
                <w:rFonts w:eastAsiaTheme="minorHAnsi" w:cstheme="minorBidi"/>
                <w:sz w:val="20"/>
                <w:szCs w:val="20"/>
                <w:lang w:val="en-GB"/>
              </w:rPr>
              <w:t>usputnog ulova</w:t>
            </w:r>
          </w:p>
        </w:tc>
        <w:tc>
          <w:tcPr>
            <w:tcW w:w="6011" w:type="dxa"/>
            <w:gridSpan w:val="2"/>
          </w:tcPr>
          <w:p w14:paraId="6D373B87" w14:textId="7E789798" w:rsidR="00F00BA2" w:rsidRPr="00F00BA2" w:rsidRDefault="00F00BA2" w:rsidP="00F00BA2">
            <w:pPr>
              <w:tabs>
                <w:tab w:val="left" w:pos="1992"/>
              </w:tabs>
              <w:spacing w:before="0" w:after="0" w:line="240" w:lineRule="auto"/>
              <w:jc w:val="left"/>
              <w:rPr>
                <w:sz w:val="20"/>
                <w:szCs w:val="20"/>
                <w:lang w:val="en-GB" w:eastAsia="en-US"/>
              </w:rPr>
            </w:pPr>
            <w:r w:rsidRPr="00F00BA2">
              <w:rPr>
                <w:sz w:val="20"/>
                <w:szCs w:val="20"/>
                <w:lang w:val="en-GB" w:eastAsia="en-US"/>
              </w:rPr>
              <w:t>Nije moguće proc</w:t>
            </w:r>
            <w:r>
              <w:rPr>
                <w:sz w:val="20"/>
                <w:szCs w:val="20"/>
                <w:lang w:val="en-GB" w:eastAsia="en-US"/>
              </w:rPr>
              <w:t>ij</w:t>
            </w:r>
            <w:r w:rsidRPr="00F00BA2">
              <w:rPr>
                <w:sz w:val="20"/>
                <w:szCs w:val="20"/>
                <w:lang w:val="en-GB" w:eastAsia="en-US"/>
              </w:rPr>
              <w:t xml:space="preserve">eniti GES zbog nedostatka podataka o </w:t>
            </w:r>
            <w:r w:rsidRPr="00D83AAE">
              <w:rPr>
                <w:rFonts w:eastAsiaTheme="minorHAnsi" w:cstheme="minorBidi"/>
                <w:sz w:val="20"/>
                <w:szCs w:val="20"/>
                <w:lang w:val="en-GB"/>
              </w:rPr>
              <w:t>slučajno</w:t>
            </w:r>
            <w:r>
              <w:rPr>
                <w:rFonts w:eastAsiaTheme="minorHAnsi" w:cstheme="minorBidi"/>
                <w:sz w:val="20"/>
                <w:szCs w:val="20"/>
                <w:lang w:val="en-GB"/>
              </w:rPr>
              <w:t>m</w:t>
            </w:r>
            <w:r w:rsidRPr="00D83AAE">
              <w:rPr>
                <w:rFonts w:eastAsiaTheme="minorHAnsi" w:cstheme="minorBidi"/>
                <w:sz w:val="20"/>
                <w:szCs w:val="20"/>
                <w:lang w:val="en-GB"/>
              </w:rPr>
              <w:t xml:space="preserve"> </w:t>
            </w:r>
            <w:r>
              <w:rPr>
                <w:rFonts w:eastAsiaTheme="minorHAnsi" w:cstheme="minorBidi"/>
                <w:sz w:val="20"/>
                <w:szCs w:val="20"/>
                <w:lang w:val="en-GB"/>
              </w:rPr>
              <w:t>ulovu</w:t>
            </w:r>
            <w:r w:rsidR="001928B4">
              <w:rPr>
                <w:rFonts w:eastAsiaTheme="minorHAnsi" w:cstheme="minorBidi"/>
                <w:sz w:val="20"/>
                <w:szCs w:val="20"/>
                <w:lang w:val="en-GB"/>
              </w:rPr>
              <w:t>.</w:t>
            </w:r>
            <w:r w:rsidRPr="00F00BA2">
              <w:rPr>
                <w:sz w:val="20"/>
                <w:szCs w:val="20"/>
                <w:lang w:val="en-GB" w:eastAsia="en-US"/>
              </w:rPr>
              <w:t xml:space="preserve"> </w:t>
            </w:r>
          </w:p>
          <w:p w14:paraId="6157E6F6" w14:textId="77777777" w:rsidR="00E575DD" w:rsidRPr="001C6CCA" w:rsidRDefault="00E575DD" w:rsidP="00F00BA2">
            <w:pPr>
              <w:tabs>
                <w:tab w:val="left" w:pos="1992"/>
              </w:tabs>
              <w:spacing w:before="0" w:after="0" w:line="240" w:lineRule="auto"/>
              <w:jc w:val="left"/>
              <w:rPr>
                <w:sz w:val="20"/>
                <w:szCs w:val="20"/>
                <w:lang w:val="en-GB" w:eastAsia="en-US"/>
              </w:rPr>
            </w:pPr>
          </w:p>
        </w:tc>
      </w:tr>
      <w:tr w:rsidR="00E575DD" w:rsidRPr="001C6CCA" w14:paraId="16872373" w14:textId="77777777" w:rsidTr="00C17AD2">
        <w:tc>
          <w:tcPr>
            <w:tcW w:w="3005" w:type="dxa"/>
          </w:tcPr>
          <w:p w14:paraId="72745560" w14:textId="77777777" w:rsidR="00F00BA2" w:rsidRDefault="00F00BA2" w:rsidP="00F00BA2">
            <w:pPr>
              <w:spacing w:before="0" w:after="0" w:line="259" w:lineRule="auto"/>
              <w:jc w:val="left"/>
              <w:rPr>
                <w:rFonts w:eastAsiaTheme="minorHAnsi" w:cstheme="minorBidi"/>
                <w:sz w:val="20"/>
                <w:szCs w:val="20"/>
                <w:lang w:val="en-GB"/>
              </w:rPr>
            </w:pPr>
            <w:r>
              <w:rPr>
                <w:rFonts w:eastAsiaTheme="minorHAnsi" w:cstheme="minorBidi"/>
                <w:b/>
                <w:sz w:val="20"/>
                <w:szCs w:val="20"/>
                <w:lang w:val="en-GB"/>
              </w:rPr>
              <w:t>D1C2</w:t>
            </w:r>
            <w:r w:rsidRPr="00D83AAE">
              <w:rPr>
                <w:rFonts w:eastAsiaTheme="minorHAnsi" w:cstheme="minorBidi"/>
                <w:b/>
                <w:sz w:val="20"/>
                <w:szCs w:val="20"/>
                <w:lang w:val="en-GB"/>
              </w:rPr>
              <w:t xml:space="preserve"> – Primarni:</w:t>
            </w:r>
            <w:r>
              <w:rPr>
                <w:sz w:val="20"/>
                <w:szCs w:val="20"/>
                <w:lang w:val="en-GB"/>
              </w:rPr>
              <w:t xml:space="preserve"> </w:t>
            </w:r>
          </w:p>
          <w:p w14:paraId="160A5F29" w14:textId="73FC3B62" w:rsidR="00E575DD" w:rsidRPr="001C6CCA" w:rsidRDefault="00F00BA2" w:rsidP="00F00BA2">
            <w:pPr>
              <w:tabs>
                <w:tab w:val="left" w:pos="1992"/>
              </w:tabs>
              <w:spacing w:before="0" w:after="0" w:line="240" w:lineRule="auto"/>
              <w:jc w:val="left"/>
              <w:rPr>
                <w:sz w:val="20"/>
                <w:szCs w:val="20"/>
                <w:lang w:val="en-GB" w:eastAsia="en-US"/>
              </w:rPr>
            </w:pPr>
            <w:r w:rsidRPr="00B01F32">
              <w:rPr>
                <w:sz w:val="20"/>
                <w:szCs w:val="20"/>
                <w:lang w:val="en-GB" w:eastAsia="en-US"/>
              </w:rPr>
              <w:t>Brojnost populacije vrsta</w:t>
            </w:r>
          </w:p>
        </w:tc>
        <w:tc>
          <w:tcPr>
            <w:tcW w:w="6011" w:type="dxa"/>
            <w:gridSpan w:val="2"/>
          </w:tcPr>
          <w:p w14:paraId="26F16A48" w14:textId="5EDE33A6" w:rsidR="00F00BA2" w:rsidRPr="001C6CCA" w:rsidRDefault="00F00BA2" w:rsidP="008515E7">
            <w:pPr>
              <w:tabs>
                <w:tab w:val="left" w:pos="1992"/>
              </w:tabs>
              <w:spacing w:before="0" w:after="0" w:line="240" w:lineRule="auto"/>
              <w:rPr>
                <w:sz w:val="20"/>
                <w:szCs w:val="20"/>
                <w:lang w:val="en-GB" w:eastAsia="en-US"/>
              </w:rPr>
            </w:pPr>
            <w:r w:rsidRPr="00F00BA2">
              <w:rPr>
                <w:sz w:val="20"/>
                <w:szCs w:val="20"/>
                <w:lang w:val="en-GB" w:eastAsia="en-US"/>
              </w:rPr>
              <w:t>Ne postoje dugoročne serije podataka koje bi omogućile m</w:t>
            </w:r>
            <w:r>
              <w:rPr>
                <w:sz w:val="20"/>
                <w:szCs w:val="20"/>
                <w:lang w:val="en-GB" w:eastAsia="en-US"/>
              </w:rPr>
              <w:t>j</w:t>
            </w:r>
            <w:r w:rsidRPr="00F00BA2">
              <w:rPr>
                <w:sz w:val="20"/>
                <w:szCs w:val="20"/>
                <w:lang w:val="en-GB" w:eastAsia="en-US"/>
              </w:rPr>
              <w:t xml:space="preserve">erenje trendova brojnosti </w:t>
            </w:r>
            <w:r>
              <w:rPr>
                <w:sz w:val="20"/>
                <w:szCs w:val="20"/>
                <w:lang w:val="en-GB" w:eastAsia="en-US"/>
              </w:rPr>
              <w:t>populacij</w:t>
            </w:r>
            <w:r w:rsidR="00C227AF">
              <w:rPr>
                <w:sz w:val="20"/>
                <w:szCs w:val="20"/>
                <w:lang w:val="en-GB" w:eastAsia="en-US"/>
              </w:rPr>
              <w:t>a</w:t>
            </w:r>
            <w:r>
              <w:rPr>
                <w:sz w:val="20"/>
                <w:szCs w:val="20"/>
                <w:lang w:val="en-GB" w:eastAsia="en-US"/>
              </w:rPr>
              <w:t>.</w:t>
            </w:r>
            <w:r w:rsidR="00CD498F">
              <w:rPr>
                <w:sz w:val="20"/>
                <w:szCs w:val="20"/>
                <w:lang w:val="en-GB" w:eastAsia="en-US"/>
              </w:rPr>
              <w:t xml:space="preserve"> I</w:t>
            </w:r>
            <w:r>
              <w:rPr>
                <w:sz w:val="20"/>
                <w:szCs w:val="20"/>
                <w:lang w:val="en-GB" w:eastAsia="en-US"/>
              </w:rPr>
              <w:t>ako podaci prikupljeni tokom</w:t>
            </w:r>
            <w:r w:rsidRPr="00F00BA2">
              <w:rPr>
                <w:sz w:val="20"/>
                <w:szCs w:val="20"/>
                <w:lang w:val="en-GB" w:eastAsia="en-US"/>
              </w:rPr>
              <w:t xml:space="preserve"> 2 </w:t>
            </w:r>
            <w:r>
              <w:rPr>
                <w:sz w:val="20"/>
                <w:szCs w:val="20"/>
                <w:lang w:val="en-GB" w:eastAsia="en-US"/>
              </w:rPr>
              <w:t xml:space="preserve">uzastupno </w:t>
            </w:r>
            <w:r w:rsidRPr="00F00BA2">
              <w:rPr>
                <w:sz w:val="20"/>
                <w:szCs w:val="20"/>
                <w:lang w:val="en-GB" w:eastAsia="en-US"/>
              </w:rPr>
              <w:t xml:space="preserve">sprovedena vazdušna </w:t>
            </w:r>
            <w:r>
              <w:rPr>
                <w:sz w:val="20"/>
                <w:szCs w:val="20"/>
                <w:lang w:val="en-GB" w:eastAsia="en-US"/>
              </w:rPr>
              <w:t xml:space="preserve">istraživanja </w:t>
            </w:r>
            <w:r w:rsidRPr="00F00BA2">
              <w:rPr>
                <w:sz w:val="20"/>
                <w:szCs w:val="20"/>
                <w:lang w:val="en-GB" w:eastAsia="en-US"/>
              </w:rPr>
              <w:t xml:space="preserve">cijelog Jadrana i 2 foto-identifikaciona istraživanja teritorijalnih voda </w:t>
            </w:r>
            <w:r>
              <w:rPr>
                <w:sz w:val="20"/>
                <w:szCs w:val="20"/>
                <w:lang w:val="en-GB" w:eastAsia="en-US"/>
              </w:rPr>
              <w:t xml:space="preserve">Crne Gore </w:t>
            </w:r>
            <w:r w:rsidRPr="00F00BA2">
              <w:rPr>
                <w:sz w:val="20"/>
                <w:szCs w:val="20"/>
                <w:lang w:val="en-GB" w:eastAsia="en-US"/>
              </w:rPr>
              <w:t>ne ukazuju na bilo kakav pad, nije moguće sa sigurnošću proc</w:t>
            </w:r>
            <w:r>
              <w:rPr>
                <w:sz w:val="20"/>
                <w:szCs w:val="20"/>
                <w:lang w:val="en-GB" w:eastAsia="en-US"/>
              </w:rPr>
              <w:t>ijeniti da li je postignut GES.</w:t>
            </w:r>
          </w:p>
        </w:tc>
      </w:tr>
      <w:tr w:rsidR="00E575DD" w:rsidRPr="001C6CCA" w14:paraId="2AF7527D" w14:textId="77777777" w:rsidTr="00C17AD2">
        <w:tc>
          <w:tcPr>
            <w:tcW w:w="3005" w:type="dxa"/>
          </w:tcPr>
          <w:p w14:paraId="4EC9F68E" w14:textId="77777777" w:rsidR="00F00BA2" w:rsidRPr="001C6CCA" w:rsidRDefault="00F00BA2" w:rsidP="00F00BA2">
            <w:pPr>
              <w:spacing w:before="0" w:after="0" w:line="259" w:lineRule="auto"/>
              <w:jc w:val="left"/>
              <w:rPr>
                <w:b/>
                <w:sz w:val="20"/>
                <w:szCs w:val="20"/>
                <w:lang w:val="en-GB" w:eastAsia="en-US"/>
              </w:rPr>
            </w:pPr>
            <w:r w:rsidRPr="001C6CCA">
              <w:rPr>
                <w:b/>
                <w:sz w:val="20"/>
                <w:szCs w:val="20"/>
                <w:lang w:val="en-GB" w:eastAsia="en-US"/>
              </w:rPr>
              <w:t>D1C3 — Se</w:t>
            </w:r>
            <w:r>
              <w:rPr>
                <w:b/>
                <w:sz w:val="20"/>
                <w:szCs w:val="20"/>
                <w:lang w:val="en-GB" w:eastAsia="en-US"/>
              </w:rPr>
              <w:t>kundarni:</w:t>
            </w:r>
          </w:p>
          <w:p w14:paraId="7BE594CE" w14:textId="35049707" w:rsidR="00E575DD" w:rsidRPr="001C6CCA" w:rsidRDefault="00F00BA2" w:rsidP="00F00BA2">
            <w:pPr>
              <w:tabs>
                <w:tab w:val="left" w:pos="1992"/>
              </w:tabs>
              <w:spacing w:before="0" w:after="0" w:line="240" w:lineRule="auto"/>
              <w:jc w:val="left"/>
              <w:rPr>
                <w:sz w:val="20"/>
                <w:szCs w:val="20"/>
                <w:lang w:val="en-GB" w:eastAsia="en-US"/>
              </w:rPr>
            </w:pPr>
            <w:r>
              <w:rPr>
                <w:sz w:val="20"/>
                <w:szCs w:val="20"/>
                <w:lang w:val="en-GB" w:eastAsia="en-US"/>
              </w:rPr>
              <w:t>D</w:t>
            </w:r>
            <w:r w:rsidRPr="00D83AAE">
              <w:rPr>
                <w:sz w:val="20"/>
                <w:szCs w:val="20"/>
                <w:lang w:val="en-GB" w:eastAsia="en-US"/>
              </w:rPr>
              <w:t>emografske karakteristike populacije vrste</w:t>
            </w:r>
          </w:p>
        </w:tc>
        <w:tc>
          <w:tcPr>
            <w:tcW w:w="6011" w:type="dxa"/>
            <w:gridSpan w:val="2"/>
          </w:tcPr>
          <w:p w14:paraId="318A8AB0" w14:textId="7D88F483" w:rsidR="00F00BA2" w:rsidRPr="001C6CCA" w:rsidRDefault="00F00BA2" w:rsidP="008515E7">
            <w:pPr>
              <w:tabs>
                <w:tab w:val="left" w:pos="1992"/>
              </w:tabs>
              <w:spacing w:before="0" w:after="0" w:line="240" w:lineRule="auto"/>
              <w:rPr>
                <w:sz w:val="20"/>
                <w:szCs w:val="20"/>
                <w:lang w:val="en-GB" w:eastAsia="en-US"/>
              </w:rPr>
            </w:pPr>
            <w:r w:rsidRPr="00F00BA2">
              <w:rPr>
                <w:sz w:val="20"/>
                <w:szCs w:val="20"/>
                <w:lang w:val="en-GB" w:eastAsia="en-US"/>
              </w:rPr>
              <w:t>Nije moguće proc</w:t>
            </w:r>
            <w:r>
              <w:rPr>
                <w:sz w:val="20"/>
                <w:szCs w:val="20"/>
                <w:lang w:val="en-GB" w:eastAsia="en-US"/>
              </w:rPr>
              <w:t>ij</w:t>
            </w:r>
            <w:r w:rsidRPr="00F00BA2">
              <w:rPr>
                <w:sz w:val="20"/>
                <w:szCs w:val="20"/>
                <w:lang w:val="en-GB" w:eastAsia="en-US"/>
              </w:rPr>
              <w:t xml:space="preserve">eniti GES zbog nedostatka podataka za demografske karakteristike (odnos polova, </w:t>
            </w:r>
            <w:r>
              <w:rPr>
                <w:sz w:val="20"/>
                <w:szCs w:val="20"/>
                <w:lang w:val="en-GB" w:eastAsia="en-US"/>
              </w:rPr>
              <w:t xml:space="preserve">starosna </w:t>
            </w:r>
            <w:r w:rsidRPr="00F00BA2">
              <w:rPr>
                <w:sz w:val="20"/>
                <w:szCs w:val="20"/>
                <w:lang w:val="en-GB" w:eastAsia="en-US"/>
              </w:rPr>
              <w:t>struktura</w:t>
            </w:r>
            <w:r>
              <w:rPr>
                <w:sz w:val="20"/>
                <w:szCs w:val="20"/>
                <w:lang w:val="en-GB" w:eastAsia="en-US"/>
              </w:rPr>
              <w:t>,</w:t>
            </w:r>
            <w:r w:rsidRPr="00F00BA2">
              <w:rPr>
                <w:sz w:val="20"/>
                <w:szCs w:val="20"/>
                <w:lang w:val="en-GB" w:eastAsia="en-US"/>
              </w:rPr>
              <w:t xml:space="preserve"> </w:t>
            </w:r>
            <w:r>
              <w:rPr>
                <w:sz w:val="20"/>
                <w:szCs w:val="20"/>
                <w:lang w:val="en-GB" w:eastAsia="en-US"/>
              </w:rPr>
              <w:t xml:space="preserve">stope </w:t>
            </w:r>
            <w:r w:rsidR="00F32F71">
              <w:rPr>
                <w:sz w:val="20"/>
                <w:szCs w:val="20"/>
                <w:lang w:val="en-GB" w:eastAsia="en-US"/>
              </w:rPr>
              <w:t xml:space="preserve">smrtnosti </w:t>
            </w:r>
            <w:r w:rsidR="00604529">
              <w:rPr>
                <w:sz w:val="20"/>
                <w:szCs w:val="20"/>
                <w:lang w:val="en-GB" w:eastAsia="en-US"/>
              </w:rPr>
              <w:t xml:space="preserve"> i stope preživljavanja)</w:t>
            </w:r>
          </w:p>
        </w:tc>
      </w:tr>
      <w:tr w:rsidR="00E575DD" w:rsidRPr="001C6CCA" w14:paraId="08ADDB48" w14:textId="77777777" w:rsidTr="00C17AD2">
        <w:tc>
          <w:tcPr>
            <w:tcW w:w="3005" w:type="dxa"/>
          </w:tcPr>
          <w:p w14:paraId="1F044C72" w14:textId="77777777" w:rsidR="00F00BA2" w:rsidRPr="001C6CCA" w:rsidRDefault="00F00BA2" w:rsidP="00F00BA2">
            <w:pPr>
              <w:spacing w:before="0" w:after="0" w:line="259" w:lineRule="auto"/>
              <w:jc w:val="left"/>
              <w:rPr>
                <w:b/>
                <w:sz w:val="20"/>
                <w:szCs w:val="20"/>
                <w:lang w:val="en-GB" w:eastAsia="en-US"/>
              </w:rPr>
            </w:pPr>
            <w:r w:rsidRPr="001C6CCA">
              <w:rPr>
                <w:b/>
                <w:sz w:val="20"/>
                <w:szCs w:val="20"/>
                <w:lang w:val="en-GB" w:eastAsia="en-US"/>
              </w:rPr>
              <w:t xml:space="preserve">D1C4 — </w:t>
            </w:r>
            <w:r w:rsidRPr="00D83AAE">
              <w:rPr>
                <w:rFonts w:eastAsiaTheme="minorHAnsi" w:cstheme="minorBidi"/>
                <w:b/>
                <w:sz w:val="20"/>
                <w:szCs w:val="20"/>
                <w:lang w:val="en-GB"/>
              </w:rPr>
              <w:t>Primarni:</w:t>
            </w:r>
          </w:p>
          <w:p w14:paraId="232B3CAE" w14:textId="1C2683B2" w:rsidR="00E575DD" w:rsidRPr="001C6CCA" w:rsidRDefault="00F00BA2" w:rsidP="00604529">
            <w:pPr>
              <w:spacing w:after="0" w:line="240" w:lineRule="auto"/>
              <w:rPr>
                <w:sz w:val="20"/>
                <w:szCs w:val="20"/>
                <w:lang w:val="en-GB" w:eastAsia="en-US"/>
              </w:rPr>
            </w:pPr>
            <w:r>
              <w:rPr>
                <w:sz w:val="20"/>
                <w:szCs w:val="20"/>
                <w:lang w:val="en-GB" w:eastAsia="en-US"/>
              </w:rPr>
              <w:t>A</w:t>
            </w:r>
            <w:r w:rsidRPr="00057F97">
              <w:rPr>
                <w:sz w:val="20"/>
                <w:szCs w:val="20"/>
                <w:lang w:val="en-GB" w:eastAsia="en-US"/>
              </w:rPr>
              <w:t>real i, ako je relevantno, obrazac rasprostranjenosti vrste u skladu je sa glavnim fiziografskim, geo</w:t>
            </w:r>
            <w:r w:rsidR="00604529">
              <w:rPr>
                <w:sz w:val="20"/>
                <w:szCs w:val="20"/>
                <w:lang w:val="en-GB" w:eastAsia="en-US"/>
              </w:rPr>
              <w:t>grafskim i klimatskim uslovima.</w:t>
            </w:r>
          </w:p>
        </w:tc>
        <w:tc>
          <w:tcPr>
            <w:tcW w:w="6011" w:type="dxa"/>
            <w:gridSpan w:val="2"/>
          </w:tcPr>
          <w:p w14:paraId="039AA389" w14:textId="5922C8BD" w:rsidR="00F00BA2" w:rsidRPr="00F00BA2" w:rsidRDefault="00F00BA2" w:rsidP="00F00BA2">
            <w:pPr>
              <w:tabs>
                <w:tab w:val="left" w:pos="1992"/>
              </w:tabs>
              <w:spacing w:before="0" w:after="0" w:line="240" w:lineRule="auto"/>
              <w:jc w:val="left"/>
              <w:rPr>
                <w:sz w:val="20"/>
                <w:szCs w:val="20"/>
                <w:lang w:val="en-GB" w:eastAsia="en-US"/>
              </w:rPr>
            </w:pPr>
            <w:r>
              <w:rPr>
                <w:sz w:val="20"/>
                <w:szCs w:val="20"/>
                <w:lang w:val="en-GB" w:eastAsia="en-US"/>
              </w:rPr>
              <w:t>Areal</w:t>
            </w:r>
            <w:r w:rsidRPr="00F00BA2">
              <w:rPr>
                <w:sz w:val="20"/>
                <w:szCs w:val="20"/>
                <w:lang w:val="en-GB" w:eastAsia="en-US"/>
              </w:rPr>
              <w:t xml:space="preserve"> i obrazac </w:t>
            </w:r>
            <w:r>
              <w:rPr>
                <w:sz w:val="20"/>
                <w:szCs w:val="20"/>
                <w:lang w:val="en-GB" w:eastAsia="en-US"/>
              </w:rPr>
              <w:t>rasprostranjenosti</w:t>
            </w:r>
            <w:r w:rsidRPr="00F00BA2">
              <w:rPr>
                <w:sz w:val="20"/>
                <w:szCs w:val="20"/>
                <w:lang w:val="en-GB" w:eastAsia="en-US"/>
              </w:rPr>
              <w:t xml:space="preserve"> se nisu značajno prom</w:t>
            </w:r>
            <w:r>
              <w:rPr>
                <w:sz w:val="20"/>
                <w:szCs w:val="20"/>
                <w:lang w:val="en-GB" w:eastAsia="en-US"/>
              </w:rPr>
              <w:t>ij</w:t>
            </w:r>
            <w:r w:rsidRPr="00F00BA2">
              <w:rPr>
                <w:sz w:val="20"/>
                <w:szCs w:val="20"/>
                <w:lang w:val="en-GB" w:eastAsia="en-US"/>
              </w:rPr>
              <w:t>enili između dva istraživanja, ali nema dugoročnih podataka za proc</w:t>
            </w:r>
            <w:r>
              <w:rPr>
                <w:sz w:val="20"/>
                <w:szCs w:val="20"/>
                <w:lang w:val="en-GB" w:eastAsia="en-US"/>
              </w:rPr>
              <w:t>j</w:t>
            </w:r>
            <w:r w:rsidRPr="00F00BA2">
              <w:rPr>
                <w:sz w:val="20"/>
                <w:szCs w:val="20"/>
                <w:lang w:val="en-GB" w:eastAsia="en-US"/>
              </w:rPr>
              <w:t>enu stvarnog stanja.</w:t>
            </w:r>
          </w:p>
          <w:p w14:paraId="4CC3A56B" w14:textId="77777777" w:rsidR="00F00BA2" w:rsidRPr="001C6CCA" w:rsidRDefault="00F00BA2" w:rsidP="00F00BA2">
            <w:pPr>
              <w:tabs>
                <w:tab w:val="left" w:pos="1992"/>
              </w:tabs>
              <w:spacing w:before="0" w:after="0" w:line="240" w:lineRule="auto"/>
              <w:jc w:val="left"/>
              <w:rPr>
                <w:sz w:val="20"/>
                <w:szCs w:val="20"/>
                <w:lang w:val="en-GB" w:eastAsia="en-US"/>
              </w:rPr>
            </w:pPr>
          </w:p>
        </w:tc>
      </w:tr>
      <w:tr w:rsidR="00E575DD" w:rsidRPr="001C6CCA" w14:paraId="25A1588E" w14:textId="77777777" w:rsidTr="00C17AD2">
        <w:tc>
          <w:tcPr>
            <w:tcW w:w="3005" w:type="dxa"/>
          </w:tcPr>
          <w:p w14:paraId="417C507A" w14:textId="77777777" w:rsidR="00F00BA2" w:rsidRPr="001C6CCA" w:rsidRDefault="00F00BA2" w:rsidP="00F00BA2">
            <w:pPr>
              <w:spacing w:before="0" w:after="0" w:line="259" w:lineRule="auto"/>
              <w:jc w:val="left"/>
              <w:rPr>
                <w:b/>
                <w:sz w:val="20"/>
                <w:szCs w:val="20"/>
                <w:lang w:val="en-GB" w:eastAsia="en-US"/>
              </w:rPr>
            </w:pPr>
            <w:r w:rsidRPr="001C6CCA">
              <w:rPr>
                <w:b/>
                <w:sz w:val="20"/>
                <w:szCs w:val="20"/>
                <w:lang w:val="en-GB" w:eastAsia="en-US"/>
              </w:rPr>
              <w:t xml:space="preserve">D1C5 — </w:t>
            </w:r>
            <w:r w:rsidRPr="00D83AAE">
              <w:rPr>
                <w:rFonts w:eastAsiaTheme="minorHAnsi" w:cstheme="minorBidi"/>
                <w:b/>
                <w:sz w:val="20"/>
                <w:szCs w:val="20"/>
                <w:lang w:val="en-GB"/>
              </w:rPr>
              <w:t>Primarni:</w:t>
            </w:r>
          </w:p>
          <w:p w14:paraId="002EEBBC" w14:textId="59283D66" w:rsidR="00E575DD" w:rsidRPr="001C6CCA" w:rsidRDefault="00F00BA2" w:rsidP="00F00BA2">
            <w:pPr>
              <w:tabs>
                <w:tab w:val="left" w:pos="1992"/>
              </w:tabs>
              <w:spacing w:before="0" w:after="0" w:line="240" w:lineRule="auto"/>
              <w:jc w:val="left"/>
              <w:rPr>
                <w:sz w:val="20"/>
                <w:szCs w:val="20"/>
                <w:lang w:val="en-GB" w:eastAsia="en-US"/>
              </w:rPr>
            </w:pPr>
            <w:r w:rsidRPr="00057F97">
              <w:rPr>
                <w:sz w:val="20"/>
                <w:szCs w:val="20"/>
                <w:lang w:val="en-GB" w:eastAsia="en-US"/>
              </w:rPr>
              <w:t>Stanište vrste ima potrebno rasprostranjenje i stanje da može podržati različite faze životnog ciklusa vrste.</w:t>
            </w:r>
          </w:p>
        </w:tc>
        <w:tc>
          <w:tcPr>
            <w:tcW w:w="6011" w:type="dxa"/>
            <w:gridSpan w:val="2"/>
          </w:tcPr>
          <w:p w14:paraId="3972D8DF" w14:textId="54FA1139" w:rsidR="00F00BA2" w:rsidRPr="001C6CCA" w:rsidRDefault="00F00BA2" w:rsidP="008515E7">
            <w:pPr>
              <w:tabs>
                <w:tab w:val="left" w:pos="1992"/>
              </w:tabs>
              <w:spacing w:before="0" w:after="0" w:line="240" w:lineRule="auto"/>
              <w:rPr>
                <w:sz w:val="20"/>
                <w:szCs w:val="20"/>
                <w:lang w:val="en-GB" w:eastAsia="en-US"/>
              </w:rPr>
            </w:pPr>
            <w:r w:rsidRPr="00F00BA2">
              <w:rPr>
                <w:sz w:val="20"/>
                <w:szCs w:val="20"/>
                <w:lang w:val="en-GB" w:eastAsia="en-US"/>
              </w:rPr>
              <w:t>S obzirom na to da se brojnost i rasprostranjenost n</w:t>
            </w:r>
            <w:r>
              <w:rPr>
                <w:sz w:val="20"/>
                <w:szCs w:val="20"/>
                <w:lang w:val="en-GB" w:eastAsia="en-US"/>
              </w:rPr>
              <w:t>isu promijenil</w:t>
            </w:r>
            <w:r w:rsidR="00554780">
              <w:rPr>
                <w:sz w:val="20"/>
                <w:szCs w:val="20"/>
                <w:lang w:val="en-GB" w:eastAsia="en-US"/>
              </w:rPr>
              <w:t>i</w:t>
            </w:r>
            <w:r>
              <w:rPr>
                <w:sz w:val="20"/>
                <w:szCs w:val="20"/>
                <w:lang w:val="en-GB" w:eastAsia="en-US"/>
              </w:rPr>
              <w:t xml:space="preserve"> </w:t>
            </w:r>
            <w:r w:rsidRPr="00F00BA2">
              <w:rPr>
                <w:sz w:val="20"/>
                <w:szCs w:val="20"/>
                <w:lang w:val="en-GB" w:eastAsia="en-US"/>
              </w:rPr>
              <w:t xml:space="preserve"> između dva istraživanja, može se zaključiti da je stanište u takvom stanju da može podržati životni ciklus </w:t>
            </w:r>
            <w:r w:rsidR="00A75CB6">
              <w:rPr>
                <w:sz w:val="20"/>
                <w:szCs w:val="20"/>
                <w:lang w:val="en-GB" w:eastAsia="en-US"/>
              </w:rPr>
              <w:t xml:space="preserve">navedenih </w:t>
            </w:r>
            <w:r w:rsidRPr="00F00BA2">
              <w:rPr>
                <w:sz w:val="20"/>
                <w:szCs w:val="20"/>
                <w:lang w:val="en-GB" w:eastAsia="en-US"/>
              </w:rPr>
              <w:t>vrst</w:t>
            </w:r>
            <w:r w:rsidR="00A75CB6">
              <w:rPr>
                <w:sz w:val="20"/>
                <w:szCs w:val="20"/>
                <w:lang w:val="en-GB" w:eastAsia="en-US"/>
              </w:rPr>
              <w:t>a</w:t>
            </w:r>
            <w:r w:rsidRPr="00F00BA2">
              <w:rPr>
                <w:sz w:val="20"/>
                <w:szCs w:val="20"/>
                <w:lang w:val="en-GB" w:eastAsia="en-US"/>
              </w:rPr>
              <w:t>.</w:t>
            </w:r>
          </w:p>
          <w:p w14:paraId="231632A3" w14:textId="77777777" w:rsidR="00F00BA2" w:rsidRPr="001C6CCA" w:rsidRDefault="00F00BA2" w:rsidP="00F65CFF">
            <w:pPr>
              <w:tabs>
                <w:tab w:val="left" w:pos="1992"/>
              </w:tabs>
              <w:spacing w:before="0" w:after="0" w:line="240" w:lineRule="auto"/>
              <w:jc w:val="left"/>
              <w:rPr>
                <w:sz w:val="20"/>
                <w:szCs w:val="20"/>
                <w:lang w:val="en-GB" w:eastAsia="en-US"/>
              </w:rPr>
            </w:pPr>
          </w:p>
        </w:tc>
      </w:tr>
      <w:bookmarkEnd w:id="326"/>
      <w:bookmarkEnd w:id="335"/>
    </w:tbl>
    <w:p w14:paraId="39DD2F48" w14:textId="77777777" w:rsidR="00F00BA2" w:rsidRDefault="00F00BA2" w:rsidP="00F65CFF">
      <w:pPr>
        <w:shd w:val="clear" w:color="auto" w:fill="FFFFFF"/>
        <w:spacing w:before="0" w:after="0"/>
        <w:textAlignment w:val="baseline"/>
        <w:rPr>
          <w:rFonts w:cs="Calibri"/>
          <w:szCs w:val="22"/>
          <w:lang w:val="en-GB" w:eastAsia="hr-HR"/>
        </w:rPr>
      </w:pPr>
    </w:p>
    <w:p w14:paraId="756BB3C5" w14:textId="77777777" w:rsidR="00F00BA2" w:rsidRPr="001C6CCA" w:rsidRDefault="00F00BA2" w:rsidP="00F65CFF">
      <w:pPr>
        <w:shd w:val="clear" w:color="auto" w:fill="FFFFFF"/>
        <w:spacing w:before="0" w:after="0"/>
        <w:textAlignment w:val="baseline"/>
        <w:rPr>
          <w:rFonts w:cs="Calibri"/>
          <w:szCs w:val="22"/>
          <w:lang w:val="en-GB" w:eastAsia="hr-HR"/>
        </w:rPr>
      </w:pPr>
    </w:p>
    <w:p w14:paraId="40224224" w14:textId="51F09FBC" w:rsidR="00604529" w:rsidRPr="00B85F63" w:rsidRDefault="00604529" w:rsidP="00B85F63">
      <w:pPr>
        <w:pStyle w:val="Heading4"/>
        <w:rPr>
          <w:lang w:val="en-GB"/>
        </w:rPr>
      </w:pPr>
      <w:r w:rsidRPr="00B85F63">
        <w:rPr>
          <w:rFonts w:eastAsia="Calibri"/>
          <w:szCs w:val="22"/>
          <w:lang w:val="en-GB" w:eastAsia="en-US"/>
        </w:rPr>
        <w:t xml:space="preserve">Pristup </w:t>
      </w:r>
      <w:r w:rsidR="004376C7">
        <w:rPr>
          <w:rFonts w:eastAsia="Calibri"/>
          <w:szCs w:val="22"/>
          <w:lang w:val="en-GB" w:eastAsia="en-US"/>
        </w:rPr>
        <w:t xml:space="preserve">definisanju </w:t>
      </w:r>
      <w:r w:rsidRPr="00B85F63">
        <w:rPr>
          <w:rFonts w:eastAsia="Calibri"/>
          <w:szCs w:val="22"/>
          <w:lang w:val="en-GB" w:eastAsia="en-US"/>
        </w:rPr>
        <w:t xml:space="preserve">ciljeva za </w:t>
      </w:r>
      <w:r w:rsidR="00864B0C">
        <w:rPr>
          <w:rFonts w:eastAsia="Calibri"/>
          <w:szCs w:val="22"/>
          <w:lang w:val="en-GB" w:eastAsia="en-US"/>
        </w:rPr>
        <w:t xml:space="preserve">ostvarivanje/održavanje GES-a za </w:t>
      </w:r>
      <w:r w:rsidRPr="00B85F63">
        <w:rPr>
          <w:rFonts w:eastAsia="Calibri"/>
          <w:szCs w:val="22"/>
          <w:lang w:val="en-GB" w:eastAsia="en-US"/>
        </w:rPr>
        <w:t>morske sisare</w:t>
      </w:r>
    </w:p>
    <w:p w14:paraId="0ACC73BA" w14:textId="3819C61E" w:rsidR="00604529" w:rsidRDefault="00604529" w:rsidP="00604529">
      <w:pPr>
        <w:tabs>
          <w:tab w:val="left" w:pos="1992"/>
        </w:tabs>
        <w:spacing w:before="0" w:after="180"/>
        <w:rPr>
          <w:rFonts w:eastAsia="Calibri"/>
          <w:szCs w:val="22"/>
          <w:lang w:val="en-GB" w:eastAsia="en-US"/>
        </w:rPr>
      </w:pPr>
      <w:r w:rsidRPr="00604529">
        <w:rPr>
          <w:rFonts w:eastAsia="Calibri"/>
          <w:szCs w:val="22"/>
          <w:lang w:val="en-GB" w:eastAsia="en-US"/>
        </w:rPr>
        <w:t xml:space="preserve">Za morske sisare ciljevi se zasnivaju na postojećim obavezama prema Direktivi o staništima, koja pokriva sve vrste morskih sisara. Cilj im je da osiguraju da ljudske aktivnosti ne utiču značajno na </w:t>
      </w:r>
      <w:r w:rsidR="00B85F63">
        <w:rPr>
          <w:rFonts w:eastAsia="Calibri"/>
          <w:szCs w:val="22"/>
          <w:lang w:val="en-GB" w:eastAsia="en-US"/>
        </w:rPr>
        <w:t>rasprostranjenost morskih</w:t>
      </w:r>
      <w:r w:rsidRPr="00604529">
        <w:rPr>
          <w:rFonts w:eastAsia="Calibri"/>
          <w:szCs w:val="22"/>
          <w:lang w:val="en-GB" w:eastAsia="en-US"/>
        </w:rPr>
        <w:t xml:space="preserve"> sisara i da se njihova brojnost ne smanjuje kao rezultat ljudskih aktivnosti, koristeći polazne </w:t>
      </w:r>
      <w:r w:rsidR="00B85F63">
        <w:rPr>
          <w:rFonts w:eastAsia="Calibri"/>
          <w:szCs w:val="22"/>
          <w:lang w:val="en-GB" w:eastAsia="en-US"/>
        </w:rPr>
        <w:t>osnove</w:t>
      </w:r>
      <w:r w:rsidRPr="00604529">
        <w:rPr>
          <w:rFonts w:eastAsia="Calibri"/>
          <w:szCs w:val="22"/>
          <w:lang w:val="en-GB" w:eastAsia="en-US"/>
        </w:rPr>
        <w:t xml:space="preserve"> u skladu sa onima koje se koriste za Direktivu o staništima. Takođe su razvijeni specifični ciljevi za stanje morskih sisara, sagledavajući produktivnost vrsta i uticaje ključnih pritisaka, kao što je </w:t>
      </w:r>
      <w:r w:rsidR="00A75CB6">
        <w:rPr>
          <w:rFonts w:eastAsia="Calibri"/>
          <w:szCs w:val="22"/>
          <w:lang w:val="en-GB" w:eastAsia="en-US"/>
        </w:rPr>
        <w:t>slučajni ulov</w:t>
      </w:r>
      <w:r w:rsidRPr="00604529">
        <w:rPr>
          <w:rFonts w:eastAsia="Calibri"/>
          <w:szCs w:val="22"/>
          <w:lang w:val="en-GB" w:eastAsia="en-US"/>
        </w:rPr>
        <w:t xml:space="preserve"> (Tabela 3.10).</w:t>
      </w:r>
    </w:p>
    <w:p w14:paraId="116E275A" w14:textId="77777777" w:rsidR="00864B0C" w:rsidRDefault="00864B0C" w:rsidP="00DE2860">
      <w:pPr>
        <w:spacing w:before="0" w:line="240" w:lineRule="auto"/>
        <w:rPr>
          <w:rFonts w:eastAsia="Calibri"/>
          <w:b/>
          <w:szCs w:val="22"/>
          <w:lang w:val="en-GB" w:eastAsia="en-US"/>
        </w:rPr>
      </w:pPr>
    </w:p>
    <w:p w14:paraId="7DE92E23" w14:textId="1CF4CD27" w:rsidR="00E575DD" w:rsidRPr="00C000AE" w:rsidRDefault="00E575DD" w:rsidP="00DE2860">
      <w:pPr>
        <w:spacing w:before="0" w:line="240" w:lineRule="auto"/>
        <w:rPr>
          <w:rFonts w:eastAsia="Calibri" w:cs="Calibri"/>
          <w:b/>
          <w:bCs/>
          <w:szCs w:val="22"/>
          <w:lang w:val="en-GB" w:eastAsia="en-US"/>
        </w:rPr>
      </w:pPr>
      <w:bookmarkStart w:id="336" w:name="_Toc83643206"/>
      <w:r w:rsidRPr="00C000AE">
        <w:rPr>
          <w:rFonts w:eastAsia="Calibri"/>
          <w:b/>
          <w:szCs w:val="22"/>
          <w:lang w:val="en-GB" w:eastAsia="en-US"/>
        </w:rPr>
        <w:t>Tab</w:t>
      </w:r>
      <w:r w:rsidR="00B85F63">
        <w:rPr>
          <w:rFonts w:eastAsia="Calibri"/>
          <w:b/>
          <w:szCs w:val="22"/>
          <w:lang w:val="en-GB" w:eastAsia="en-US"/>
        </w:rPr>
        <w:t>ela</w:t>
      </w:r>
      <w:r w:rsidR="00DE2860" w:rsidRPr="00C000AE">
        <w:rPr>
          <w:rFonts w:eastAsia="Calibri"/>
          <w:b/>
          <w:szCs w:val="22"/>
          <w:lang w:val="en-GB" w:eastAsia="en-US"/>
        </w:rPr>
        <w:t xml:space="preserve"> </w:t>
      </w:r>
      <w:r w:rsidR="00C000AE" w:rsidRPr="00C000AE">
        <w:rPr>
          <w:b/>
          <w:szCs w:val="22"/>
        </w:rPr>
        <w:fldChar w:fldCharType="begin"/>
      </w:r>
      <w:r w:rsidR="00C000AE" w:rsidRPr="00C000AE">
        <w:rPr>
          <w:b/>
          <w:szCs w:val="22"/>
        </w:rPr>
        <w:instrText xml:space="preserve"> STYLEREF 1 \s </w:instrText>
      </w:r>
      <w:r w:rsidR="00C000AE" w:rsidRPr="00C000AE">
        <w:rPr>
          <w:b/>
          <w:szCs w:val="22"/>
        </w:rPr>
        <w:fldChar w:fldCharType="separate"/>
      </w:r>
      <w:r w:rsidR="000D1E20">
        <w:rPr>
          <w:b/>
          <w:noProof/>
          <w:szCs w:val="22"/>
        </w:rPr>
        <w:t>3</w:t>
      </w:r>
      <w:r w:rsidR="00C000AE" w:rsidRPr="00C000AE">
        <w:rPr>
          <w:b/>
          <w:szCs w:val="22"/>
        </w:rPr>
        <w:fldChar w:fldCharType="end"/>
      </w:r>
      <w:r w:rsidR="00C000AE" w:rsidRPr="00C000AE">
        <w:rPr>
          <w:b/>
          <w:szCs w:val="22"/>
        </w:rPr>
        <w:t>.</w:t>
      </w:r>
      <w:r w:rsidR="00C000AE" w:rsidRPr="00C000AE">
        <w:rPr>
          <w:b/>
          <w:szCs w:val="22"/>
        </w:rPr>
        <w:fldChar w:fldCharType="begin"/>
      </w:r>
      <w:r w:rsidR="00C000AE" w:rsidRPr="00C000AE">
        <w:rPr>
          <w:b/>
          <w:szCs w:val="22"/>
        </w:rPr>
        <w:instrText xml:space="preserve"> SEQ Table \* ARABIC \s 1 </w:instrText>
      </w:r>
      <w:r w:rsidR="00C000AE" w:rsidRPr="00C000AE">
        <w:rPr>
          <w:b/>
          <w:szCs w:val="22"/>
        </w:rPr>
        <w:fldChar w:fldCharType="separate"/>
      </w:r>
      <w:r w:rsidR="000D1E20">
        <w:rPr>
          <w:b/>
          <w:noProof/>
          <w:szCs w:val="22"/>
        </w:rPr>
        <w:t>10</w:t>
      </w:r>
      <w:r w:rsidR="00C000AE" w:rsidRPr="00C000AE">
        <w:rPr>
          <w:b/>
          <w:szCs w:val="22"/>
        </w:rPr>
        <w:fldChar w:fldCharType="end"/>
      </w:r>
      <w:r w:rsidR="00C000AE" w:rsidRPr="00C000AE">
        <w:rPr>
          <w:b/>
          <w:szCs w:val="22"/>
        </w:rPr>
        <w:t>.</w:t>
      </w:r>
      <w:r w:rsidR="00C000AE" w:rsidRPr="00C000AE">
        <w:rPr>
          <w:rFonts w:eastAsia="Calibri" w:cs="Calibri"/>
          <w:b/>
          <w:szCs w:val="22"/>
          <w:lang w:val="en-GB" w:eastAsia="en-US"/>
        </w:rPr>
        <w:t xml:space="preserve"> </w:t>
      </w:r>
      <w:r w:rsidR="004376C7">
        <w:rPr>
          <w:rFonts w:eastAsia="Calibri" w:cs="Calibri"/>
          <w:b/>
          <w:szCs w:val="22"/>
          <w:lang w:val="en-GB" w:eastAsia="en-US"/>
        </w:rPr>
        <w:t>C</w:t>
      </w:r>
      <w:r w:rsidR="00B85F63" w:rsidRPr="00AD451F">
        <w:rPr>
          <w:rFonts w:eastAsia="Calibri" w:cs="Calibri"/>
          <w:b/>
          <w:szCs w:val="22"/>
          <w:lang w:val="en-GB" w:eastAsia="en-US"/>
        </w:rPr>
        <w:t xml:space="preserve">iljevi </w:t>
      </w:r>
      <w:r w:rsidR="00864B0C">
        <w:rPr>
          <w:rFonts w:eastAsia="Calibri" w:cs="Calibri"/>
          <w:b/>
          <w:szCs w:val="22"/>
          <w:lang w:val="en-GB" w:eastAsia="en-US"/>
        </w:rPr>
        <w:t xml:space="preserve">koji vode ka napretku u postizanju GES-a za morske </w:t>
      </w:r>
      <w:r w:rsidR="000D5C2C">
        <w:rPr>
          <w:rFonts w:eastAsia="Calibri" w:cs="Calibri"/>
          <w:b/>
          <w:szCs w:val="22"/>
          <w:lang w:val="en-GB" w:eastAsia="en-US"/>
        </w:rPr>
        <w:t>sisare</w:t>
      </w:r>
      <w:bookmarkEnd w:id="336"/>
    </w:p>
    <w:tbl>
      <w:tblPr>
        <w:tblStyle w:val="GolderTable8"/>
        <w:tblW w:w="0" w:type="auto"/>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463"/>
        <w:gridCol w:w="6470"/>
        <w:gridCol w:w="10"/>
        <w:gridCol w:w="1073"/>
      </w:tblGrid>
      <w:tr w:rsidR="00E24841" w:rsidRPr="001C6CCA" w14:paraId="40C2E2E9" w14:textId="77777777" w:rsidTr="00B4601E">
        <w:trPr>
          <w:tblHeader/>
        </w:trPr>
        <w:tc>
          <w:tcPr>
            <w:tcW w:w="9016"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6BCBB0CB" w14:textId="77777777" w:rsidR="00E24841" w:rsidRPr="00E36DAD" w:rsidRDefault="00E24841" w:rsidP="00E24841">
            <w:pPr>
              <w:tabs>
                <w:tab w:val="left" w:pos="1992"/>
              </w:tabs>
              <w:spacing w:before="0" w:after="0" w:line="240" w:lineRule="auto"/>
              <w:jc w:val="center"/>
              <w:rPr>
                <w:b/>
                <w:color w:val="FFFFFF" w:themeColor="background1"/>
                <w:sz w:val="20"/>
                <w:szCs w:val="20"/>
                <w:lang w:val="en-GB" w:eastAsia="en-US"/>
              </w:rPr>
            </w:pPr>
            <w:r>
              <w:rPr>
                <w:b/>
                <w:color w:val="FFFFFF" w:themeColor="background1"/>
                <w:sz w:val="20"/>
                <w:szCs w:val="20"/>
                <w:lang w:val="en-GB" w:eastAsia="en-US"/>
              </w:rPr>
              <w:t>Područje procjene: subregionalni nivo - Jadransko more</w:t>
            </w:r>
          </w:p>
          <w:p w14:paraId="76CD65AF" w14:textId="77777777" w:rsidR="00E24841" w:rsidRPr="00E36DAD" w:rsidRDefault="00E24841" w:rsidP="00F00BA2">
            <w:pPr>
              <w:spacing w:before="0" w:after="0" w:line="240" w:lineRule="auto"/>
              <w:jc w:val="left"/>
              <w:rPr>
                <w:b/>
                <w:color w:val="FFFFFF" w:themeColor="background1"/>
                <w:lang w:val="en-GB" w:eastAsia="en-US"/>
              </w:rPr>
            </w:pPr>
          </w:p>
        </w:tc>
      </w:tr>
      <w:tr w:rsidR="00E575DD" w:rsidRPr="001C6CCA" w14:paraId="3CF310C5" w14:textId="77777777" w:rsidTr="00E36DAD">
        <w:trPr>
          <w:tblHeader/>
        </w:trPr>
        <w:tc>
          <w:tcPr>
            <w:tcW w:w="1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59C015A" w14:textId="2DA83CE4" w:rsidR="00E575DD" w:rsidRPr="00E36DAD" w:rsidRDefault="00F00BA2" w:rsidP="00F65CFF">
            <w:pPr>
              <w:spacing w:before="0" w:after="0" w:line="240" w:lineRule="auto"/>
              <w:jc w:val="left"/>
              <w:rPr>
                <w:b/>
                <w:color w:val="FFFFFF" w:themeColor="background1"/>
                <w:lang w:val="en-GB" w:eastAsia="en-US"/>
              </w:rPr>
            </w:pPr>
            <w:bookmarkStart w:id="337" w:name="_Hlk66472740"/>
            <w:r w:rsidRPr="00E36DAD">
              <w:rPr>
                <w:b/>
                <w:color w:val="FFFFFF" w:themeColor="background1"/>
                <w:lang w:val="en-GB" w:eastAsia="en-US"/>
              </w:rPr>
              <w:t>Kriterijum</w:t>
            </w:r>
          </w:p>
        </w:tc>
        <w:tc>
          <w:tcPr>
            <w:tcW w:w="64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CECD7A5" w14:textId="7A1DED64" w:rsidR="00E575DD" w:rsidRPr="00E36DAD" w:rsidRDefault="00F00BA2" w:rsidP="00F65CFF">
            <w:pPr>
              <w:spacing w:before="0" w:after="0" w:line="240" w:lineRule="auto"/>
              <w:jc w:val="left"/>
              <w:rPr>
                <w:b/>
                <w:color w:val="FFFFFF" w:themeColor="background1"/>
                <w:lang w:val="en-GB" w:eastAsia="en-US"/>
              </w:rPr>
            </w:pPr>
            <w:r w:rsidRPr="00E36DAD">
              <w:rPr>
                <w:b/>
                <w:color w:val="FFFFFF" w:themeColor="background1"/>
                <w:lang w:val="en-GB" w:eastAsia="en-US"/>
              </w:rPr>
              <w:t>Cilj</w:t>
            </w:r>
          </w:p>
          <w:p w14:paraId="2519E22F" w14:textId="77777777" w:rsidR="00E575DD" w:rsidRPr="00E36DAD" w:rsidRDefault="00E575DD" w:rsidP="00F65CFF">
            <w:pPr>
              <w:spacing w:before="0" w:after="0" w:line="240" w:lineRule="auto"/>
              <w:jc w:val="left"/>
              <w:rPr>
                <w:b/>
                <w:color w:val="FFFFFF" w:themeColor="background1"/>
                <w:lang w:val="en-GB" w:eastAsia="en-US"/>
              </w:rPr>
            </w:pPr>
          </w:p>
        </w:tc>
        <w:tc>
          <w:tcPr>
            <w:tcW w:w="108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6D06E7AF" w14:textId="6ABC05D2" w:rsidR="00E575DD" w:rsidRPr="00E36DAD" w:rsidRDefault="00F00BA2" w:rsidP="00F00BA2">
            <w:pPr>
              <w:spacing w:before="0" w:after="0" w:line="240" w:lineRule="auto"/>
              <w:jc w:val="left"/>
              <w:rPr>
                <w:b/>
                <w:color w:val="FFFFFF" w:themeColor="background1"/>
                <w:lang w:val="en-GB" w:eastAsia="en-US"/>
              </w:rPr>
            </w:pPr>
            <w:r w:rsidRPr="00E36DAD">
              <w:rPr>
                <w:b/>
                <w:color w:val="FFFFFF" w:themeColor="background1"/>
                <w:lang w:val="en-GB" w:eastAsia="en-US"/>
              </w:rPr>
              <w:t>Kod cilja</w:t>
            </w:r>
          </w:p>
        </w:tc>
      </w:tr>
      <w:tr w:rsidR="00E575DD" w:rsidRPr="001C6CCA" w14:paraId="7140C6A4" w14:textId="77777777" w:rsidTr="00E36DAD">
        <w:tc>
          <w:tcPr>
            <w:tcW w:w="1463" w:type="dxa"/>
            <w:tcBorders>
              <w:top w:val="single" w:sz="4" w:space="0" w:color="FFFFFF" w:themeColor="background1"/>
            </w:tcBorders>
          </w:tcPr>
          <w:p w14:paraId="53D73A7E" w14:textId="77777777" w:rsidR="00E575DD" w:rsidRPr="001C6CCA" w:rsidRDefault="00E575DD" w:rsidP="00F65CFF">
            <w:pPr>
              <w:spacing w:before="0" w:after="0" w:line="240" w:lineRule="auto"/>
              <w:jc w:val="left"/>
              <w:rPr>
                <w:b/>
                <w:sz w:val="20"/>
                <w:szCs w:val="20"/>
                <w:lang w:val="en-GB" w:eastAsia="en-US"/>
              </w:rPr>
            </w:pPr>
            <w:r w:rsidRPr="001C6CCA">
              <w:rPr>
                <w:b/>
                <w:sz w:val="20"/>
                <w:szCs w:val="20"/>
                <w:lang w:val="en-GB" w:eastAsia="en-US"/>
              </w:rPr>
              <w:t>D1C1</w:t>
            </w:r>
          </w:p>
        </w:tc>
        <w:tc>
          <w:tcPr>
            <w:tcW w:w="6470" w:type="dxa"/>
            <w:tcBorders>
              <w:top w:val="single" w:sz="4" w:space="0" w:color="FFFFFF" w:themeColor="background1"/>
            </w:tcBorders>
          </w:tcPr>
          <w:p w14:paraId="66D5606C" w14:textId="6A789C6C" w:rsidR="00B85F63" w:rsidRPr="007C4F00" w:rsidRDefault="00B85F63" w:rsidP="00B85F63">
            <w:pPr>
              <w:spacing w:before="0" w:after="0" w:line="240" w:lineRule="auto"/>
              <w:rPr>
                <w:sz w:val="20"/>
                <w:szCs w:val="20"/>
                <w:lang w:val="en-GB" w:eastAsia="en-US"/>
              </w:rPr>
            </w:pPr>
            <w:r w:rsidRPr="007C4F00">
              <w:rPr>
                <w:sz w:val="20"/>
                <w:szCs w:val="20"/>
                <w:lang w:val="en-GB" w:eastAsia="en-US"/>
              </w:rPr>
              <w:t xml:space="preserve">Slučajni </w:t>
            </w:r>
            <w:r w:rsidR="004376C7">
              <w:rPr>
                <w:sz w:val="20"/>
                <w:szCs w:val="20"/>
                <w:lang w:val="en-GB" w:eastAsia="en-US"/>
              </w:rPr>
              <w:t xml:space="preserve">ulov </w:t>
            </w:r>
            <w:r w:rsidRPr="007C4F00">
              <w:rPr>
                <w:sz w:val="20"/>
                <w:szCs w:val="20"/>
                <w:lang w:val="en-GB" w:eastAsia="en-US"/>
              </w:rPr>
              <w:t>ne ugrožava dugoročnu održivost populacij</w:t>
            </w:r>
            <w:r>
              <w:rPr>
                <w:sz w:val="20"/>
                <w:szCs w:val="20"/>
                <w:lang w:val="en-GB" w:eastAsia="en-US"/>
              </w:rPr>
              <w:t>a</w:t>
            </w:r>
            <w:r w:rsidR="00C53535">
              <w:rPr>
                <w:sz w:val="20"/>
                <w:szCs w:val="20"/>
                <w:lang w:val="en-GB" w:eastAsia="en-US"/>
              </w:rPr>
              <w:t xml:space="preserve"> sisara</w:t>
            </w:r>
            <w:r w:rsidRPr="007C4F00">
              <w:rPr>
                <w:sz w:val="20"/>
                <w:szCs w:val="20"/>
                <w:lang w:val="en-GB" w:eastAsia="en-US"/>
              </w:rPr>
              <w:t>.</w:t>
            </w:r>
          </w:p>
          <w:p w14:paraId="02EBE751" w14:textId="635C4BD0" w:rsidR="00E575DD" w:rsidRPr="001C6CCA" w:rsidRDefault="00E575DD" w:rsidP="00F65CFF">
            <w:pPr>
              <w:spacing w:before="0" w:after="0" w:line="240" w:lineRule="auto"/>
              <w:jc w:val="left"/>
              <w:rPr>
                <w:rFonts w:cs="Calibri"/>
                <w:sz w:val="20"/>
                <w:szCs w:val="20"/>
                <w:lang w:val="en-GB" w:eastAsia="en-US"/>
              </w:rPr>
            </w:pPr>
          </w:p>
        </w:tc>
        <w:tc>
          <w:tcPr>
            <w:tcW w:w="1083" w:type="dxa"/>
            <w:gridSpan w:val="2"/>
            <w:tcBorders>
              <w:top w:val="single" w:sz="4" w:space="0" w:color="FFFFFF" w:themeColor="background1"/>
            </w:tcBorders>
          </w:tcPr>
          <w:p w14:paraId="2F15C559" w14:textId="77188AA7" w:rsidR="00E575DD" w:rsidRPr="001C6CCA" w:rsidRDefault="00E575DD" w:rsidP="00F65CFF">
            <w:pPr>
              <w:spacing w:before="0" w:after="0" w:line="240" w:lineRule="auto"/>
              <w:jc w:val="left"/>
              <w:rPr>
                <w:rFonts w:cs="Calibri"/>
                <w:color w:val="000000"/>
                <w:sz w:val="20"/>
                <w:szCs w:val="20"/>
                <w:lang w:val="en-GB" w:eastAsia="en-US"/>
              </w:rPr>
            </w:pPr>
            <w:r w:rsidRPr="001C6CCA">
              <w:rPr>
                <w:rFonts w:cs="Calibri"/>
                <w:color w:val="000000"/>
                <w:sz w:val="20"/>
                <w:szCs w:val="20"/>
                <w:lang w:val="en-GB" w:eastAsia="en-US"/>
              </w:rPr>
              <w:t>D1T1</w:t>
            </w:r>
            <w:r w:rsidR="00407826">
              <w:rPr>
                <w:rFonts w:cs="Calibri"/>
                <w:color w:val="000000"/>
                <w:sz w:val="20"/>
                <w:szCs w:val="20"/>
                <w:lang w:val="en-GB" w:eastAsia="en-US"/>
              </w:rPr>
              <w:t>M</w:t>
            </w:r>
            <w:r w:rsidR="00596C20">
              <w:rPr>
                <w:rFonts w:cs="Calibri"/>
                <w:color w:val="000000"/>
                <w:sz w:val="20"/>
                <w:szCs w:val="20"/>
                <w:lang w:val="en-GB" w:eastAsia="en-US"/>
              </w:rPr>
              <w:t>*</w:t>
            </w:r>
            <w:r w:rsidRPr="001C6CCA">
              <w:rPr>
                <w:rFonts w:cs="Calibri"/>
                <w:color w:val="000000"/>
                <w:sz w:val="20"/>
                <w:szCs w:val="20"/>
                <w:lang w:val="en-GB" w:eastAsia="en-US"/>
              </w:rPr>
              <w:t xml:space="preserve"> </w:t>
            </w:r>
          </w:p>
        </w:tc>
      </w:tr>
      <w:tr w:rsidR="00E575DD" w:rsidRPr="001C6CCA" w14:paraId="34592397" w14:textId="77777777" w:rsidTr="001928B4">
        <w:trPr>
          <w:trHeight w:val="980"/>
        </w:trPr>
        <w:tc>
          <w:tcPr>
            <w:tcW w:w="1463" w:type="dxa"/>
          </w:tcPr>
          <w:p w14:paraId="5D117438" w14:textId="77777777" w:rsidR="00E575DD" w:rsidRPr="001C6CCA" w:rsidRDefault="00E575DD" w:rsidP="00F65CFF">
            <w:pPr>
              <w:spacing w:before="0" w:after="0" w:line="240" w:lineRule="auto"/>
              <w:jc w:val="left"/>
              <w:rPr>
                <w:b/>
                <w:sz w:val="20"/>
                <w:szCs w:val="20"/>
                <w:lang w:val="en-GB" w:eastAsia="en-US"/>
              </w:rPr>
            </w:pPr>
            <w:r w:rsidRPr="001C6CCA">
              <w:rPr>
                <w:b/>
                <w:sz w:val="20"/>
                <w:szCs w:val="20"/>
                <w:lang w:val="en-GB" w:eastAsia="en-US"/>
              </w:rPr>
              <w:t>D1C2</w:t>
            </w:r>
          </w:p>
        </w:tc>
        <w:tc>
          <w:tcPr>
            <w:tcW w:w="6470" w:type="dxa"/>
            <w:tcBorders>
              <w:bottom w:val="single" w:sz="4" w:space="0" w:color="auto"/>
            </w:tcBorders>
          </w:tcPr>
          <w:p w14:paraId="12329B1D" w14:textId="469C67FF" w:rsidR="00B85F63" w:rsidRPr="007C4F00" w:rsidRDefault="00B85F63" w:rsidP="00B85F63">
            <w:pPr>
              <w:spacing w:before="0" w:after="0" w:line="240" w:lineRule="auto"/>
              <w:rPr>
                <w:sz w:val="20"/>
                <w:szCs w:val="20"/>
                <w:lang w:val="en-GB" w:eastAsia="en-US"/>
              </w:rPr>
            </w:pPr>
            <w:r w:rsidRPr="007C4F00">
              <w:rPr>
                <w:sz w:val="20"/>
                <w:szCs w:val="20"/>
                <w:lang w:val="en-GB" w:eastAsia="en-US"/>
              </w:rPr>
              <w:t xml:space="preserve">Na </w:t>
            </w:r>
            <w:r>
              <w:rPr>
                <w:sz w:val="20"/>
                <w:szCs w:val="20"/>
                <w:lang w:val="en-GB" w:eastAsia="en-US"/>
              </w:rPr>
              <w:t>nivou</w:t>
            </w:r>
            <w:r w:rsidRPr="007C4F00">
              <w:rPr>
                <w:sz w:val="20"/>
                <w:szCs w:val="20"/>
                <w:lang w:val="en-GB" w:eastAsia="en-US"/>
              </w:rPr>
              <w:t xml:space="preserve"> podregija </w:t>
            </w:r>
            <w:r>
              <w:rPr>
                <w:sz w:val="20"/>
                <w:szCs w:val="20"/>
                <w:lang w:val="en-GB" w:eastAsia="en-US"/>
              </w:rPr>
              <w:t>ODMS-a</w:t>
            </w:r>
            <w:r w:rsidRPr="007C4F00">
              <w:rPr>
                <w:sz w:val="20"/>
                <w:szCs w:val="20"/>
                <w:lang w:val="en-GB" w:eastAsia="en-US"/>
              </w:rPr>
              <w:t xml:space="preserve"> (Jadransko more) brojnost </w:t>
            </w:r>
            <w:r w:rsidR="008356EA">
              <w:rPr>
                <w:sz w:val="20"/>
                <w:szCs w:val="20"/>
                <w:lang w:val="en-GB" w:eastAsia="en-US"/>
              </w:rPr>
              <w:t>sisara</w:t>
            </w:r>
            <w:r w:rsidRPr="007C4F00">
              <w:rPr>
                <w:sz w:val="20"/>
                <w:szCs w:val="20"/>
                <w:lang w:val="en-GB" w:eastAsia="en-US"/>
              </w:rPr>
              <w:t xml:space="preserve"> ne smanjuje se kao rezultat ljudske aktivnosti: </w:t>
            </w:r>
            <w:r w:rsidR="00C53535">
              <w:rPr>
                <w:sz w:val="20"/>
                <w:szCs w:val="20"/>
                <w:lang w:val="en-GB" w:eastAsia="en-US"/>
              </w:rPr>
              <w:t>prema svim</w:t>
            </w:r>
            <w:r w:rsidRPr="007C4F00">
              <w:rPr>
                <w:sz w:val="20"/>
                <w:szCs w:val="20"/>
                <w:lang w:val="en-GB" w:eastAsia="en-US"/>
              </w:rPr>
              <w:t xml:space="preserve"> praćenim indikatorima ne bi trebalo da bude statistički značajnog smanjenja </w:t>
            </w:r>
            <w:r>
              <w:rPr>
                <w:sz w:val="20"/>
                <w:szCs w:val="20"/>
                <w:lang w:val="en-GB" w:eastAsia="en-US"/>
              </w:rPr>
              <w:t>brojnosti</w:t>
            </w:r>
            <w:r w:rsidRPr="007C4F00">
              <w:rPr>
                <w:sz w:val="20"/>
                <w:szCs w:val="20"/>
                <w:lang w:val="en-GB" w:eastAsia="en-US"/>
              </w:rPr>
              <w:t xml:space="preserve"> morskih sisara izazvanih ljudskim aktivnostima.</w:t>
            </w:r>
          </w:p>
          <w:p w14:paraId="01A45EE4" w14:textId="3C57DFD4" w:rsidR="00E575DD" w:rsidRPr="001C6CCA" w:rsidRDefault="00E575DD" w:rsidP="000A5F98">
            <w:pPr>
              <w:spacing w:before="0" w:after="0" w:line="240" w:lineRule="auto"/>
              <w:rPr>
                <w:sz w:val="20"/>
                <w:szCs w:val="20"/>
                <w:lang w:val="en-GB" w:eastAsia="en-US"/>
              </w:rPr>
            </w:pPr>
          </w:p>
        </w:tc>
        <w:tc>
          <w:tcPr>
            <w:tcW w:w="1083" w:type="dxa"/>
            <w:gridSpan w:val="2"/>
            <w:tcBorders>
              <w:bottom w:val="single" w:sz="4" w:space="0" w:color="auto"/>
            </w:tcBorders>
          </w:tcPr>
          <w:p w14:paraId="19D8FC70" w14:textId="3DFB56C5" w:rsidR="00E575DD" w:rsidRPr="001C6CCA" w:rsidRDefault="00E575DD" w:rsidP="00F65CFF">
            <w:pPr>
              <w:spacing w:before="0" w:after="0" w:line="240" w:lineRule="auto"/>
              <w:jc w:val="left"/>
              <w:rPr>
                <w:sz w:val="20"/>
                <w:szCs w:val="20"/>
                <w:lang w:val="en-GB" w:eastAsia="en-US"/>
              </w:rPr>
            </w:pPr>
            <w:r w:rsidRPr="001C6CCA">
              <w:rPr>
                <w:sz w:val="20"/>
                <w:szCs w:val="20"/>
                <w:lang w:val="en-GB" w:eastAsia="en-US"/>
              </w:rPr>
              <w:t>D1T2M</w:t>
            </w:r>
          </w:p>
        </w:tc>
      </w:tr>
      <w:tr w:rsidR="00E575DD" w:rsidRPr="001C6CCA" w14:paraId="6DC44F19" w14:textId="77777777" w:rsidTr="001928B4">
        <w:tc>
          <w:tcPr>
            <w:tcW w:w="1463" w:type="dxa"/>
          </w:tcPr>
          <w:p w14:paraId="5AB72119" w14:textId="77777777" w:rsidR="00E575DD" w:rsidRPr="001C6CCA" w:rsidRDefault="00E575DD" w:rsidP="00F65CFF">
            <w:pPr>
              <w:spacing w:before="0" w:after="0" w:line="240" w:lineRule="auto"/>
              <w:rPr>
                <w:b/>
                <w:sz w:val="20"/>
                <w:szCs w:val="20"/>
                <w:lang w:val="en-GB" w:eastAsia="en-US"/>
              </w:rPr>
            </w:pPr>
            <w:r w:rsidRPr="001C6CCA">
              <w:rPr>
                <w:b/>
                <w:sz w:val="20"/>
                <w:szCs w:val="20"/>
                <w:lang w:val="en-GB" w:eastAsia="en-US"/>
              </w:rPr>
              <w:t>D1C3</w:t>
            </w:r>
          </w:p>
        </w:tc>
        <w:tc>
          <w:tcPr>
            <w:tcW w:w="6470" w:type="dxa"/>
            <w:tcBorders>
              <w:top w:val="single" w:sz="4" w:space="0" w:color="auto"/>
            </w:tcBorders>
          </w:tcPr>
          <w:p w14:paraId="3E7D97FB" w14:textId="1D4F3911" w:rsidR="00E575DD" w:rsidRPr="001C6CCA" w:rsidRDefault="00596C20" w:rsidP="000A5F98">
            <w:pPr>
              <w:spacing w:before="0" w:after="0" w:line="240" w:lineRule="auto"/>
              <w:rPr>
                <w:sz w:val="20"/>
                <w:szCs w:val="20"/>
                <w:lang w:val="en-GB" w:eastAsia="en-US"/>
              </w:rPr>
            </w:pPr>
            <w:r>
              <w:rPr>
                <w:sz w:val="20"/>
                <w:szCs w:val="20"/>
                <w:lang w:val="en-GB" w:eastAsia="en-US"/>
              </w:rPr>
              <w:t>D</w:t>
            </w:r>
            <w:r w:rsidR="001928B4">
              <w:rPr>
                <w:sz w:val="20"/>
                <w:szCs w:val="20"/>
                <w:lang w:val="en-GB" w:eastAsia="en-US"/>
              </w:rPr>
              <w:t xml:space="preserve">emografske karakteristike populacija </w:t>
            </w:r>
            <w:r>
              <w:rPr>
                <w:sz w:val="20"/>
                <w:szCs w:val="20"/>
                <w:lang w:val="en-GB" w:eastAsia="en-US"/>
              </w:rPr>
              <w:t xml:space="preserve">se ne mijenjaju </w:t>
            </w:r>
          </w:p>
        </w:tc>
        <w:tc>
          <w:tcPr>
            <w:tcW w:w="1083" w:type="dxa"/>
            <w:gridSpan w:val="2"/>
            <w:tcBorders>
              <w:top w:val="single" w:sz="4" w:space="0" w:color="auto"/>
            </w:tcBorders>
          </w:tcPr>
          <w:p w14:paraId="733C5CE2" w14:textId="18CC77B1" w:rsidR="00E575DD" w:rsidRPr="001C6CCA" w:rsidRDefault="00596C20" w:rsidP="00F65CFF">
            <w:pPr>
              <w:spacing w:before="0" w:after="0" w:line="240" w:lineRule="auto"/>
              <w:jc w:val="left"/>
              <w:rPr>
                <w:sz w:val="20"/>
                <w:szCs w:val="20"/>
                <w:lang w:val="en-GB" w:eastAsia="en-US"/>
              </w:rPr>
            </w:pPr>
            <w:r>
              <w:rPr>
                <w:sz w:val="20"/>
                <w:szCs w:val="20"/>
                <w:lang w:val="en-GB" w:eastAsia="en-US"/>
              </w:rPr>
              <w:t>D1T3M</w:t>
            </w:r>
          </w:p>
        </w:tc>
      </w:tr>
      <w:tr w:rsidR="00387945" w:rsidRPr="001C6CCA" w14:paraId="13AA81AE" w14:textId="5835042A" w:rsidTr="00387945">
        <w:tc>
          <w:tcPr>
            <w:tcW w:w="1463" w:type="dxa"/>
          </w:tcPr>
          <w:p w14:paraId="1F1B5BCF" w14:textId="77777777" w:rsidR="00387945" w:rsidRPr="001C6CCA" w:rsidRDefault="00387945" w:rsidP="00F65CFF">
            <w:pPr>
              <w:spacing w:before="0" w:after="0" w:line="240" w:lineRule="auto"/>
              <w:jc w:val="left"/>
              <w:rPr>
                <w:b/>
                <w:sz w:val="20"/>
                <w:szCs w:val="20"/>
                <w:lang w:val="en-GB" w:eastAsia="en-US"/>
              </w:rPr>
            </w:pPr>
            <w:r w:rsidRPr="001C6CCA">
              <w:rPr>
                <w:b/>
                <w:sz w:val="20"/>
                <w:szCs w:val="20"/>
                <w:lang w:val="en-GB" w:eastAsia="en-US"/>
              </w:rPr>
              <w:t>D1C4</w:t>
            </w:r>
          </w:p>
        </w:tc>
        <w:tc>
          <w:tcPr>
            <w:tcW w:w="6480" w:type="dxa"/>
            <w:gridSpan w:val="2"/>
            <w:vMerge w:val="restart"/>
            <w:tcBorders>
              <w:right w:val="single" w:sz="4" w:space="0" w:color="548DD4" w:themeColor="text2" w:themeTint="99"/>
            </w:tcBorders>
          </w:tcPr>
          <w:p w14:paraId="152DA89E" w14:textId="36FA820D" w:rsidR="00387945" w:rsidRPr="001C6CCA" w:rsidRDefault="007236D4" w:rsidP="00387945">
            <w:pPr>
              <w:spacing w:before="0" w:after="0" w:line="240" w:lineRule="auto"/>
              <w:rPr>
                <w:sz w:val="20"/>
                <w:szCs w:val="20"/>
                <w:lang w:val="en-GB" w:eastAsia="en-US"/>
              </w:rPr>
            </w:pPr>
            <w:r w:rsidRPr="00CE5A88">
              <w:rPr>
                <w:sz w:val="20"/>
                <w:szCs w:val="20"/>
                <w:lang w:val="en-GB" w:eastAsia="en-US"/>
              </w:rPr>
              <w:t xml:space="preserve">Područje i </w:t>
            </w:r>
            <w:r>
              <w:rPr>
                <w:sz w:val="20"/>
                <w:szCs w:val="20"/>
                <w:lang w:val="en-GB" w:eastAsia="en-US"/>
              </w:rPr>
              <w:t>obrazac</w:t>
            </w:r>
            <w:r w:rsidRPr="00CE5A88">
              <w:rPr>
                <w:sz w:val="20"/>
                <w:szCs w:val="20"/>
                <w:lang w:val="en-GB" w:eastAsia="en-US"/>
              </w:rPr>
              <w:t xml:space="preserve"> rasprostranjenosti se ne mijenja i ne smanjuje u odnosu na trenutnu vrijednost.</w:t>
            </w:r>
            <w:r w:rsidR="00596C20" w:rsidRPr="00596C20">
              <w:rPr>
                <w:sz w:val="20"/>
                <w:szCs w:val="20"/>
                <w:lang w:val="en-GB" w:eastAsia="en-US"/>
              </w:rPr>
              <w:t>.</w:t>
            </w:r>
          </w:p>
        </w:tc>
        <w:tc>
          <w:tcPr>
            <w:tcW w:w="1073" w:type="dxa"/>
            <w:vMerge w:val="restart"/>
            <w:tcBorders>
              <w:left w:val="single" w:sz="4" w:space="0" w:color="548DD4" w:themeColor="text2" w:themeTint="99"/>
            </w:tcBorders>
          </w:tcPr>
          <w:p w14:paraId="29848C5A" w14:textId="70574300" w:rsidR="00387945" w:rsidRDefault="007236D4">
            <w:pPr>
              <w:spacing w:before="0" w:after="0" w:line="240" w:lineRule="auto"/>
              <w:jc w:val="left"/>
              <w:rPr>
                <w:sz w:val="20"/>
                <w:szCs w:val="20"/>
                <w:lang w:val="en-GB" w:eastAsia="en-US"/>
              </w:rPr>
            </w:pPr>
            <w:r>
              <w:rPr>
                <w:sz w:val="20"/>
                <w:szCs w:val="20"/>
                <w:lang w:val="en-GB" w:eastAsia="en-US"/>
              </w:rPr>
              <w:t>D1T4M</w:t>
            </w:r>
          </w:p>
          <w:p w14:paraId="04ED9548" w14:textId="77777777" w:rsidR="00387945" w:rsidRPr="001C6CCA" w:rsidRDefault="00387945" w:rsidP="00F65CFF">
            <w:pPr>
              <w:spacing w:before="0" w:after="0" w:line="240" w:lineRule="auto"/>
              <w:jc w:val="left"/>
              <w:rPr>
                <w:sz w:val="20"/>
                <w:szCs w:val="20"/>
                <w:lang w:val="en-GB" w:eastAsia="en-US"/>
              </w:rPr>
            </w:pPr>
          </w:p>
        </w:tc>
      </w:tr>
      <w:tr w:rsidR="00387945" w:rsidRPr="001C6CCA" w14:paraId="5C9C84B5" w14:textId="765C2113" w:rsidTr="00387945">
        <w:tc>
          <w:tcPr>
            <w:tcW w:w="1463" w:type="dxa"/>
          </w:tcPr>
          <w:p w14:paraId="0F3DA03E" w14:textId="3441B047" w:rsidR="00387945" w:rsidRPr="001C6CCA" w:rsidRDefault="00387945" w:rsidP="00F65CFF">
            <w:pPr>
              <w:spacing w:before="0" w:after="0" w:line="240" w:lineRule="auto"/>
              <w:jc w:val="left"/>
              <w:rPr>
                <w:b/>
                <w:sz w:val="20"/>
                <w:szCs w:val="20"/>
                <w:lang w:val="en-GB" w:eastAsia="en-US"/>
              </w:rPr>
            </w:pPr>
            <w:r w:rsidRPr="001C6CCA">
              <w:rPr>
                <w:b/>
                <w:sz w:val="20"/>
                <w:szCs w:val="20"/>
                <w:lang w:val="en-GB" w:eastAsia="en-US"/>
              </w:rPr>
              <w:t>D1C</w:t>
            </w:r>
            <w:r w:rsidR="007236D4">
              <w:rPr>
                <w:b/>
                <w:sz w:val="20"/>
                <w:szCs w:val="20"/>
                <w:lang w:val="en-GB" w:eastAsia="en-US"/>
              </w:rPr>
              <w:t>5</w:t>
            </w:r>
          </w:p>
        </w:tc>
        <w:tc>
          <w:tcPr>
            <w:tcW w:w="6480" w:type="dxa"/>
            <w:gridSpan w:val="2"/>
            <w:vMerge/>
            <w:tcBorders>
              <w:right w:val="single" w:sz="4" w:space="0" w:color="548DD4" w:themeColor="text2" w:themeTint="99"/>
            </w:tcBorders>
          </w:tcPr>
          <w:p w14:paraId="0EBBFB18" w14:textId="77777777" w:rsidR="00387945" w:rsidRPr="001C6CCA" w:rsidRDefault="00387945" w:rsidP="00F65CFF">
            <w:pPr>
              <w:spacing w:before="0" w:after="0" w:line="240" w:lineRule="auto"/>
              <w:jc w:val="left"/>
              <w:rPr>
                <w:sz w:val="20"/>
                <w:szCs w:val="20"/>
                <w:lang w:val="en-GB" w:eastAsia="en-US"/>
              </w:rPr>
            </w:pPr>
          </w:p>
        </w:tc>
        <w:tc>
          <w:tcPr>
            <w:tcW w:w="1073" w:type="dxa"/>
            <w:vMerge/>
            <w:tcBorders>
              <w:left w:val="single" w:sz="4" w:space="0" w:color="548DD4" w:themeColor="text2" w:themeTint="99"/>
            </w:tcBorders>
          </w:tcPr>
          <w:p w14:paraId="476DBE94" w14:textId="77777777" w:rsidR="00387945" w:rsidRPr="001C6CCA" w:rsidRDefault="00387945" w:rsidP="00F65CFF">
            <w:pPr>
              <w:spacing w:before="0" w:after="0" w:line="240" w:lineRule="auto"/>
              <w:jc w:val="left"/>
              <w:rPr>
                <w:sz w:val="20"/>
                <w:szCs w:val="20"/>
                <w:lang w:val="en-GB" w:eastAsia="en-US"/>
              </w:rPr>
            </w:pPr>
          </w:p>
        </w:tc>
      </w:tr>
      <w:tr w:rsidR="00615D4E" w:rsidRPr="001C6CCA" w14:paraId="2AB0D862" w14:textId="77777777" w:rsidTr="00097D78">
        <w:tc>
          <w:tcPr>
            <w:tcW w:w="1463" w:type="dxa"/>
          </w:tcPr>
          <w:p w14:paraId="7B9C0E69" w14:textId="13E7ABC5" w:rsidR="00615D4E" w:rsidRPr="00615D4E" w:rsidRDefault="00615D4E" w:rsidP="00615D4E">
            <w:pPr>
              <w:spacing w:before="0" w:after="0" w:line="240" w:lineRule="auto"/>
              <w:jc w:val="left"/>
              <w:rPr>
                <w:b/>
                <w:sz w:val="20"/>
                <w:szCs w:val="20"/>
                <w:lang w:val="en-GB" w:eastAsia="en-US"/>
              </w:rPr>
            </w:pPr>
            <w:r w:rsidRPr="00615D4E">
              <w:rPr>
                <w:b/>
                <w:sz w:val="20"/>
                <w:szCs w:val="20"/>
              </w:rPr>
              <w:t>Operativni ciljevi</w:t>
            </w:r>
          </w:p>
        </w:tc>
        <w:tc>
          <w:tcPr>
            <w:tcW w:w="7553" w:type="dxa"/>
            <w:gridSpan w:val="3"/>
          </w:tcPr>
          <w:p w14:paraId="6A8C7D53" w14:textId="503949D1" w:rsidR="00615D4E" w:rsidRPr="001C6CCA" w:rsidRDefault="00C227AF" w:rsidP="001A5DE6">
            <w:pPr>
              <w:spacing w:before="0" w:after="0" w:line="240" w:lineRule="auto"/>
              <w:rPr>
                <w:sz w:val="20"/>
                <w:szCs w:val="20"/>
                <w:lang w:val="en-GB" w:eastAsia="en-US"/>
              </w:rPr>
            </w:pPr>
            <w:r>
              <w:rPr>
                <w:sz w:val="20"/>
                <w:szCs w:val="20"/>
                <w:lang w:val="en-GB" w:eastAsia="en-US"/>
              </w:rPr>
              <w:t xml:space="preserve">Saradnja </w:t>
            </w:r>
            <w:r w:rsidR="00B85F63" w:rsidRPr="007C4F00">
              <w:rPr>
                <w:sz w:val="20"/>
                <w:szCs w:val="20"/>
                <w:lang w:val="en-GB" w:eastAsia="en-US"/>
              </w:rPr>
              <w:t>sa drugim zemljama u mediteranskom regionu ili na nivou podre</w:t>
            </w:r>
            <w:r w:rsidR="00B85F63">
              <w:rPr>
                <w:sz w:val="20"/>
                <w:szCs w:val="20"/>
                <w:lang w:val="en-GB" w:eastAsia="en-US"/>
              </w:rPr>
              <w:t>giona</w:t>
            </w:r>
            <w:r w:rsidR="00B85F63" w:rsidRPr="007C4F00">
              <w:rPr>
                <w:sz w:val="20"/>
                <w:szCs w:val="20"/>
                <w:lang w:val="en-GB" w:eastAsia="en-US"/>
              </w:rPr>
              <w:t xml:space="preserve"> (Jadransko more) na uspostavljanju zajedničkog programa </w:t>
            </w:r>
            <w:r w:rsidR="00B85F63">
              <w:rPr>
                <w:sz w:val="20"/>
                <w:szCs w:val="20"/>
                <w:lang w:val="en-GB" w:eastAsia="en-US"/>
              </w:rPr>
              <w:t>monitoringa</w:t>
            </w:r>
            <w:r w:rsidR="00B85F63" w:rsidRPr="007C4F00">
              <w:rPr>
                <w:sz w:val="20"/>
                <w:szCs w:val="20"/>
                <w:lang w:val="en-GB" w:eastAsia="en-US"/>
              </w:rPr>
              <w:t xml:space="preserve"> i </w:t>
            </w:r>
            <w:r w:rsidR="00A75CB6">
              <w:rPr>
                <w:sz w:val="20"/>
                <w:szCs w:val="20"/>
                <w:lang w:val="en-GB" w:eastAsia="en-US"/>
              </w:rPr>
              <w:t>defin</w:t>
            </w:r>
            <w:r w:rsidR="001A5DE6">
              <w:rPr>
                <w:sz w:val="20"/>
                <w:szCs w:val="20"/>
                <w:lang w:val="en-GB" w:eastAsia="en-US"/>
              </w:rPr>
              <w:t>isanju</w:t>
            </w:r>
            <w:r w:rsidR="00A75CB6">
              <w:rPr>
                <w:sz w:val="20"/>
                <w:szCs w:val="20"/>
                <w:lang w:val="en-GB" w:eastAsia="en-US"/>
              </w:rPr>
              <w:t xml:space="preserve"> </w:t>
            </w:r>
            <w:r w:rsidR="00B85F63" w:rsidRPr="007C4F00">
              <w:rPr>
                <w:sz w:val="20"/>
                <w:szCs w:val="20"/>
                <w:lang w:val="en-GB" w:eastAsia="en-US"/>
              </w:rPr>
              <w:t xml:space="preserve">kriterijuma i </w:t>
            </w:r>
            <w:r w:rsidR="00B85F63" w:rsidRPr="00A75CB6">
              <w:rPr>
                <w:sz w:val="20"/>
                <w:szCs w:val="20"/>
                <w:lang w:val="en-GB" w:eastAsia="en-US"/>
              </w:rPr>
              <w:t>pragova</w:t>
            </w:r>
            <w:r w:rsidR="00B85F63" w:rsidRPr="007C4F00">
              <w:rPr>
                <w:sz w:val="20"/>
                <w:szCs w:val="20"/>
                <w:lang w:val="en-GB" w:eastAsia="en-US"/>
              </w:rPr>
              <w:t xml:space="preserve"> za obim </w:t>
            </w:r>
            <w:r w:rsidR="000D5C2C">
              <w:rPr>
                <w:sz w:val="20"/>
                <w:szCs w:val="20"/>
                <w:lang w:val="en-GB" w:eastAsia="en-US"/>
              </w:rPr>
              <w:t>promjena</w:t>
            </w:r>
            <w:r w:rsidR="00B85F63" w:rsidRPr="007C4F00">
              <w:rPr>
                <w:sz w:val="20"/>
                <w:szCs w:val="20"/>
                <w:lang w:val="en-GB" w:eastAsia="en-US"/>
              </w:rPr>
              <w:t xml:space="preserve"> staništa i obim antropogenih aktivnosti tamo gd</w:t>
            </w:r>
            <w:r w:rsidR="00B85F63">
              <w:rPr>
                <w:sz w:val="20"/>
                <w:szCs w:val="20"/>
                <w:lang w:val="en-GB" w:eastAsia="en-US"/>
              </w:rPr>
              <w:t>j</w:t>
            </w:r>
            <w:r w:rsidR="00B85F63" w:rsidRPr="007C4F00">
              <w:rPr>
                <w:sz w:val="20"/>
                <w:szCs w:val="20"/>
                <w:lang w:val="en-GB" w:eastAsia="en-US"/>
              </w:rPr>
              <w:t>e je to moguće.</w:t>
            </w:r>
          </w:p>
        </w:tc>
      </w:tr>
      <w:tr w:rsidR="00615D4E" w:rsidRPr="001C6CCA" w14:paraId="37EB7020" w14:textId="77777777" w:rsidTr="00E575DD">
        <w:tc>
          <w:tcPr>
            <w:tcW w:w="1463" w:type="dxa"/>
          </w:tcPr>
          <w:p w14:paraId="5D69EB69" w14:textId="7A70B66D" w:rsidR="00615D4E" w:rsidRPr="00615D4E" w:rsidRDefault="00615D4E" w:rsidP="00615D4E">
            <w:pPr>
              <w:spacing w:before="0" w:after="0" w:line="240" w:lineRule="auto"/>
              <w:jc w:val="left"/>
              <w:rPr>
                <w:b/>
                <w:bCs/>
                <w:sz w:val="20"/>
                <w:szCs w:val="20"/>
                <w:lang w:val="en-GB" w:eastAsia="en-US"/>
              </w:rPr>
            </w:pPr>
            <w:r w:rsidRPr="00615D4E">
              <w:rPr>
                <w:b/>
                <w:sz w:val="20"/>
                <w:szCs w:val="20"/>
              </w:rPr>
              <w:t>Indikatori koji se koriste za procjenu statusa</w:t>
            </w:r>
          </w:p>
        </w:tc>
        <w:tc>
          <w:tcPr>
            <w:tcW w:w="6470" w:type="dxa"/>
          </w:tcPr>
          <w:p w14:paraId="549D42C8" w14:textId="1BCB9959" w:rsidR="005044FF" w:rsidRDefault="005044FF" w:rsidP="007C4F00">
            <w:pPr>
              <w:spacing w:before="0" w:after="0" w:line="240" w:lineRule="auto"/>
              <w:rPr>
                <w:sz w:val="20"/>
                <w:szCs w:val="20"/>
                <w:lang w:val="en-GB" w:eastAsia="en-US"/>
              </w:rPr>
            </w:pPr>
            <w:r w:rsidRPr="00407826">
              <w:rPr>
                <w:b/>
                <w:sz w:val="20"/>
                <w:szCs w:val="20"/>
                <w:lang w:val="en-GB" w:eastAsia="en-US"/>
              </w:rPr>
              <w:t>D1C1.1M:</w:t>
            </w:r>
            <w:r>
              <w:rPr>
                <w:sz w:val="20"/>
                <w:szCs w:val="20"/>
                <w:lang w:val="en-GB" w:eastAsia="en-US"/>
              </w:rPr>
              <w:t xml:space="preserve"> Slučajni ulov morskih sisara</w:t>
            </w:r>
          </w:p>
          <w:p w14:paraId="67056CB4" w14:textId="3B9BDD1D" w:rsidR="007C4F00" w:rsidRDefault="005044FF" w:rsidP="007C4F00">
            <w:pPr>
              <w:spacing w:before="0" w:after="0" w:line="240" w:lineRule="auto"/>
              <w:rPr>
                <w:i/>
                <w:sz w:val="20"/>
                <w:szCs w:val="20"/>
                <w:lang w:val="en-GB" w:eastAsia="en-US"/>
              </w:rPr>
            </w:pPr>
            <w:r w:rsidRPr="00407826">
              <w:rPr>
                <w:b/>
                <w:sz w:val="20"/>
                <w:szCs w:val="20"/>
                <w:lang w:val="en-GB" w:eastAsia="en-US"/>
              </w:rPr>
              <w:t>D1C2.1M</w:t>
            </w:r>
            <w:r>
              <w:rPr>
                <w:sz w:val="20"/>
                <w:szCs w:val="20"/>
                <w:lang w:val="en-GB" w:eastAsia="en-US"/>
              </w:rPr>
              <w:t xml:space="preserve">: </w:t>
            </w:r>
            <w:r w:rsidR="00B85F63">
              <w:rPr>
                <w:sz w:val="20"/>
                <w:szCs w:val="20"/>
                <w:lang w:val="en-GB" w:eastAsia="en-US"/>
              </w:rPr>
              <w:t>Brojnost</w:t>
            </w:r>
            <w:r w:rsidR="007C4F00" w:rsidRPr="007C4F00">
              <w:rPr>
                <w:sz w:val="20"/>
                <w:szCs w:val="20"/>
                <w:lang w:val="en-GB" w:eastAsia="en-US"/>
              </w:rPr>
              <w:t xml:space="preserve"> </w:t>
            </w:r>
            <w:r w:rsidR="008515E7">
              <w:rPr>
                <w:sz w:val="20"/>
                <w:szCs w:val="20"/>
                <w:lang w:val="en-GB" w:eastAsia="en-US"/>
              </w:rPr>
              <w:t>o</w:t>
            </w:r>
            <w:r w:rsidR="007C4F00" w:rsidRPr="007C4F00">
              <w:rPr>
                <w:sz w:val="20"/>
                <w:szCs w:val="20"/>
                <w:lang w:val="en-GB" w:eastAsia="en-US"/>
              </w:rPr>
              <w:t xml:space="preserve">bičnog </w:t>
            </w:r>
            <w:r w:rsidR="00B85F63">
              <w:rPr>
                <w:sz w:val="20"/>
                <w:szCs w:val="20"/>
                <w:lang w:val="en-GB" w:eastAsia="en-US"/>
              </w:rPr>
              <w:t>kljunastog</w:t>
            </w:r>
            <w:r w:rsidR="007C4F00" w:rsidRPr="007C4F00">
              <w:rPr>
                <w:sz w:val="20"/>
                <w:szCs w:val="20"/>
                <w:lang w:val="en-GB" w:eastAsia="en-US"/>
              </w:rPr>
              <w:t xml:space="preserve"> delfina </w:t>
            </w:r>
            <w:r w:rsidR="00B85F63">
              <w:rPr>
                <w:i/>
                <w:sz w:val="20"/>
                <w:szCs w:val="20"/>
                <w:lang w:val="en-GB"/>
              </w:rPr>
              <w:t>Tursiops truncatus</w:t>
            </w:r>
            <w:r w:rsidR="00B85F63" w:rsidRPr="005044FF">
              <w:rPr>
                <w:sz w:val="20"/>
                <w:szCs w:val="20"/>
                <w:lang w:val="en-GB"/>
              </w:rPr>
              <w:t>)</w:t>
            </w:r>
            <w:r w:rsidRPr="005044FF">
              <w:rPr>
                <w:sz w:val="20"/>
                <w:szCs w:val="20"/>
                <w:lang w:val="en-GB"/>
              </w:rPr>
              <w:t xml:space="preserve"> </w:t>
            </w:r>
            <w:r>
              <w:rPr>
                <w:sz w:val="20"/>
                <w:szCs w:val="20"/>
                <w:lang w:val="en-GB"/>
              </w:rPr>
              <w:t xml:space="preserve">i </w:t>
            </w:r>
            <w:r>
              <w:rPr>
                <w:i/>
                <w:sz w:val="20"/>
                <w:szCs w:val="20"/>
                <w:lang w:val="en-GB"/>
              </w:rPr>
              <w:t xml:space="preserve"> </w:t>
            </w:r>
            <w:r w:rsidRPr="007C4F00">
              <w:rPr>
                <w:sz w:val="20"/>
                <w:szCs w:val="20"/>
                <w:lang w:val="en-GB" w:eastAsia="en-US"/>
              </w:rPr>
              <w:t xml:space="preserve">prugastog delfina </w:t>
            </w:r>
            <w:r w:rsidRPr="001C6CCA">
              <w:rPr>
                <w:sz w:val="20"/>
                <w:szCs w:val="20"/>
                <w:lang w:val="en-GB"/>
              </w:rPr>
              <w:t>(</w:t>
            </w:r>
            <w:r>
              <w:rPr>
                <w:i/>
                <w:sz w:val="20"/>
                <w:szCs w:val="20"/>
                <w:lang w:val="en-GB" w:eastAsia="en-US"/>
              </w:rPr>
              <w:t>Stenella coerueloalba)</w:t>
            </w:r>
          </w:p>
          <w:p w14:paraId="7763D2AF" w14:textId="633E6D06" w:rsidR="005044FF" w:rsidRPr="00407826" w:rsidRDefault="005044FF" w:rsidP="007C4F00">
            <w:pPr>
              <w:spacing w:before="0" w:after="0" w:line="240" w:lineRule="auto"/>
              <w:rPr>
                <w:i/>
                <w:sz w:val="20"/>
                <w:szCs w:val="20"/>
                <w:lang w:val="en-GB" w:eastAsia="en-US"/>
              </w:rPr>
            </w:pPr>
            <w:r w:rsidRPr="00407826">
              <w:rPr>
                <w:b/>
                <w:sz w:val="20"/>
                <w:szCs w:val="20"/>
                <w:lang w:val="en-GB"/>
              </w:rPr>
              <w:t>D1C3.1M</w:t>
            </w:r>
            <w:r w:rsidRPr="005044FF">
              <w:rPr>
                <w:sz w:val="20"/>
                <w:szCs w:val="20"/>
                <w:lang w:val="en-GB"/>
              </w:rPr>
              <w:t xml:space="preserve">: </w:t>
            </w:r>
            <w:r>
              <w:rPr>
                <w:sz w:val="20"/>
                <w:szCs w:val="20"/>
                <w:lang w:val="en-GB"/>
              </w:rPr>
              <w:t xml:space="preserve">Demografske karaktersitike </w:t>
            </w:r>
            <w:r w:rsidR="00407826" w:rsidRPr="007C4F00">
              <w:rPr>
                <w:sz w:val="20"/>
                <w:szCs w:val="20"/>
                <w:lang w:val="en-GB" w:eastAsia="en-US"/>
              </w:rPr>
              <w:t xml:space="preserve">običnog </w:t>
            </w:r>
            <w:r w:rsidR="00407826">
              <w:rPr>
                <w:sz w:val="20"/>
                <w:szCs w:val="20"/>
                <w:lang w:val="en-GB" w:eastAsia="en-US"/>
              </w:rPr>
              <w:t>kljunastog</w:t>
            </w:r>
            <w:r w:rsidR="00407826" w:rsidRPr="007C4F00">
              <w:rPr>
                <w:sz w:val="20"/>
                <w:szCs w:val="20"/>
                <w:lang w:val="en-GB" w:eastAsia="en-US"/>
              </w:rPr>
              <w:t xml:space="preserve"> delfina </w:t>
            </w:r>
            <w:r w:rsidR="00407826">
              <w:rPr>
                <w:i/>
                <w:sz w:val="20"/>
                <w:szCs w:val="20"/>
                <w:lang w:val="en-GB"/>
              </w:rPr>
              <w:t>Tursiops truncatus</w:t>
            </w:r>
            <w:r w:rsidR="00407826" w:rsidRPr="005044FF">
              <w:rPr>
                <w:sz w:val="20"/>
                <w:szCs w:val="20"/>
                <w:lang w:val="en-GB"/>
              </w:rPr>
              <w:t xml:space="preserve">) </w:t>
            </w:r>
            <w:r w:rsidR="00407826">
              <w:rPr>
                <w:sz w:val="20"/>
                <w:szCs w:val="20"/>
                <w:lang w:val="en-GB"/>
              </w:rPr>
              <w:t xml:space="preserve">i </w:t>
            </w:r>
            <w:r w:rsidR="00407826">
              <w:rPr>
                <w:i/>
                <w:sz w:val="20"/>
                <w:szCs w:val="20"/>
                <w:lang w:val="en-GB"/>
              </w:rPr>
              <w:t xml:space="preserve"> </w:t>
            </w:r>
            <w:r w:rsidR="00407826" w:rsidRPr="007C4F00">
              <w:rPr>
                <w:sz w:val="20"/>
                <w:szCs w:val="20"/>
                <w:lang w:val="en-GB" w:eastAsia="en-US"/>
              </w:rPr>
              <w:t xml:space="preserve">prugastog delfina </w:t>
            </w:r>
            <w:r w:rsidR="00407826" w:rsidRPr="001C6CCA">
              <w:rPr>
                <w:sz w:val="20"/>
                <w:szCs w:val="20"/>
                <w:lang w:val="en-GB"/>
              </w:rPr>
              <w:t>(</w:t>
            </w:r>
            <w:r w:rsidR="00407826">
              <w:rPr>
                <w:i/>
                <w:sz w:val="20"/>
                <w:szCs w:val="20"/>
                <w:lang w:val="en-GB" w:eastAsia="en-US"/>
              </w:rPr>
              <w:t>Stenella coerueloalba)</w:t>
            </w:r>
          </w:p>
          <w:p w14:paraId="40BA805E" w14:textId="5552DAA1" w:rsidR="00407826" w:rsidRPr="00407826" w:rsidRDefault="00407826" w:rsidP="00407826">
            <w:pPr>
              <w:spacing w:before="0" w:after="0" w:line="240" w:lineRule="auto"/>
              <w:rPr>
                <w:i/>
                <w:sz w:val="20"/>
                <w:szCs w:val="20"/>
                <w:lang w:val="en-GB" w:eastAsia="en-US"/>
              </w:rPr>
            </w:pPr>
            <w:r w:rsidRPr="00407826">
              <w:rPr>
                <w:b/>
                <w:sz w:val="20"/>
                <w:szCs w:val="20"/>
                <w:lang w:val="en-GB" w:eastAsia="en-US"/>
              </w:rPr>
              <w:t>D1C4.1M</w:t>
            </w:r>
            <w:r>
              <w:rPr>
                <w:sz w:val="20"/>
                <w:szCs w:val="20"/>
                <w:lang w:val="en-GB" w:eastAsia="en-US"/>
              </w:rPr>
              <w:t xml:space="preserve">: Rasprostranjenost </w:t>
            </w:r>
            <w:r w:rsidRPr="007C4F00">
              <w:rPr>
                <w:sz w:val="20"/>
                <w:szCs w:val="20"/>
                <w:lang w:val="en-GB" w:eastAsia="en-US"/>
              </w:rPr>
              <w:t xml:space="preserve">običnog </w:t>
            </w:r>
            <w:r>
              <w:rPr>
                <w:sz w:val="20"/>
                <w:szCs w:val="20"/>
                <w:lang w:val="en-GB" w:eastAsia="en-US"/>
              </w:rPr>
              <w:t>kljunastog</w:t>
            </w:r>
            <w:r w:rsidRPr="007C4F00">
              <w:rPr>
                <w:sz w:val="20"/>
                <w:szCs w:val="20"/>
                <w:lang w:val="en-GB" w:eastAsia="en-US"/>
              </w:rPr>
              <w:t xml:space="preserve"> delfina </w:t>
            </w:r>
            <w:r>
              <w:rPr>
                <w:i/>
                <w:sz w:val="20"/>
                <w:szCs w:val="20"/>
                <w:lang w:val="en-GB"/>
              </w:rPr>
              <w:t>Tursiops truncatus</w:t>
            </w:r>
            <w:r w:rsidRPr="005044FF">
              <w:rPr>
                <w:sz w:val="20"/>
                <w:szCs w:val="20"/>
                <w:lang w:val="en-GB"/>
              </w:rPr>
              <w:t xml:space="preserve">) </w:t>
            </w:r>
            <w:r>
              <w:rPr>
                <w:sz w:val="20"/>
                <w:szCs w:val="20"/>
                <w:lang w:val="en-GB"/>
              </w:rPr>
              <w:t xml:space="preserve">i </w:t>
            </w:r>
            <w:r>
              <w:rPr>
                <w:i/>
                <w:sz w:val="20"/>
                <w:szCs w:val="20"/>
                <w:lang w:val="en-GB"/>
              </w:rPr>
              <w:t xml:space="preserve"> </w:t>
            </w:r>
            <w:r w:rsidRPr="007C4F00">
              <w:rPr>
                <w:sz w:val="20"/>
                <w:szCs w:val="20"/>
                <w:lang w:val="en-GB" w:eastAsia="en-US"/>
              </w:rPr>
              <w:t xml:space="preserve">prugastog delfina </w:t>
            </w:r>
            <w:r w:rsidRPr="001C6CCA">
              <w:rPr>
                <w:sz w:val="20"/>
                <w:szCs w:val="20"/>
                <w:lang w:val="en-GB"/>
              </w:rPr>
              <w:t>(</w:t>
            </w:r>
            <w:r>
              <w:rPr>
                <w:i/>
                <w:sz w:val="20"/>
                <w:szCs w:val="20"/>
                <w:lang w:val="en-GB" w:eastAsia="en-US"/>
              </w:rPr>
              <w:t>Stenella coerueloalba)</w:t>
            </w:r>
          </w:p>
          <w:p w14:paraId="2CDE6F32" w14:textId="669A4820" w:rsidR="007C4F00" w:rsidRPr="001C6CCA" w:rsidRDefault="007C4F00" w:rsidP="007C4F00">
            <w:pPr>
              <w:spacing w:before="0" w:after="0" w:line="240" w:lineRule="auto"/>
              <w:rPr>
                <w:sz w:val="20"/>
                <w:szCs w:val="20"/>
                <w:lang w:val="en-GB" w:eastAsia="en-US"/>
              </w:rPr>
            </w:pPr>
          </w:p>
        </w:tc>
        <w:tc>
          <w:tcPr>
            <w:tcW w:w="1083" w:type="dxa"/>
            <w:gridSpan w:val="2"/>
          </w:tcPr>
          <w:p w14:paraId="6C5C9C77" w14:textId="77777777" w:rsidR="00615D4E" w:rsidRPr="001C6CCA" w:rsidRDefault="00615D4E" w:rsidP="00615D4E">
            <w:pPr>
              <w:spacing w:before="0" w:after="0" w:line="240" w:lineRule="auto"/>
              <w:rPr>
                <w:sz w:val="20"/>
                <w:szCs w:val="20"/>
                <w:lang w:val="en-GB" w:eastAsia="en-US"/>
              </w:rPr>
            </w:pPr>
          </w:p>
        </w:tc>
      </w:tr>
    </w:tbl>
    <w:bookmarkEnd w:id="337"/>
    <w:p w14:paraId="5E394EDE" w14:textId="1ED4C5C2" w:rsidR="00E575DD" w:rsidRPr="00596C20" w:rsidRDefault="00596C20" w:rsidP="00596C20">
      <w:pPr>
        <w:tabs>
          <w:tab w:val="left" w:pos="1992"/>
        </w:tabs>
        <w:spacing w:before="0" w:after="0" w:line="259" w:lineRule="auto"/>
        <w:jc w:val="left"/>
        <w:rPr>
          <w:rFonts w:eastAsia="Calibri"/>
          <w:sz w:val="20"/>
          <w:szCs w:val="20"/>
          <w:lang w:val="en-GB" w:eastAsia="en-US"/>
        </w:rPr>
      </w:pPr>
      <w:r>
        <w:rPr>
          <w:rFonts w:eastAsia="Calibri"/>
          <w:sz w:val="20"/>
          <w:szCs w:val="20"/>
          <w:lang w:val="en-GB" w:eastAsia="en-US"/>
        </w:rPr>
        <w:t>*</w:t>
      </w:r>
      <w:r w:rsidRPr="00596C20">
        <w:rPr>
          <w:rFonts w:eastAsia="Calibri"/>
          <w:sz w:val="20"/>
          <w:szCs w:val="20"/>
          <w:lang w:val="en-GB" w:eastAsia="en-US"/>
        </w:rPr>
        <w:t>Mammals (Sisari)</w:t>
      </w:r>
    </w:p>
    <w:p w14:paraId="57939348" w14:textId="012C90A9" w:rsidR="00E575DD" w:rsidRPr="001C6CCA" w:rsidRDefault="00615D4E" w:rsidP="002E5A21">
      <w:pPr>
        <w:pStyle w:val="Heading4"/>
        <w:rPr>
          <w:rFonts w:eastAsia="Calibri"/>
          <w:lang w:val="en-GB"/>
        </w:rPr>
      </w:pPr>
      <w:r>
        <w:rPr>
          <w:rFonts w:eastAsia="Calibri"/>
          <w:lang w:val="en-GB"/>
        </w:rPr>
        <w:t>Nedostaci i razvojne potrebe</w:t>
      </w:r>
    </w:p>
    <w:p w14:paraId="68687EFC" w14:textId="32515B83" w:rsidR="00615D4E" w:rsidRPr="00615D4E" w:rsidRDefault="00CD498F" w:rsidP="00615D4E">
      <w:pPr>
        <w:autoSpaceDE w:val="0"/>
        <w:autoSpaceDN w:val="0"/>
        <w:adjustRightInd w:val="0"/>
        <w:spacing w:before="0" w:after="160"/>
        <w:rPr>
          <w:rFonts w:eastAsia="Calibri" w:cs="Calibri"/>
          <w:color w:val="000000"/>
          <w:szCs w:val="22"/>
          <w:lang w:val="en-GB" w:eastAsia="en-US"/>
        </w:rPr>
      </w:pPr>
      <w:r>
        <w:rPr>
          <w:rFonts w:eastAsia="Calibri" w:cs="Calibri"/>
          <w:color w:val="000000"/>
          <w:szCs w:val="22"/>
          <w:lang w:val="en-GB" w:eastAsia="en-US"/>
        </w:rPr>
        <w:t>N</w:t>
      </w:r>
      <w:r w:rsidR="00615D4E" w:rsidRPr="00615D4E">
        <w:rPr>
          <w:rFonts w:eastAsia="Calibri" w:cs="Calibri"/>
          <w:color w:val="000000"/>
          <w:szCs w:val="22"/>
          <w:lang w:val="en-GB" w:eastAsia="en-US"/>
        </w:rPr>
        <w:t>e postoji sistematsk</w:t>
      </w:r>
      <w:r w:rsidR="000C3199">
        <w:rPr>
          <w:rFonts w:eastAsia="Calibri" w:cs="Calibri"/>
          <w:color w:val="000000"/>
          <w:szCs w:val="22"/>
          <w:lang w:val="en-GB" w:eastAsia="en-US"/>
        </w:rPr>
        <w:t xml:space="preserve">i monitoring sisara na nacionalnom ili na nivou podregiona koji je </w:t>
      </w:r>
      <w:r w:rsidR="00615D4E" w:rsidRPr="00615D4E">
        <w:rPr>
          <w:rFonts w:eastAsia="Calibri" w:cs="Calibri"/>
          <w:color w:val="000000"/>
          <w:szCs w:val="22"/>
          <w:lang w:val="en-GB" w:eastAsia="en-US"/>
        </w:rPr>
        <w:t xml:space="preserve"> neophod</w:t>
      </w:r>
      <w:r w:rsidR="000C3199">
        <w:rPr>
          <w:rFonts w:eastAsia="Calibri" w:cs="Calibri"/>
          <w:color w:val="000000"/>
          <w:szCs w:val="22"/>
          <w:lang w:val="en-GB" w:eastAsia="en-US"/>
        </w:rPr>
        <w:t>an</w:t>
      </w:r>
      <w:r w:rsidR="00615D4E" w:rsidRPr="00615D4E">
        <w:rPr>
          <w:rFonts w:eastAsia="Calibri" w:cs="Calibri"/>
          <w:color w:val="000000"/>
          <w:szCs w:val="22"/>
          <w:lang w:val="en-GB" w:eastAsia="en-US"/>
        </w:rPr>
        <w:t xml:space="preserve"> za pružanje podataka o proc</w:t>
      </w:r>
      <w:r w:rsidR="000C3199">
        <w:rPr>
          <w:rFonts w:eastAsia="Calibri" w:cs="Calibri"/>
          <w:color w:val="000000"/>
          <w:szCs w:val="22"/>
          <w:lang w:val="en-GB" w:eastAsia="en-US"/>
        </w:rPr>
        <w:t>j</w:t>
      </w:r>
      <w:r w:rsidR="00615D4E" w:rsidRPr="00615D4E">
        <w:rPr>
          <w:rFonts w:eastAsia="Calibri" w:cs="Calibri"/>
          <w:color w:val="000000"/>
          <w:szCs w:val="22"/>
          <w:lang w:val="en-GB" w:eastAsia="en-US"/>
        </w:rPr>
        <w:t>eni GES-a u pogledu kriterijuma definisanih Odlukom Komisije 2017/848/EU.</w:t>
      </w:r>
    </w:p>
    <w:p w14:paraId="37FBF1FB" w14:textId="69D58D12" w:rsidR="00615D4E" w:rsidRDefault="000C3199" w:rsidP="00615D4E">
      <w:pPr>
        <w:autoSpaceDE w:val="0"/>
        <w:autoSpaceDN w:val="0"/>
        <w:adjustRightInd w:val="0"/>
        <w:spacing w:before="0" w:after="160"/>
        <w:rPr>
          <w:rFonts w:eastAsia="Calibri" w:cs="Calibri"/>
          <w:color w:val="000000"/>
          <w:szCs w:val="22"/>
          <w:lang w:val="en-GB" w:eastAsia="en-US"/>
        </w:rPr>
      </w:pPr>
      <w:r w:rsidRPr="00CA164E">
        <w:rPr>
          <w:rFonts w:eastAsia="Calibri" w:cs="Calibri"/>
          <w:color w:val="000000"/>
          <w:szCs w:val="22"/>
          <w:lang w:val="en-GB" w:eastAsia="en-US"/>
        </w:rPr>
        <w:t>Potrebno je razviti monitoring</w:t>
      </w:r>
      <w:r w:rsidR="00615D4E" w:rsidRPr="00CA164E">
        <w:rPr>
          <w:rFonts w:eastAsia="Calibri" w:cs="Calibri"/>
          <w:color w:val="000000"/>
          <w:szCs w:val="22"/>
          <w:lang w:val="en-GB" w:eastAsia="en-US"/>
        </w:rPr>
        <w:t xml:space="preserve"> određenih lokacija, strateški popis </w:t>
      </w:r>
      <w:r w:rsidRPr="00CA164E">
        <w:rPr>
          <w:rFonts w:eastAsia="Calibri" w:cs="Calibri"/>
          <w:color w:val="000000"/>
          <w:szCs w:val="22"/>
          <w:lang w:val="en-GB" w:eastAsia="en-US"/>
        </w:rPr>
        <w:t>populacij</w:t>
      </w:r>
      <w:r w:rsidR="00C07C1E" w:rsidRPr="00CA164E">
        <w:rPr>
          <w:rFonts w:eastAsia="Calibri" w:cs="Calibri"/>
          <w:color w:val="000000"/>
          <w:szCs w:val="22"/>
          <w:lang w:val="en-GB" w:eastAsia="en-US"/>
        </w:rPr>
        <w:t>a</w:t>
      </w:r>
      <w:r w:rsidRPr="00CA164E">
        <w:rPr>
          <w:rFonts w:eastAsia="Calibri" w:cs="Calibri"/>
          <w:color w:val="000000"/>
          <w:szCs w:val="22"/>
          <w:lang w:val="en-GB" w:eastAsia="en-US"/>
        </w:rPr>
        <w:t xml:space="preserve"> </w:t>
      </w:r>
      <w:r w:rsidR="00615D4E" w:rsidRPr="00CA164E">
        <w:rPr>
          <w:rFonts w:eastAsia="Calibri" w:cs="Calibri"/>
          <w:color w:val="000000"/>
          <w:szCs w:val="22"/>
          <w:lang w:val="en-GB" w:eastAsia="en-US"/>
        </w:rPr>
        <w:t>i brojnost</w:t>
      </w:r>
      <w:r w:rsidR="00C07C1E" w:rsidRPr="00CA164E">
        <w:rPr>
          <w:rFonts w:eastAsia="Calibri" w:cs="Calibri"/>
          <w:color w:val="000000"/>
          <w:szCs w:val="22"/>
          <w:lang w:val="en-GB" w:eastAsia="en-US"/>
        </w:rPr>
        <w:t>i</w:t>
      </w:r>
      <w:r w:rsidR="00615D4E" w:rsidRPr="00CA164E">
        <w:rPr>
          <w:rFonts w:eastAsia="Calibri" w:cs="Calibri"/>
          <w:color w:val="000000"/>
          <w:szCs w:val="22"/>
          <w:lang w:val="en-GB" w:eastAsia="en-US"/>
        </w:rPr>
        <w:t xml:space="preserve"> </w:t>
      </w:r>
      <w:r w:rsidR="00F74C90" w:rsidRPr="00CA164E">
        <w:rPr>
          <w:rFonts w:eastAsia="Calibri" w:cs="Calibri"/>
          <w:color w:val="000000"/>
          <w:szCs w:val="22"/>
          <w:lang w:val="en-GB" w:eastAsia="en-US"/>
        </w:rPr>
        <w:t>morskih sisara</w:t>
      </w:r>
      <w:r w:rsidR="00615D4E" w:rsidRPr="00CA164E">
        <w:rPr>
          <w:rFonts w:eastAsia="Calibri" w:cs="Calibri"/>
          <w:color w:val="000000"/>
          <w:szCs w:val="22"/>
          <w:lang w:val="en-GB" w:eastAsia="en-US"/>
        </w:rPr>
        <w:t xml:space="preserve"> kako bi se </w:t>
      </w:r>
      <w:r w:rsidRPr="00CA164E">
        <w:rPr>
          <w:rFonts w:eastAsia="Calibri" w:cs="Calibri"/>
          <w:color w:val="000000"/>
          <w:szCs w:val="22"/>
          <w:lang w:val="en-GB" w:eastAsia="en-US"/>
        </w:rPr>
        <w:t xml:space="preserve">ispunili zahtjevi </w:t>
      </w:r>
      <w:r w:rsidR="00615D4E" w:rsidRPr="00CA164E">
        <w:rPr>
          <w:rFonts w:eastAsia="Calibri" w:cs="Calibri"/>
          <w:color w:val="000000"/>
          <w:szCs w:val="22"/>
          <w:lang w:val="en-GB" w:eastAsia="en-US"/>
        </w:rPr>
        <w:t xml:space="preserve">Direktive EU o staništima i </w:t>
      </w:r>
      <w:r w:rsidRPr="00CA164E">
        <w:rPr>
          <w:rFonts w:eastAsia="Calibri" w:cs="Calibri"/>
          <w:color w:val="000000"/>
          <w:szCs w:val="22"/>
          <w:lang w:val="en-GB" w:eastAsia="en-US"/>
        </w:rPr>
        <w:t>ODMS</w:t>
      </w:r>
      <w:r w:rsidR="00615D4E" w:rsidRPr="00CA164E">
        <w:rPr>
          <w:rFonts w:eastAsia="Calibri" w:cs="Calibri"/>
          <w:color w:val="000000"/>
          <w:szCs w:val="22"/>
          <w:lang w:val="en-GB" w:eastAsia="en-US"/>
        </w:rPr>
        <w:t xml:space="preserve">, kao i </w:t>
      </w:r>
      <w:r w:rsidRPr="00CA164E">
        <w:rPr>
          <w:rFonts w:eastAsia="Calibri" w:cs="Calibri"/>
          <w:color w:val="000000"/>
          <w:szCs w:val="22"/>
          <w:lang w:val="en-GB" w:eastAsia="en-US"/>
        </w:rPr>
        <w:t>monitoring</w:t>
      </w:r>
      <w:r w:rsidR="00615D4E" w:rsidRPr="00CA164E">
        <w:rPr>
          <w:rFonts w:eastAsia="Calibri" w:cs="Calibri"/>
          <w:color w:val="000000"/>
          <w:szCs w:val="22"/>
          <w:lang w:val="en-GB" w:eastAsia="en-US"/>
        </w:rPr>
        <w:t xml:space="preserve"> ribolova </w:t>
      </w:r>
      <w:r w:rsidR="00C07C1E" w:rsidRPr="00CA164E">
        <w:rPr>
          <w:rFonts w:eastAsia="Calibri" w:cs="Calibri"/>
          <w:color w:val="000000"/>
          <w:szCs w:val="22"/>
          <w:lang w:val="en-GB" w:eastAsia="en-US"/>
        </w:rPr>
        <w:t xml:space="preserve">statičkim mrežama </w:t>
      </w:r>
      <w:r w:rsidR="00615D4E" w:rsidRPr="00CA164E">
        <w:rPr>
          <w:rFonts w:eastAsia="Calibri" w:cs="Calibri"/>
          <w:color w:val="000000"/>
          <w:szCs w:val="22"/>
          <w:lang w:val="en-GB" w:eastAsia="en-US"/>
        </w:rPr>
        <w:t>tamo gd</w:t>
      </w:r>
      <w:r w:rsidRPr="00CA164E">
        <w:rPr>
          <w:rFonts w:eastAsia="Calibri" w:cs="Calibri"/>
          <w:color w:val="000000"/>
          <w:szCs w:val="22"/>
          <w:lang w:val="en-GB" w:eastAsia="en-US"/>
        </w:rPr>
        <w:t>j</w:t>
      </w:r>
      <w:r w:rsidR="00615D4E" w:rsidRPr="00CA164E">
        <w:rPr>
          <w:rFonts w:eastAsia="Calibri" w:cs="Calibri"/>
          <w:color w:val="000000"/>
          <w:szCs w:val="22"/>
          <w:lang w:val="en-GB" w:eastAsia="en-US"/>
        </w:rPr>
        <w:t xml:space="preserve">e </w:t>
      </w:r>
      <w:r w:rsidRPr="00CA164E">
        <w:rPr>
          <w:rFonts w:eastAsia="Calibri" w:cs="Calibri"/>
          <w:color w:val="000000"/>
          <w:szCs w:val="22"/>
          <w:lang w:val="en-GB" w:eastAsia="en-US"/>
        </w:rPr>
        <w:t>postoji naj</w:t>
      </w:r>
      <w:r w:rsidR="00C415FE" w:rsidRPr="00CA164E">
        <w:rPr>
          <w:rFonts w:eastAsia="Calibri" w:cs="Calibri"/>
          <w:color w:val="000000"/>
          <w:szCs w:val="22"/>
          <w:lang w:val="en-GB" w:eastAsia="en-US"/>
        </w:rPr>
        <w:t xml:space="preserve">veća </w:t>
      </w:r>
      <w:r w:rsidRPr="00CA164E">
        <w:rPr>
          <w:rFonts w:eastAsia="Calibri" w:cs="Calibri"/>
          <w:color w:val="000000"/>
          <w:szCs w:val="22"/>
          <w:lang w:val="en-GB" w:eastAsia="en-US"/>
        </w:rPr>
        <w:t xml:space="preserve">mogućnost </w:t>
      </w:r>
      <w:r w:rsidR="00C415FE" w:rsidRPr="00CA164E">
        <w:rPr>
          <w:rFonts w:eastAsia="Calibri" w:cs="Calibri"/>
          <w:color w:val="000000"/>
          <w:szCs w:val="22"/>
          <w:lang w:val="en-GB" w:eastAsia="en-US"/>
        </w:rPr>
        <w:t>s</w:t>
      </w:r>
      <w:r w:rsidR="004376C7" w:rsidRPr="00CA164E">
        <w:rPr>
          <w:rFonts w:eastAsia="Calibri" w:cs="Calibri"/>
          <w:color w:val="000000"/>
          <w:szCs w:val="22"/>
          <w:lang w:val="en-GB" w:eastAsia="en-US"/>
        </w:rPr>
        <w:t>lučajn</w:t>
      </w:r>
      <w:r w:rsidR="00C415FE" w:rsidRPr="00CA164E">
        <w:rPr>
          <w:rFonts w:eastAsia="Calibri" w:cs="Calibri"/>
          <w:color w:val="000000"/>
          <w:szCs w:val="22"/>
          <w:lang w:val="en-GB" w:eastAsia="en-US"/>
        </w:rPr>
        <w:t>og ulova sisara</w:t>
      </w:r>
      <w:r w:rsidRPr="00CA164E">
        <w:rPr>
          <w:rFonts w:eastAsia="Calibri" w:cs="Calibri"/>
          <w:color w:val="000000"/>
          <w:szCs w:val="22"/>
          <w:lang w:val="en-GB" w:eastAsia="en-US"/>
        </w:rPr>
        <w:t>.</w:t>
      </w:r>
      <w:r w:rsidR="00615D4E" w:rsidRPr="00CA164E">
        <w:rPr>
          <w:rFonts w:eastAsia="Calibri" w:cs="Calibri"/>
          <w:color w:val="000000"/>
          <w:szCs w:val="22"/>
          <w:lang w:val="en-GB" w:eastAsia="en-US"/>
        </w:rPr>
        <w:t xml:space="preserve"> Ovo bi trebalo po</w:t>
      </w:r>
      <w:r w:rsidRPr="00CA164E">
        <w:rPr>
          <w:rFonts w:eastAsia="Calibri" w:cs="Calibri"/>
          <w:color w:val="000000"/>
          <w:szCs w:val="22"/>
          <w:lang w:val="en-GB" w:eastAsia="en-US"/>
        </w:rPr>
        <w:t>držati</w:t>
      </w:r>
      <w:r w:rsidR="00615D4E" w:rsidRPr="00CA164E">
        <w:rPr>
          <w:rFonts w:eastAsia="Calibri" w:cs="Calibri"/>
          <w:color w:val="000000"/>
          <w:szCs w:val="22"/>
          <w:lang w:val="en-GB" w:eastAsia="en-US"/>
        </w:rPr>
        <w:t xml:space="preserve"> istraživanjem </w:t>
      </w:r>
      <w:r w:rsidR="00CA164E" w:rsidRPr="00CA164E">
        <w:rPr>
          <w:rFonts w:eastAsia="Calibri" w:cs="Calibri"/>
          <w:color w:val="000000"/>
          <w:szCs w:val="22"/>
          <w:lang w:val="en-GB" w:eastAsia="en-US"/>
        </w:rPr>
        <w:t>u svrhu o</w:t>
      </w:r>
      <w:r w:rsidR="00615D4E" w:rsidRPr="00CA164E">
        <w:rPr>
          <w:rFonts w:eastAsia="Calibri" w:cs="Calibri"/>
          <w:color w:val="000000"/>
          <w:szCs w:val="22"/>
          <w:lang w:val="en-GB" w:eastAsia="en-US"/>
        </w:rPr>
        <w:t xml:space="preserve">tkrivanja trendova u </w:t>
      </w:r>
      <w:r w:rsidRPr="00CA164E">
        <w:rPr>
          <w:rFonts w:eastAsia="Calibri" w:cs="Calibri"/>
          <w:color w:val="000000"/>
          <w:szCs w:val="22"/>
          <w:lang w:val="en-GB" w:eastAsia="en-US"/>
        </w:rPr>
        <w:t>pogledu rasprostranjenosti</w:t>
      </w:r>
      <w:r w:rsidR="00615D4E" w:rsidRPr="00CA164E">
        <w:rPr>
          <w:rFonts w:eastAsia="Calibri" w:cs="Calibri"/>
          <w:color w:val="000000"/>
          <w:szCs w:val="22"/>
          <w:lang w:val="en-GB" w:eastAsia="en-US"/>
        </w:rPr>
        <w:t xml:space="preserve"> i </w:t>
      </w:r>
      <w:r w:rsidRPr="00CA164E">
        <w:rPr>
          <w:rFonts w:eastAsia="Calibri" w:cs="Calibri"/>
          <w:color w:val="000000"/>
          <w:szCs w:val="22"/>
          <w:lang w:val="en-GB" w:eastAsia="en-US"/>
        </w:rPr>
        <w:t>brojnosti</w:t>
      </w:r>
      <w:r w:rsidR="00615D4E" w:rsidRPr="00CA164E">
        <w:rPr>
          <w:rFonts w:eastAsia="Calibri" w:cs="Calibri"/>
          <w:color w:val="000000"/>
          <w:szCs w:val="22"/>
          <w:lang w:val="en-GB" w:eastAsia="en-US"/>
        </w:rPr>
        <w:t xml:space="preserve"> </w:t>
      </w:r>
      <w:r w:rsidR="00CD498F" w:rsidRPr="00CA164E">
        <w:rPr>
          <w:rFonts w:eastAsia="Calibri" w:cs="Calibri"/>
          <w:color w:val="000000"/>
          <w:szCs w:val="22"/>
          <w:lang w:val="en-GB" w:eastAsia="en-US"/>
        </w:rPr>
        <w:t xml:space="preserve">uobičajeno prisutnih vrsta sisara </w:t>
      </w:r>
      <w:r w:rsidRPr="00CA164E">
        <w:rPr>
          <w:rFonts w:eastAsia="Calibri" w:cs="Calibri"/>
          <w:color w:val="000000"/>
          <w:szCs w:val="22"/>
          <w:lang w:val="en-GB" w:eastAsia="en-US"/>
        </w:rPr>
        <w:t>u Jadranskom moru (obični kljunasti</w:t>
      </w:r>
      <w:r w:rsidR="00615D4E" w:rsidRPr="00CA164E">
        <w:rPr>
          <w:rFonts w:eastAsia="Calibri" w:cs="Calibri"/>
          <w:color w:val="000000"/>
          <w:szCs w:val="22"/>
          <w:lang w:val="en-GB" w:eastAsia="en-US"/>
        </w:rPr>
        <w:t xml:space="preserve"> delfin i prugasti delfin). </w:t>
      </w:r>
      <w:r w:rsidR="00CA164E" w:rsidRPr="00CA164E">
        <w:rPr>
          <w:rFonts w:eastAsia="Calibri" w:cs="Calibri"/>
          <w:color w:val="000000"/>
          <w:szCs w:val="22"/>
          <w:lang w:val="en-GB" w:eastAsia="en-US"/>
        </w:rPr>
        <w:t xml:space="preserve">Navedene </w:t>
      </w:r>
      <w:r w:rsidR="00F74C90" w:rsidRPr="00CA164E">
        <w:rPr>
          <w:rFonts w:eastAsia="Calibri" w:cs="Calibri"/>
          <w:color w:val="000000"/>
          <w:szCs w:val="22"/>
          <w:lang w:val="en-GB" w:eastAsia="en-US"/>
        </w:rPr>
        <w:t>aktivnosti</w:t>
      </w:r>
      <w:r w:rsidR="002E44D7" w:rsidRPr="00CA164E">
        <w:rPr>
          <w:rFonts w:eastAsia="Calibri" w:cs="Calibri"/>
          <w:color w:val="000000"/>
          <w:szCs w:val="22"/>
          <w:lang w:val="en-GB" w:eastAsia="en-US"/>
        </w:rPr>
        <w:t xml:space="preserve"> potrebno je </w:t>
      </w:r>
      <w:r w:rsidR="00615D4E" w:rsidRPr="00CA164E">
        <w:rPr>
          <w:rFonts w:eastAsia="Calibri" w:cs="Calibri"/>
          <w:color w:val="000000"/>
          <w:szCs w:val="22"/>
          <w:lang w:val="en-GB" w:eastAsia="en-US"/>
        </w:rPr>
        <w:t xml:space="preserve">koordinirati na nivou regiona ili </w:t>
      </w:r>
      <w:r w:rsidR="002E44D7" w:rsidRPr="00CA164E">
        <w:rPr>
          <w:rFonts w:eastAsia="Calibri" w:cs="Calibri"/>
          <w:color w:val="000000"/>
          <w:szCs w:val="22"/>
          <w:lang w:val="en-GB" w:eastAsia="en-US"/>
        </w:rPr>
        <w:t>u najmanjoj mjeri na nivou podregiona</w:t>
      </w:r>
      <w:r w:rsidR="00615D4E" w:rsidRPr="00CA164E">
        <w:rPr>
          <w:rFonts w:eastAsia="Calibri" w:cs="Calibri"/>
          <w:color w:val="000000"/>
          <w:szCs w:val="22"/>
          <w:lang w:val="en-GB" w:eastAsia="en-US"/>
        </w:rPr>
        <w:t xml:space="preserve"> (Jadrana). Konačno, potrebno je razviti okvire i metode za proc</w:t>
      </w:r>
      <w:r w:rsidR="002E44D7" w:rsidRPr="00CA164E">
        <w:rPr>
          <w:rFonts w:eastAsia="Calibri" w:cs="Calibri"/>
          <w:color w:val="000000"/>
          <w:szCs w:val="22"/>
          <w:lang w:val="en-GB" w:eastAsia="en-US"/>
        </w:rPr>
        <w:t>j</w:t>
      </w:r>
      <w:r w:rsidR="00615D4E" w:rsidRPr="00CA164E">
        <w:rPr>
          <w:rFonts w:eastAsia="Calibri" w:cs="Calibri"/>
          <w:color w:val="000000"/>
          <w:szCs w:val="22"/>
          <w:lang w:val="en-GB" w:eastAsia="en-US"/>
        </w:rPr>
        <w:t xml:space="preserve">enu stanja zaštite, </w:t>
      </w:r>
      <w:r w:rsidR="00CD498F" w:rsidRPr="00CA164E">
        <w:rPr>
          <w:rFonts w:eastAsia="Calibri" w:cs="Calibri"/>
          <w:color w:val="000000"/>
          <w:szCs w:val="22"/>
          <w:lang w:val="en-GB" w:eastAsia="en-US"/>
        </w:rPr>
        <w:t>defin</w:t>
      </w:r>
      <w:r w:rsidR="006E7A44">
        <w:rPr>
          <w:rFonts w:eastAsia="Calibri" w:cs="Calibri"/>
          <w:color w:val="000000"/>
          <w:szCs w:val="22"/>
          <w:lang w:val="en-GB" w:eastAsia="en-US"/>
        </w:rPr>
        <w:t>isati</w:t>
      </w:r>
      <w:r w:rsidR="00CD498F" w:rsidRPr="00CA164E">
        <w:rPr>
          <w:rFonts w:eastAsia="Calibri" w:cs="Calibri"/>
          <w:color w:val="000000"/>
          <w:szCs w:val="22"/>
          <w:lang w:val="en-GB" w:eastAsia="en-US"/>
        </w:rPr>
        <w:t xml:space="preserve"> </w:t>
      </w:r>
      <w:r w:rsidR="002E44D7" w:rsidRPr="00CA164E">
        <w:rPr>
          <w:rFonts w:eastAsia="Calibri" w:cs="Calibri"/>
          <w:color w:val="000000"/>
          <w:szCs w:val="22"/>
          <w:lang w:val="en-GB" w:eastAsia="en-US"/>
        </w:rPr>
        <w:t>granične vrijednosti</w:t>
      </w:r>
      <w:r w:rsidR="00615D4E" w:rsidRPr="00CA164E">
        <w:rPr>
          <w:rFonts w:eastAsia="Calibri" w:cs="Calibri"/>
          <w:color w:val="000000"/>
          <w:szCs w:val="22"/>
          <w:lang w:val="en-GB" w:eastAsia="en-US"/>
        </w:rPr>
        <w:t xml:space="preserve"> iznad kojih se realno može otkriti prom</w:t>
      </w:r>
      <w:r w:rsidR="002E44D7" w:rsidRPr="00CA164E">
        <w:rPr>
          <w:rFonts w:eastAsia="Calibri" w:cs="Calibri"/>
          <w:color w:val="000000"/>
          <w:szCs w:val="22"/>
          <w:lang w:val="en-GB" w:eastAsia="en-US"/>
        </w:rPr>
        <w:t>j</w:t>
      </w:r>
      <w:r w:rsidR="00615D4E" w:rsidRPr="00CA164E">
        <w:rPr>
          <w:rFonts w:eastAsia="Calibri" w:cs="Calibri"/>
          <w:color w:val="000000"/>
          <w:szCs w:val="22"/>
          <w:lang w:val="en-GB" w:eastAsia="en-US"/>
        </w:rPr>
        <w:t>ena i postaviti osnove za buduće proc</w:t>
      </w:r>
      <w:r w:rsidR="002E44D7" w:rsidRPr="00CA164E">
        <w:rPr>
          <w:rFonts w:eastAsia="Calibri" w:cs="Calibri"/>
          <w:color w:val="000000"/>
          <w:szCs w:val="22"/>
          <w:lang w:val="en-GB" w:eastAsia="en-US"/>
        </w:rPr>
        <w:t>j</w:t>
      </w:r>
      <w:r w:rsidR="00615D4E" w:rsidRPr="00CA164E">
        <w:rPr>
          <w:rFonts w:eastAsia="Calibri" w:cs="Calibri"/>
          <w:color w:val="000000"/>
          <w:szCs w:val="22"/>
          <w:lang w:val="en-GB" w:eastAsia="en-US"/>
        </w:rPr>
        <w:t>ene.</w:t>
      </w:r>
    </w:p>
    <w:p w14:paraId="3F6DEA45" w14:textId="77777777" w:rsidR="006A72D8" w:rsidRPr="001C6CCA" w:rsidRDefault="006A72D8" w:rsidP="00615D4E">
      <w:pPr>
        <w:autoSpaceDE w:val="0"/>
        <w:autoSpaceDN w:val="0"/>
        <w:adjustRightInd w:val="0"/>
        <w:spacing w:before="0" w:after="160"/>
        <w:rPr>
          <w:rFonts w:eastAsia="Calibri" w:cs="Calibri"/>
          <w:color w:val="000000"/>
          <w:szCs w:val="22"/>
          <w:lang w:val="en-GB" w:eastAsia="en-US"/>
        </w:rPr>
      </w:pPr>
    </w:p>
    <w:p w14:paraId="04B044CA" w14:textId="5C1B1015" w:rsidR="00827F10" w:rsidRPr="006A72D8" w:rsidRDefault="002E44D7" w:rsidP="006A72D8">
      <w:pPr>
        <w:pStyle w:val="Heading3"/>
        <w:rPr>
          <w:rFonts w:eastAsia="Calibri"/>
          <w:lang w:val="en-GB"/>
        </w:rPr>
      </w:pPr>
      <w:bookmarkStart w:id="338" w:name="_Toc68180823"/>
      <w:bookmarkStart w:id="339" w:name="_Toc83630973"/>
      <w:r>
        <w:rPr>
          <w:rFonts w:eastAsia="Calibri"/>
          <w:lang w:val="en-GB"/>
        </w:rPr>
        <w:t>Morske kornjače (Morski gmizavci</w:t>
      </w:r>
      <w:r w:rsidR="00923891" w:rsidRPr="001C6CCA">
        <w:rPr>
          <w:rFonts w:eastAsia="Calibri"/>
          <w:lang w:val="en-GB"/>
        </w:rPr>
        <w:t>)</w:t>
      </w:r>
      <w:bookmarkEnd w:id="338"/>
      <w:bookmarkEnd w:id="339"/>
    </w:p>
    <w:p w14:paraId="63ADDC6D" w14:textId="05731191" w:rsidR="006A72D8" w:rsidRPr="006F740E" w:rsidRDefault="00827F10" w:rsidP="003F706B">
      <w:pPr>
        <w:autoSpaceDE w:val="0"/>
        <w:autoSpaceDN w:val="0"/>
        <w:adjustRightInd w:val="0"/>
        <w:spacing w:before="0" w:after="0"/>
        <w:rPr>
          <w:rFonts w:eastAsia="Calibri"/>
          <w:szCs w:val="22"/>
          <w:lang w:val="en-GB" w:eastAsia="en-US"/>
        </w:rPr>
      </w:pPr>
      <w:r>
        <w:rPr>
          <w:rFonts w:eastAsia="Calibri"/>
          <w:lang w:val="sq-AL"/>
        </w:rPr>
        <w:t>U</w:t>
      </w:r>
      <w:r w:rsidRPr="007C51FA">
        <w:rPr>
          <w:rFonts w:eastAsia="Calibri"/>
          <w:lang w:val="sq-AL"/>
        </w:rPr>
        <w:t xml:space="preserve"> teritorijalnim vodama Crne Gore, identifikovano je prisustvo tri vrste morskih kornjača</w:t>
      </w:r>
      <w:r w:rsidRPr="00827F10">
        <w:rPr>
          <w:rFonts w:eastAsia="Calibri"/>
          <w:szCs w:val="22"/>
          <w:lang w:val="en-GB" w:eastAsia="en-US"/>
        </w:rPr>
        <w:t xml:space="preserve">: (i) </w:t>
      </w:r>
      <w:r>
        <w:rPr>
          <w:rFonts w:eastAsia="Calibri"/>
          <w:szCs w:val="22"/>
          <w:lang w:val="en-GB" w:eastAsia="en-US"/>
        </w:rPr>
        <w:t xml:space="preserve">glavata </w:t>
      </w:r>
      <w:r w:rsidRPr="00827F10">
        <w:rPr>
          <w:rFonts w:eastAsia="Calibri"/>
          <w:szCs w:val="22"/>
          <w:lang w:val="en-GB" w:eastAsia="en-US"/>
        </w:rPr>
        <w:t xml:space="preserve">kornjača </w:t>
      </w:r>
      <w:r w:rsidRPr="001C6CCA">
        <w:rPr>
          <w:rFonts w:eastAsia="Calibri" w:cs="Calibri"/>
          <w:color w:val="000000"/>
          <w:szCs w:val="22"/>
          <w:lang w:val="en-GB" w:eastAsia="en-US"/>
        </w:rPr>
        <w:t>(</w:t>
      </w:r>
      <w:r w:rsidRPr="001C6CCA">
        <w:rPr>
          <w:rFonts w:eastAsia="Calibri" w:cs="Calibri"/>
          <w:i/>
          <w:iCs/>
          <w:color w:val="000000"/>
          <w:szCs w:val="22"/>
          <w:lang w:val="en-GB" w:eastAsia="en-US"/>
        </w:rPr>
        <w:t>Caretta caretta</w:t>
      </w:r>
      <w:r w:rsidRPr="001C6CCA">
        <w:rPr>
          <w:rFonts w:eastAsia="Calibri" w:cs="Calibri"/>
          <w:color w:val="000000"/>
          <w:szCs w:val="22"/>
          <w:lang w:val="en-GB" w:eastAsia="en-US"/>
        </w:rPr>
        <w:t xml:space="preserve">); </w:t>
      </w:r>
      <w:r w:rsidRPr="00827F10">
        <w:rPr>
          <w:rFonts w:eastAsia="Calibri"/>
          <w:szCs w:val="22"/>
          <w:lang w:val="en-GB" w:eastAsia="en-US"/>
        </w:rPr>
        <w:t xml:space="preserve">(ii) zelena kornjača </w:t>
      </w:r>
      <w:r w:rsidRPr="001C6CCA">
        <w:rPr>
          <w:rFonts w:eastAsia="Calibri" w:cs="Calibri"/>
          <w:color w:val="000000"/>
          <w:szCs w:val="22"/>
          <w:lang w:val="en-GB" w:eastAsia="en-US"/>
        </w:rPr>
        <w:t>(</w:t>
      </w:r>
      <w:r w:rsidRPr="001C6CCA">
        <w:rPr>
          <w:rFonts w:eastAsia="Calibri" w:cs="Calibri"/>
          <w:i/>
          <w:iCs/>
          <w:color w:val="000000"/>
          <w:szCs w:val="22"/>
          <w:lang w:val="en-GB" w:eastAsia="en-US"/>
        </w:rPr>
        <w:t>Chelonia mydas</w:t>
      </w:r>
      <w:r w:rsidRPr="001C6CCA">
        <w:rPr>
          <w:rFonts w:eastAsia="Calibri" w:cs="Calibri"/>
          <w:color w:val="000000"/>
          <w:szCs w:val="22"/>
          <w:lang w:val="en-GB" w:eastAsia="en-US"/>
        </w:rPr>
        <w:t xml:space="preserve">); </w:t>
      </w:r>
      <w:r w:rsidRPr="00827F10">
        <w:rPr>
          <w:rFonts w:eastAsia="Calibri"/>
          <w:szCs w:val="22"/>
          <w:lang w:val="en-GB" w:eastAsia="en-US"/>
        </w:rPr>
        <w:t xml:space="preserve">i (iii) </w:t>
      </w:r>
      <w:r>
        <w:rPr>
          <w:rFonts w:eastAsia="Calibri"/>
          <w:szCs w:val="22"/>
          <w:lang w:val="en-GB" w:eastAsia="en-US"/>
        </w:rPr>
        <w:t xml:space="preserve">džinovska </w:t>
      </w:r>
      <w:r w:rsidRPr="00827F10">
        <w:rPr>
          <w:rFonts w:eastAsia="Calibri"/>
          <w:szCs w:val="22"/>
          <w:lang w:val="en-GB" w:eastAsia="en-US"/>
        </w:rPr>
        <w:t xml:space="preserve">kožasta kornjača </w:t>
      </w:r>
      <w:r>
        <w:rPr>
          <w:rFonts w:eastAsia="Calibri"/>
          <w:szCs w:val="22"/>
          <w:lang w:val="en-GB" w:eastAsia="en-US"/>
        </w:rPr>
        <w:t xml:space="preserve"> </w:t>
      </w:r>
      <w:r w:rsidRPr="001C6CCA">
        <w:rPr>
          <w:rFonts w:eastAsia="Calibri" w:cs="Calibri"/>
          <w:color w:val="000000"/>
          <w:szCs w:val="22"/>
          <w:lang w:val="en-GB" w:eastAsia="en-US"/>
        </w:rPr>
        <w:t>(</w:t>
      </w:r>
      <w:r w:rsidRPr="001C6CCA">
        <w:rPr>
          <w:rFonts w:eastAsia="Calibri" w:cs="Calibri"/>
          <w:i/>
          <w:iCs/>
          <w:color w:val="000000"/>
          <w:szCs w:val="22"/>
          <w:lang w:val="en-GB" w:eastAsia="en-US"/>
        </w:rPr>
        <w:t>Dermochelys coriacea</w:t>
      </w:r>
      <w:r w:rsidRPr="001C6CCA">
        <w:rPr>
          <w:rFonts w:eastAsia="Calibri" w:cs="Calibri"/>
          <w:color w:val="000000"/>
          <w:szCs w:val="22"/>
          <w:lang w:val="en-GB" w:eastAsia="en-US"/>
        </w:rPr>
        <w:t xml:space="preserve">).  </w:t>
      </w:r>
      <w:r>
        <w:rPr>
          <w:rFonts w:eastAsia="Calibri"/>
          <w:szCs w:val="22"/>
          <w:lang w:val="en-GB" w:eastAsia="en-US"/>
        </w:rPr>
        <w:t xml:space="preserve"> </w:t>
      </w:r>
      <w:r w:rsidRPr="00827F10">
        <w:rPr>
          <w:rFonts w:eastAsia="Calibri"/>
          <w:szCs w:val="22"/>
          <w:lang w:val="en-GB" w:eastAsia="en-US"/>
        </w:rPr>
        <w:t>Zbog relativno velik</w:t>
      </w:r>
      <w:r>
        <w:rPr>
          <w:rFonts w:eastAsia="Calibri"/>
          <w:szCs w:val="22"/>
          <w:lang w:val="en-GB" w:eastAsia="en-US"/>
        </w:rPr>
        <w:t>e brojnosti</w:t>
      </w:r>
      <w:r w:rsidRPr="00827F10">
        <w:rPr>
          <w:rFonts w:eastAsia="Calibri"/>
          <w:szCs w:val="22"/>
          <w:lang w:val="en-GB" w:eastAsia="en-US"/>
        </w:rPr>
        <w:t xml:space="preserve"> i prisustva u gotovo </w:t>
      </w:r>
      <w:r w:rsidR="00C2087C">
        <w:rPr>
          <w:rFonts w:eastAsia="Calibri"/>
          <w:szCs w:val="22"/>
          <w:lang w:val="en-GB" w:eastAsia="en-US"/>
        </w:rPr>
        <w:t>svakom</w:t>
      </w:r>
      <w:r w:rsidRPr="00827F10">
        <w:rPr>
          <w:rFonts w:eastAsia="Calibri"/>
          <w:szCs w:val="22"/>
          <w:lang w:val="en-GB" w:eastAsia="en-US"/>
        </w:rPr>
        <w:t xml:space="preserve"> d</w:t>
      </w:r>
      <w:r>
        <w:rPr>
          <w:rFonts w:eastAsia="Calibri"/>
          <w:szCs w:val="22"/>
          <w:lang w:val="en-GB" w:eastAsia="en-US"/>
        </w:rPr>
        <w:t>ij</w:t>
      </w:r>
      <w:r w:rsidRPr="00827F10">
        <w:rPr>
          <w:rFonts w:eastAsia="Calibri"/>
          <w:szCs w:val="22"/>
          <w:lang w:val="en-GB" w:eastAsia="en-US"/>
        </w:rPr>
        <w:t xml:space="preserve">elu Jadranskog mora, kao i </w:t>
      </w:r>
      <w:r w:rsidR="00C2087C">
        <w:rPr>
          <w:rFonts w:eastAsia="Calibri"/>
          <w:szCs w:val="22"/>
          <w:lang w:val="en-GB" w:eastAsia="en-US"/>
        </w:rPr>
        <w:t>uvrštenja u</w:t>
      </w:r>
      <w:r w:rsidRPr="00827F10">
        <w:rPr>
          <w:rFonts w:eastAsia="Calibri"/>
          <w:szCs w:val="22"/>
          <w:lang w:val="en-GB" w:eastAsia="en-US"/>
        </w:rPr>
        <w:t xml:space="preserve"> spis</w:t>
      </w:r>
      <w:r w:rsidR="00C2087C">
        <w:rPr>
          <w:rFonts w:eastAsia="Calibri"/>
          <w:szCs w:val="22"/>
          <w:lang w:val="en-GB" w:eastAsia="en-US"/>
        </w:rPr>
        <w:t>a</w:t>
      </w:r>
      <w:r w:rsidRPr="00827F10">
        <w:rPr>
          <w:rFonts w:eastAsia="Calibri"/>
          <w:szCs w:val="22"/>
          <w:lang w:val="en-GB" w:eastAsia="en-US"/>
        </w:rPr>
        <w:t xml:space="preserve">k zaštićenih vrsta, </w:t>
      </w:r>
      <w:r>
        <w:rPr>
          <w:rFonts w:eastAsia="Calibri"/>
          <w:szCs w:val="22"/>
          <w:lang w:val="en-GB" w:eastAsia="en-US"/>
        </w:rPr>
        <w:t xml:space="preserve">glavata </w:t>
      </w:r>
      <w:r w:rsidRPr="00827F10">
        <w:rPr>
          <w:rFonts w:eastAsia="Calibri"/>
          <w:szCs w:val="22"/>
          <w:lang w:val="en-GB" w:eastAsia="en-US"/>
        </w:rPr>
        <w:t xml:space="preserve">kornjača </w:t>
      </w:r>
      <w:r w:rsidRPr="001C6CCA">
        <w:rPr>
          <w:rFonts w:eastAsia="Calibri" w:cs="Calibri"/>
          <w:color w:val="000000"/>
          <w:szCs w:val="22"/>
          <w:lang w:val="en-GB" w:eastAsia="en-US"/>
        </w:rPr>
        <w:t>(</w:t>
      </w:r>
      <w:r w:rsidRPr="001C6CCA">
        <w:rPr>
          <w:rFonts w:eastAsia="Calibri" w:cs="Calibri"/>
          <w:i/>
          <w:iCs/>
          <w:color w:val="000000"/>
          <w:szCs w:val="22"/>
          <w:lang w:val="en-GB" w:eastAsia="en-US"/>
        </w:rPr>
        <w:t>Caretta caretta</w:t>
      </w:r>
      <w:r w:rsidRPr="001C6CCA">
        <w:rPr>
          <w:rFonts w:eastAsia="Calibri" w:cs="Calibri"/>
          <w:color w:val="000000"/>
          <w:szCs w:val="22"/>
          <w:lang w:val="en-GB" w:eastAsia="en-US"/>
        </w:rPr>
        <w:t>)</w:t>
      </w:r>
      <w:r>
        <w:rPr>
          <w:rFonts w:eastAsia="Calibri" w:cs="Calibri"/>
          <w:color w:val="000000"/>
          <w:szCs w:val="22"/>
          <w:lang w:val="en-GB" w:eastAsia="en-US"/>
        </w:rPr>
        <w:t xml:space="preserve"> </w:t>
      </w:r>
      <w:r w:rsidRPr="00827F10">
        <w:rPr>
          <w:rFonts w:eastAsia="Calibri"/>
          <w:szCs w:val="22"/>
          <w:lang w:val="en-GB" w:eastAsia="en-US"/>
        </w:rPr>
        <w:t>je pogodna komponenta za proc</w:t>
      </w:r>
      <w:r>
        <w:rPr>
          <w:rFonts w:eastAsia="Calibri"/>
          <w:szCs w:val="22"/>
          <w:lang w:val="en-GB" w:eastAsia="en-US"/>
        </w:rPr>
        <w:t>j</w:t>
      </w:r>
      <w:r w:rsidRPr="00827F10">
        <w:rPr>
          <w:rFonts w:eastAsia="Calibri"/>
          <w:szCs w:val="22"/>
          <w:lang w:val="en-GB" w:eastAsia="en-US"/>
        </w:rPr>
        <w:t xml:space="preserve">enu i </w:t>
      </w:r>
      <w:r>
        <w:rPr>
          <w:rFonts w:eastAsia="Calibri"/>
          <w:szCs w:val="22"/>
          <w:lang w:val="en-GB" w:eastAsia="en-US"/>
        </w:rPr>
        <w:t>monitoring</w:t>
      </w:r>
      <w:r w:rsidRPr="00827F10">
        <w:rPr>
          <w:rFonts w:eastAsia="Calibri"/>
          <w:szCs w:val="22"/>
          <w:lang w:val="en-GB" w:eastAsia="en-US"/>
        </w:rPr>
        <w:t xml:space="preserve"> GES-a.</w:t>
      </w:r>
    </w:p>
    <w:p w14:paraId="220985D9" w14:textId="71EF54BC" w:rsidR="00BA51DD" w:rsidRPr="006C7C81" w:rsidRDefault="00864B0C" w:rsidP="006C7C81">
      <w:pPr>
        <w:pStyle w:val="Heading4"/>
        <w:ind w:left="862" w:hanging="862"/>
        <w:rPr>
          <w:lang w:val="en-GB"/>
        </w:rPr>
      </w:pPr>
      <w:r>
        <w:rPr>
          <w:lang w:val="en-GB"/>
        </w:rPr>
        <w:t>Relevantni p</w:t>
      </w:r>
      <w:r w:rsidR="00E575DD" w:rsidRPr="006C7C81">
        <w:rPr>
          <w:lang w:val="en-GB"/>
        </w:rPr>
        <w:t>r</w:t>
      </w:r>
      <w:r w:rsidR="000C3199" w:rsidRPr="006C7C81">
        <w:rPr>
          <w:lang w:val="en-GB"/>
        </w:rPr>
        <w:t>itisci i uticaji</w:t>
      </w:r>
    </w:p>
    <w:p w14:paraId="393B926A" w14:textId="20389172" w:rsidR="00827F10" w:rsidRPr="00827F10" w:rsidRDefault="00827F10" w:rsidP="00827F10">
      <w:pPr>
        <w:autoSpaceDE w:val="0"/>
        <w:autoSpaceDN w:val="0"/>
        <w:adjustRightInd w:val="0"/>
        <w:spacing w:before="0" w:after="160"/>
        <w:rPr>
          <w:rFonts w:eastAsia="Calibri" w:cs="Calibri"/>
          <w:color w:val="000000"/>
          <w:szCs w:val="22"/>
          <w:lang w:val="en-GB" w:eastAsia="en-US"/>
        </w:rPr>
      </w:pPr>
      <w:r w:rsidRPr="00827F10">
        <w:rPr>
          <w:rFonts w:eastAsia="Calibri" w:cs="Calibri"/>
          <w:color w:val="000000"/>
          <w:szCs w:val="22"/>
          <w:lang w:val="en-GB" w:eastAsia="en-US"/>
        </w:rPr>
        <w:t xml:space="preserve">Najznačajniji pritisci na morske kornjače u Jadranskom moru </w:t>
      </w:r>
      <w:r w:rsidR="006C7C81">
        <w:rPr>
          <w:rFonts w:eastAsia="Calibri" w:cs="Calibri"/>
          <w:color w:val="000000"/>
          <w:szCs w:val="22"/>
          <w:lang w:val="en-GB" w:eastAsia="en-US"/>
        </w:rPr>
        <w:t>odnose se na uplitanje u ribarsku opremu, posebno kada je riječ o obalnom ribarstvu</w:t>
      </w:r>
      <w:r w:rsidR="00EA36D8">
        <w:rPr>
          <w:rFonts w:eastAsia="Calibri" w:cs="Calibri"/>
          <w:color w:val="000000"/>
          <w:szCs w:val="22"/>
          <w:lang w:val="en-GB" w:eastAsia="en-US"/>
        </w:rPr>
        <w:t>,</w:t>
      </w:r>
      <w:r w:rsidR="006C7C81">
        <w:rPr>
          <w:rFonts w:eastAsia="Calibri" w:cs="Calibri"/>
          <w:color w:val="000000"/>
          <w:szCs w:val="22"/>
          <w:lang w:val="en-GB" w:eastAsia="en-US"/>
        </w:rPr>
        <w:t xml:space="preserve"> </w:t>
      </w:r>
      <w:r w:rsidR="00C2087C">
        <w:rPr>
          <w:rFonts w:eastAsia="Calibri" w:cs="Calibri"/>
          <w:color w:val="000000"/>
          <w:szCs w:val="22"/>
          <w:lang w:val="en-GB" w:eastAsia="en-US"/>
        </w:rPr>
        <w:t>te</w:t>
      </w:r>
      <w:r w:rsidR="006C7C81">
        <w:rPr>
          <w:rFonts w:eastAsia="Calibri" w:cs="Calibri"/>
          <w:color w:val="000000"/>
          <w:szCs w:val="22"/>
          <w:lang w:val="en-GB" w:eastAsia="en-US"/>
        </w:rPr>
        <w:t xml:space="preserve"> gutanje</w:t>
      </w:r>
      <w:r w:rsidRPr="00827F10">
        <w:rPr>
          <w:rFonts w:eastAsia="Calibri" w:cs="Calibri"/>
          <w:color w:val="000000"/>
          <w:szCs w:val="22"/>
          <w:lang w:val="en-GB" w:eastAsia="en-US"/>
        </w:rPr>
        <w:t xml:space="preserve"> plastičnog otpada. Veličina uticaja ovih pritisaka na status očuvanja kornjača trenutno se ne može proc</w:t>
      </w:r>
      <w:r w:rsidR="006C7C81">
        <w:rPr>
          <w:rFonts w:eastAsia="Calibri" w:cs="Calibri"/>
          <w:color w:val="000000"/>
          <w:szCs w:val="22"/>
          <w:lang w:val="en-GB" w:eastAsia="en-US"/>
        </w:rPr>
        <w:t>ij</w:t>
      </w:r>
      <w:r w:rsidRPr="00827F10">
        <w:rPr>
          <w:rFonts w:eastAsia="Calibri" w:cs="Calibri"/>
          <w:color w:val="000000"/>
          <w:szCs w:val="22"/>
          <w:lang w:val="en-GB" w:eastAsia="en-US"/>
        </w:rPr>
        <w:t>eniti zbog nedostatka podataka.</w:t>
      </w:r>
    </w:p>
    <w:p w14:paraId="5C7241F6" w14:textId="0D92E542" w:rsidR="0052449C" w:rsidRPr="001C6CCA" w:rsidRDefault="00827F10" w:rsidP="00827F10">
      <w:pPr>
        <w:autoSpaceDE w:val="0"/>
        <w:autoSpaceDN w:val="0"/>
        <w:adjustRightInd w:val="0"/>
        <w:spacing w:before="0" w:after="160"/>
        <w:rPr>
          <w:rFonts w:eastAsia="Calibri" w:cs="Calibri"/>
          <w:color w:val="000000"/>
          <w:szCs w:val="22"/>
          <w:lang w:val="en-GB" w:eastAsia="en-US"/>
        </w:rPr>
      </w:pPr>
      <w:r w:rsidRPr="00827F10">
        <w:rPr>
          <w:rFonts w:eastAsia="Calibri" w:cs="Calibri"/>
          <w:color w:val="000000"/>
          <w:szCs w:val="22"/>
          <w:lang w:val="en-GB" w:eastAsia="en-US"/>
        </w:rPr>
        <w:t>Uticaj klimatskih prom</w:t>
      </w:r>
      <w:r w:rsidR="006C7C81">
        <w:rPr>
          <w:rFonts w:eastAsia="Calibri" w:cs="Calibri"/>
          <w:color w:val="000000"/>
          <w:szCs w:val="22"/>
          <w:lang w:val="en-GB" w:eastAsia="en-US"/>
        </w:rPr>
        <w:t>j</w:t>
      </w:r>
      <w:r w:rsidRPr="00827F10">
        <w:rPr>
          <w:rFonts w:eastAsia="Calibri" w:cs="Calibri"/>
          <w:color w:val="000000"/>
          <w:szCs w:val="22"/>
          <w:lang w:val="en-GB" w:eastAsia="en-US"/>
        </w:rPr>
        <w:t xml:space="preserve">ena na kornjače u vodama Jadrana </w:t>
      </w:r>
      <w:r w:rsidR="00354716">
        <w:rPr>
          <w:rFonts w:eastAsia="Calibri" w:cs="Calibri"/>
          <w:color w:val="000000"/>
          <w:szCs w:val="22"/>
          <w:lang w:val="en-GB" w:eastAsia="en-US"/>
        </w:rPr>
        <w:t xml:space="preserve">je </w:t>
      </w:r>
      <w:r w:rsidR="00245C60">
        <w:rPr>
          <w:rFonts w:eastAsia="Calibri" w:cs="Calibri"/>
          <w:color w:val="000000"/>
          <w:szCs w:val="22"/>
          <w:lang w:val="en-GB" w:eastAsia="en-US"/>
        </w:rPr>
        <w:t xml:space="preserve">još uvijek </w:t>
      </w:r>
      <w:r w:rsidR="00354716">
        <w:rPr>
          <w:rFonts w:eastAsia="Calibri" w:cs="Calibri"/>
          <w:color w:val="000000"/>
          <w:szCs w:val="22"/>
          <w:lang w:val="en-GB" w:eastAsia="en-US"/>
        </w:rPr>
        <w:t>nepredvid</w:t>
      </w:r>
      <w:r w:rsidR="006E7A44">
        <w:rPr>
          <w:rFonts w:eastAsia="Calibri" w:cs="Calibri"/>
          <w:color w:val="000000"/>
          <w:szCs w:val="22"/>
          <w:lang w:val="en-GB" w:eastAsia="en-US"/>
        </w:rPr>
        <w:t>ljiv</w:t>
      </w:r>
      <w:r w:rsidR="00245C60">
        <w:rPr>
          <w:rFonts w:eastAsia="Calibri" w:cs="Calibri"/>
          <w:color w:val="000000"/>
          <w:szCs w:val="22"/>
          <w:lang w:val="en-GB" w:eastAsia="en-US"/>
        </w:rPr>
        <w:t>.</w:t>
      </w:r>
      <w:r w:rsidRPr="00827F10">
        <w:rPr>
          <w:rFonts w:eastAsia="Calibri" w:cs="Calibri"/>
          <w:color w:val="000000"/>
          <w:szCs w:val="22"/>
          <w:lang w:val="en-GB" w:eastAsia="en-US"/>
        </w:rPr>
        <w:t xml:space="preserve"> Porast temperature mora mogao </w:t>
      </w:r>
      <w:r w:rsidRPr="00245C60">
        <w:rPr>
          <w:rFonts w:eastAsia="Calibri" w:cs="Calibri"/>
          <w:color w:val="000000"/>
          <w:szCs w:val="22"/>
          <w:lang w:val="en-GB" w:eastAsia="en-US"/>
        </w:rPr>
        <w:t>bi rezultirati širenjem raspona na</w:t>
      </w:r>
      <w:r w:rsidRPr="00827F10">
        <w:rPr>
          <w:rFonts w:eastAsia="Calibri" w:cs="Calibri"/>
          <w:color w:val="000000"/>
          <w:szCs w:val="22"/>
          <w:lang w:val="en-GB" w:eastAsia="en-US"/>
        </w:rPr>
        <w:t xml:space="preserve"> visokim geografskim širinama, ali takođe može negativno uticati</w:t>
      </w:r>
      <w:r w:rsidR="006C7C81" w:rsidRPr="006C7C81">
        <w:rPr>
          <w:rFonts w:eastAsia="Calibri" w:cs="Calibri"/>
          <w:color w:val="000000"/>
          <w:szCs w:val="22"/>
          <w:lang w:val="en-GB" w:eastAsia="en-US"/>
        </w:rPr>
        <w:t xml:space="preserve"> </w:t>
      </w:r>
      <w:r w:rsidR="006C7C81" w:rsidRPr="00827F10">
        <w:rPr>
          <w:rFonts w:eastAsia="Calibri" w:cs="Calibri"/>
          <w:color w:val="000000"/>
          <w:szCs w:val="22"/>
          <w:lang w:val="en-GB" w:eastAsia="en-US"/>
        </w:rPr>
        <w:t>na ukupnu veličinu populacije</w:t>
      </w:r>
      <w:r w:rsidRPr="00827F10">
        <w:rPr>
          <w:rFonts w:eastAsia="Calibri" w:cs="Calibri"/>
          <w:color w:val="000000"/>
          <w:szCs w:val="22"/>
          <w:lang w:val="en-GB" w:eastAsia="en-US"/>
        </w:rPr>
        <w:t>.</w:t>
      </w:r>
    </w:p>
    <w:p w14:paraId="098E4375" w14:textId="3CF8DD85" w:rsidR="00B85F63" w:rsidRPr="001C6CCA" w:rsidRDefault="00B85F63" w:rsidP="00B85F63">
      <w:pPr>
        <w:pStyle w:val="Heading4"/>
        <w:rPr>
          <w:lang w:val="en-GB"/>
        </w:rPr>
      </w:pPr>
      <w:r w:rsidRPr="00373F35">
        <w:rPr>
          <w:lang w:val="en-GB"/>
        </w:rPr>
        <w:t xml:space="preserve">Rezime </w:t>
      </w:r>
      <w:r w:rsidR="00864B0C">
        <w:rPr>
          <w:lang w:val="en-GB"/>
        </w:rPr>
        <w:t>stanja morskih kornjača na osnovu P</w:t>
      </w:r>
      <w:r w:rsidRPr="00373F35">
        <w:rPr>
          <w:lang w:val="en-GB"/>
        </w:rPr>
        <w:t>očetne proc</w:t>
      </w:r>
      <w:r>
        <w:rPr>
          <w:lang w:val="en-GB"/>
        </w:rPr>
        <w:t>j</w:t>
      </w:r>
      <w:r w:rsidRPr="00373F35">
        <w:rPr>
          <w:lang w:val="en-GB"/>
        </w:rPr>
        <w:t>ene</w:t>
      </w:r>
    </w:p>
    <w:p w14:paraId="690AEDF0" w14:textId="0FFDA7A6" w:rsidR="000178D4" w:rsidRPr="001C6CCA" w:rsidRDefault="00827F10" w:rsidP="00AA6D51">
      <w:pPr>
        <w:autoSpaceDE w:val="0"/>
        <w:autoSpaceDN w:val="0"/>
        <w:adjustRightInd w:val="0"/>
        <w:spacing w:before="0" w:after="160"/>
        <w:rPr>
          <w:rFonts w:eastAsia="Calibri" w:cs="Calibri"/>
          <w:color w:val="000000"/>
          <w:szCs w:val="22"/>
          <w:lang w:val="en-GB" w:eastAsia="en-US"/>
        </w:rPr>
      </w:pPr>
      <w:r w:rsidRPr="00EF5041">
        <w:rPr>
          <w:rFonts w:eastAsia="Calibri" w:cs="Calibri"/>
          <w:color w:val="000000"/>
          <w:szCs w:val="22"/>
          <w:lang w:val="en-GB" w:eastAsia="en-US"/>
        </w:rPr>
        <w:t>S</w:t>
      </w:r>
      <w:r w:rsidR="006C7C81" w:rsidRPr="00EF5041">
        <w:rPr>
          <w:rFonts w:eastAsia="Calibri" w:cs="Calibri"/>
          <w:color w:val="000000"/>
          <w:szCs w:val="22"/>
          <w:lang w:val="en-GB" w:eastAsia="en-US"/>
        </w:rPr>
        <w:t>j</w:t>
      </w:r>
      <w:r w:rsidRPr="00EF5041">
        <w:rPr>
          <w:rFonts w:eastAsia="Calibri" w:cs="Calibri"/>
          <w:color w:val="000000"/>
          <w:szCs w:val="22"/>
          <w:lang w:val="en-GB" w:eastAsia="en-US"/>
        </w:rPr>
        <w:t>everni i srednji Jadran predstavljaju neka od najvećih ner</w:t>
      </w:r>
      <w:r w:rsidR="006C7C81" w:rsidRPr="00EF5041">
        <w:rPr>
          <w:rFonts w:eastAsia="Calibri" w:cs="Calibri"/>
          <w:color w:val="000000"/>
          <w:szCs w:val="22"/>
          <w:lang w:val="en-GB" w:eastAsia="en-US"/>
        </w:rPr>
        <w:t>itskih</w:t>
      </w:r>
      <w:r w:rsidRPr="00EF5041">
        <w:rPr>
          <w:rFonts w:eastAsia="Calibri" w:cs="Calibri"/>
          <w:color w:val="000000"/>
          <w:szCs w:val="22"/>
          <w:lang w:val="en-GB" w:eastAsia="en-US"/>
        </w:rPr>
        <w:t xml:space="preserve"> staništa, a pelagična staništa su prisutna u d</w:t>
      </w:r>
      <w:r w:rsidR="006C7C81" w:rsidRPr="00EF5041">
        <w:rPr>
          <w:rFonts w:eastAsia="Calibri" w:cs="Calibri"/>
          <w:color w:val="000000"/>
          <w:szCs w:val="22"/>
          <w:lang w:val="en-GB" w:eastAsia="en-US"/>
        </w:rPr>
        <w:t>ij</w:t>
      </w:r>
      <w:r w:rsidRPr="00EF5041">
        <w:rPr>
          <w:rFonts w:eastAsia="Calibri" w:cs="Calibri"/>
          <w:color w:val="000000"/>
          <w:szCs w:val="22"/>
          <w:lang w:val="en-GB" w:eastAsia="en-US"/>
        </w:rPr>
        <w:t xml:space="preserve">elovima Jonskog i južnog Jadranskog mora </w:t>
      </w:r>
      <w:r w:rsidR="006C7C81" w:rsidRPr="00EF5041">
        <w:rPr>
          <w:rFonts w:eastAsia="Calibri" w:cs="Calibri"/>
          <w:color w:val="000000"/>
          <w:szCs w:val="22"/>
          <w:lang w:val="en-GB" w:eastAsia="en-US"/>
        </w:rPr>
        <w:t>(UNEP/MAP-RAC/SPA, 2015</w:t>
      </w:r>
      <w:r w:rsidR="006C7C81" w:rsidRPr="00EF5041">
        <w:rPr>
          <w:rFonts w:eastAsia="Calibri" w:cs="Calibri"/>
          <w:color w:val="000000"/>
          <w:szCs w:val="22"/>
          <w:vertAlign w:val="superscript"/>
          <w:lang w:val="en-GB" w:eastAsia="en-US"/>
        </w:rPr>
        <w:footnoteReference w:id="67"/>
      </w:r>
      <w:r w:rsidR="006C7C81" w:rsidRPr="00EF5041">
        <w:rPr>
          <w:rFonts w:eastAsia="Calibri" w:cs="Calibri"/>
          <w:color w:val="000000"/>
          <w:szCs w:val="22"/>
          <w:lang w:val="en-GB" w:eastAsia="en-US"/>
        </w:rPr>
        <w:t xml:space="preserve">). </w:t>
      </w:r>
      <w:r w:rsidR="003B263A" w:rsidRPr="00EF5041">
        <w:rPr>
          <w:rFonts w:eastAsia="Calibri" w:cs="Calibri"/>
          <w:color w:val="000000"/>
          <w:szCs w:val="22"/>
          <w:lang w:val="en-GB" w:eastAsia="en-US"/>
        </w:rPr>
        <w:t>Nadalje</w:t>
      </w:r>
      <w:r w:rsidRPr="00EF5041">
        <w:rPr>
          <w:rFonts w:eastAsia="Calibri" w:cs="Calibri"/>
          <w:color w:val="000000"/>
          <w:szCs w:val="22"/>
          <w:lang w:val="en-GB" w:eastAsia="en-US"/>
        </w:rPr>
        <w:t xml:space="preserve">, nedavna istraživanja pokazala su da </w:t>
      </w:r>
      <w:r w:rsidR="00392811" w:rsidRPr="00EF5041">
        <w:rPr>
          <w:rFonts w:eastAsia="Calibri"/>
          <w:szCs w:val="22"/>
          <w:lang w:val="en-GB" w:eastAsia="en-US"/>
        </w:rPr>
        <w:t>glavate kornjače</w:t>
      </w:r>
      <w:r w:rsidR="00392811" w:rsidRPr="00EF5041">
        <w:rPr>
          <w:rFonts w:eastAsia="Calibri" w:cs="Calibri"/>
          <w:color w:val="000000"/>
          <w:szCs w:val="22"/>
          <w:lang w:val="en-GB" w:eastAsia="en-US"/>
        </w:rPr>
        <w:t xml:space="preserve"> </w:t>
      </w:r>
      <w:r w:rsidRPr="00EF5041">
        <w:rPr>
          <w:rFonts w:eastAsia="Calibri" w:cs="Calibri"/>
          <w:color w:val="000000"/>
          <w:szCs w:val="22"/>
          <w:lang w:val="en-GB" w:eastAsia="en-US"/>
        </w:rPr>
        <w:t xml:space="preserve">koje naseljavaju Jadran dominantno pripadaju grčkoj </w:t>
      </w:r>
      <w:r w:rsidR="00392811" w:rsidRPr="00EF5041">
        <w:rPr>
          <w:rFonts w:eastAsia="Calibri" w:cs="Calibri"/>
          <w:color w:val="000000"/>
          <w:szCs w:val="22"/>
          <w:lang w:val="en-GB" w:eastAsia="en-US"/>
        </w:rPr>
        <w:t>populaciji kornjača</w:t>
      </w:r>
      <w:r w:rsidRPr="00EF5041">
        <w:rPr>
          <w:rFonts w:eastAsia="Calibri" w:cs="Calibri"/>
          <w:color w:val="000000"/>
          <w:szCs w:val="22"/>
          <w:lang w:val="en-GB" w:eastAsia="en-US"/>
        </w:rPr>
        <w:t xml:space="preserve"> (75%). Ne postoje podaci o aktivnosti </w:t>
      </w:r>
      <w:r w:rsidR="00354716" w:rsidRPr="00EF5041">
        <w:rPr>
          <w:rFonts w:eastAsia="Calibri" w:cs="Calibri"/>
          <w:color w:val="000000"/>
          <w:szCs w:val="22"/>
          <w:lang w:val="en-GB" w:eastAsia="en-US"/>
        </w:rPr>
        <w:t xml:space="preserve">njihovog </w:t>
      </w:r>
      <w:r w:rsidRPr="00EF5041">
        <w:rPr>
          <w:rFonts w:eastAsia="Calibri" w:cs="Calibri"/>
          <w:color w:val="000000"/>
          <w:szCs w:val="22"/>
          <w:lang w:val="en-GB" w:eastAsia="en-US"/>
        </w:rPr>
        <w:t>gn</w:t>
      </w:r>
      <w:r w:rsidR="00392811" w:rsidRPr="00EF5041">
        <w:rPr>
          <w:rFonts w:eastAsia="Calibri" w:cs="Calibri"/>
          <w:color w:val="000000"/>
          <w:szCs w:val="22"/>
          <w:lang w:val="en-GB" w:eastAsia="en-US"/>
        </w:rPr>
        <w:t>iježđenja</w:t>
      </w:r>
      <w:r w:rsidRPr="00EF5041">
        <w:rPr>
          <w:rFonts w:eastAsia="Calibri" w:cs="Calibri"/>
          <w:color w:val="000000"/>
          <w:szCs w:val="22"/>
          <w:lang w:val="en-GB" w:eastAsia="en-US"/>
        </w:rPr>
        <w:t xml:space="preserve"> u Crnoj Gori, ali zbog stalnog porasta temperature izazvanog klimatskim promjenama, postoji mogućnost da bi se to moglo promijeniti u budućnosti. Kombinovani podaci iz </w:t>
      </w:r>
      <w:r w:rsidR="00392811" w:rsidRPr="00EF5041">
        <w:rPr>
          <w:rFonts w:eastAsia="Calibri" w:cs="Calibri"/>
          <w:color w:val="000000"/>
          <w:szCs w:val="22"/>
          <w:lang w:val="en-GB" w:eastAsia="en-US"/>
        </w:rPr>
        <w:t xml:space="preserve">prethodno navedenih </w:t>
      </w:r>
      <w:r w:rsidRPr="00EF5041">
        <w:rPr>
          <w:rFonts w:eastAsia="Calibri" w:cs="Calibri"/>
          <w:color w:val="000000"/>
          <w:szCs w:val="22"/>
          <w:lang w:val="en-GB" w:eastAsia="en-US"/>
        </w:rPr>
        <w:t xml:space="preserve">vazdušnih </w:t>
      </w:r>
      <w:r w:rsidR="00392811" w:rsidRPr="00EF5041">
        <w:rPr>
          <w:rFonts w:eastAsia="Calibri" w:cs="Calibri"/>
          <w:color w:val="000000"/>
          <w:szCs w:val="22"/>
          <w:lang w:val="en-GB" w:eastAsia="en-US"/>
        </w:rPr>
        <w:t>istraživanja koja su sprovedena u ljeto</w:t>
      </w:r>
      <w:r w:rsidRPr="00EF5041">
        <w:rPr>
          <w:rFonts w:eastAsia="Calibri" w:cs="Calibri"/>
          <w:color w:val="000000"/>
          <w:szCs w:val="22"/>
          <w:lang w:val="en-GB" w:eastAsia="en-US"/>
        </w:rPr>
        <w:t xml:space="preserve"> 2010. i 2013. </w:t>
      </w:r>
      <w:r w:rsidR="00392811" w:rsidRPr="00EF5041">
        <w:rPr>
          <w:rFonts w:eastAsia="Calibri" w:cs="Calibri"/>
          <w:color w:val="000000"/>
          <w:szCs w:val="22"/>
          <w:lang w:val="en-GB" w:eastAsia="en-US"/>
        </w:rPr>
        <w:t xml:space="preserve">godine </w:t>
      </w:r>
      <w:r w:rsidRPr="00EF5041">
        <w:rPr>
          <w:rFonts w:eastAsia="Calibri" w:cs="Calibri"/>
          <w:color w:val="000000"/>
          <w:szCs w:val="22"/>
          <w:lang w:val="en-GB" w:eastAsia="en-US"/>
        </w:rPr>
        <w:t>u Jadranskom moru pokazuju da je s</w:t>
      </w:r>
      <w:r w:rsidR="00392811" w:rsidRPr="00EF5041">
        <w:rPr>
          <w:rFonts w:eastAsia="Calibri" w:cs="Calibri"/>
          <w:color w:val="000000"/>
          <w:szCs w:val="22"/>
          <w:lang w:val="en-GB" w:eastAsia="en-US"/>
        </w:rPr>
        <w:t>j</w:t>
      </w:r>
      <w:r w:rsidRPr="00EF5041">
        <w:rPr>
          <w:rFonts w:eastAsia="Calibri" w:cs="Calibri"/>
          <w:color w:val="000000"/>
          <w:szCs w:val="22"/>
          <w:lang w:val="en-GB" w:eastAsia="en-US"/>
        </w:rPr>
        <w:t xml:space="preserve">everni Jadran najrasprostranjenije područje </w:t>
      </w:r>
      <w:r w:rsidR="00392811" w:rsidRPr="00EF5041">
        <w:rPr>
          <w:rFonts w:eastAsia="Calibri"/>
          <w:szCs w:val="22"/>
          <w:lang w:val="en-GB" w:eastAsia="en-US"/>
        </w:rPr>
        <w:t>glavate kornjače</w:t>
      </w:r>
      <w:r w:rsidRPr="00EF5041">
        <w:rPr>
          <w:rFonts w:eastAsia="Calibri" w:cs="Calibri"/>
          <w:color w:val="000000"/>
          <w:szCs w:val="22"/>
          <w:lang w:val="en-GB" w:eastAsia="en-US"/>
        </w:rPr>
        <w:t xml:space="preserve"> sa oko 18.200 </w:t>
      </w:r>
      <w:r w:rsidR="00392811" w:rsidRPr="00EF5041">
        <w:rPr>
          <w:rFonts w:eastAsia="Calibri" w:cs="Calibri"/>
          <w:color w:val="000000"/>
          <w:szCs w:val="22"/>
          <w:lang w:val="en-GB" w:eastAsia="en-US"/>
        </w:rPr>
        <w:t>jedinki</w:t>
      </w:r>
      <w:r w:rsidRPr="00EF5041">
        <w:rPr>
          <w:rFonts w:eastAsia="Calibri" w:cs="Calibri"/>
          <w:color w:val="000000"/>
          <w:szCs w:val="22"/>
          <w:lang w:val="en-GB" w:eastAsia="en-US"/>
        </w:rPr>
        <w:t xml:space="preserve"> od 27.000 </w:t>
      </w:r>
      <w:r w:rsidR="00EA36D8" w:rsidRPr="00EF5041">
        <w:rPr>
          <w:rFonts w:eastAsia="Calibri" w:cs="Calibri"/>
          <w:color w:val="000000"/>
          <w:szCs w:val="22"/>
          <w:lang w:val="en-GB" w:eastAsia="en-US"/>
        </w:rPr>
        <w:t xml:space="preserve">pristnih </w:t>
      </w:r>
      <w:r w:rsidRPr="00EF5041">
        <w:rPr>
          <w:rFonts w:eastAsia="Calibri" w:cs="Calibri"/>
          <w:color w:val="000000"/>
          <w:szCs w:val="22"/>
          <w:lang w:val="en-GB" w:eastAsia="en-US"/>
        </w:rPr>
        <w:t>na c</w:t>
      </w:r>
      <w:r w:rsidR="00392811" w:rsidRPr="00EF5041">
        <w:rPr>
          <w:rFonts w:eastAsia="Calibri" w:cs="Calibri"/>
          <w:color w:val="000000"/>
          <w:szCs w:val="22"/>
          <w:lang w:val="en-GB" w:eastAsia="en-US"/>
        </w:rPr>
        <w:t>ije</w:t>
      </w:r>
      <w:r w:rsidRPr="00EF5041">
        <w:rPr>
          <w:rFonts w:eastAsia="Calibri" w:cs="Calibri"/>
          <w:color w:val="000000"/>
          <w:szCs w:val="22"/>
          <w:lang w:val="en-GB" w:eastAsia="en-US"/>
        </w:rPr>
        <w:t xml:space="preserve">lom Jadranu (Fortuna i sar., 2018) (Tabela 3.10). Relativna gustina </w:t>
      </w:r>
      <w:r w:rsidR="00392811" w:rsidRPr="00EF5041">
        <w:rPr>
          <w:rFonts w:eastAsia="Calibri" w:cs="Calibri"/>
          <w:color w:val="000000"/>
          <w:szCs w:val="22"/>
          <w:lang w:val="en-GB" w:eastAsia="en-US"/>
        </w:rPr>
        <w:t xml:space="preserve">u </w:t>
      </w:r>
      <w:r w:rsidRPr="00EF5041">
        <w:rPr>
          <w:rFonts w:eastAsia="Calibri" w:cs="Calibri"/>
          <w:color w:val="000000"/>
          <w:szCs w:val="22"/>
          <w:lang w:val="en-GB" w:eastAsia="en-US"/>
        </w:rPr>
        <w:t xml:space="preserve">južnom Jadranu je ispod jadranskog prosjeka, sa 0,114 </w:t>
      </w:r>
      <w:r w:rsidR="00392811" w:rsidRPr="00EF5041">
        <w:rPr>
          <w:rFonts w:eastAsia="Calibri" w:cs="Calibri"/>
          <w:color w:val="000000"/>
          <w:szCs w:val="22"/>
          <w:lang w:val="en-GB" w:eastAsia="en-US"/>
        </w:rPr>
        <w:t>jedinki</w:t>
      </w:r>
      <w:r w:rsidRPr="00EF5041">
        <w:rPr>
          <w:rFonts w:eastAsia="Calibri" w:cs="Calibri"/>
          <w:color w:val="000000"/>
          <w:szCs w:val="22"/>
          <w:lang w:val="en-GB" w:eastAsia="en-US"/>
        </w:rPr>
        <w:t>/</w:t>
      </w:r>
      <w:r w:rsidR="00392811" w:rsidRPr="00EF5041">
        <w:rPr>
          <w:rFonts w:eastAsia="Calibri" w:cs="Calibri"/>
          <w:color w:val="000000"/>
          <w:szCs w:val="22"/>
          <w:lang w:val="en-GB" w:eastAsia="en-US"/>
        </w:rPr>
        <w:t xml:space="preserve"> km</w:t>
      </w:r>
      <w:r w:rsidR="00392811" w:rsidRPr="00EF5041">
        <w:rPr>
          <w:rFonts w:eastAsia="Calibri" w:cs="Calibri"/>
          <w:color w:val="000000"/>
          <w:szCs w:val="22"/>
          <w:vertAlign w:val="superscript"/>
          <w:lang w:val="en-GB" w:eastAsia="en-US"/>
        </w:rPr>
        <w:t>2</w:t>
      </w:r>
      <w:r w:rsidR="00392811" w:rsidRPr="00EF5041">
        <w:rPr>
          <w:rFonts w:eastAsia="Calibri" w:cs="Calibri"/>
          <w:color w:val="000000"/>
          <w:szCs w:val="22"/>
          <w:lang w:val="en-GB" w:eastAsia="en-US"/>
        </w:rPr>
        <w:t xml:space="preserve">, </w:t>
      </w:r>
      <w:r w:rsidRPr="00EF5041">
        <w:rPr>
          <w:rFonts w:eastAsia="Calibri" w:cs="Calibri"/>
          <w:color w:val="000000"/>
          <w:szCs w:val="22"/>
          <w:lang w:val="en-GB" w:eastAsia="en-US"/>
        </w:rPr>
        <w:t xml:space="preserve">a izmjerena relativna gustina u teritorijalnim vodama </w:t>
      </w:r>
      <w:r w:rsidR="00392811" w:rsidRPr="00EF5041">
        <w:rPr>
          <w:rFonts w:eastAsia="Calibri" w:cs="Calibri"/>
          <w:color w:val="000000"/>
          <w:szCs w:val="22"/>
          <w:lang w:val="en-GB" w:eastAsia="en-US"/>
        </w:rPr>
        <w:t xml:space="preserve">Crne Gore </w:t>
      </w:r>
      <w:r w:rsidRPr="00EF5041">
        <w:rPr>
          <w:rFonts w:eastAsia="Calibri" w:cs="Calibri"/>
          <w:color w:val="000000"/>
          <w:szCs w:val="22"/>
          <w:lang w:val="en-GB" w:eastAsia="en-US"/>
        </w:rPr>
        <w:t xml:space="preserve">je </w:t>
      </w:r>
      <w:r w:rsidR="00354716" w:rsidRPr="00EF5041">
        <w:rPr>
          <w:rFonts w:eastAsia="Calibri" w:cs="Calibri"/>
          <w:color w:val="000000"/>
          <w:szCs w:val="22"/>
          <w:lang w:val="en-GB" w:eastAsia="en-US"/>
        </w:rPr>
        <w:t xml:space="preserve">još </w:t>
      </w:r>
      <w:r w:rsidRPr="00EF5041">
        <w:rPr>
          <w:rFonts w:eastAsia="Calibri" w:cs="Calibri"/>
          <w:color w:val="000000"/>
          <w:szCs w:val="22"/>
          <w:lang w:val="en-GB" w:eastAsia="en-US"/>
        </w:rPr>
        <w:t xml:space="preserve">niža, dok je na </w:t>
      </w:r>
      <w:r w:rsidR="00EF5041" w:rsidRPr="00EF5041">
        <w:rPr>
          <w:rFonts w:eastAsia="Calibri" w:cs="Calibri"/>
          <w:color w:val="000000"/>
          <w:szCs w:val="22"/>
          <w:lang w:val="en-GB" w:eastAsia="en-US"/>
        </w:rPr>
        <w:t xml:space="preserve">rubu </w:t>
      </w:r>
      <w:r w:rsidRPr="00EF5041">
        <w:rPr>
          <w:rFonts w:eastAsia="Calibri" w:cs="Calibri"/>
          <w:color w:val="000000"/>
          <w:szCs w:val="22"/>
          <w:lang w:val="en-GB" w:eastAsia="en-US"/>
        </w:rPr>
        <w:t xml:space="preserve">kontinentalnog </w:t>
      </w:r>
      <w:r w:rsidR="00392811" w:rsidRPr="00EF5041">
        <w:rPr>
          <w:rFonts w:eastAsia="Calibri" w:cs="Calibri"/>
          <w:color w:val="000000"/>
          <w:szCs w:val="22"/>
          <w:lang w:val="en-GB" w:eastAsia="en-US"/>
        </w:rPr>
        <w:t>šelfa</w:t>
      </w:r>
      <w:r w:rsidRPr="00EF5041">
        <w:rPr>
          <w:rFonts w:eastAsia="Calibri" w:cs="Calibri"/>
          <w:color w:val="000000"/>
          <w:szCs w:val="22"/>
          <w:lang w:val="en-GB" w:eastAsia="en-US"/>
        </w:rPr>
        <w:t xml:space="preserve"> veća. Kao što je već pomenuto, treće vazdušno </w:t>
      </w:r>
      <w:r w:rsidR="00392811" w:rsidRPr="00EF5041">
        <w:rPr>
          <w:rFonts w:eastAsia="Calibri" w:cs="Calibri"/>
          <w:color w:val="000000"/>
          <w:szCs w:val="22"/>
          <w:lang w:val="en-GB" w:eastAsia="en-US"/>
        </w:rPr>
        <w:t xml:space="preserve">istraživanje </w:t>
      </w:r>
      <w:r w:rsidRPr="00EF5041">
        <w:rPr>
          <w:rFonts w:eastAsia="Calibri" w:cs="Calibri"/>
          <w:color w:val="000000"/>
          <w:szCs w:val="22"/>
          <w:lang w:val="en-GB" w:eastAsia="en-US"/>
        </w:rPr>
        <w:t xml:space="preserve">sprovedeno je 2018. godine u okviru ASI projekta, ali podaci se još </w:t>
      </w:r>
      <w:r w:rsidR="00392811" w:rsidRPr="00EF5041">
        <w:rPr>
          <w:rFonts w:eastAsia="Calibri" w:cs="Calibri"/>
          <w:color w:val="000000"/>
          <w:szCs w:val="22"/>
          <w:lang w:val="en-GB" w:eastAsia="en-US"/>
        </w:rPr>
        <w:t xml:space="preserve">uvijek </w:t>
      </w:r>
      <w:r w:rsidRPr="00EF5041">
        <w:rPr>
          <w:rFonts w:eastAsia="Calibri" w:cs="Calibri"/>
          <w:color w:val="000000"/>
          <w:szCs w:val="22"/>
          <w:lang w:val="en-GB" w:eastAsia="en-US"/>
        </w:rPr>
        <w:t>obrađuju. Pored toga, znanje o morskim kornjačama treba</w:t>
      </w:r>
      <w:r w:rsidR="00EF5041" w:rsidRPr="00EF5041">
        <w:rPr>
          <w:rFonts w:eastAsia="Calibri" w:cs="Calibri"/>
          <w:color w:val="000000"/>
          <w:szCs w:val="22"/>
          <w:lang w:val="en-GB" w:eastAsia="en-US"/>
        </w:rPr>
        <w:t>lo b</w:t>
      </w:r>
      <w:r w:rsidR="001D25E2">
        <w:rPr>
          <w:rFonts w:eastAsia="Calibri" w:cs="Calibri"/>
          <w:color w:val="000000"/>
          <w:szCs w:val="22"/>
          <w:lang w:val="en-GB" w:eastAsia="en-US"/>
        </w:rPr>
        <w:t>i se p</w:t>
      </w:r>
      <w:r w:rsidRPr="00EF5041">
        <w:rPr>
          <w:rFonts w:eastAsia="Calibri" w:cs="Calibri"/>
          <w:color w:val="000000"/>
          <w:szCs w:val="22"/>
          <w:lang w:val="en-GB" w:eastAsia="en-US"/>
        </w:rPr>
        <w:t>oboljša</w:t>
      </w:r>
      <w:r w:rsidR="001D25E2">
        <w:rPr>
          <w:rFonts w:eastAsia="Calibri" w:cs="Calibri"/>
          <w:color w:val="000000"/>
          <w:szCs w:val="22"/>
          <w:lang w:val="en-GB" w:eastAsia="en-US"/>
        </w:rPr>
        <w:t>ti</w:t>
      </w:r>
      <w:r w:rsidRPr="00EF5041">
        <w:rPr>
          <w:rFonts w:eastAsia="Calibri" w:cs="Calibri"/>
          <w:color w:val="000000"/>
          <w:szCs w:val="22"/>
          <w:lang w:val="en-GB" w:eastAsia="en-US"/>
        </w:rPr>
        <w:t xml:space="preserve"> </w:t>
      </w:r>
      <w:r w:rsidR="007142EF">
        <w:rPr>
          <w:rFonts w:eastAsia="Calibri" w:cs="Calibri"/>
          <w:color w:val="000000"/>
          <w:szCs w:val="22"/>
          <w:lang w:val="en-GB" w:eastAsia="en-US"/>
        </w:rPr>
        <w:t>sprovođenjem</w:t>
      </w:r>
      <w:r w:rsidR="001D25E2">
        <w:rPr>
          <w:rFonts w:eastAsia="Calibri" w:cs="Calibri"/>
          <w:color w:val="000000"/>
          <w:szCs w:val="22"/>
          <w:lang w:val="en-GB" w:eastAsia="en-US"/>
        </w:rPr>
        <w:t xml:space="preserve"> </w:t>
      </w:r>
      <w:r w:rsidRPr="00EF5041">
        <w:rPr>
          <w:rFonts w:eastAsia="Calibri" w:cs="Calibri"/>
          <w:color w:val="000000"/>
          <w:szCs w:val="22"/>
          <w:lang w:val="en-GB" w:eastAsia="en-US"/>
        </w:rPr>
        <w:t>tek</w:t>
      </w:r>
      <w:r w:rsidR="00392811" w:rsidRPr="00EF5041">
        <w:rPr>
          <w:rFonts w:eastAsia="Calibri" w:cs="Calibri"/>
          <w:color w:val="000000"/>
          <w:szCs w:val="22"/>
          <w:lang w:val="en-GB" w:eastAsia="en-US"/>
        </w:rPr>
        <w:t>ućeg projekta LIFE EUROTURTLES</w:t>
      </w:r>
      <w:r w:rsidR="00392811" w:rsidRPr="00EF5041">
        <w:rPr>
          <w:rFonts w:eastAsia="Calibri" w:cs="Calibri"/>
          <w:color w:val="000000"/>
          <w:szCs w:val="22"/>
          <w:vertAlign w:val="superscript"/>
          <w:lang w:val="en-GB" w:eastAsia="en-US"/>
        </w:rPr>
        <w:footnoteReference w:id="68"/>
      </w:r>
      <w:r w:rsidR="00392811" w:rsidRPr="00EF5041">
        <w:rPr>
          <w:rFonts w:eastAsia="Calibri" w:cs="Calibri"/>
          <w:color w:val="000000"/>
          <w:szCs w:val="22"/>
          <w:lang w:val="en-GB" w:eastAsia="en-US"/>
        </w:rPr>
        <w:t>.</w:t>
      </w:r>
    </w:p>
    <w:p w14:paraId="55731D25" w14:textId="01A4017C" w:rsidR="00827F10" w:rsidRPr="000A2FFC" w:rsidRDefault="00E575DD" w:rsidP="00B71D9B">
      <w:pPr>
        <w:tabs>
          <w:tab w:val="left" w:pos="1992"/>
        </w:tabs>
        <w:spacing w:before="0" w:after="0" w:line="240" w:lineRule="auto"/>
        <w:jc w:val="left"/>
        <w:rPr>
          <w:rFonts w:eastAsia="Calibri" w:cs="Calibri"/>
          <w:i/>
          <w:iCs/>
          <w:color w:val="000000"/>
          <w:szCs w:val="22"/>
          <w:lang w:val="en-GB" w:eastAsia="en-US"/>
        </w:rPr>
      </w:pPr>
      <w:bookmarkStart w:id="340" w:name="_Toc83643207"/>
      <w:r w:rsidRPr="00C000AE">
        <w:rPr>
          <w:rFonts w:eastAsia="Calibri" w:cs="Calibri"/>
          <w:b/>
          <w:bCs/>
          <w:color w:val="000000"/>
          <w:szCs w:val="22"/>
          <w:lang w:val="en-GB" w:eastAsia="en-US"/>
        </w:rPr>
        <w:t>Tab</w:t>
      </w:r>
      <w:r w:rsidR="000A2FFC">
        <w:rPr>
          <w:rFonts w:eastAsia="Calibri" w:cs="Calibri"/>
          <w:b/>
          <w:bCs/>
          <w:color w:val="000000"/>
          <w:szCs w:val="22"/>
          <w:lang w:val="en-GB" w:eastAsia="en-US"/>
        </w:rPr>
        <w:t>ela</w:t>
      </w:r>
      <w:r w:rsidRPr="00C000AE">
        <w:rPr>
          <w:rFonts w:eastAsia="Calibri" w:cs="Calibri"/>
          <w:b/>
          <w:bCs/>
          <w:color w:val="000000"/>
          <w:szCs w:val="22"/>
          <w:lang w:val="en-GB" w:eastAsia="en-US"/>
        </w:rPr>
        <w:t xml:space="preserve"> </w:t>
      </w:r>
      <w:r w:rsidR="00C000AE" w:rsidRPr="00D932B6">
        <w:rPr>
          <w:b/>
          <w:szCs w:val="22"/>
        </w:rPr>
        <w:fldChar w:fldCharType="begin"/>
      </w:r>
      <w:r w:rsidR="00C000AE" w:rsidRPr="00D932B6">
        <w:rPr>
          <w:b/>
          <w:szCs w:val="22"/>
        </w:rPr>
        <w:instrText xml:space="preserve"> STYLEREF 1 \s </w:instrText>
      </w:r>
      <w:r w:rsidR="00C000AE" w:rsidRPr="00D932B6">
        <w:rPr>
          <w:b/>
          <w:szCs w:val="22"/>
        </w:rPr>
        <w:fldChar w:fldCharType="separate"/>
      </w:r>
      <w:r w:rsidR="000D1E20">
        <w:rPr>
          <w:b/>
          <w:noProof/>
          <w:szCs w:val="22"/>
        </w:rPr>
        <w:t>3</w:t>
      </w:r>
      <w:r w:rsidR="00C000AE" w:rsidRPr="00D932B6">
        <w:rPr>
          <w:b/>
          <w:szCs w:val="22"/>
        </w:rPr>
        <w:fldChar w:fldCharType="end"/>
      </w:r>
      <w:r w:rsidR="00C000AE" w:rsidRPr="00D932B6">
        <w:rPr>
          <w:b/>
          <w:szCs w:val="22"/>
        </w:rPr>
        <w:t>.</w:t>
      </w:r>
      <w:r w:rsidR="00C000AE" w:rsidRPr="00D932B6">
        <w:rPr>
          <w:b/>
          <w:szCs w:val="22"/>
        </w:rPr>
        <w:fldChar w:fldCharType="begin"/>
      </w:r>
      <w:r w:rsidR="00C000AE" w:rsidRPr="00D932B6">
        <w:rPr>
          <w:b/>
          <w:szCs w:val="22"/>
        </w:rPr>
        <w:instrText xml:space="preserve"> SEQ Table \* ARABIC \s 1 </w:instrText>
      </w:r>
      <w:r w:rsidR="00C000AE" w:rsidRPr="00D932B6">
        <w:rPr>
          <w:b/>
          <w:szCs w:val="22"/>
        </w:rPr>
        <w:fldChar w:fldCharType="separate"/>
      </w:r>
      <w:r w:rsidR="000D1E20">
        <w:rPr>
          <w:b/>
          <w:noProof/>
          <w:szCs w:val="22"/>
        </w:rPr>
        <w:t>11</w:t>
      </w:r>
      <w:r w:rsidR="00C000AE" w:rsidRPr="00D932B6">
        <w:rPr>
          <w:b/>
          <w:szCs w:val="22"/>
        </w:rPr>
        <w:fldChar w:fldCharType="end"/>
      </w:r>
      <w:r w:rsidR="00C000AE">
        <w:rPr>
          <w:b/>
          <w:szCs w:val="22"/>
        </w:rPr>
        <w:t>.</w:t>
      </w:r>
      <w:r w:rsidR="00C000AE" w:rsidRPr="001C6CCA">
        <w:rPr>
          <w:rFonts w:eastAsia="Calibri" w:cs="Calibri"/>
          <w:b/>
          <w:szCs w:val="22"/>
          <w:lang w:val="en-GB" w:eastAsia="en-US"/>
        </w:rPr>
        <w:t xml:space="preserve"> </w:t>
      </w:r>
      <w:r w:rsidR="00827F10" w:rsidRPr="000C6DC2">
        <w:rPr>
          <w:b/>
          <w:szCs w:val="22"/>
        </w:rPr>
        <w:t xml:space="preserve">Procjena brojnosti </w:t>
      </w:r>
      <w:r w:rsidR="00827F10">
        <w:rPr>
          <w:b/>
          <w:szCs w:val="22"/>
        </w:rPr>
        <w:t xml:space="preserve">glavatih kornjača (Caretta caretta) </w:t>
      </w:r>
      <w:r w:rsidR="00827F10" w:rsidRPr="000C6DC2">
        <w:rPr>
          <w:b/>
          <w:szCs w:val="22"/>
        </w:rPr>
        <w:t>u Jadran</w:t>
      </w:r>
      <w:r w:rsidR="00392811">
        <w:rPr>
          <w:b/>
          <w:szCs w:val="22"/>
        </w:rPr>
        <w:t>skom moru</w:t>
      </w:r>
      <w:r w:rsidR="000A2FFC">
        <w:rPr>
          <w:b/>
          <w:szCs w:val="22"/>
        </w:rPr>
        <w:t xml:space="preserve"> uključujući teritorijalne vode Crne Gore </w:t>
      </w:r>
      <w:r w:rsidR="00827F10" w:rsidRPr="000C6DC2">
        <w:rPr>
          <w:b/>
          <w:szCs w:val="22"/>
        </w:rPr>
        <w:t>na osnovu podataka iz vazdušnih istraživanja</w:t>
      </w:r>
      <w:r w:rsidR="000A2FFC">
        <w:rPr>
          <w:b/>
          <w:szCs w:val="22"/>
        </w:rPr>
        <w:t xml:space="preserve"> tokom ljeta </w:t>
      </w:r>
      <w:r w:rsidR="00827F10" w:rsidRPr="000C6DC2">
        <w:rPr>
          <w:b/>
          <w:szCs w:val="22"/>
        </w:rPr>
        <w:t>2010. i 2013.</w:t>
      </w:r>
      <w:r w:rsidR="00392811">
        <w:rPr>
          <w:b/>
          <w:szCs w:val="22"/>
        </w:rPr>
        <w:t xml:space="preserve"> godine</w:t>
      </w:r>
      <w:r w:rsidR="00827F10" w:rsidRPr="000C6DC2">
        <w:rPr>
          <w:b/>
          <w:szCs w:val="22"/>
        </w:rPr>
        <w:t xml:space="preserve"> </w:t>
      </w:r>
      <w:r w:rsidR="000A2FFC" w:rsidRPr="000A2FFC">
        <w:rPr>
          <w:i/>
          <w:szCs w:val="22"/>
        </w:rPr>
        <w:t>Izvor</w:t>
      </w:r>
      <w:r w:rsidR="00EA36D8">
        <w:rPr>
          <w:i/>
          <w:szCs w:val="22"/>
        </w:rPr>
        <w:t>:</w:t>
      </w:r>
      <w:r w:rsidR="000A2FFC" w:rsidRPr="000A2FFC">
        <w:rPr>
          <w:i/>
          <w:szCs w:val="22"/>
        </w:rPr>
        <w:t xml:space="preserve"> </w:t>
      </w:r>
      <w:r w:rsidR="00827F10" w:rsidRPr="000A2FFC">
        <w:rPr>
          <w:i/>
          <w:szCs w:val="22"/>
        </w:rPr>
        <w:t>(Fortuna i s</w:t>
      </w:r>
      <w:r w:rsidR="000A2FFC" w:rsidRPr="000A2FFC">
        <w:rPr>
          <w:i/>
          <w:szCs w:val="22"/>
        </w:rPr>
        <w:t>ar</w:t>
      </w:r>
      <w:r w:rsidR="00827F10" w:rsidRPr="000A2FFC">
        <w:rPr>
          <w:i/>
          <w:szCs w:val="22"/>
        </w:rPr>
        <w:t xml:space="preserve"> 2018).</w:t>
      </w:r>
      <w:bookmarkEnd w:id="340"/>
    </w:p>
    <w:tbl>
      <w:tblPr>
        <w:tblStyle w:val="GridTable4-Accent54"/>
        <w:tblW w:w="0" w:type="auto"/>
        <w:tblLook w:val="04A0" w:firstRow="1" w:lastRow="0" w:firstColumn="1" w:lastColumn="0" w:noHBand="0" w:noVBand="1"/>
      </w:tblPr>
      <w:tblGrid>
        <w:gridCol w:w="2547"/>
        <w:gridCol w:w="4111"/>
        <w:gridCol w:w="2358"/>
      </w:tblGrid>
      <w:tr w:rsidR="00827F10" w:rsidRPr="001C6CCA" w14:paraId="21CE7BA6" w14:textId="77777777" w:rsidTr="00CD6F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1F497D" w:themeFill="text2"/>
          </w:tcPr>
          <w:p w14:paraId="772347D2" w14:textId="03909FAE" w:rsidR="00827F10" w:rsidRPr="00E36DAD" w:rsidRDefault="00827F10" w:rsidP="00827F10">
            <w:pPr>
              <w:spacing w:before="0" w:after="0" w:line="240" w:lineRule="auto"/>
              <w:jc w:val="left"/>
              <w:rPr>
                <w:b w:val="0"/>
                <w:color w:val="FFFFFF" w:themeColor="background1"/>
                <w:lang w:val="en-GB" w:eastAsia="en-US"/>
              </w:rPr>
            </w:pPr>
            <w:r w:rsidRPr="00E36DAD">
              <w:rPr>
                <w:b w:val="0"/>
                <w:color w:val="FFFFFF" w:themeColor="background1"/>
                <w:lang w:eastAsia="en-US"/>
              </w:rPr>
              <w:t>Područje</w:t>
            </w:r>
          </w:p>
        </w:tc>
        <w:tc>
          <w:tcPr>
            <w:tcW w:w="4111" w:type="dxa"/>
            <w:shd w:val="clear" w:color="auto" w:fill="1F497D" w:themeFill="text2"/>
          </w:tcPr>
          <w:p w14:paraId="1F873508" w14:textId="6B1B476B" w:rsidR="00827F10" w:rsidRPr="00E36DAD" w:rsidRDefault="00827F10" w:rsidP="00827F10">
            <w:pPr>
              <w:spacing w:before="0" w:after="0" w:line="240" w:lineRule="auto"/>
              <w:jc w:val="left"/>
              <w:cnfStyle w:val="100000000000" w:firstRow="1" w:lastRow="0" w:firstColumn="0" w:lastColumn="0" w:oddVBand="0" w:evenVBand="0" w:oddHBand="0" w:evenHBand="0" w:firstRowFirstColumn="0" w:firstRowLastColumn="0" w:lastRowFirstColumn="0" w:lastRowLastColumn="0"/>
              <w:rPr>
                <w:b w:val="0"/>
                <w:color w:val="FFFFFF" w:themeColor="background1"/>
                <w:lang w:val="en-GB" w:eastAsia="en-US"/>
              </w:rPr>
            </w:pPr>
            <w:r w:rsidRPr="00E36DAD">
              <w:rPr>
                <w:b w:val="0"/>
                <w:color w:val="FFFFFF" w:themeColor="background1"/>
                <w:lang w:eastAsia="en-US"/>
              </w:rPr>
              <w:t>Brojnost (N) (CI=interval pouzdanosti)</w:t>
            </w:r>
          </w:p>
        </w:tc>
        <w:tc>
          <w:tcPr>
            <w:tcW w:w="2358" w:type="dxa"/>
            <w:shd w:val="clear" w:color="auto" w:fill="1F497D" w:themeFill="text2"/>
          </w:tcPr>
          <w:p w14:paraId="210A438F" w14:textId="7882B1C0" w:rsidR="00827F10" w:rsidRPr="00E36DAD" w:rsidRDefault="00827F10" w:rsidP="005E3183">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FFFFFF" w:themeColor="background1"/>
                <w:lang w:val="en-GB" w:eastAsia="en-US"/>
              </w:rPr>
            </w:pPr>
            <w:r w:rsidRPr="00E36DAD">
              <w:rPr>
                <w:b w:val="0"/>
                <w:color w:val="FFFFFF" w:themeColor="background1"/>
                <w:lang w:eastAsia="en-US"/>
              </w:rPr>
              <w:t>Relativna gustina (ind/km</w:t>
            </w:r>
            <w:r w:rsidRPr="00E36DAD">
              <w:rPr>
                <w:b w:val="0"/>
                <w:color w:val="FFFFFF" w:themeColor="background1"/>
                <w:vertAlign w:val="superscript"/>
                <w:lang w:eastAsia="en-US"/>
              </w:rPr>
              <w:t>2</w:t>
            </w:r>
            <w:r w:rsidRPr="00E36DAD">
              <w:rPr>
                <w:b w:val="0"/>
                <w:color w:val="FFFFFF" w:themeColor="background1"/>
                <w:lang w:eastAsia="en-US"/>
              </w:rPr>
              <w:t>)</w:t>
            </w:r>
          </w:p>
        </w:tc>
      </w:tr>
      <w:tr w:rsidR="00827F10" w:rsidRPr="001C6CCA" w14:paraId="7A34BAE3" w14:textId="77777777" w:rsidTr="005E3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EC6A4A1" w14:textId="77777777" w:rsidR="00827F10" w:rsidRPr="00F65CFF" w:rsidRDefault="00827F10" w:rsidP="00827F10">
            <w:pPr>
              <w:spacing w:before="0" w:after="0" w:line="240" w:lineRule="auto"/>
              <w:jc w:val="left"/>
              <w:rPr>
                <w:sz w:val="20"/>
                <w:szCs w:val="20"/>
                <w:lang w:eastAsia="en-US"/>
              </w:rPr>
            </w:pPr>
            <w:r>
              <w:rPr>
                <w:sz w:val="20"/>
                <w:szCs w:val="20"/>
                <w:lang w:eastAsia="en-US"/>
              </w:rPr>
              <w:t>Jadransko more</w:t>
            </w:r>
          </w:p>
          <w:p w14:paraId="50005CC1" w14:textId="77777777" w:rsidR="00827F10" w:rsidRPr="001C6CCA" w:rsidRDefault="00827F10" w:rsidP="00827F10">
            <w:pPr>
              <w:spacing w:before="0" w:after="0" w:line="240" w:lineRule="auto"/>
              <w:jc w:val="left"/>
              <w:rPr>
                <w:sz w:val="20"/>
                <w:szCs w:val="20"/>
                <w:lang w:val="en-GB" w:eastAsia="en-US"/>
              </w:rPr>
            </w:pPr>
          </w:p>
        </w:tc>
        <w:tc>
          <w:tcPr>
            <w:tcW w:w="4111" w:type="dxa"/>
          </w:tcPr>
          <w:p w14:paraId="38F33673" w14:textId="77777777" w:rsidR="00827F10" w:rsidRPr="001C6CCA" w:rsidRDefault="00827F10" w:rsidP="00827F10">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 xml:space="preserve">27.000 (CIs=24.000 – 31.000) </w:t>
            </w:r>
          </w:p>
        </w:tc>
        <w:tc>
          <w:tcPr>
            <w:tcW w:w="2358" w:type="dxa"/>
          </w:tcPr>
          <w:p w14:paraId="657CA78D" w14:textId="77777777" w:rsidR="00827F10" w:rsidRPr="001C6CCA" w:rsidRDefault="00827F10" w:rsidP="00827F10">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 xml:space="preserve">0,203 </w:t>
            </w:r>
          </w:p>
        </w:tc>
      </w:tr>
      <w:tr w:rsidR="00827F10" w:rsidRPr="001C6CCA" w14:paraId="37FA19CF" w14:textId="77777777" w:rsidTr="005E3183">
        <w:tc>
          <w:tcPr>
            <w:cnfStyle w:val="001000000000" w:firstRow="0" w:lastRow="0" w:firstColumn="1" w:lastColumn="0" w:oddVBand="0" w:evenVBand="0" w:oddHBand="0" w:evenHBand="0" w:firstRowFirstColumn="0" w:firstRowLastColumn="0" w:lastRowFirstColumn="0" w:lastRowLastColumn="0"/>
            <w:tcW w:w="2547" w:type="dxa"/>
          </w:tcPr>
          <w:p w14:paraId="55A6A75A" w14:textId="77777777" w:rsidR="00827F10" w:rsidRPr="00F65CFF" w:rsidRDefault="00827F10" w:rsidP="00827F10">
            <w:pPr>
              <w:spacing w:before="0" w:after="0" w:line="240" w:lineRule="auto"/>
              <w:jc w:val="left"/>
              <w:rPr>
                <w:sz w:val="20"/>
                <w:szCs w:val="20"/>
                <w:lang w:eastAsia="en-US"/>
              </w:rPr>
            </w:pPr>
            <w:r>
              <w:rPr>
                <w:sz w:val="20"/>
                <w:szCs w:val="20"/>
                <w:lang w:eastAsia="en-US"/>
              </w:rPr>
              <w:t>Sjeverni Jadran</w:t>
            </w:r>
          </w:p>
          <w:p w14:paraId="1E2BBD0B" w14:textId="77777777" w:rsidR="00827F10" w:rsidRPr="001C6CCA" w:rsidRDefault="00827F10" w:rsidP="00827F10">
            <w:pPr>
              <w:spacing w:before="0" w:after="0" w:line="240" w:lineRule="auto"/>
              <w:jc w:val="left"/>
              <w:rPr>
                <w:sz w:val="20"/>
                <w:szCs w:val="20"/>
                <w:lang w:val="en-GB" w:eastAsia="en-US"/>
              </w:rPr>
            </w:pPr>
          </w:p>
        </w:tc>
        <w:tc>
          <w:tcPr>
            <w:tcW w:w="4111" w:type="dxa"/>
          </w:tcPr>
          <w:p w14:paraId="0F001249" w14:textId="77777777" w:rsidR="00827F10" w:rsidRPr="001C6CCA" w:rsidRDefault="00827F10" w:rsidP="00827F10">
            <w:pPr>
              <w:autoSpaceDE w:val="0"/>
              <w:autoSpaceDN w:val="0"/>
              <w:adjustRightInd w:val="0"/>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 xml:space="preserve">18.200 (CIs=17.700 – 20.000 </w:t>
            </w:r>
          </w:p>
        </w:tc>
        <w:tc>
          <w:tcPr>
            <w:tcW w:w="2358" w:type="dxa"/>
          </w:tcPr>
          <w:p w14:paraId="10CA3258" w14:textId="77777777" w:rsidR="00827F10" w:rsidRPr="001C6CCA" w:rsidRDefault="00827F10" w:rsidP="00827F10">
            <w:pPr>
              <w:autoSpaceDE w:val="0"/>
              <w:autoSpaceDN w:val="0"/>
              <w:adjustRightInd w:val="0"/>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 xml:space="preserve">0,405 </w:t>
            </w:r>
          </w:p>
        </w:tc>
      </w:tr>
      <w:tr w:rsidR="00827F10" w:rsidRPr="001C6CCA" w14:paraId="111F3F1C" w14:textId="77777777" w:rsidTr="005E3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56F1311" w14:textId="77777777" w:rsidR="00827F10" w:rsidRPr="00F65CFF" w:rsidRDefault="00827F10" w:rsidP="00827F10">
            <w:pPr>
              <w:spacing w:before="0" w:after="0" w:line="240" w:lineRule="auto"/>
              <w:jc w:val="left"/>
              <w:rPr>
                <w:sz w:val="20"/>
                <w:szCs w:val="20"/>
                <w:lang w:eastAsia="en-US"/>
              </w:rPr>
            </w:pPr>
            <w:r>
              <w:rPr>
                <w:sz w:val="20"/>
                <w:szCs w:val="20"/>
                <w:lang w:eastAsia="en-US"/>
              </w:rPr>
              <w:t>Srednji Jadran</w:t>
            </w:r>
          </w:p>
          <w:p w14:paraId="3A868557" w14:textId="77777777" w:rsidR="00827F10" w:rsidRPr="001C6CCA" w:rsidRDefault="00827F10" w:rsidP="00827F10">
            <w:pPr>
              <w:spacing w:before="0" w:after="0" w:line="240" w:lineRule="auto"/>
              <w:jc w:val="left"/>
              <w:rPr>
                <w:sz w:val="20"/>
                <w:szCs w:val="20"/>
                <w:lang w:val="en-GB" w:eastAsia="en-US"/>
              </w:rPr>
            </w:pPr>
          </w:p>
        </w:tc>
        <w:tc>
          <w:tcPr>
            <w:tcW w:w="4111" w:type="dxa"/>
          </w:tcPr>
          <w:p w14:paraId="55B64048" w14:textId="77777777" w:rsidR="00827F10" w:rsidRPr="001C6CCA" w:rsidRDefault="00827F10" w:rsidP="00827F10">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 xml:space="preserve">1.900 (CIs=1.600 – 2.200) </w:t>
            </w:r>
          </w:p>
        </w:tc>
        <w:tc>
          <w:tcPr>
            <w:tcW w:w="2358" w:type="dxa"/>
          </w:tcPr>
          <w:p w14:paraId="4BCCF6A7" w14:textId="77777777" w:rsidR="00827F10" w:rsidRPr="001C6CCA" w:rsidRDefault="00827F10" w:rsidP="00827F10">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 xml:space="preserve">0,057 </w:t>
            </w:r>
          </w:p>
        </w:tc>
      </w:tr>
      <w:tr w:rsidR="00827F10" w:rsidRPr="001C6CCA" w14:paraId="5907AC5E" w14:textId="77777777" w:rsidTr="005E3183">
        <w:tc>
          <w:tcPr>
            <w:cnfStyle w:val="001000000000" w:firstRow="0" w:lastRow="0" w:firstColumn="1" w:lastColumn="0" w:oddVBand="0" w:evenVBand="0" w:oddHBand="0" w:evenHBand="0" w:firstRowFirstColumn="0" w:firstRowLastColumn="0" w:lastRowFirstColumn="0" w:lastRowLastColumn="0"/>
            <w:tcW w:w="2547" w:type="dxa"/>
          </w:tcPr>
          <w:p w14:paraId="413B582E" w14:textId="77777777" w:rsidR="00827F10" w:rsidRPr="00F65CFF" w:rsidRDefault="00827F10" w:rsidP="00827F10">
            <w:pPr>
              <w:spacing w:before="0" w:after="0" w:line="240" w:lineRule="auto"/>
              <w:jc w:val="left"/>
              <w:rPr>
                <w:sz w:val="20"/>
                <w:szCs w:val="20"/>
                <w:lang w:eastAsia="en-US"/>
              </w:rPr>
            </w:pPr>
            <w:r>
              <w:rPr>
                <w:sz w:val="20"/>
                <w:szCs w:val="20"/>
                <w:lang w:eastAsia="en-US"/>
              </w:rPr>
              <w:t>Južni Jadran</w:t>
            </w:r>
            <w:r w:rsidRPr="00F65CFF">
              <w:rPr>
                <w:sz w:val="20"/>
                <w:szCs w:val="20"/>
                <w:lang w:eastAsia="en-US"/>
              </w:rPr>
              <w:t xml:space="preserve"> </w:t>
            </w:r>
          </w:p>
          <w:p w14:paraId="77B3EA11" w14:textId="77777777" w:rsidR="00827F10" w:rsidRPr="001C6CCA" w:rsidRDefault="00827F10" w:rsidP="00827F10">
            <w:pPr>
              <w:spacing w:before="0" w:after="0" w:line="240" w:lineRule="auto"/>
              <w:jc w:val="left"/>
              <w:rPr>
                <w:sz w:val="20"/>
                <w:szCs w:val="20"/>
                <w:lang w:val="en-GB" w:eastAsia="en-US"/>
              </w:rPr>
            </w:pPr>
          </w:p>
        </w:tc>
        <w:tc>
          <w:tcPr>
            <w:tcW w:w="4111" w:type="dxa"/>
          </w:tcPr>
          <w:p w14:paraId="4C2785D6" w14:textId="77777777" w:rsidR="00827F10" w:rsidRPr="001C6CCA" w:rsidRDefault="00827F10" w:rsidP="00827F10">
            <w:pPr>
              <w:autoSpaceDE w:val="0"/>
              <w:autoSpaceDN w:val="0"/>
              <w:adjustRightInd w:val="0"/>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 xml:space="preserve">6.300 (CIs=5.000 – 7.500) </w:t>
            </w:r>
          </w:p>
        </w:tc>
        <w:tc>
          <w:tcPr>
            <w:tcW w:w="2358" w:type="dxa"/>
          </w:tcPr>
          <w:p w14:paraId="23463FBB" w14:textId="77777777" w:rsidR="00827F10" w:rsidRPr="001C6CCA" w:rsidRDefault="00827F10" w:rsidP="00827F10">
            <w:pPr>
              <w:autoSpaceDE w:val="0"/>
              <w:autoSpaceDN w:val="0"/>
              <w:adjustRightInd w:val="0"/>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 xml:space="preserve">0,114 </w:t>
            </w:r>
          </w:p>
        </w:tc>
      </w:tr>
      <w:tr w:rsidR="00827F10" w:rsidRPr="001C6CCA" w14:paraId="15B88949" w14:textId="77777777" w:rsidTr="005E3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B34FB06" w14:textId="1B6E34CB" w:rsidR="00827F10" w:rsidRPr="00392811" w:rsidRDefault="00827F10" w:rsidP="005E3183">
            <w:pPr>
              <w:spacing w:before="0" w:after="0" w:line="240" w:lineRule="auto"/>
              <w:ind w:firstLine="0"/>
              <w:jc w:val="left"/>
              <w:rPr>
                <w:sz w:val="20"/>
                <w:szCs w:val="20"/>
                <w:lang w:eastAsia="en-US"/>
              </w:rPr>
            </w:pPr>
            <w:r w:rsidRPr="00F65CFF">
              <w:rPr>
                <w:sz w:val="20"/>
                <w:szCs w:val="20"/>
                <w:lang w:eastAsia="en-US"/>
              </w:rPr>
              <w:t>Ter</w:t>
            </w:r>
            <w:r>
              <w:rPr>
                <w:sz w:val="20"/>
                <w:szCs w:val="20"/>
                <w:lang w:eastAsia="en-US"/>
              </w:rPr>
              <w:t>itorijalno more Crne Gore</w:t>
            </w:r>
          </w:p>
        </w:tc>
        <w:tc>
          <w:tcPr>
            <w:tcW w:w="4111" w:type="dxa"/>
          </w:tcPr>
          <w:p w14:paraId="1A8F0CD8" w14:textId="77777777" w:rsidR="00827F10" w:rsidRPr="001C6CCA" w:rsidRDefault="00827F10" w:rsidP="00827F10">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 xml:space="preserve">200 (CIs= 100 – 200) </w:t>
            </w:r>
          </w:p>
        </w:tc>
        <w:tc>
          <w:tcPr>
            <w:tcW w:w="2358" w:type="dxa"/>
          </w:tcPr>
          <w:p w14:paraId="7CEC7103" w14:textId="77777777" w:rsidR="00827F10" w:rsidRPr="001C6CCA" w:rsidRDefault="00827F10" w:rsidP="00827F10">
            <w:p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 xml:space="preserve">0,078 </w:t>
            </w:r>
          </w:p>
        </w:tc>
      </w:tr>
      <w:tr w:rsidR="00827F10" w:rsidRPr="001C6CCA" w14:paraId="2BEEE274" w14:textId="77777777" w:rsidTr="005E3183">
        <w:tc>
          <w:tcPr>
            <w:cnfStyle w:val="001000000000" w:firstRow="0" w:lastRow="0" w:firstColumn="1" w:lastColumn="0" w:oddVBand="0" w:evenVBand="0" w:oddHBand="0" w:evenHBand="0" w:firstRowFirstColumn="0" w:firstRowLastColumn="0" w:lastRowFirstColumn="0" w:lastRowLastColumn="0"/>
            <w:tcW w:w="2547" w:type="dxa"/>
          </w:tcPr>
          <w:p w14:paraId="7A622982" w14:textId="6B40D2AA" w:rsidR="00827F10" w:rsidRPr="00EF5041" w:rsidRDefault="00EF5041" w:rsidP="005E3183">
            <w:pPr>
              <w:spacing w:before="0" w:after="0" w:line="240" w:lineRule="auto"/>
              <w:ind w:firstLine="0"/>
              <w:jc w:val="left"/>
              <w:rPr>
                <w:b w:val="0"/>
                <w:bCs w:val="0"/>
                <w:sz w:val="20"/>
                <w:szCs w:val="20"/>
                <w:lang w:eastAsia="en-US"/>
              </w:rPr>
            </w:pPr>
            <w:r>
              <w:rPr>
                <w:sz w:val="20"/>
                <w:szCs w:val="20"/>
                <w:lang w:eastAsia="en-US"/>
              </w:rPr>
              <w:t>Rub</w:t>
            </w:r>
            <w:r w:rsidR="005E3183">
              <w:rPr>
                <w:sz w:val="20"/>
                <w:szCs w:val="20"/>
                <w:lang w:eastAsia="en-US"/>
              </w:rPr>
              <w:t>ni dio</w:t>
            </w:r>
            <w:r>
              <w:rPr>
                <w:sz w:val="20"/>
                <w:szCs w:val="20"/>
                <w:lang w:eastAsia="en-US"/>
              </w:rPr>
              <w:t xml:space="preserve"> kontinentalnog šelfa</w:t>
            </w:r>
            <w:r w:rsidR="00827F10" w:rsidRPr="00F65CFF">
              <w:rPr>
                <w:sz w:val="20"/>
                <w:szCs w:val="20"/>
                <w:lang w:eastAsia="en-US"/>
              </w:rPr>
              <w:t xml:space="preserve"> </w:t>
            </w:r>
            <w:r w:rsidR="00827F10">
              <w:rPr>
                <w:sz w:val="20"/>
                <w:szCs w:val="20"/>
                <w:lang w:eastAsia="en-US"/>
              </w:rPr>
              <w:t>Crn</w:t>
            </w:r>
            <w:r>
              <w:rPr>
                <w:sz w:val="20"/>
                <w:szCs w:val="20"/>
                <w:lang w:eastAsia="en-US"/>
              </w:rPr>
              <w:t>e</w:t>
            </w:r>
            <w:r w:rsidR="00827F10">
              <w:rPr>
                <w:sz w:val="20"/>
                <w:szCs w:val="20"/>
                <w:lang w:eastAsia="en-US"/>
              </w:rPr>
              <w:t xml:space="preserve"> Gor</w:t>
            </w:r>
            <w:r>
              <w:rPr>
                <w:sz w:val="20"/>
                <w:szCs w:val="20"/>
                <w:lang w:eastAsia="en-US"/>
              </w:rPr>
              <w:t>e</w:t>
            </w:r>
          </w:p>
        </w:tc>
        <w:tc>
          <w:tcPr>
            <w:tcW w:w="4111" w:type="dxa"/>
          </w:tcPr>
          <w:p w14:paraId="22DF574A" w14:textId="77777777" w:rsidR="00827F10" w:rsidRPr="001C6CCA" w:rsidRDefault="00827F10" w:rsidP="00827F10">
            <w:pPr>
              <w:autoSpaceDE w:val="0"/>
              <w:autoSpaceDN w:val="0"/>
              <w:adjustRightInd w:val="0"/>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 xml:space="preserve">1.200 (CIs=800 – 1.400) </w:t>
            </w:r>
          </w:p>
        </w:tc>
        <w:tc>
          <w:tcPr>
            <w:tcW w:w="2358" w:type="dxa"/>
          </w:tcPr>
          <w:p w14:paraId="6D247D7C" w14:textId="77777777" w:rsidR="00827F10" w:rsidRPr="001C6CCA" w:rsidRDefault="00827F10" w:rsidP="00827F10">
            <w:pPr>
              <w:autoSpaceDE w:val="0"/>
              <w:autoSpaceDN w:val="0"/>
              <w:adjustRightInd w:val="0"/>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eastAsia="en-US"/>
              </w:rPr>
            </w:pPr>
            <w:r w:rsidRPr="001C6CCA">
              <w:rPr>
                <w:rFonts w:cs="Calibri"/>
                <w:color w:val="000000"/>
                <w:sz w:val="20"/>
                <w:szCs w:val="20"/>
                <w:lang w:val="en-GB" w:eastAsia="en-US"/>
              </w:rPr>
              <w:t xml:space="preserve">0,166 </w:t>
            </w:r>
          </w:p>
        </w:tc>
      </w:tr>
    </w:tbl>
    <w:p w14:paraId="2FA1F7A0" w14:textId="051C9D0F" w:rsidR="00E575DD" w:rsidRPr="001C6CCA" w:rsidRDefault="000A2FFC" w:rsidP="000A2FFC">
      <w:pPr>
        <w:pStyle w:val="Heading4"/>
        <w:rPr>
          <w:rFonts w:eastAsia="Calibri"/>
          <w:lang w:val="en-GB"/>
        </w:rPr>
      </w:pPr>
      <w:r w:rsidRPr="000A2FFC">
        <w:rPr>
          <w:rFonts w:eastAsia="Calibri"/>
          <w:lang w:val="en-GB"/>
        </w:rPr>
        <w:t>Pristup proc</w:t>
      </w:r>
      <w:r>
        <w:rPr>
          <w:rFonts w:eastAsia="Calibri"/>
          <w:lang w:val="en-GB"/>
        </w:rPr>
        <w:t>j</w:t>
      </w:r>
      <w:r w:rsidRPr="000A2FFC">
        <w:rPr>
          <w:rFonts w:eastAsia="Calibri"/>
          <w:lang w:val="en-GB"/>
        </w:rPr>
        <w:t>eni GES-a</w:t>
      </w:r>
    </w:p>
    <w:p w14:paraId="23B2E8E3" w14:textId="212E9476" w:rsidR="00392811" w:rsidRPr="00392811" w:rsidRDefault="00392811" w:rsidP="00392811">
      <w:pPr>
        <w:spacing w:before="0" w:after="0"/>
        <w:rPr>
          <w:rFonts w:eastAsia="Calibri"/>
          <w:szCs w:val="22"/>
          <w:lang w:val="en-GB" w:eastAsia="en-US"/>
        </w:rPr>
      </w:pPr>
      <w:r w:rsidRPr="00392811">
        <w:rPr>
          <w:rFonts w:eastAsia="Calibri"/>
          <w:szCs w:val="22"/>
          <w:lang w:val="en-GB" w:eastAsia="en-US"/>
        </w:rPr>
        <w:t>Određivanje GES karakteristika za morske kornjače zasniva se na kriterijumima koji se koriste za morske ptice i sisare utvrđenim Odlukom Komisije 2017/848</w:t>
      </w:r>
      <w:r w:rsidR="0050686E">
        <w:rPr>
          <w:rFonts w:eastAsia="Calibri"/>
          <w:szCs w:val="22"/>
          <w:lang w:val="en-GB" w:eastAsia="en-US"/>
        </w:rPr>
        <w:t>/</w:t>
      </w:r>
      <w:r w:rsidRPr="00392811">
        <w:rPr>
          <w:rFonts w:eastAsia="Calibri"/>
          <w:szCs w:val="22"/>
          <w:lang w:val="en-GB" w:eastAsia="en-US"/>
        </w:rPr>
        <w:t>EU i indikativnom listom elemenata iz Aneksa III Direktive Komisije 2017/845 o izm</w:t>
      </w:r>
      <w:r w:rsidR="0050686E">
        <w:rPr>
          <w:rFonts w:eastAsia="Calibri"/>
          <w:szCs w:val="22"/>
          <w:lang w:val="en-GB" w:eastAsia="en-US"/>
        </w:rPr>
        <w:t>j</w:t>
      </w:r>
      <w:r w:rsidRPr="00392811">
        <w:rPr>
          <w:rFonts w:eastAsia="Calibri"/>
          <w:szCs w:val="22"/>
          <w:lang w:val="en-GB" w:eastAsia="en-US"/>
        </w:rPr>
        <w:t>eni i dopuni Direktive 2008/56</w:t>
      </w:r>
      <w:r w:rsidR="0050686E">
        <w:rPr>
          <w:rFonts w:eastAsia="Calibri"/>
          <w:szCs w:val="22"/>
          <w:lang w:val="en-GB" w:eastAsia="en-US"/>
        </w:rPr>
        <w:t>/</w:t>
      </w:r>
      <w:r w:rsidRPr="00392811">
        <w:rPr>
          <w:rFonts w:eastAsia="Calibri"/>
          <w:szCs w:val="22"/>
          <w:lang w:val="en-GB" w:eastAsia="en-US"/>
        </w:rPr>
        <w:t xml:space="preserve"> EC (tabela 3.4).</w:t>
      </w:r>
    </w:p>
    <w:p w14:paraId="7715DFFF" w14:textId="52091CEA" w:rsidR="00392811" w:rsidRPr="001C6CCA" w:rsidRDefault="0045544F" w:rsidP="00392811">
      <w:pPr>
        <w:spacing w:before="0" w:after="0"/>
        <w:rPr>
          <w:rFonts w:eastAsia="Calibri"/>
          <w:szCs w:val="22"/>
          <w:lang w:val="en-GB" w:eastAsia="en-US"/>
        </w:rPr>
      </w:pPr>
      <w:r w:rsidRPr="00510967">
        <w:rPr>
          <w:rFonts w:eastAsia="Calibri"/>
          <w:szCs w:val="22"/>
          <w:lang w:val="en-GB" w:eastAsia="en-US"/>
        </w:rPr>
        <w:t>Kao i za sisare,</w:t>
      </w:r>
      <w:r w:rsidR="00392811" w:rsidRPr="00510967">
        <w:rPr>
          <w:rFonts w:eastAsia="Calibri"/>
          <w:szCs w:val="22"/>
          <w:lang w:val="en-GB" w:eastAsia="en-US"/>
        </w:rPr>
        <w:t xml:space="preserve"> nedostaju </w:t>
      </w:r>
      <w:r w:rsidRPr="00510967">
        <w:rPr>
          <w:rFonts w:eastAsia="Calibri"/>
          <w:szCs w:val="22"/>
          <w:lang w:val="en-GB" w:eastAsia="en-US"/>
        </w:rPr>
        <w:t xml:space="preserve">podaci </w:t>
      </w:r>
      <w:r w:rsidR="00392811" w:rsidRPr="00510967">
        <w:rPr>
          <w:rFonts w:eastAsia="Calibri"/>
          <w:szCs w:val="22"/>
          <w:lang w:val="en-GB" w:eastAsia="en-US"/>
        </w:rPr>
        <w:t>za kornjače relevantn</w:t>
      </w:r>
      <w:r w:rsidRPr="00510967">
        <w:rPr>
          <w:rFonts w:eastAsia="Calibri"/>
          <w:szCs w:val="22"/>
          <w:lang w:val="en-GB" w:eastAsia="en-US"/>
        </w:rPr>
        <w:t>i za crnogorski dio Jadrana.</w:t>
      </w:r>
      <w:r w:rsidR="00392811" w:rsidRPr="00510967">
        <w:rPr>
          <w:rFonts w:eastAsia="Calibri"/>
          <w:szCs w:val="22"/>
          <w:lang w:val="en-GB" w:eastAsia="en-US"/>
        </w:rPr>
        <w:t xml:space="preserve"> </w:t>
      </w:r>
      <w:r w:rsidR="00245C60">
        <w:rPr>
          <w:rFonts w:eastAsia="Calibri"/>
          <w:szCs w:val="22"/>
          <w:lang w:val="en-GB" w:eastAsia="en-US"/>
        </w:rPr>
        <w:t>Osim toga, n</w:t>
      </w:r>
      <w:r w:rsidR="00392811" w:rsidRPr="00510967">
        <w:rPr>
          <w:rFonts w:eastAsia="Calibri"/>
          <w:szCs w:val="22"/>
          <w:lang w:val="en-GB" w:eastAsia="en-US"/>
        </w:rPr>
        <w:t>a nivou Jadranskog mora još nije urađena nijedna proc</w:t>
      </w:r>
      <w:r w:rsidR="0050686E" w:rsidRPr="00510967">
        <w:rPr>
          <w:rFonts w:eastAsia="Calibri"/>
          <w:szCs w:val="22"/>
          <w:lang w:val="en-GB" w:eastAsia="en-US"/>
        </w:rPr>
        <w:t>j</w:t>
      </w:r>
      <w:r w:rsidR="00392811" w:rsidRPr="00510967">
        <w:rPr>
          <w:rFonts w:eastAsia="Calibri"/>
          <w:szCs w:val="22"/>
          <w:lang w:val="en-GB" w:eastAsia="en-US"/>
        </w:rPr>
        <w:t>ena</w:t>
      </w:r>
      <w:r w:rsidR="00392811" w:rsidRPr="00392811">
        <w:rPr>
          <w:rFonts w:eastAsia="Calibri"/>
          <w:szCs w:val="22"/>
          <w:lang w:val="en-GB" w:eastAsia="en-US"/>
        </w:rPr>
        <w:t xml:space="preserve"> statusa zaštite, kao što je regionalna proc</w:t>
      </w:r>
      <w:r w:rsidR="0050686E">
        <w:rPr>
          <w:rFonts w:eastAsia="Calibri"/>
          <w:szCs w:val="22"/>
          <w:lang w:val="en-GB" w:eastAsia="en-US"/>
        </w:rPr>
        <w:t>j</w:t>
      </w:r>
      <w:r w:rsidR="00392811" w:rsidRPr="00392811">
        <w:rPr>
          <w:rFonts w:eastAsia="Calibri"/>
          <w:szCs w:val="22"/>
          <w:lang w:val="en-GB" w:eastAsia="en-US"/>
        </w:rPr>
        <w:t>ena zasnovana na IUCN kriterijumima.</w:t>
      </w:r>
    </w:p>
    <w:p w14:paraId="34B806EE" w14:textId="439B4D1E" w:rsidR="00923891" w:rsidRPr="001C6CCA" w:rsidRDefault="000A2FFC" w:rsidP="008665B1">
      <w:pPr>
        <w:pStyle w:val="Heading4"/>
        <w:rPr>
          <w:rFonts w:eastAsia="Calibri"/>
          <w:lang w:val="en-GB"/>
        </w:rPr>
      </w:pPr>
      <w:r>
        <w:rPr>
          <w:rFonts w:eastAsia="Calibri"/>
          <w:lang w:val="en-GB"/>
        </w:rPr>
        <w:t xml:space="preserve">Procjena </w:t>
      </w:r>
      <w:r w:rsidR="00923891" w:rsidRPr="001C6CCA">
        <w:rPr>
          <w:rFonts w:eastAsia="Calibri"/>
          <w:lang w:val="en-GB"/>
        </w:rPr>
        <w:t>GES</w:t>
      </w:r>
      <w:r>
        <w:rPr>
          <w:rFonts w:eastAsia="Calibri"/>
          <w:lang w:val="en-GB"/>
        </w:rPr>
        <w:t>-a</w:t>
      </w:r>
      <w:r w:rsidR="00923891" w:rsidRPr="001C6CCA">
        <w:rPr>
          <w:rFonts w:eastAsia="Calibri"/>
          <w:lang w:val="en-GB"/>
        </w:rPr>
        <w:t xml:space="preserve"> </w:t>
      </w:r>
    </w:p>
    <w:p w14:paraId="0B6F279C" w14:textId="1D7E6828" w:rsidR="00392811" w:rsidRPr="001C6CCA" w:rsidRDefault="00392811" w:rsidP="00F65CFF">
      <w:pPr>
        <w:spacing w:before="0" w:after="0"/>
        <w:rPr>
          <w:rFonts w:eastAsia="Calibri"/>
          <w:szCs w:val="22"/>
          <w:lang w:val="en-GB" w:eastAsia="en-US"/>
        </w:rPr>
      </w:pPr>
      <w:r w:rsidRPr="00392811">
        <w:rPr>
          <w:rFonts w:eastAsia="Calibri"/>
          <w:szCs w:val="22"/>
          <w:lang w:val="en-GB" w:eastAsia="en-US"/>
        </w:rPr>
        <w:t>Konkretno za brojnost populacije i distribuciju vrsta, podaci iz dva blisko sprovedena vazdušna ispitivanja</w:t>
      </w:r>
      <w:r w:rsidR="0050686E">
        <w:rPr>
          <w:rFonts w:eastAsia="Calibri"/>
          <w:szCs w:val="22"/>
          <w:lang w:val="en-GB" w:eastAsia="en-US"/>
        </w:rPr>
        <w:t xml:space="preserve"> </w:t>
      </w:r>
      <w:r w:rsidR="00510967">
        <w:rPr>
          <w:rFonts w:eastAsia="Calibri"/>
          <w:szCs w:val="22"/>
          <w:lang w:val="en-GB" w:eastAsia="en-US"/>
        </w:rPr>
        <w:t xml:space="preserve">(2010. i 2013. godine) </w:t>
      </w:r>
      <w:r w:rsidR="0050686E">
        <w:rPr>
          <w:rFonts w:eastAsia="Calibri"/>
          <w:szCs w:val="22"/>
          <w:lang w:val="en-GB" w:eastAsia="en-US"/>
        </w:rPr>
        <w:t xml:space="preserve">uopšteno </w:t>
      </w:r>
      <w:r w:rsidRPr="00392811">
        <w:rPr>
          <w:rFonts w:eastAsia="Calibri"/>
          <w:szCs w:val="22"/>
          <w:lang w:val="en-GB" w:eastAsia="en-US"/>
        </w:rPr>
        <w:t>ne pokazuju pad ili negativne trendove</w:t>
      </w:r>
      <w:r w:rsidR="00245C60">
        <w:rPr>
          <w:rFonts w:eastAsia="Calibri"/>
          <w:szCs w:val="22"/>
          <w:lang w:val="en-GB" w:eastAsia="en-US"/>
        </w:rPr>
        <w:t>.</w:t>
      </w:r>
      <w:r w:rsidRPr="00392811">
        <w:rPr>
          <w:rFonts w:eastAsia="Calibri"/>
          <w:szCs w:val="22"/>
          <w:lang w:val="en-GB" w:eastAsia="en-US"/>
        </w:rPr>
        <w:t xml:space="preserve"> Ipak, u nedostatku dugoročnih serija podataka</w:t>
      </w:r>
      <w:r w:rsidR="00510967">
        <w:rPr>
          <w:rFonts w:eastAsia="Calibri"/>
          <w:szCs w:val="22"/>
          <w:lang w:val="en-GB" w:eastAsia="en-US"/>
        </w:rPr>
        <w:t xml:space="preserve"> nije moguće sa sigurnošću </w:t>
      </w:r>
      <w:r w:rsidRPr="00392811">
        <w:rPr>
          <w:rFonts w:eastAsia="Calibri"/>
          <w:szCs w:val="22"/>
          <w:lang w:val="en-GB" w:eastAsia="en-US"/>
        </w:rPr>
        <w:t xml:space="preserve">donijeti zaključke o </w:t>
      </w:r>
      <w:r w:rsidR="00510967">
        <w:rPr>
          <w:rFonts w:eastAsia="Calibri"/>
          <w:szCs w:val="22"/>
          <w:lang w:val="en-GB" w:eastAsia="en-US"/>
        </w:rPr>
        <w:t xml:space="preserve">karakteristikama </w:t>
      </w:r>
      <w:r w:rsidRPr="00392811">
        <w:rPr>
          <w:rFonts w:eastAsia="Calibri"/>
          <w:szCs w:val="22"/>
          <w:lang w:val="en-GB" w:eastAsia="en-US"/>
        </w:rPr>
        <w:t>GES-</w:t>
      </w:r>
      <w:r w:rsidR="00510967">
        <w:rPr>
          <w:rFonts w:eastAsia="Calibri"/>
          <w:szCs w:val="22"/>
          <w:lang w:val="en-GB" w:eastAsia="en-US"/>
        </w:rPr>
        <w:t>a</w:t>
      </w:r>
      <w:r w:rsidRPr="00392811">
        <w:rPr>
          <w:rFonts w:eastAsia="Calibri"/>
          <w:szCs w:val="22"/>
          <w:lang w:val="en-GB" w:eastAsia="en-US"/>
        </w:rPr>
        <w:t xml:space="preserve"> (Tabela 3.12). </w:t>
      </w:r>
      <w:r w:rsidR="0045544F">
        <w:rPr>
          <w:rFonts w:eastAsia="Calibri"/>
          <w:szCs w:val="22"/>
          <w:lang w:val="en-GB" w:eastAsia="en-US"/>
        </w:rPr>
        <w:t>Kao i za sisare</w:t>
      </w:r>
      <w:r w:rsidR="0045544F" w:rsidRPr="00510967">
        <w:rPr>
          <w:rFonts w:eastAsia="Calibri"/>
          <w:szCs w:val="22"/>
          <w:lang w:val="en-GB" w:eastAsia="en-US"/>
        </w:rPr>
        <w:t>,</w:t>
      </w:r>
      <w:r w:rsidRPr="00510967">
        <w:rPr>
          <w:rFonts w:eastAsia="Calibri"/>
          <w:szCs w:val="22"/>
          <w:lang w:val="en-GB" w:eastAsia="en-US"/>
        </w:rPr>
        <w:t xml:space="preserve"> rezultati ASI 2018,</w:t>
      </w:r>
      <w:r w:rsidRPr="00392811">
        <w:rPr>
          <w:rFonts w:eastAsia="Calibri"/>
          <w:szCs w:val="22"/>
          <w:lang w:val="en-GB" w:eastAsia="en-US"/>
        </w:rPr>
        <w:t xml:space="preserve"> koji su u toku</w:t>
      </w:r>
      <w:r w:rsidR="0045544F">
        <w:rPr>
          <w:rFonts w:eastAsia="Calibri"/>
          <w:szCs w:val="22"/>
          <w:lang w:val="en-GB" w:eastAsia="en-US"/>
        </w:rPr>
        <w:t xml:space="preserve"> obrade</w:t>
      </w:r>
      <w:r w:rsidRPr="00392811">
        <w:rPr>
          <w:rFonts w:eastAsia="Calibri"/>
          <w:szCs w:val="22"/>
          <w:lang w:val="en-GB" w:eastAsia="en-US"/>
        </w:rPr>
        <w:t>, trebalo bi da daju bolju sliku GES-a za morske kornjače u budućim proc</w:t>
      </w:r>
      <w:r w:rsidR="0050686E">
        <w:rPr>
          <w:rFonts w:eastAsia="Calibri"/>
          <w:szCs w:val="22"/>
          <w:lang w:val="en-GB" w:eastAsia="en-US"/>
        </w:rPr>
        <w:t>j</w:t>
      </w:r>
      <w:r w:rsidRPr="00392811">
        <w:rPr>
          <w:rFonts w:eastAsia="Calibri"/>
          <w:szCs w:val="22"/>
          <w:lang w:val="en-GB" w:eastAsia="en-US"/>
        </w:rPr>
        <w:t>enama.</w:t>
      </w:r>
    </w:p>
    <w:p w14:paraId="2DE5C17F" w14:textId="77777777" w:rsidR="008665B1" w:rsidRPr="001C6CCA" w:rsidRDefault="008665B1" w:rsidP="00F65CFF">
      <w:pPr>
        <w:spacing w:before="0" w:after="0"/>
        <w:rPr>
          <w:rFonts w:eastAsia="Calibri"/>
          <w:szCs w:val="22"/>
          <w:lang w:val="en-GB" w:eastAsia="en-US"/>
        </w:rPr>
      </w:pPr>
    </w:p>
    <w:p w14:paraId="79C40D91" w14:textId="7857AD31" w:rsidR="00E575DD" w:rsidRPr="00C000AE" w:rsidRDefault="00F02207" w:rsidP="00B71D9B">
      <w:pPr>
        <w:tabs>
          <w:tab w:val="left" w:pos="7328"/>
        </w:tabs>
        <w:spacing w:before="0" w:after="0" w:line="240" w:lineRule="auto"/>
        <w:rPr>
          <w:rFonts w:eastAsia="Calibri" w:cs="Calibri"/>
          <w:szCs w:val="22"/>
          <w:lang w:val="en-GB" w:eastAsia="en-US"/>
        </w:rPr>
      </w:pPr>
      <w:bookmarkStart w:id="341" w:name="_Toc83643208"/>
      <w:r w:rsidRPr="00C000AE">
        <w:rPr>
          <w:rFonts w:eastAsia="Calibri" w:cs="Calibri"/>
          <w:b/>
          <w:szCs w:val="22"/>
          <w:lang w:val="en-GB" w:eastAsia="en-US"/>
        </w:rPr>
        <w:t>Tab</w:t>
      </w:r>
      <w:r w:rsidR="0050686E">
        <w:rPr>
          <w:rFonts w:eastAsia="Calibri" w:cs="Calibri"/>
          <w:b/>
          <w:szCs w:val="22"/>
          <w:lang w:val="en-GB" w:eastAsia="en-US"/>
        </w:rPr>
        <w:t xml:space="preserve">ela </w:t>
      </w:r>
      <w:r w:rsidR="00C000AE" w:rsidRPr="00D932B6">
        <w:rPr>
          <w:b/>
          <w:szCs w:val="22"/>
        </w:rPr>
        <w:fldChar w:fldCharType="begin"/>
      </w:r>
      <w:r w:rsidR="00C000AE" w:rsidRPr="00D932B6">
        <w:rPr>
          <w:b/>
          <w:szCs w:val="22"/>
        </w:rPr>
        <w:instrText xml:space="preserve"> STYLEREF 1 \s </w:instrText>
      </w:r>
      <w:r w:rsidR="00C000AE" w:rsidRPr="00D932B6">
        <w:rPr>
          <w:b/>
          <w:szCs w:val="22"/>
        </w:rPr>
        <w:fldChar w:fldCharType="separate"/>
      </w:r>
      <w:r w:rsidR="000D1E20">
        <w:rPr>
          <w:b/>
          <w:noProof/>
          <w:szCs w:val="22"/>
        </w:rPr>
        <w:t>3</w:t>
      </w:r>
      <w:r w:rsidR="00C000AE" w:rsidRPr="00D932B6">
        <w:rPr>
          <w:b/>
          <w:szCs w:val="22"/>
        </w:rPr>
        <w:fldChar w:fldCharType="end"/>
      </w:r>
      <w:r w:rsidR="00C000AE" w:rsidRPr="00D932B6">
        <w:rPr>
          <w:b/>
          <w:szCs w:val="22"/>
        </w:rPr>
        <w:t>.</w:t>
      </w:r>
      <w:r w:rsidR="00C000AE" w:rsidRPr="00D932B6">
        <w:rPr>
          <w:b/>
          <w:szCs w:val="22"/>
        </w:rPr>
        <w:fldChar w:fldCharType="begin"/>
      </w:r>
      <w:r w:rsidR="00C000AE" w:rsidRPr="00D932B6">
        <w:rPr>
          <w:b/>
          <w:szCs w:val="22"/>
        </w:rPr>
        <w:instrText xml:space="preserve"> SEQ Table \* ARABIC \s 1 </w:instrText>
      </w:r>
      <w:r w:rsidR="00C000AE" w:rsidRPr="00D932B6">
        <w:rPr>
          <w:b/>
          <w:szCs w:val="22"/>
        </w:rPr>
        <w:fldChar w:fldCharType="separate"/>
      </w:r>
      <w:r w:rsidR="000D1E20">
        <w:rPr>
          <w:b/>
          <w:noProof/>
          <w:szCs w:val="22"/>
        </w:rPr>
        <w:t>12</w:t>
      </w:r>
      <w:r w:rsidR="00C000AE" w:rsidRPr="00D932B6">
        <w:rPr>
          <w:b/>
          <w:szCs w:val="22"/>
        </w:rPr>
        <w:fldChar w:fldCharType="end"/>
      </w:r>
      <w:r w:rsidR="00C000AE">
        <w:rPr>
          <w:b/>
          <w:szCs w:val="22"/>
        </w:rPr>
        <w:t>.</w:t>
      </w:r>
      <w:r w:rsidR="00C000AE" w:rsidRPr="001C6CCA">
        <w:rPr>
          <w:rFonts w:eastAsia="Calibri" w:cs="Calibri"/>
          <w:b/>
          <w:szCs w:val="22"/>
          <w:lang w:val="en-GB" w:eastAsia="en-US"/>
        </w:rPr>
        <w:t xml:space="preserve"> </w:t>
      </w:r>
      <w:r w:rsidR="000428A8">
        <w:rPr>
          <w:rFonts w:eastAsia="Calibri" w:cs="Calibri"/>
          <w:b/>
          <w:szCs w:val="22"/>
          <w:lang w:val="en-GB" w:eastAsia="en-US"/>
        </w:rPr>
        <w:t>P</w:t>
      </w:r>
      <w:r w:rsidR="0050686E" w:rsidRPr="00F00BA2">
        <w:rPr>
          <w:rFonts w:eastAsia="Calibri" w:cs="Calibri"/>
          <w:b/>
          <w:szCs w:val="22"/>
          <w:lang w:val="en-GB" w:eastAsia="en-US"/>
        </w:rPr>
        <w:t>roc</w:t>
      </w:r>
      <w:r w:rsidR="0050686E">
        <w:rPr>
          <w:rFonts w:eastAsia="Calibri" w:cs="Calibri"/>
          <w:b/>
          <w:szCs w:val="22"/>
          <w:lang w:val="en-GB" w:eastAsia="en-US"/>
        </w:rPr>
        <w:t>j</w:t>
      </w:r>
      <w:r w:rsidR="0050686E" w:rsidRPr="00F00BA2">
        <w:rPr>
          <w:rFonts w:eastAsia="Calibri" w:cs="Calibri"/>
          <w:b/>
          <w:szCs w:val="22"/>
          <w:lang w:val="en-GB" w:eastAsia="en-US"/>
        </w:rPr>
        <w:t xml:space="preserve">ena </w:t>
      </w:r>
      <w:r w:rsidR="000428A8">
        <w:rPr>
          <w:rFonts w:eastAsia="Calibri" w:cs="Calibri"/>
          <w:b/>
          <w:szCs w:val="22"/>
          <w:lang w:val="en-GB" w:eastAsia="en-US"/>
        </w:rPr>
        <w:t xml:space="preserve">GES-a za morske </w:t>
      </w:r>
      <w:r w:rsidR="0050686E">
        <w:rPr>
          <w:rFonts w:eastAsia="Calibri" w:cs="Calibri"/>
          <w:b/>
          <w:szCs w:val="22"/>
          <w:lang w:val="en-GB" w:eastAsia="en-US"/>
        </w:rPr>
        <w:t>kornjač</w:t>
      </w:r>
      <w:r w:rsidR="000428A8">
        <w:rPr>
          <w:rFonts w:eastAsia="Calibri" w:cs="Calibri"/>
          <w:b/>
          <w:szCs w:val="22"/>
          <w:lang w:val="en-GB" w:eastAsia="en-US"/>
        </w:rPr>
        <w:t>e</w:t>
      </w:r>
      <w:r w:rsidR="0050686E" w:rsidRPr="00F00BA2">
        <w:rPr>
          <w:rFonts w:eastAsia="Calibri" w:cs="Calibri"/>
          <w:b/>
          <w:szCs w:val="22"/>
          <w:lang w:val="en-GB" w:eastAsia="en-US"/>
        </w:rPr>
        <w:t xml:space="preserve"> p</w:t>
      </w:r>
      <w:r w:rsidR="000428A8">
        <w:rPr>
          <w:rFonts w:eastAsia="Calibri" w:cs="Calibri"/>
          <w:b/>
          <w:szCs w:val="22"/>
          <w:lang w:val="en-GB" w:eastAsia="en-US"/>
        </w:rPr>
        <w:t>rema k</w:t>
      </w:r>
      <w:r w:rsidR="0050686E" w:rsidRPr="00F00BA2">
        <w:rPr>
          <w:rFonts w:eastAsia="Calibri" w:cs="Calibri"/>
          <w:b/>
          <w:szCs w:val="22"/>
          <w:lang w:val="en-GB" w:eastAsia="en-US"/>
        </w:rPr>
        <w:t xml:space="preserve">riterijumima </w:t>
      </w:r>
      <w:r w:rsidR="00245C60">
        <w:rPr>
          <w:rFonts w:eastAsia="Calibri" w:cs="Calibri"/>
          <w:b/>
          <w:szCs w:val="22"/>
          <w:lang w:val="en-GB" w:eastAsia="en-US"/>
        </w:rPr>
        <w:t xml:space="preserve">iz </w:t>
      </w:r>
      <w:r w:rsidR="000428A8">
        <w:rPr>
          <w:rFonts w:eastAsia="Calibri" w:cs="Calibri"/>
          <w:b/>
          <w:szCs w:val="22"/>
          <w:lang w:val="en-GB" w:eastAsia="en-US"/>
        </w:rPr>
        <w:t xml:space="preserve">Odluke Komisije </w:t>
      </w:r>
      <w:r w:rsidRPr="00C000AE">
        <w:rPr>
          <w:rFonts w:eastAsia="Calibri" w:cs="Calibri"/>
          <w:b/>
          <w:szCs w:val="22"/>
          <w:lang w:val="en-GB" w:eastAsia="en-US"/>
        </w:rPr>
        <w:t>2017/845/EU</w:t>
      </w:r>
      <w:bookmarkEnd w:id="341"/>
      <w:r w:rsidRPr="00C000AE">
        <w:rPr>
          <w:rFonts w:eastAsia="Calibri" w:cs="Calibri"/>
          <w:b/>
          <w:bCs/>
          <w:szCs w:val="22"/>
          <w:lang w:val="en-GB" w:eastAsia="en-US"/>
        </w:rPr>
        <w:t xml:space="preserve"> </w:t>
      </w:r>
    </w:p>
    <w:tbl>
      <w:tblPr>
        <w:tblStyle w:val="GolderTable8"/>
        <w:tblW w:w="0" w:type="auto"/>
        <w:tblLook w:val="04A0" w:firstRow="1" w:lastRow="0" w:firstColumn="1" w:lastColumn="0" w:noHBand="0" w:noVBand="1"/>
      </w:tblPr>
      <w:tblGrid>
        <w:gridCol w:w="3005"/>
        <w:gridCol w:w="6011"/>
      </w:tblGrid>
      <w:tr w:rsidR="00E36DAD" w:rsidRPr="001C6CCA" w14:paraId="6D34C476" w14:textId="77777777" w:rsidTr="00CD6F51">
        <w:trPr>
          <w:tblHeader/>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555306B2" w14:textId="4E9250AE" w:rsidR="00E36DAD" w:rsidRPr="00E36DAD" w:rsidRDefault="00E36DAD" w:rsidP="00E36DAD">
            <w:pPr>
              <w:spacing w:before="0" w:after="0" w:line="259" w:lineRule="auto"/>
              <w:jc w:val="center"/>
              <w:rPr>
                <w:b/>
                <w:color w:val="FFFFFF" w:themeColor="background1"/>
                <w:lang w:val="en-GB" w:eastAsia="en-US"/>
              </w:rPr>
            </w:pPr>
            <w:r>
              <w:rPr>
                <w:b/>
                <w:color w:val="FFFFFF" w:themeColor="background1"/>
                <w:lang w:val="en-GB" w:eastAsia="en-US"/>
              </w:rPr>
              <w:t>Područje procjene: subregionalni nivo  - Jadransko more</w:t>
            </w:r>
          </w:p>
        </w:tc>
      </w:tr>
      <w:tr w:rsidR="00E575DD" w:rsidRPr="001C6CCA" w14:paraId="21CCFCE1" w14:textId="77777777" w:rsidTr="00CD6F51">
        <w:trPr>
          <w:tblHeader/>
        </w:trPr>
        <w:tc>
          <w:tcPr>
            <w:tcW w:w="300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14975C0" w14:textId="23D7329C" w:rsidR="00E575DD" w:rsidRPr="00E36DAD" w:rsidRDefault="0050686E" w:rsidP="00F65CFF">
            <w:pPr>
              <w:spacing w:before="0" w:after="0" w:line="259" w:lineRule="auto"/>
              <w:jc w:val="left"/>
              <w:rPr>
                <w:b/>
                <w:color w:val="FFFFFF" w:themeColor="background1"/>
                <w:lang w:val="en-GB" w:eastAsia="en-US"/>
              </w:rPr>
            </w:pPr>
            <w:bookmarkStart w:id="342" w:name="_Hlk66361450"/>
            <w:r w:rsidRPr="00E36DAD">
              <w:rPr>
                <w:b/>
                <w:color w:val="FFFFFF" w:themeColor="background1"/>
                <w:lang w:val="en-GB" w:eastAsia="en-US"/>
              </w:rPr>
              <w:t>Kriterijum</w:t>
            </w:r>
          </w:p>
        </w:tc>
        <w:tc>
          <w:tcPr>
            <w:tcW w:w="60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2A372D2E" w14:textId="77777777" w:rsidR="00E575DD" w:rsidRPr="00E36DAD" w:rsidRDefault="00E575DD" w:rsidP="00F65CFF">
            <w:pPr>
              <w:spacing w:before="0" w:after="0" w:line="259" w:lineRule="auto"/>
              <w:jc w:val="left"/>
              <w:rPr>
                <w:b/>
                <w:color w:val="FFFFFF" w:themeColor="background1"/>
                <w:lang w:val="en-GB" w:eastAsia="en-US"/>
              </w:rPr>
            </w:pPr>
            <w:r w:rsidRPr="00E36DAD">
              <w:rPr>
                <w:b/>
                <w:color w:val="FFFFFF" w:themeColor="background1"/>
                <w:lang w:val="en-GB" w:eastAsia="en-US"/>
              </w:rPr>
              <w:t>GES</w:t>
            </w:r>
          </w:p>
        </w:tc>
      </w:tr>
      <w:tr w:rsidR="00E575DD" w:rsidRPr="001C6CCA" w14:paraId="28AC512C" w14:textId="77777777" w:rsidTr="00CD6F51">
        <w:trPr>
          <w:tblHeader/>
        </w:trPr>
        <w:tc>
          <w:tcPr>
            <w:tcW w:w="300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500DFBEF" w14:textId="77777777" w:rsidR="00E575DD" w:rsidRPr="00E36DAD" w:rsidRDefault="00E575DD" w:rsidP="00F65CFF">
            <w:pPr>
              <w:spacing w:before="0" w:after="0" w:line="259" w:lineRule="auto"/>
              <w:jc w:val="left"/>
              <w:rPr>
                <w:color w:val="FFFFFF" w:themeColor="background1"/>
                <w:lang w:val="en-GB" w:eastAsia="en-US"/>
              </w:rPr>
            </w:pPr>
          </w:p>
        </w:tc>
        <w:tc>
          <w:tcPr>
            <w:tcW w:w="60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4386E281" w14:textId="77777777" w:rsidR="00E575DD" w:rsidRPr="00E36DAD" w:rsidRDefault="00E575DD" w:rsidP="00F65CFF">
            <w:pPr>
              <w:spacing w:before="0" w:after="0" w:line="259" w:lineRule="auto"/>
              <w:jc w:val="left"/>
              <w:rPr>
                <w:color w:val="FFFFFF" w:themeColor="background1"/>
                <w:lang w:val="en-GB" w:eastAsia="en-US"/>
              </w:rPr>
            </w:pPr>
            <w:r w:rsidRPr="00E36DAD">
              <w:rPr>
                <w:rFonts w:cs="Calibri"/>
                <w:b/>
                <w:bCs/>
                <w:i/>
                <w:iCs/>
                <w:color w:val="FFFFFF" w:themeColor="background1"/>
                <w:lang w:val="en-GB" w:eastAsia="en-US"/>
              </w:rPr>
              <w:t>Caretta caretta</w:t>
            </w:r>
          </w:p>
        </w:tc>
      </w:tr>
      <w:tr w:rsidR="00E575DD" w:rsidRPr="001C6CCA" w14:paraId="63C0E616" w14:textId="77777777" w:rsidTr="00E36DAD">
        <w:tc>
          <w:tcPr>
            <w:tcW w:w="3005" w:type="dxa"/>
            <w:tcBorders>
              <w:top w:val="single" w:sz="4" w:space="0" w:color="FFFFFF" w:themeColor="background1"/>
            </w:tcBorders>
          </w:tcPr>
          <w:p w14:paraId="497A3089" w14:textId="77777777" w:rsidR="000A2FFC" w:rsidRDefault="000A2FFC" w:rsidP="000A2FFC">
            <w:pPr>
              <w:spacing w:before="0" w:after="0" w:line="259" w:lineRule="auto"/>
              <w:jc w:val="left"/>
              <w:rPr>
                <w:rFonts w:eastAsiaTheme="minorHAnsi" w:cstheme="minorBidi"/>
                <w:sz w:val="20"/>
                <w:szCs w:val="20"/>
                <w:lang w:val="en-GB"/>
              </w:rPr>
            </w:pPr>
            <w:r w:rsidRPr="00D83AAE">
              <w:rPr>
                <w:rFonts w:eastAsiaTheme="minorHAnsi" w:cstheme="minorBidi"/>
                <w:b/>
                <w:sz w:val="20"/>
                <w:szCs w:val="20"/>
                <w:lang w:val="en-GB"/>
              </w:rPr>
              <w:t>D1C1 – Primarni:</w:t>
            </w:r>
            <w:r>
              <w:rPr>
                <w:sz w:val="20"/>
                <w:szCs w:val="20"/>
                <w:lang w:val="en-GB"/>
              </w:rPr>
              <w:t xml:space="preserve"> </w:t>
            </w:r>
          </w:p>
          <w:p w14:paraId="662743D8" w14:textId="6FA4E4B6" w:rsidR="00E575DD" w:rsidRPr="001C6CCA" w:rsidRDefault="000A2FFC" w:rsidP="000A2FFC">
            <w:pPr>
              <w:spacing w:before="0" w:after="0" w:line="259" w:lineRule="auto"/>
              <w:jc w:val="left"/>
              <w:rPr>
                <w:sz w:val="20"/>
                <w:szCs w:val="20"/>
                <w:lang w:val="en-GB" w:eastAsia="en-US"/>
              </w:rPr>
            </w:pPr>
            <w:r w:rsidRPr="00D83AAE">
              <w:rPr>
                <w:rFonts w:eastAsiaTheme="minorHAnsi" w:cstheme="minorBidi"/>
                <w:sz w:val="20"/>
                <w:szCs w:val="20"/>
                <w:lang w:val="en-GB"/>
              </w:rPr>
              <w:t>Stopa smrtnosti po vrsti kao rezultat slučajnog usputnog ulova</w:t>
            </w:r>
          </w:p>
        </w:tc>
        <w:tc>
          <w:tcPr>
            <w:tcW w:w="6011" w:type="dxa"/>
            <w:tcBorders>
              <w:top w:val="single" w:sz="4" w:space="0" w:color="FFFFFF" w:themeColor="background1"/>
            </w:tcBorders>
          </w:tcPr>
          <w:p w14:paraId="44DF3A16" w14:textId="19CF46FF" w:rsidR="0050686E" w:rsidRDefault="0050686E" w:rsidP="0050686E">
            <w:pPr>
              <w:spacing w:before="0" w:after="0" w:line="240" w:lineRule="auto"/>
              <w:jc w:val="left"/>
              <w:rPr>
                <w:sz w:val="20"/>
                <w:szCs w:val="20"/>
                <w:lang w:val="en-GB" w:eastAsia="en-US"/>
              </w:rPr>
            </w:pPr>
            <w:r w:rsidRPr="00392811">
              <w:rPr>
                <w:sz w:val="20"/>
                <w:szCs w:val="20"/>
                <w:lang w:val="en-GB" w:eastAsia="en-US"/>
              </w:rPr>
              <w:t>Nije moguće proc</w:t>
            </w:r>
            <w:r>
              <w:rPr>
                <w:sz w:val="20"/>
                <w:szCs w:val="20"/>
                <w:lang w:val="en-GB" w:eastAsia="en-US"/>
              </w:rPr>
              <w:t>j</w:t>
            </w:r>
            <w:r w:rsidRPr="00392811">
              <w:rPr>
                <w:sz w:val="20"/>
                <w:szCs w:val="20"/>
                <w:lang w:val="en-GB" w:eastAsia="en-US"/>
              </w:rPr>
              <w:t xml:space="preserve">eniti GES zbog nedostatka podataka o </w:t>
            </w:r>
            <w:r w:rsidRPr="00D83AAE">
              <w:rPr>
                <w:rFonts w:eastAsiaTheme="minorHAnsi" w:cstheme="minorBidi"/>
                <w:sz w:val="20"/>
                <w:szCs w:val="20"/>
                <w:lang w:val="en-GB"/>
              </w:rPr>
              <w:t>slučajno</w:t>
            </w:r>
            <w:r>
              <w:rPr>
                <w:rFonts w:eastAsiaTheme="minorHAnsi" w:cstheme="minorBidi"/>
                <w:sz w:val="20"/>
                <w:szCs w:val="20"/>
                <w:lang w:val="en-GB"/>
              </w:rPr>
              <w:t>m</w:t>
            </w:r>
            <w:r w:rsidR="0045544F">
              <w:rPr>
                <w:rFonts w:eastAsiaTheme="minorHAnsi" w:cstheme="minorBidi"/>
                <w:sz w:val="20"/>
                <w:szCs w:val="20"/>
                <w:lang w:val="en-GB"/>
              </w:rPr>
              <w:t>/</w:t>
            </w:r>
            <w:r w:rsidRPr="00D83AAE">
              <w:rPr>
                <w:rFonts w:eastAsiaTheme="minorHAnsi" w:cstheme="minorBidi"/>
                <w:sz w:val="20"/>
                <w:szCs w:val="20"/>
                <w:lang w:val="en-GB"/>
              </w:rPr>
              <w:t xml:space="preserve"> usputno</w:t>
            </w:r>
            <w:r>
              <w:rPr>
                <w:rFonts w:eastAsiaTheme="minorHAnsi" w:cstheme="minorBidi"/>
                <w:sz w:val="20"/>
                <w:szCs w:val="20"/>
                <w:lang w:val="en-GB"/>
              </w:rPr>
              <w:t>m ulovu</w:t>
            </w:r>
            <w:r w:rsidRPr="00392811">
              <w:rPr>
                <w:sz w:val="20"/>
                <w:szCs w:val="20"/>
                <w:lang w:val="en-GB" w:eastAsia="en-US"/>
              </w:rPr>
              <w:t xml:space="preserve"> </w:t>
            </w:r>
          </w:p>
          <w:p w14:paraId="0B62AE2F" w14:textId="689C07AC" w:rsidR="00E575DD" w:rsidRPr="001C6CCA" w:rsidRDefault="00E575DD" w:rsidP="00F65CFF">
            <w:pPr>
              <w:spacing w:before="0" w:after="0" w:line="259" w:lineRule="auto"/>
              <w:jc w:val="left"/>
              <w:rPr>
                <w:sz w:val="20"/>
                <w:szCs w:val="20"/>
                <w:lang w:val="en-GB" w:eastAsia="en-US"/>
              </w:rPr>
            </w:pPr>
          </w:p>
        </w:tc>
      </w:tr>
      <w:tr w:rsidR="00E575DD" w:rsidRPr="001C6CCA" w14:paraId="441E5298" w14:textId="77777777" w:rsidTr="00E575DD">
        <w:tc>
          <w:tcPr>
            <w:tcW w:w="3005" w:type="dxa"/>
          </w:tcPr>
          <w:p w14:paraId="53927F3C" w14:textId="77777777" w:rsidR="000A2FFC" w:rsidRDefault="000A2FFC" w:rsidP="000A2FFC">
            <w:pPr>
              <w:spacing w:before="0" w:after="0" w:line="259" w:lineRule="auto"/>
              <w:jc w:val="left"/>
              <w:rPr>
                <w:rFonts w:eastAsiaTheme="minorHAnsi" w:cstheme="minorBidi"/>
                <w:sz w:val="20"/>
                <w:szCs w:val="20"/>
                <w:lang w:val="en-GB"/>
              </w:rPr>
            </w:pPr>
            <w:r>
              <w:rPr>
                <w:rFonts w:eastAsiaTheme="minorHAnsi" w:cstheme="minorBidi"/>
                <w:b/>
                <w:sz w:val="20"/>
                <w:szCs w:val="20"/>
                <w:lang w:val="en-GB"/>
              </w:rPr>
              <w:t>D1C2</w:t>
            </w:r>
            <w:r w:rsidRPr="00D83AAE">
              <w:rPr>
                <w:rFonts w:eastAsiaTheme="minorHAnsi" w:cstheme="minorBidi"/>
                <w:b/>
                <w:sz w:val="20"/>
                <w:szCs w:val="20"/>
                <w:lang w:val="en-GB"/>
              </w:rPr>
              <w:t xml:space="preserve"> – Primarni:</w:t>
            </w:r>
            <w:r>
              <w:rPr>
                <w:sz w:val="20"/>
                <w:szCs w:val="20"/>
                <w:lang w:val="en-GB"/>
              </w:rPr>
              <w:t xml:space="preserve"> </w:t>
            </w:r>
          </w:p>
          <w:p w14:paraId="2FFDD3AF" w14:textId="36280594" w:rsidR="00E575DD" w:rsidRPr="001C6CCA" w:rsidRDefault="000A2FFC" w:rsidP="000A2FFC">
            <w:pPr>
              <w:spacing w:before="0" w:after="0" w:line="259" w:lineRule="auto"/>
              <w:jc w:val="left"/>
              <w:rPr>
                <w:sz w:val="20"/>
                <w:szCs w:val="20"/>
                <w:lang w:val="en-GB" w:eastAsia="en-US"/>
              </w:rPr>
            </w:pPr>
            <w:r w:rsidRPr="00B01F32">
              <w:rPr>
                <w:sz w:val="20"/>
                <w:szCs w:val="20"/>
                <w:lang w:val="en-GB" w:eastAsia="en-US"/>
              </w:rPr>
              <w:t>Brojnost populacije vrsta</w:t>
            </w:r>
          </w:p>
        </w:tc>
        <w:tc>
          <w:tcPr>
            <w:tcW w:w="6011" w:type="dxa"/>
          </w:tcPr>
          <w:p w14:paraId="37AEB339" w14:textId="0D78F0CC" w:rsidR="0050686E" w:rsidRPr="001C6CCA" w:rsidRDefault="0050686E" w:rsidP="00F65CFF">
            <w:pPr>
              <w:spacing w:before="0" w:after="0" w:line="240" w:lineRule="auto"/>
              <w:jc w:val="left"/>
              <w:rPr>
                <w:sz w:val="20"/>
                <w:szCs w:val="20"/>
                <w:lang w:val="en-GB" w:eastAsia="en-US"/>
              </w:rPr>
            </w:pPr>
            <w:r w:rsidRPr="00F00BA2">
              <w:rPr>
                <w:sz w:val="20"/>
                <w:szCs w:val="20"/>
                <w:lang w:val="en-GB" w:eastAsia="en-US"/>
              </w:rPr>
              <w:t>Ne postoje dugoročne serije podataka koje bi omogućile m</w:t>
            </w:r>
            <w:r>
              <w:rPr>
                <w:sz w:val="20"/>
                <w:szCs w:val="20"/>
                <w:lang w:val="en-GB" w:eastAsia="en-US"/>
              </w:rPr>
              <w:t>j</w:t>
            </w:r>
            <w:r w:rsidRPr="00F00BA2">
              <w:rPr>
                <w:sz w:val="20"/>
                <w:szCs w:val="20"/>
                <w:lang w:val="en-GB" w:eastAsia="en-US"/>
              </w:rPr>
              <w:t xml:space="preserve">erenje trendova brojnosti </w:t>
            </w:r>
            <w:r>
              <w:rPr>
                <w:sz w:val="20"/>
                <w:szCs w:val="20"/>
                <w:lang w:val="en-GB" w:eastAsia="en-US"/>
              </w:rPr>
              <w:t xml:space="preserve">populacije. </w:t>
            </w:r>
            <w:r w:rsidR="00510967">
              <w:rPr>
                <w:sz w:val="20"/>
                <w:szCs w:val="20"/>
                <w:lang w:val="en-GB" w:eastAsia="en-US"/>
              </w:rPr>
              <w:t>I</w:t>
            </w:r>
            <w:r>
              <w:rPr>
                <w:sz w:val="20"/>
                <w:szCs w:val="20"/>
                <w:lang w:val="en-GB" w:eastAsia="en-US"/>
              </w:rPr>
              <w:t>ako podaci prikupljeni tokom</w:t>
            </w:r>
            <w:r w:rsidRPr="00F00BA2">
              <w:rPr>
                <w:sz w:val="20"/>
                <w:szCs w:val="20"/>
                <w:lang w:val="en-GB" w:eastAsia="en-US"/>
              </w:rPr>
              <w:t xml:space="preserve"> 2 </w:t>
            </w:r>
            <w:r>
              <w:rPr>
                <w:sz w:val="20"/>
                <w:szCs w:val="20"/>
                <w:lang w:val="en-GB" w:eastAsia="en-US"/>
              </w:rPr>
              <w:t xml:space="preserve">uzastupno </w:t>
            </w:r>
            <w:r w:rsidRPr="00F00BA2">
              <w:rPr>
                <w:sz w:val="20"/>
                <w:szCs w:val="20"/>
                <w:lang w:val="en-GB" w:eastAsia="en-US"/>
              </w:rPr>
              <w:t xml:space="preserve">sprovedena vazdušna </w:t>
            </w:r>
            <w:r>
              <w:rPr>
                <w:sz w:val="20"/>
                <w:szCs w:val="20"/>
                <w:lang w:val="en-GB" w:eastAsia="en-US"/>
              </w:rPr>
              <w:t xml:space="preserve">istraživanja </w:t>
            </w:r>
            <w:r w:rsidRPr="00F00BA2">
              <w:rPr>
                <w:sz w:val="20"/>
                <w:szCs w:val="20"/>
                <w:lang w:val="en-GB" w:eastAsia="en-US"/>
              </w:rPr>
              <w:t xml:space="preserve">cijelog Jadrana i 2 foto-identifikaciona istraživanja teritorijalnih voda </w:t>
            </w:r>
            <w:r>
              <w:rPr>
                <w:sz w:val="20"/>
                <w:szCs w:val="20"/>
                <w:lang w:val="en-GB" w:eastAsia="en-US"/>
              </w:rPr>
              <w:t xml:space="preserve">Crne Gore </w:t>
            </w:r>
            <w:r w:rsidRPr="00F00BA2">
              <w:rPr>
                <w:sz w:val="20"/>
                <w:szCs w:val="20"/>
                <w:lang w:val="en-GB" w:eastAsia="en-US"/>
              </w:rPr>
              <w:t xml:space="preserve">ne ukazuju na bilo kakav pad, nije moguće sa sigurnošću </w:t>
            </w:r>
            <w:r w:rsidRPr="00392811">
              <w:rPr>
                <w:sz w:val="20"/>
                <w:szCs w:val="20"/>
                <w:lang w:val="en-GB" w:eastAsia="en-US"/>
              </w:rPr>
              <w:t xml:space="preserve">pretpostaviti da li to znači da antropogeni pritisci nisu značajno uticali na brojnost </w:t>
            </w:r>
            <w:r>
              <w:rPr>
                <w:sz w:val="20"/>
                <w:szCs w:val="20"/>
                <w:lang w:val="en-GB" w:eastAsia="en-US"/>
              </w:rPr>
              <w:t xml:space="preserve">populacije </w:t>
            </w:r>
            <w:r w:rsidRPr="00392811">
              <w:rPr>
                <w:sz w:val="20"/>
                <w:szCs w:val="20"/>
                <w:lang w:val="en-GB" w:eastAsia="en-US"/>
              </w:rPr>
              <w:t xml:space="preserve"> i da li </w:t>
            </w:r>
            <w:r>
              <w:rPr>
                <w:sz w:val="20"/>
                <w:szCs w:val="20"/>
                <w:lang w:val="en-GB" w:eastAsia="en-US"/>
              </w:rPr>
              <w:t xml:space="preserve"> je</w:t>
            </w:r>
            <w:r w:rsidR="00510967">
              <w:rPr>
                <w:sz w:val="20"/>
                <w:szCs w:val="20"/>
                <w:lang w:val="en-GB" w:eastAsia="en-US"/>
              </w:rPr>
              <w:t xml:space="preserve"> GES</w:t>
            </w:r>
            <w:r>
              <w:rPr>
                <w:sz w:val="20"/>
                <w:szCs w:val="20"/>
                <w:lang w:val="en-GB" w:eastAsia="en-US"/>
              </w:rPr>
              <w:t xml:space="preserve"> postignut.</w:t>
            </w:r>
          </w:p>
        </w:tc>
      </w:tr>
      <w:tr w:rsidR="00E575DD" w:rsidRPr="001C6CCA" w14:paraId="32B74A1F" w14:textId="77777777" w:rsidTr="00E575DD">
        <w:tc>
          <w:tcPr>
            <w:tcW w:w="3005" w:type="dxa"/>
          </w:tcPr>
          <w:p w14:paraId="1A705C80" w14:textId="77777777" w:rsidR="000A2FFC" w:rsidRPr="001C6CCA" w:rsidRDefault="000A2FFC" w:rsidP="000A2FFC">
            <w:pPr>
              <w:spacing w:before="0" w:after="0" w:line="259" w:lineRule="auto"/>
              <w:jc w:val="left"/>
              <w:rPr>
                <w:b/>
                <w:sz w:val="20"/>
                <w:szCs w:val="20"/>
                <w:lang w:val="en-GB" w:eastAsia="en-US"/>
              </w:rPr>
            </w:pPr>
            <w:r w:rsidRPr="001C6CCA">
              <w:rPr>
                <w:b/>
                <w:sz w:val="20"/>
                <w:szCs w:val="20"/>
                <w:lang w:val="en-GB" w:eastAsia="en-US"/>
              </w:rPr>
              <w:t>D1C3 — Se</w:t>
            </w:r>
            <w:r>
              <w:rPr>
                <w:b/>
                <w:sz w:val="20"/>
                <w:szCs w:val="20"/>
                <w:lang w:val="en-GB" w:eastAsia="en-US"/>
              </w:rPr>
              <w:t>kundarni:</w:t>
            </w:r>
          </w:p>
          <w:p w14:paraId="4EF99C34" w14:textId="639948F4" w:rsidR="00E575DD" w:rsidRPr="001C6CCA" w:rsidRDefault="000A2FFC" w:rsidP="000A2FFC">
            <w:pPr>
              <w:spacing w:before="0" w:after="0" w:line="259" w:lineRule="auto"/>
              <w:jc w:val="left"/>
              <w:rPr>
                <w:sz w:val="20"/>
                <w:szCs w:val="20"/>
                <w:lang w:val="en-GB" w:eastAsia="en-US"/>
              </w:rPr>
            </w:pPr>
            <w:r>
              <w:rPr>
                <w:sz w:val="20"/>
                <w:szCs w:val="20"/>
                <w:lang w:val="en-GB" w:eastAsia="en-US"/>
              </w:rPr>
              <w:t>D</w:t>
            </w:r>
            <w:r w:rsidRPr="00D83AAE">
              <w:rPr>
                <w:sz w:val="20"/>
                <w:szCs w:val="20"/>
                <w:lang w:val="en-GB" w:eastAsia="en-US"/>
              </w:rPr>
              <w:t>emografske karakteristike populacije vrste</w:t>
            </w:r>
          </w:p>
        </w:tc>
        <w:tc>
          <w:tcPr>
            <w:tcW w:w="6011" w:type="dxa"/>
          </w:tcPr>
          <w:p w14:paraId="58EA61D0" w14:textId="4C8E4932" w:rsidR="0050686E" w:rsidRPr="001C6CCA" w:rsidRDefault="0050686E" w:rsidP="00F65CFF">
            <w:pPr>
              <w:spacing w:before="0" w:after="0" w:line="240" w:lineRule="auto"/>
              <w:jc w:val="left"/>
              <w:rPr>
                <w:sz w:val="20"/>
                <w:szCs w:val="20"/>
                <w:lang w:val="en-GB" w:eastAsia="en-US"/>
              </w:rPr>
            </w:pPr>
            <w:r w:rsidRPr="00F00BA2">
              <w:rPr>
                <w:sz w:val="20"/>
                <w:szCs w:val="20"/>
                <w:lang w:val="en-GB" w:eastAsia="en-US"/>
              </w:rPr>
              <w:t>Nije moguće proc</w:t>
            </w:r>
            <w:r>
              <w:rPr>
                <w:sz w:val="20"/>
                <w:szCs w:val="20"/>
                <w:lang w:val="en-GB" w:eastAsia="en-US"/>
              </w:rPr>
              <w:t>ij</w:t>
            </w:r>
            <w:r w:rsidRPr="00F00BA2">
              <w:rPr>
                <w:sz w:val="20"/>
                <w:szCs w:val="20"/>
                <w:lang w:val="en-GB" w:eastAsia="en-US"/>
              </w:rPr>
              <w:t xml:space="preserve">eniti GES zbog nedostatka podataka za demografske karakteristike (odnos polova, </w:t>
            </w:r>
            <w:r>
              <w:rPr>
                <w:sz w:val="20"/>
                <w:szCs w:val="20"/>
                <w:lang w:val="en-GB" w:eastAsia="en-US"/>
              </w:rPr>
              <w:t xml:space="preserve">starosna </w:t>
            </w:r>
            <w:r w:rsidRPr="00F00BA2">
              <w:rPr>
                <w:sz w:val="20"/>
                <w:szCs w:val="20"/>
                <w:lang w:val="en-GB" w:eastAsia="en-US"/>
              </w:rPr>
              <w:t>struktura</w:t>
            </w:r>
            <w:r>
              <w:rPr>
                <w:sz w:val="20"/>
                <w:szCs w:val="20"/>
                <w:lang w:val="en-GB" w:eastAsia="en-US"/>
              </w:rPr>
              <w:t>,</w:t>
            </w:r>
            <w:r w:rsidRPr="00F00BA2">
              <w:rPr>
                <w:sz w:val="20"/>
                <w:szCs w:val="20"/>
                <w:lang w:val="en-GB" w:eastAsia="en-US"/>
              </w:rPr>
              <w:t xml:space="preserve"> </w:t>
            </w:r>
            <w:r>
              <w:rPr>
                <w:sz w:val="20"/>
                <w:szCs w:val="20"/>
                <w:lang w:val="en-GB" w:eastAsia="en-US"/>
              </w:rPr>
              <w:t xml:space="preserve">stope </w:t>
            </w:r>
            <w:r w:rsidRPr="00F00BA2">
              <w:rPr>
                <w:sz w:val="20"/>
                <w:szCs w:val="20"/>
                <w:lang w:val="en-GB" w:eastAsia="en-US"/>
              </w:rPr>
              <w:t>p</w:t>
            </w:r>
            <w:r>
              <w:rPr>
                <w:sz w:val="20"/>
                <w:szCs w:val="20"/>
                <w:lang w:val="en-GB" w:eastAsia="en-US"/>
              </w:rPr>
              <w:t>lodnost i stope preživljavanja)</w:t>
            </w:r>
            <w:r w:rsidR="000D5C2C">
              <w:rPr>
                <w:sz w:val="20"/>
                <w:szCs w:val="20"/>
                <w:lang w:val="en-GB" w:eastAsia="en-US"/>
              </w:rPr>
              <w:t>.</w:t>
            </w:r>
          </w:p>
        </w:tc>
      </w:tr>
      <w:tr w:rsidR="00E575DD" w:rsidRPr="001C6CCA" w14:paraId="16BF9CCC" w14:textId="77777777" w:rsidTr="00E575DD">
        <w:tc>
          <w:tcPr>
            <w:tcW w:w="3005" w:type="dxa"/>
          </w:tcPr>
          <w:p w14:paraId="67E0E533" w14:textId="77777777" w:rsidR="000A2FFC" w:rsidRPr="001C6CCA" w:rsidRDefault="000A2FFC" w:rsidP="000A2FFC">
            <w:pPr>
              <w:spacing w:before="0" w:after="0" w:line="259" w:lineRule="auto"/>
              <w:jc w:val="left"/>
              <w:rPr>
                <w:b/>
                <w:sz w:val="20"/>
                <w:szCs w:val="20"/>
                <w:lang w:val="en-GB" w:eastAsia="en-US"/>
              </w:rPr>
            </w:pPr>
            <w:r w:rsidRPr="001C6CCA">
              <w:rPr>
                <w:b/>
                <w:sz w:val="20"/>
                <w:szCs w:val="20"/>
                <w:lang w:val="en-GB" w:eastAsia="en-US"/>
              </w:rPr>
              <w:t xml:space="preserve">D1C4 — </w:t>
            </w:r>
            <w:r w:rsidRPr="00D83AAE">
              <w:rPr>
                <w:rFonts w:eastAsiaTheme="minorHAnsi" w:cstheme="minorBidi"/>
                <w:b/>
                <w:sz w:val="20"/>
                <w:szCs w:val="20"/>
                <w:lang w:val="en-GB"/>
              </w:rPr>
              <w:t>Primarni:</w:t>
            </w:r>
          </w:p>
          <w:p w14:paraId="5FEB557B" w14:textId="39C5C745" w:rsidR="00E575DD" w:rsidRPr="001C6CCA" w:rsidRDefault="000A2FFC" w:rsidP="000A2FFC">
            <w:pPr>
              <w:spacing w:before="0" w:after="0" w:line="259" w:lineRule="auto"/>
              <w:jc w:val="left"/>
              <w:rPr>
                <w:sz w:val="20"/>
                <w:szCs w:val="20"/>
                <w:lang w:val="en-GB" w:eastAsia="en-US"/>
              </w:rPr>
            </w:pPr>
            <w:r>
              <w:rPr>
                <w:sz w:val="20"/>
                <w:szCs w:val="20"/>
                <w:lang w:val="en-GB" w:eastAsia="en-US"/>
              </w:rPr>
              <w:t>A</w:t>
            </w:r>
            <w:r w:rsidRPr="00057F97">
              <w:rPr>
                <w:sz w:val="20"/>
                <w:szCs w:val="20"/>
                <w:lang w:val="en-GB" w:eastAsia="en-US"/>
              </w:rPr>
              <w:t>real i, ako je relevantno, obrazac rasprostranjenosti vrste u skladu je sa glavnim fiziografskim, geo</w:t>
            </w:r>
            <w:r>
              <w:rPr>
                <w:sz w:val="20"/>
                <w:szCs w:val="20"/>
                <w:lang w:val="en-GB" w:eastAsia="en-US"/>
              </w:rPr>
              <w:t>grafskim i klimatskim uslovima.</w:t>
            </w:r>
          </w:p>
        </w:tc>
        <w:tc>
          <w:tcPr>
            <w:tcW w:w="6011" w:type="dxa"/>
          </w:tcPr>
          <w:p w14:paraId="623B447F" w14:textId="099AD896" w:rsidR="00E575DD" w:rsidRPr="001C6CCA" w:rsidRDefault="0050686E" w:rsidP="00F65CFF">
            <w:pPr>
              <w:spacing w:before="0" w:after="0" w:line="259" w:lineRule="auto"/>
              <w:jc w:val="left"/>
              <w:rPr>
                <w:sz w:val="20"/>
                <w:szCs w:val="20"/>
                <w:lang w:val="en-GB" w:eastAsia="en-US"/>
              </w:rPr>
            </w:pPr>
            <w:r>
              <w:rPr>
                <w:sz w:val="20"/>
                <w:szCs w:val="20"/>
                <w:lang w:val="en-GB" w:eastAsia="en-US"/>
              </w:rPr>
              <w:t>Areal</w:t>
            </w:r>
            <w:r w:rsidRPr="00F00BA2">
              <w:rPr>
                <w:sz w:val="20"/>
                <w:szCs w:val="20"/>
                <w:lang w:val="en-GB" w:eastAsia="en-US"/>
              </w:rPr>
              <w:t xml:space="preserve"> i obrazac </w:t>
            </w:r>
            <w:r>
              <w:rPr>
                <w:sz w:val="20"/>
                <w:szCs w:val="20"/>
                <w:lang w:val="en-GB" w:eastAsia="en-US"/>
              </w:rPr>
              <w:t>rasprostranjenosti su nepromjenjeni</w:t>
            </w:r>
            <w:r w:rsidR="000D5C2C">
              <w:rPr>
                <w:sz w:val="20"/>
                <w:szCs w:val="20"/>
                <w:lang w:val="en-GB" w:eastAsia="en-US"/>
              </w:rPr>
              <w:t>.</w:t>
            </w:r>
          </w:p>
        </w:tc>
      </w:tr>
      <w:tr w:rsidR="00E575DD" w:rsidRPr="001C6CCA" w14:paraId="4F81E461" w14:textId="77777777" w:rsidTr="00E575DD">
        <w:tc>
          <w:tcPr>
            <w:tcW w:w="3005" w:type="dxa"/>
          </w:tcPr>
          <w:p w14:paraId="02BF74A2" w14:textId="77777777" w:rsidR="000A2FFC" w:rsidRPr="001C6CCA" w:rsidRDefault="000A2FFC" w:rsidP="000A2FFC">
            <w:pPr>
              <w:spacing w:before="0" w:after="0" w:line="259" w:lineRule="auto"/>
              <w:jc w:val="left"/>
              <w:rPr>
                <w:b/>
                <w:sz w:val="20"/>
                <w:szCs w:val="20"/>
                <w:lang w:val="en-GB" w:eastAsia="en-US"/>
              </w:rPr>
            </w:pPr>
            <w:r w:rsidRPr="001C6CCA">
              <w:rPr>
                <w:b/>
                <w:sz w:val="20"/>
                <w:szCs w:val="20"/>
                <w:lang w:val="en-GB" w:eastAsia="en-US"/>
              </w:rPr>
              <w:t xml:space="preserve">D1C5 — </w:t>
            </w:r>
            <w:r w:rsidRPr="00D83AAE">
              <w:rPr>
                <w:rFonts w:eastAsiaTheme="minorHAnsi" w:cstheme="minorBidi"/>
                <w:b/>
                <w:sz w:val="20"/>
                <w:szCs w:val="20"/>
                <w:lang w:val="en-GB"/>
              </w:rPr>
              <w:t>Primarni:</w:t>
            </w:r>
          </w:p>
          <w:p w14:paraId="1E888437" w14:textId="05EA2E4A" w:rsidR="00E575DD" w:rsidRPr="001C6CCA" w:rsidRDefault="000A2FFC" w:rsidP="000A2FFC">
            <w:pPr>
              <w:spacing w:before="0" w:after="0" w:line="259" w:lineRule="auto"/>
              <w:jc w:val="left"/>
              <w:rPr>
                <w:sz w:val="20"/>
                <w:szCs w:val="20"/>
                <w:lang w:val="en-GB" w:eastAsia="en-US"/>
              </w:rPr>
            </w:pPr>
            <w:r w:rsidRPr="00057F97">
              <w:rPr>
                <w:sz w:val="20"/>
                <w:szCs w:val="20"/>
                <w:lang w:val="en-GB" w:eastAsia="en-US"/>
              </w:rPr>
              <w:t>Stanište vrste ima potrebno rasprostranjenje i stanje da može podržati različite faze životnog ciklusa vrste.</w:t>
            </w:r>
          </w:p>
        </w:tc>
        <w:tc>
          <w:tcPr>
            <w:tcW w:w="6011" w:type="dxa"/>
          </w:tcPr>
          <w:p w14:paraId="7644FBEF" w14:textId="165615D9" w:rsidR="00392811" w:rsidRPr="001C6CCA" w:rsidRDefault="00392811" w:rsidP="00392811">
            <w:pPr>
              <w:spacing w:before="0" w:after="0" w:line="240" w:lineRule="auto"/>
              <w:jc w:val="left"/>
              <w:rPr>
                <w:sz w:val="20"/>
                <w:szCs w:val="20"/>
                <w:lang w:val="en-GB" w:eastAsia="en-US"/>
              </w:rPr>
            </w:pPr>
            <w:r w:rsidRPr="00392811">
              <w:rPr>
                <w:sz w:val="20"/>
                <w:szCs w:val="20"/>
                <w:lang w:val="en-GB" w:eastAsia="en-US"/>
              </w:rPr>
              <w:t>S obzirom na to da se rasprostranjenost nije prom</w:t>
            </w:r>
            <w:r w:rsidR="0050686E">
              <w:rPr>
                <w:sz w:val="20"/>
                <w:szCs w:val="20"/>
                <w:lang w:val="en-GB" w:eastAsia="en-US"/>
              </w:rPr>
              <w:t>ij</w:t>
            </w:r>
            <w:r w:rsidRPr="00392811">
              <w:rPr>
                <w:sz w:val="20"/>
                <w:szCs w:val="20"/>
                <w:lang w:val="en-GB" w:eastAsia="en-US"/>
              </w:rPr>
              <w:t>enila u periodu 2010-2013, može se zaključiti da je stanište u takvom stanju da može da podrži životni ciklus vrste.</w:t>
            </w:r>
          </w:p>
        </w:tc>
      </w:tr>
      <w:bookmarkEnd w:id="342"/>
    </w:tbl>
    <w:p w14:paraId="1095F131" w14:textId="77777777" w:rsidR="006A72D8" w:rsidRDefault="006A72D8" w:rsidP="00F65CFF">
      <w:pPr>
        <w:autoSpaceDE w:val="0"/>
        <w:autoSpaceDN w:val="0"/>
        <w:adjustRightInd w:val="0"/>
        <w:spacing w:before="0" w:after="0" w:line="240" w:lineRule="auto"/>
        <w:jc w:val="left"/>
        <w:rPr>
          <w:rFonts w:eastAsia="Calibri" w:cs="Arial"/>
          <w:b/>
          <w:color w:val="000000"/>
          <w:szCs w:val="22"/>
          <w:lang w:val="en-GB" w:eastAsia="en-US"/>
        </w:rPr>
      </w:pPr>
    </w:p>
    <w:p w14:paraId="57791FDB" w14:textId="602ACC73" w:rsidR="00A90447" w:rsidRDefault="00A90447" w:rsidP="00A90447">
      <w:pPr>
        <w:pStyle w:val="Heading4"/>
        <w:rPr>
          <w:rFonts w:eastAsia="Calibri" w:cs="Arial"/>
          <w:color w:val="000000"/>
          <w:lang w:val="en-GB" w:eastAsia="en-US"/>
        </w:rPr>
      </w:pPr>
      <w:r w:rsidRPr="00B85F63">
        <w:rPr>
          <w:rFonts w:eastAsia="Calibri"/>
          <w:lang w:val="en-GB" w:eastAsia="en-US"/>
        </w:rPr>
        <w:t xml:space="preserve">Pristup </w:t>
      </w:r>
      <w:r>
        <w:rPr>
          <w:rFonts w:eastAsia="Calibri"/>
          <w:lang w:val="en-GB" w:eastAsia="en-US"/>
        </w:rPr>
        <w:t xml:space="preserve">definisanju </w:t>
      </w:r>
      <w:r w:rsidRPr="00B85F63">
        <w:rPr>
          <w:rFonts w:eastAsia="Calibri"/>
          <w:lang w:val="en-GB" w:eastAsia="en-US"/>
        </w:rPr>
        <w:t xml:space="preserve">ciljeva za </w:t>
      </w:r>
      <w:r>
        <w:rPr>
          <w:rFonts w:eastAsia="Calibri"/>
          <w:lang w:val="en-GB" w:eastAsia="en-US"/>
        </w:rPr>
        <w:t xml:space="preserve">ostvarivanje/održavanje GES-a za </w:t>
      </w:r>
      <w:r w:rsidRPr="00B85F63">
        <w:rPr>
          <w:rFonts w:eastAsia="Calibri"/>
          <w:lang w:val="en-GB" w:eastAsia="en-US"/>
        </w:rPr>
        <w:t xml:space="preserve">morske </w:t>
      </w:r>
      <w:r>
        <w:rPr>
          <w:rFonts w:eastAsia="Calibri"/>
          <w:lang w:val="en-GB" w:eastAsia="en-US"/>
        </w:rPr>
        <w:t>kornjače</w:t>
      </w:r>
    </w:p>
    <w:p w14:paraId="0E8B7F0F" w14:textId="77777777" w:rsidR="000D5C2C" w:rsidRDefault="000D5C2C" w:rsidP="000D5C2C">
      <w:pPr>
        <w:spacing w:before="0" w:line="240" w:lineRule="auto"/>
        <w:rPr>
          <w:rFonts w:eastAsia="Calibri" w:cs="Arial"/>
          <w:b/>
          <w:color w:val="000000"/>
          <w:szCs w:val="22"/>
          <w:lang w:val="en-GB" w:eastAsia="en-US"/>
        </w:rPr>
      </w:pPr>
    </w:p>
    <w:p w14:paraId="06ED7D89" w14:textId="3473A0ED" w:rsidR="000D5C2C" w:rsidRPr="00C000AE" w:rsidRDefault="000D5C2C" w:rsidP="000D5C2C">
      <w:pPr>
        <w:spacing w:before="0" w:line="240" w:lineRule="auto"/>
        <w:rPr>
          <w:rFonts w:eastAsia="Calibri" w:cs="Calibri"/>
          <w:b/>
          <w:bCs/>
          <w:szCs w:val="22"/>
          <w:lang w:val="en-GB" w:eastAsia="en-US"/>
        </w:rPr>
      </w:pPr>
      <w:bookmarkStart w:id="343" w:name="_Toc83643209"/>
      <w:r w:rsidRPr="00C000AE">
        <w:rPr>
          <w:rFonts w:eastAsia="Calibri"/>
          <w:b/>
          <w:szCs w:val="22"/>
          <w:lang w:val="en-GB" w:eastAsia="en-US"/>
        </w:rPr>
        <w:t>Tab</w:t>
      </w:r>
      <w:r>
        <w:rPr>
          <w:rFonts w:eastAsia="Calibri"/>
          <w:b/>
          <w:szCs w:val="22"/>
          <w:lang w:val="en-GB" w:eastAsia="en-US"/>
        </w:rPr>
        <w:t>ela</w:t>
      </w:r>
      <w:r w:rsidRPr="00C000AE">
        <w:rPr>
          <w:rFonts w:eastAsia="Calibri"/>
          <w:b/>
          <w:szCs w:val="22"/>
          <w:lang w:val="en-GB" w:eastAsia="en-US"/>
        </w:rPr>
        <w:t xml:space="preserve"> </w:t>
      </w:r>
      <w:r w:rsidRPr="00C000AE">
        <w:rPr>
          <w:b/>
          <w:szCs w:val="22"/>
        </w:rPr>
        <w:fldChar w:fldCharType="begin"/>
      </w:r>
      <w:r w:rsidRPr="00C000AE">
        <w:rPr>
          <w:b/>
          <w:szCs w:val="22"/>
        </w:rPr>
        <w:instrText xml:space="preserve"> STYLEREF 1 \s </w:instrText>
      </w:r>
      <w:r w:rsidRPr="00C000AE">
        <w:rPr>
          <w:b/>
          <w:szCs w:val="22"/>
        </w:rPr>
        <w:fldChar w:fldCharType="separate"/>
      </w:r>
      <w:r w:rsidR="000D1E20">
        <w:rPr>
          <w:b/>
          <w:noProof/>
          <w:szCs w:val="22"/>
        </w:rPr>
        <w:t>3</w:t>
      </w:r>
      <w:r w:rsidRPr="00C000AE">
        <w:rPr>
          <w:b/>
          <w:szCs w:val="22"/>
        </w:rPr>
        <w:fldChar w:fldCharType="end"/>
      </w:r>
      <w:r w:rsidRPr="00C000AE">
        <w:rPr>
          <w:b/>
          <w:szCs w:val="22"/>
        </w:rPr>
        <w:t>.</w:t>
      </w:r>
      <w:r w:rsidRPr="00C000AE">
        <w:rPr>
          <w:b/>
          <w:szCs w:val="22"/>
        </w:rPr>
        <w:fldChar w:fldCharType="begin"/>
      </w:r>
      <w:r w:rsidRPr="00C000AE">
        <w:rPr>
          <w:b/>
          <w:szCs w:val="22"/>
        </w:rPr>
        <w:instrText xml:space="preserve"> SEQ Table \* ARABIC \s 1 </w:instrText>
      </w:r>
      <w:r w:rsidRPr="00C000AE">
        <w:rPr>
          <w:b/>
          <w:szCs w:val="22"/>
        </w:rPr>
        <w:fldChar w:fldCharType="separate"/>
      </w:r>
      <w:r w:rsidR="000D1E20">
        <w:rPr>
          <w:b/>
          <w:noProof/>
          <w:szCs w:val="22"/>
        </w:rPr>
        <w:t>13</w:t>
      </w:r>
      <w:r w:rsidRPr="00C000AE">
        <w:rPr>
          <w:b/>
          <w:szCs w:val="22"/>
        </w:rPr>
        <w:fldChar w:fldCharType="end"/>
      </w:r>
      <w:r>
        <w:rPr>
          <w:b/>
          <w:szCs w:val="22"/>
        </w:rPr>
        <w:t>3</w:t>
      </w:r>
      <w:r w:rsidRPr="00C000AE">
        <w:rPr>
          <w:b/>
          <w:szCs w:val="22"/>
        </w:rPr>
        <w:t>.</w:t>
      </w:r>
      <w:r w:rsidRPr="00C000AE">
        <w:rPr>
          <w:rFonts w:eastAsia="Calibri" w:cs="Calibri"/>
          <w:b/>
          <w:szCs w:val="22"/>
          <w:lang w:val="en-GB" w:eastAsia="en-US"/>
        </w:rPr>
        <w:t xml:space="preserve"> </w:t>
      </w:r>
      <w:r>
        <w:rPr>
          <w:rFonts w:eastAsia="Calibri" w:cs="Calibri"/>
          <w:b/>
          <w:szCs w:val="22"/>
          <w:lang w:val="en-GB" w:eastAsia="en-US"/>
        </w:rPr>
        <w:t>C</w:t>
      </w:r>
      <w:r w:rsidRPr="00AD451F">
        <w:rPr>
          <w:rFonts w:eastAsia="Calibri" w:cs="Calibri"/>
          <w:b/>
          <w:szCs w:val="22"/>
          <w:lang w:val="en-GB" w:eastAsia="en-US"/>
        </w:rPr>
        <w:t xml:space="preserve">iljevi </w:t>
      </w:r>
      <w:r>
        <w:rPr>
          <w:rFonts w:eastAsia="Calibri" w:cs="Calibri"/>
          <w:b/>
          <w:szCs w:val="22"/>
          <w:lang w:val="en-GB" w:eastAsia="en-US"/>
        </w:rPr>
        <w:t>koji vode ka napretku u postizanju GES-a za morske kornjače</w:t>
      </w:r>
      <w:bookmarkEnd w:id="343"/>
    </w:p>
    <w:p w14:paraId="2CDE0FB8" w14:textId="2D96A2BA" w:rsidR="0050686E" w:rsidRDefault="0050686E" w:rsidP="00F65CFF">
      <w:pPr>
        <w:tabs>
          <w:tab w:val="left" w:pos="1992"/>
        </w:tabs>
        <w:spacing w:before="0" w:after="0" w:line="259" w:lineRule="auto"/>
        <w:rPr>
          <w:rFonts w:eastAsia="Calibri" w:cs="Calibri"/>
          <w:color w:val="000000"/>
          <w:sz w:val="20"/>
          <w:szCs w:val="20"/>
          <w:shd w:val="clear" w:color="auto" w:fill="FFFFFF"/>
          <w:lang w:val="en-GB" w:eastAsia="en-US"/>
        </w:rPr>
      </w:pPr>
    </w:p>
    <w:tbl>
      <w:tblPr>
        <w:tblStyle w:val="GolderTable8"/>
        <w:tblW w:w="0" w:type="auto"/>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463"/>
        <w:gridCol w:w="6329"/>
        <w:gridCol w:w="1224"/>
      </w:tblGrid>
      <w:tr w:rsidR="00E24841" w:rsidRPr="001C6CCA" w14:paraId="2B9EC839" w14:textId="77777777" w:rsidTr="00B4601E">
        <w:trPr>
          <w:tblHeader/>
        </w:trPr>
        <w:tc>
          <w:tcPr>
            <w:tcW w:w="901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459C92BC" w14:textId="77777777" w:rsidR="00E24841" w:rsidRPr="00E36DAD" w:rsidRDefault="00E24841" w:rsidP="00E24841">
            <w:pPr>
              <w:tabs>
                <w:tab w:val="left" w:pos="1992"/>
              </w:tabs>
              <w:spacing w:before="0" w:after="0" w:line="240" w:lineRule="auto"/>
              <w:jc w:val="center"/>
              <w:rPr>
                <w:b/>
                <w:color w:val="FFFFFF" w:themeColor="background1"/>
                <w:sz w:val="20"/>
                <w:szCs w:val="20"/>
                <w:lang w:val="en-GB" w:eastAsia="en-US"/>
              </w:rPr>
            </w:pPr>
            <w:r>
              <w:rPr>
                <w:b/>
                <w:color w:val="FFFFFF" w:themeColor="background1"/>
                <w:sz w:val="20"/>
                <w:szCs w:val="20"/>
                <w:lang w:val="en-GB" w:eastAsia="en-US"/>
              </w:rPr>
              <w:t>Područje procjene: subregionalni nivo - Jadransko more</w:t>
            </w:r>
          </w:p>
          <w:p w14:paraId="265F286E" w14:textId="77777777" w:rsidR="00E24841" w:rsidRPr="006A72D8" w:rsidRDefault="00E24841" w:rsidP="003A057C">
            <w:pPr>
              <w:spacing w:before="0" w:after="0" w:line="240" w:lineRule="auto"/>
              <w:jc w:val="left"/>
              <w:rPr>
                <w:b/>
                <w:color w:val="FFFFFF" w:themeColor="background1"/>
                <w:lang w:val="en-GB" w:eastAsia="en-US"/>
              </w:rPr>
            </w:pPr>
          </w:p>
        </w:tc>
      </w:tr>
      <w:tr w:rsidR="008356EA" w:rsidRPr="001C6CCA" w14:paraId="3B625A62" w14:textId="77777777" w:rsidTr="00E36DAD">
        <w:trPr>
          <w:tblHeader/>
        </w:trPr>
        <w:tc>
          <w:tcPr>
            <w:tcW w:w="1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6EF63BD2" w14:textId="77777777" w:rsidR="008356EA" w:rsidRPr="006A72D8" w:rsidRDefault="008356EA" w:rsidP="003A057C">
            <w:pPr>
              <w:spacing w:before="0" w:after="0" w:line="240" w:lineRule="auto"/>
              <w:jc w:val="left"/>
              <w:rPr>
                <w:b/>
                <w:color w:val="FFFFFF" w:themeColor="background1"/>
                <w:lang w:val="en-GB" w:eastAsia="en-US"/>
              </w:rPr>
            </w:pPr>
            <w:bookmarkStart w:id="344" w:name="_Hlk82872253"/>
            <w:r w:rsidRPr="006A72D8">
              <w:rPr>
                <w:b/>
                <w:color w:val="FFFFFF" w:themeColor="background1"/>
                <w:lang w:val="en-GB" w:eastAsia="en-US"/>
              </w:rPr>
              <w:t>Kriterijum</w:t>
            </w:r>
          </w:p>
        </w:tc>
        <w:tc>
          <w:tcPr>
            <w:tcW w:w="63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761DB80" w14:textId="77777777" w:rsidR="008356EA" w:rsidRPr="006A72D8" w:rsidRDefault="008356EA" w:rsidP="003A057C">
            <w:pPr>
              <w:spacing w:before="0" w:after="0" w:line="240" w:lineRule="auto"/>
              <w:jc w:val="left"/>
              <w:rPr>
                <w:b/>
                <w:color w:val="FFFFFF" w:themeColor="background1"/>
                <w:lang w:val="en-GB" w:eastAsia="en-US"/>
              </w:rPr>
            </w:pPr>
            <w:r w:rsidRPr="006A72D8">
              <w:rPr>
                <w:b/>
                <w:color w:val="FFFFFF" w:themeColor="background1"/>
                <w:lang w:val="en-GB" w:eastAsia="en-US"/>
              </w:rPr>
              <w:t>Cilj</w:t>
            </w:r>
          </w:p>
          <w:p w14:paraId="002EB337" w14:textId="77777777" w:rsidR="008356EA" w:rsidRPr="006A72D8" w:rsidRDefault="008356EA" w:rsidP="003A057C">
            <w:pPr>
              <w:spacing w:before="0" w:after="0" w:line="240" w:lineRule="auto"/>
              <w:jc w:val="left"/>
              <w:rPr>
                <w:b/>
                <w:color w:val="FFFFFF" w:themeColor="background1"/>
                <w:lang w:val="en-GB" w:eastAsia="en-US"/>
              </w:rPr>
            </w:pPr>
          </w:p>
        </w:tc>
        <w:tc>
          <w:tcPr>
            <w:tcW w:w="12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1A9E063F" w14:textId="77777777" w:rsidR="008356EA" w:rsidRPr="006A72D8" w:rsidRDefault="008356EA" w:rsidP="003A057C">
            <w:pPr>
              <w:spacing w:before="0" w:after="0" w:line="240" w:lineRule="auto"/>
              <w:jc w:val="left"/>
              <w:rPr>
                <w:b/>
                <w:color w:val="FFFFFF" w:themeColor="background1"/>
                <w:lang w:val="en-GB" w:eastAsia="en-US"/>
              </w:rPr>
            </w:pPr>
            <w:r w:rsidRPr="006A72D8">
              <w:rPr>
                <w:b/>
                <w:color w:val="FFFFFF" w:themeColor="background1"/>
                <w:lang w:val="en-GB" w:eastAsia="en-US"/>
              </w:rPr>
              <w:t>Kod cilja</w:t>
            </w:r>
          </w:p>
        </w:tc>
      </w:tr>
      <w:tr w:rsidR="008356EA" w:rsidRPr="001C6CCA" w14:paraId="3E9EDD26" w14:textId="77777777" w:rsidTr="00E36DAD">
        <w:tc>
          <w:tcPr>
            <w:tcW w:w="1463" w:type="dxa"/>
            <w:tcBorders>
              <w:top w:val="single" w:sz="4" w:space="0" w:color="FFFFFF" w:themeColor="background1"/>
            </w:tcBorders>
          </w:tcPr>
          <w:p w14:paraId="47322BFD" w14:textId="77777777" w:rsidR="008356EA" w:rsidRPr="001C6CCA" w:rsidRDefault="008356EA" w:rsidP="003A057C">
            <w:pPr>
              <w:spacing w:before="0" w:after="0" w:line="240" w:lineRule="auto"/>
              <w:jc w:val="left"/>
              <w:rPr>
                <w:b/>
                <w:sz w:val="20"/>
                <w:szCs w:val="20"/>
                <w:lang w:val="en-GB" w:eastAsia="en-US"/>
              </w:rPr>
            </w:pPr>
            <w:r w:rsidRPr="001C6CCA">
              <w:rPr>
                <w:b/>
                <w:sz w:val="20"/>
                <w:szCs w:val="20"/>
                <w:lang w:val="en-GB" w:eastAsia="en-US"/>
              </w:rPr>
              <w:t>D1C1</w:t>
            </w:r>
          </w:p>
        </w:tc>
        <w:tc>
          <w:tcPr>
            <w:tcW w:w="6329" w:type="dxa"/>
            <w:tcBorders>
              <w:top w:val="single" w:sz="4" w:space="0" w:color="FFFFFF" w:themeColor="background1"/>
            </w:tcBorders>
          </w:tcPr>
          <w:p w14:paraId="083C8D9E" w14:textId="5144B353" w:rsidR="008356EA" w:rsidRPr="001C6CCA" w:rsidRDefault="008356EA" w:rsidP="008356EA">
            <w:pPr>
              <w:spacing w:before="0" w:after="0" w:line="240" w:lineRule="auto"/>
              <w:rPr>
                <w:rFonts w:cs="Calibri"/>
                <w:sz w:val="20"/>
                <w:szCs w:val="20"/>
                <w:lang w:val="en-GB" w:eastAsia="en-US"/>
              </w:rPr>
            </w:pPr>
            <w:r w:rsidRPr="003D7837">
              <w:rPr>
                <w:rFonts w:cs="Calibri"/>
                <w:color w:val="000000"/>
                <w:sz w:val="20"/>
                <w:szCs w:val="20"/>
                <w:lang w:eastAsia="en-US"/>
              </w:rPr>
              <w:t xml:space="preserve">Smrtnost vrste </w:t>
            </w:r>
            <w:r w:rsidRPr="003D7837">
              <w:rPr>
                <w:rFonts w:cs="Calibri"/>
                <w:i/>
                <w:iCs/>
                <w:color w:val="000000"/>
                <w:sz w:val="20"/>
                <w:szCs w:val="20"/>
                <w:lang w:eastAsia="en-US"/>
              </w:rPr>
              <w:t xml:space="preserve">Caretta caretta </w:t>
            </w:r>
            <w:r w:rsidRPr="003D7837">
              <w:rPr>
                <w:rFonts w:cs="Calibri"/>
                <w:color w:val="000000"/>
                <w:sz w:val="20"/>
                <w:szCs w:val="20"/>
                <w:lang w:eastAsia="en-US"/>
              </w:rPr>
              <w:t>uslijed slučajnog ulova je smanjena i ne utječe značajno na veličinu populacije.</w:t>
            </w:r>
          </w:p>
        </w:tc>
        <w:tc>
          <w:tcPr>
            <w:tcW w:w="1224" w:type="dxa"/>
            <w:tcBorders>
              <w:top w:val="single" w:sz="4" w:space="0" w:color="FFFFFF" w:themeColor="background1"/>
            </w:tcBorders>
          </w:tcPr>
          <w:p w14:paraId="1611A976" w14:textId="635574B7" w:rsidR="008356EA" w:rsidRPr="001C6CCA" w:rsidRDefault="008356EA" w:rsidP="003A057C">
            <w:pPr>
              <w:spacing w:before="0" w:after="0" w:line="240" w:lineRule="auto"/>
              <w:jc w:val="left"/>
              <w:rPr>
                <w:rFonts w:cs="Calibri"/>
                <w:color w:val="000000"/>
                <w:sz w:val="20"/>
                <w:szCs w:val="20"/>
                <w:lang w:val="en-GB" w:eastAsia="en-US"/>
              </w:rPr>
            </w:pPr>
            <w:r w:rsidRPr="001C6CCA">
              <w:rPr>
                <w:rFonts w:cs="Calibri"/>
                <w:color w:val="000000"/>
                <w:sz w:val="20"/>
                <w:szCs w:val="20"/>
                <w:lang w:val="en-GB" w:eastAsia="en-US"/>
              </w:rPr>
              <w:t>D1T1</w:t>
            </w:r>
            <w:r>
              <w:rPr>
                <w:rFonts w:cs="Calibri"/>
                <w:color w:val="000000"/>
                <w:sz w:val="20"/>
                <w:szCs w:val="20"/>
                <w:lang w:val="en-GB" w:eastAsia="en-US"/>
              </w:rPr>
              <w:t>T*</w:t>
            </w:r>
          </w:p>
        </w:tc>
      </w:tr>
      <w:tr w:rsidR="00A90447" w:rsidRPr="001C6CCA" w14:paraId="4549A8F6" w14:textId="77777777" w:rsidTr="000D5C2C">
        <w:tc>
          <w:tcPr>
            <w:tcW w:w="1463" w:type="dxa"/>
          </w:tcPr>
          <w:p w14:paraId="012E1091" w14:textId="2B932BE1" w:rsidR="00A90447" w:rsidRPr="001C6CCA" w:rsidRDefault="00A90447" w:rsidP="003A057C">
            <w:pPr>
              <w:spacing w:before="0" w:after="0" w:line="240" w:lineRule="auto"/>
              <w:jc w:val="left"/>
              <w:rPr>
                <w:b/>
                <w:sz w:val="20"/>
                <w:szCs w:val="20"/>
                <w:lang w:val="en-GB" w:eastAsia="en-US"/>
              </w:rPr>
            </w:pPr>
            <w:r>
              <w:rPr>
                <w:b/>
                <w:sz w:val="20"/>
                <w:szCs w:val="20"/>
                <w:lang w:val="en-GB" w:eastAsia="en-US"/>
              </w:rPr>
              <w:t>D1C2</w:t>
            </w:r>
          </w:p>
        </w:tc>
        <w:tc>
          <w:tcPr>
            <w:tcW w:w="6329" w:type="dxa"/>
          </w:tcPr>
          <w:p w14:paraId="5F3E42F2" w14:textId="52B82A4E" w:rsidR="00A90447" w:rsidRPr="00A90447" w:rsidRDefault="00A90447" w:rsidP="008356EA">
            <w:pPr>
              <w:spacing w:before="0" w:after="0" w:line="240" w:lineRule="auto"/>
              <w:rPr>
                <w:rFonts w:cs="Calibri"/>
                <w:color w:val="000000"/>
                <w:sz w:val="20"/>
                <w:szCs w:val="20"/>
                <w:lang w:eastAsia="en-US"/>
              </w:rPr>
            </w:pPr>
            <w:r>
              <w:rPr>
                <w:rFonts w:cs="Calibri"/>
                <w:color w:val="000000"/>
                <w:sz w:val="20"/>
                <w:szCs w:val="20"/>
                <w:lang w:eastAsia="en-US"/>
              </w:rPr>
              <w:t xml:space="preserve">Brojnost populacije vrste </w:t>
            </w:r>
            <w:r>
              <w:rPr>
                <w:rFonts w:cs="Calibri"/>
                <w:i/>
                <w:color w:val="000000"/>
                <w:sz w:val="20"/>
                <w:szCs w:val="20"/>
                <w:lang w:eastAsia="en-US"/>
              </w:rPr>
              <w:t xml:space="preserve">Caretta caretta </w:t>
            </w:r>
            <w:r>
              <w:rPr>
                <w:rFonts w:cs="Calibri"/>
                <w:color w:val="000000"/>
                <w:sz w:val="20"/>
                <w:szCs w:val="20"/>
                <w:lang w:eastAsia="en-US"/>
              </w:rPr>
              <w:t>U Jadranskom moru se ne smanjuje</w:t>
            </w:r>
          </w:p>
        </w:tc>
        <w:tc>
          <w:tcPr>
            <w:tcW w:w="1224" w:type="dxa"/>
          </w:tcPr>
          <w:p w14:paraId="729B2790" w14:textId="4E65123E" w:rsidR="00A90447" w:rsidRPr="001C6CCA" w:rsidRDefault="00A90447" w:rsidP="003A057C">
            <w:pPr>
              <w:spacing w:before="0" w:after="0" w:line="240" w:lineRule="auto"/>
              <w:jc w:val="left"/>
              <w:rPr>
                <w:rFonts w:cs="Calibri"/>
                <w:color w:val="000000"/>
                <w:sz w:val="20"/>
                <w:szCs w:val="20"/>
                <w:lang w:val="en-GB" w:eastAsia="en-US"/>
              </w:rPr>
            </w:pPr>
            <w:r>
              <w:rPr>
                <w:rFonts w:cs="Calibri"/>
                <w:color w:val="000000"/>
                <w:sz w:val="20"/>
                <w:szCs w:val="20"/>
                <w:lang w:val="en-GB" w:eastAsia="en-US"/>
              </w:rPr>
              <w:t>D1T2T</w:t>
            </w:r>
          </w:p>
        </w:tc>
      </w:tr>
      <w:tr w:rsidR="00A90447" w:rsidRPr="001C6CCA" w14:paraId="12CD2F40" w14:textId="77777777" w:rsidTr="000D5C2C">
        <w:trPr>
          <w:trHeight w:val="498"/>
        </w:trPr>
        <w:tc>
          <w:tcPr>
            <w:tcW w:w="1463" w:type="dxa"/>
          </w:tcPr>
          <w:p w14:paraId="6F96C701" w14:textId="6E60FF3F" w:rsidR="00A90447" w:rsidRPr="001C6CCA" w:rsidRDefault="00A90447" w:rsidP="003A057C">
            <w:pPr>
              <w:spacing w:before="0" w:after="0" w:line="240" w:lineRule="auto"/>
              <w:rPr>
                <w:b/>
                <w:sz w:val="20"/>
                <w:szCs w:val="20"/>
                <w:lang w:val="en-GB" w:eastAsia="en-US"/>
              </w:rPr>
            </w:pPr>
            <w:r w:rsidRPr="001C6CCA">
              <w:rPr>
                <w:b/>
                <w:sz w:val="20"/>
                <w:szCs w:val="20"/>
                <w:lang w:val="en-GB" w:eastAsia="en-US"/>
              </w:rPr>
              <w:t>D1C3</w:t>
            </w:r>
          </w:p>
        </w:tc>
        <w:tc>
          <w:tcPr>
            <w:tcW w:w="6329" w:type="dxa"/>
          </w:tcPr>
          <w:p w14:paraId="484B0B53" w14:textId="63CC7E6E" w:rsidR="00A90447" w:rsidRPr="001C6CCA" w:rsidRDefault="00A90447" w:rsidP="00CE5A88">
            <w:pPr>
              <w:spacing w:before="0" w:after="0" w:line="240" w:lineRule="auto"/>
              <w:rPr>
                <w:sz w:val="20"/>
                <w:szCs w:val="20"/>
                <w:lang w:val="en-GB" w:eastAsia="en-US"/>
              </w:rPr>
            </w:pPr>
            <w:r w:rsidRPr="00CE5A88">
              <w:rPr>
                <w:sz w:val="20"/>
                <w:szCs w:val="20"/>
                <w:lang w:val="en-GB" w:eastAsia="en-US"/>
              </w:rPr>
              <w:t xml:space="preserve">Sastav populacije i demografske </w:t>
            </w:r>
            <w:r w:rsidR="001D25E2">
              <w:rPr>
                <w:sz w:val="20"/>
                <w:szCs w:val="20"/>
                <w:lang w:val="en-GB" w:eastAsia="en-US"/>
              </w:rPr>
              <w:t xml:space="preserve">karakteristike </w:t>
            </w:r>
            <w:r w:rsidRPr="00CE5A88">
              <w:rPr>
                <w:sz w:val="20"/>
                <w:szCs w:val="20"/>
                <w:lang w:val="en-GB" w:eastAsia="en-US"/>
              </w:rPr>
              <w:t>nisu promijenjene.</w:t>
            </w:r>
          </w:p>
        </w:tc>
        <w:tc>
          <w:tcPr>
            <w:tcW w:w="1224" w:type="dxa"/>
          </w:tcPr>
          <w:p w14:paraId="01FE45EC" w14:textId="7548C302" w:rsidR="00A90447" w:rsidRPr="001C6CCA" w:rsidRDefault="00A90447" w:rsidP="003A057C">
            <w:pPr>
              <w:spacing w:before="0" w:after="0" w:line="240" w:lineRule="auto"/>
              <w:jc w:val="left"/>
              <w:rPr>
                <w:sz w:val="20"/>
                <w:szCs w:val="20"/>
                <w:lang w:val="en-GB" w:eastAsia="en-US"/>
              </w:rPr>
            </w:pPr>
            <w:r w:rsidRPr="001C6CCA">
              <w:rPr>
                <w:sz w:val="20"/>
                <w:szCs w:val="20"/>
                <w:lang w:val="en-GB" w:eastAsia="en-US"/>
              </w:rPr>
              <w:t>D1T</w:t>
            </w:r>
            <w:r w:rsidR="000D5C2C">
              <w:rPr>
                <w:sz w:val="20"/>
                <w:szCs w:val="20"/>
                <w:lang w:val="en-GB" w:eastAsia="en-US"/>
              </w:rPr>
              <w:t>3</w:t>
            </w:r>
            <w:r>
              <w:rPr>
                <w:sz w:val="20"/>
                <w:szCs w:val="20"/>
                <w:lang w:val="en-GB" w:eastAsia="en-US"/>
              </w:rPr>
              <w:t>MT</w:t>
            </w:r>
          </w:p>
        </w:tc>
      </w:tr>
      <w:tr w:rsidR="000D5C2C" w:rsidRPr="001C6CCA" w14:paraId="6DB778A0" w14:textId="77777777" w:rsidTr="000D5C2C">
        <w:tc>
          <w:tcPr>
            <w:tcW w:w="1463" w:type="dxa"/>
          </w:tcPr>
          <w:p w14:paraId="0B1DF0F8" w14:textId="77777777" w:rsidR="000D5C2C" w:rsidRPr="001C6CCA" w:rsidRDefault="000D5C2C" w:rsidP="003A057C">
            <w:pPr>
              <w:spacing w:before="0" w:after="0" w:line="240" w:lineRule="auto"/>
              <w:jc w:val="left"/>
              <w:rPr>
                <w:b/>
                <w:sz w:val="20"/>
                <w:szCs w:val="20"/>
                <w:lang w:val="en-GB" w:eastAsia="en-US"/>
              </w:rPr>
            </w:pPr>
            <w:r w:rsidRPr="001C6CCA">
              <w:rPr>
                <w:b/>
                <w:sz w:val="20"/>
                <w:szCs w:val="20"/>
                <w:lang w:val="en-GB" w:eastAsia="en-US"/>
              </w:rPr>
              <w:t>D1C4</w:t>
            </w:r>
          </w:p>
        </w:tc>
        <w:tc>
          <w:tcPr>
            <w:tcW w:w="6329" w:type="dxa"/>
            <w:vMerge w:val="restart"/>
          </w:tcPr>
          <w:p w14:paraId="6994A344" w14:textId="77777777" w:rsidR="000D5C2C" w:rsidRPr="001C6CCA" w:rsidRDefault="000D5C2C" w:rsidP="00CE5A88">
            <w:pPr>
              <w:spacing w:before="0" w:after="0" w:line="240" w:lineRule="auto"/>
              <w:rPr>
                <w:sz w:val="20"/>
                <w:szCs w:val="20"/>
                <w:lang w:val="en-GB" w:eastAsia="en-US"/>
              </w:rPr>
            </w:pPr>
            <w:r w:rsidRPr="00CE5A88">
              <w:rPr>
                <w:sz w:val="20"/>
                <w:szCs w:val="20"/>
                <w:lang w:val="en-GB" w:eastAsia="en-US"/>
              </w:rPr>
              <w:t xml:space="preserve">Područje i </w:t>
            </w:r>
            <w:r>
              <w:rPr>
                <w:sz w:val="20"/>
                <w:szCs w:val="20"/>
                <w:lang w:val="en-GB" w:eastAsia="en-US"/>
              </w:rPr>
              <w:t>obrazac</w:t>
            </w:r>
            <w:r w:rsidRPr="00CE5A88">
              <w:rPr>
                <w:sz w:val="20"/>
                <w:szCs w:val="20"/>
                <w:lang w:val="en-GB" w:eastAsia="en-US"/>
              </w:rPr>
              <w:t xml:space="preserve"> rasprostranjenosti se ne mijenja i ne smanjuje u odnosu na trenutnu vrijednost.</w:t>
            </w:r>
          </w:p>
        </w:tc>
        <w:tc>
          <w:tcPr>
            <w:tcW w:w="1224" w:type="dxa"/>
            <w:vMerge w:val="restart"/>
          </w:tcPr>
          <w:p w14:paraId="4A9C6ABC" w14:textId="197A55FB" w:rsidR="000D5C2C" w:rsidRPr="001C6CCA" w:rsidRDefault="000D5C2C" w:rsidP="00CE5A88">
            <w:pPr>
              <w:spacing w:before="0" w:after="0" w:line="240" w:lineRule="auto"/>
              <w:rPr>
                <w:sz w:val="20"/>
                <w:szCs w:val="20"/>
                <w:lang w:val="en-GB" w:eastAsia="en-US"/>
              </w:rPr>
            </w:pPr>
            <w:r>
              <w:rPr>
                <w:sz w:val="20"/>
                <w:szCs w:val="20"/>
                <w:lang w:val="en-GB" w:eastAsia="en-US"/>
              </w:rPr>
              <w:t>D1T4T</w:t>
            </w:r>
          </w:p>
        </w:tc>
      </w:tr>
      <w:tr w:rsidR="000D5C2C" w:rsidRPr="001C6CCA" w14:paraId="0B45422F" w14:textId="77777777" w:rsidTr="000D5C2C">
        <w:tc>
          <w:tcPr>
            <w:tcW w:w="1463" w:type="dxa"/>
          </w:tcPr>
          <w:p w14:paraId="329B7329" w14:textId="77777777" w:rsidR="000D5C2C" w:rsidRPr="001C6CCA" w:rsidRDefault="000D5C2C" w:rsidP="003A057C">
            <w:pPr>
              <w:spacing w:before="0" w:after="0" w:line="240" w:lineRule="auto"/>
              <w:jc w:val="left"/>
              <w:rPr>
                <w:b/>
                <w:sz w:val="20"/>
                <w:szCs w:val="20"/>
                <w:lang w:val="en-GB" w:eastAsia="en-US"/>
              </w:rPr>
            </w:pPr>
            <w:r w:rsidRPr="001C6CCA">
              <w:rPr>
                <w:b/>
                <w:sz w:val="20"/>
                <w:szCs w:val="20"/>
                <w:lang w:val="en-GB" w:eastAsia="en-US"/>
              </w:rPr>
              <w:t>D1C5</w:t>
            </w:r>
          </w:p>
        </w:tc>
        <w:tc>
          <w:tcPr>
            <w:tcW w:w="6329" w:type="dxa"/>
            <w:vMerge/>
          </w:tcPr>
          <w:p w14:paraId="146AE218" w14:textId="77777777" w:rsidR="000D5C2C" w:rsidRPr="001C6CCA" w:rsidRDefault="000D5C2C" w:rsidP="003A057C">
            <w:pPr>
              <w:spacing w:before="0" w:after="0" w:line="240" w:lineRule="auto"/>
              <w:jc w:val="left"/>
              <w:rPr>
                <w:sz w:val="20"/>
                <w:szCs w:val="20"/>
                <w:lang w:val="en-GB" w:eastAsia="en-US"/>
              </w:rPr>
            </w:pPr>
          </w:p>
        </w:tc>
        <w:tc>
          <w:tcPr>
            <w:tcW w:w="1224" w:type="dxa"/>
            <w:vMerge/>
          </w:tcPr>
          <w:p w14:paraId="109DA811" w14:textId="085733CD" w:rsidR="000D5C2C" w:rsidRPr="001C6CCA" w:rsidRDefault="000D5C2C" w:rsidP="003A057C">
            <w:pPr>
              <w:spacing w:before="0" w:after="0" w:line="240" w:lineRule="auto"/>
              <w:jc w:val="left"/>
              <w:rPr>
                <w:sz w:val="20"/>
                <w:szCs w:val="20"/>
                <w:lang w:val="en-GB" w:eastAsia="en-US"/>
              </w:rPr>
            </w:pPr>
          </w:p>
        </w:tc>
      </w:tr>
      <w:tr w:rsidR="008356EA" w:rsidRPr="001C6CCA" w14:paraId="20643B10" w14:textId="77777777" w:rsidTr="003A057C">
        <w:tc>
          <w:tcPr>
            <w:tcW w:w="1463" w:type="dxa"/>
          </w:tcPr>
          <w:p w14:paraId="7B08CCC7" w14:textId="77777777" w:rsidR="008356EA" w:rsidRPr="00615D4E" w:rsidRDefault="008356EA" w:rsidP="003A057C">
            <w:pPr>
              <w:spacing w:before="0" w:after="0" w:line="240" w:lineRule="auto"/>
              <w:jc w:val="left"/>
              <w:rPr>
                <w:b/>
                <w:sz w:val="20"/>
                <w:szCs w:val="20"/>
                <w:lang w:val="en-GB" w:eastAsia="en-US"/>
              </w:rPr>
            </w:pPr>
            <w:r w:rsidRPr="00615D4E">
              <w:rPr>
                <w:b/>
                <w:sz w:val="20"/>
                <w:szCs w:val="20"/>
              </w:rPr>
              <w:t>Operativni ciljevi</w:t>
            </w:r>
          </w:p>
        </w:tc>
        <w:tc>
          <w:tcPr>
            <w:tcW w:w="7553" w:type="dxa"/>
            <w:gridSpan w:val="2"/>
          </w:tcPr>
          <w:p w14:paraId="1BA4E7FB" w14:textId="5135418D" w:rsidR="008356EA" w:rsidRPr="001C6CCA" w:rsidRDefault="008356EA" w:rsidP="00C87B62">
            <w:pPr>
              <w:spacing w:before="0" w:after="0" w:line="240" w:lineRule="auto"/>
              <w:rPr>
                <w:sz w:val="20"/>
                <w:szCs w:val="20"/>
                <w:lang w:val="en-GB" w:eastAsia="en-US"/>
              </w:rPr>
            </w:pPr>
            <w:r>
              <w:rPr>
                <w:sz w:val="20"/>
                <w:szCs w:val="20"/>
                <w:lang w:val="en-GB" w:eastAsia="en-US"/>
              </w:rPr>
              <w:t xml:space="preserve">Saradnja </w:t>
            </w:r>
            <w:r w:rsidRPr="007C4F00">
              <w:rPr>
                <w:sz w:val="20"/>
                <w:szCs w:val="20"/>
                <w:lang w:val="en-GB" w:eastAsia="en-US"/>
              </w:rPr>
              <w:t>sa drugim zemljama u mediteranskom regionu ili na nivou podre</w:t>
            </w:r>
            <w:r>
              <w:rPr>
                <w:sz w:val="20"/>
                <w:szCs w:val="20"/>
                <w:lang w:val="en-GB" w:eastAsia="en-US"/>
              </w:rPr>
              <w:t>giona</w:t>
            </w:r>
            <w:r w:rsidRPr="007C4F00">
              <w:rPr>
                <w:sz w:val="20"/>
                <w:szCs w:val="20"/>
                <w:lang w:val="en-GB" w:eastAsia="en-US"/>
              </w:rPr>
              <w:t xml:space="preserve"> (Jadransko more) na uspostavljanju zajedničkog programa </w:t>
            </w:r>
            <w:r>
              <w:rPr>
                <w:sz w:val="20"/>
                <w:szCs w:val="20"/>
                <w:lang w:val="en-GB" w:eastAsia="en-US"/>
              </w:rPr>
              <w:t>monitoringa</w:t>
            </w:r>
            <w:r w:rsidRPr="007C4F00">
              <w:rPr>
                <w:sz w:val="20"/>
                <w:szCs w:val="20"/>
                <w:lang w:val="en-GB" w:eastAsia="en-US"/>
              </w:rPr>
              <w:t xml:space="preserve"> i </w:t>
            </w:r>
            <w:r>
              <w:rPr>
                <w:sz w:val="20"/>
                <w:szCs w:val="20"/>
                <w:lang w:val="en-GB" w:eastAsia="en-US"/>
              </w:rPr>
              <w:t>defini</w:t>
            </w:r>
            <w:r w:rsidR="00C87B62">
              <w:rPr>
                <w:sz w:val="20"/>
                <w:szCs w:val="20"/>
                <w:lang w:val="en-GB" w:eastAsia="en-US"/>
              </w:rPr>
              <w:t>sanju</w:t>
            </w:r>
            <w:r>
              <w:rPr>
                <w:sz w:val="20"/>
                <w:szCs w:val="20"/>
                <w:lang w:val="en-GB" w:eastAsia="en-US"/>
              </w:rPr>
              <w:t xml:space="preserve"> </w:t>
            </w:r>
            <w:r w:rsidRPr="007C4F00">
              <w:rPr>
                <w:sz w:val="20"/>
                <w:szCs w:val="20"/>
                <w:lang w:val="en-GB" w:eastAsia="en-US"/>
              </w:rPr>
              <w:t xml:space="preserve">kriterijuma i </w:t>
            </w:r>
            <w:r w:rsidRPr="00A75CB6">
              <w:rPr>
                <w:sz w:val="20"/>
                <w:szCs w:val="20"/>
                <w:lang w:val="en-GB" w:eastAsia="en-US"/>
              </w:rPr>
              <w:t>pragova</w:t>
            </w:r>
            <w:r w:rsidRPr="007C4F00">
              <w:rPr>
                <w:sz w:val="20"/>
                <w:szCs w:val="20"/>
                <w:lang w:val="en-GB" w:eastAsia="en-US"/>
              </w:rPr>
              <w:t xml:space="preserve"> za obim </w:t>
            </w:r>
            <w:r w:rsidR="000D5C2C">
              <w:rPr>
                <w:sz w:val="20"/>
                <w:szCs w:val="20"/>
                <w:lang w:val="en-GB" w:eastAsia="en-US"/>
              </w:rPr>
              <w:t xml:space="preserve">promjena u stanju populacije, </w:t>
            </w:r>
            <w:r w:rsidRPr="007C4F00">
              <w:rPr>
                <w:sz w:val="20"/>
                <w:szCs w:val="20"/>
                <w:lang w:val="en-GB" w:eastAsia="en-US"/>
              </w:rPr>
              <w:t>gubitka staništa i obim antropogenih aktivnosti tamo gd</w:t>
            </w:r>
            <w:r>
              <w:rPr>
                <w:sz w:val="20"/>
                <w:szCs w:val="20"/>
                <w:lang w:val="en-GB" w:eastAsia="en-US"/>
              </w:rPr>
              <w:t>j</w:t>
            </w:r>
            <w:r w:rsidRPr="007C4F00">
              <w:rPr>
                <w:sz w:val="20"/>
                <w:szCs w:val="20"/>
                <w:lang w:val="en-GB" w:eastAsia="en-US"/>
              </w:rPr>
              <w:t>e je to moguće.</w:t>
            </w:r>
          </w:p>
        </w:tc>
      </w:tr>
      <w:tr w:rsidR="00BF7346" w:rsidRPr="001C6CCA" w14:paraId="183D2A84" w14:textId="77777777" w:rsidTr="00B50111">
        <w:tc>
          <w:tcPr>
            <w:tcW w:w="1463" w:type="dxa"/>
          </w:tcPr>
          <w:p w14:paraId="403A951A" w14:textId="77777777" w:rsidR="00BF7346" w:rsidRPr="00615D4E" w:rsidRDefault="00BF7346" w:rsidP="003A057C">
            <w:pPr>
              <w:spacing w:before="0" w:after="0" w:line="240" w:lineRule="auto"/>
              <w:jc w:val="left"/>
              <w:rPr>
                <w:b/>
                <w:bCs/>
                <w:sz w:val="20"/>
                <w:szCs w:val="20"/>
                <w:lang w:val="en-GB" w:eastAsia="en-US"/>
              </w:rPr>
            </w:pPr>
            <w:r w:rsidRPr="00615D4E">
              <w:rPr>
                <w:b/>
                <w:sz w:val="20"/>
                <w:szCs w:val="20"/>
              </w:rPr>
              <w:t>Indikatori koji se koriste za procjenu statusa</w:t>
            </w:r>
          </w:p>
        </w:tc>
        <w:tc>
          <w:tcPr>
            <w:tcW w:w="7553" w:type="dxa"/>
            <w:gridSpan w:val="2"/>
          </w:tcPr>
          <w:p w14:paraId="283D443F" w14:textId="77777777" w:rsidR="00BF7346" w:rsidRDefault="00BF7346" w:rsidP="00A90447">
            <w:pPr>
              <w:spacing w:before="0" w:after="0" w:line="240" w:lineRule="auto"/>
              <w:rPr>
                <w:sz w:val="20"/>
                <w:szCs w:val="20"/>
                <w:lang w:val="en-GB" w:eastAsia="en-US"/>
              </w:rPr>
            </w:pPr>
            <w:r w:rsidRPr="00407826">
              <w:rPr>
                <w:rFonts w:cs="Calibri"/>
                <w:b/>
                <w:color w:val="000000"/>
                <w:sz w:val="20"/>
                <w:szCs w:val="20"/>
                <w:lang w:val="en-GB" w:eastAsia="en-US"/>
              </w:rPr>
              <w:t>D1C1.1T:</w:t>
            </w:r>
            <w:r>
              <w:rPr>
                <w:rFonts w:cs="Calibri"/>
                <w:b/>
                <w:color w:val="000000"/>
                <w:sz w:val="20"/>
                <w:szCs w:val="20"/>
                <w:lang w:val="en-GB" w:eastAsia="en-US"/>
              </w:rPr>
              <w:t xml:space="preserve"> </w:t>
            </w:r>
            <w:r w:rsidRPr="00407826">
              <w:rPr>
                <w:rFonts w:cs="Calibri"/>
                <w:color w:val="000000"/>
                <w:sz w:val="20"/>
                <w:szCs w:val="20"/>
                <w:lang w:val="en-GB" w:eastAsia="en-US"/>
              </w:rPr>
              <w:t>Slučajni ulov</w:t>
            </w:r>
            <w:r>
              <w:rPr>
                <w:rFonts w:cs="Calibri"/>
                <w:b/>
                <w:color w:val="000000"/>
                <w:sz w:val="20"/>
                <w:szCs w:val="20"/>
                <w:lang w:val="en-GB" w:eastAsia="en-US"/>
              </w:rPr>
              <w:t xml:space="preserve"> </w:t>
            </w:r>
            <w:r w:rsidRPr="00BF7346">
              <w:rPr>
                <w:rFonts w:cs="Calibri"/>
                <w:color w:val="000000"/>
                <w:sz w:val="20"/>
                <w:szCs w:val="20"/>
                <w:lang w:val="en-GB" w:eastAsia="en-US"/>
              </w:rPr>
              <w:t xml:space="preserve">vrste </w:t>
            </w:r>
            <w:r w:rsidRPr="003D7837">
              <w:rPr>
                <w:rFonts w:cs="Calibri"/>
                <w:i/>
                <w:iCs/>
                <w:color w:val="000000"/>
                <w:sz w:val="20"/>
                <w:szCs w:val="20"/>
                <w:lang w:eastAsia="en-US"/>
              </w:rPr>
              <w:t>Caretta caretta</w:t>
            </w:r>
          </w:p>
          <w:p w14:paraId="516FF4C2" w14:textId="60C47E59" w:rsidR="00BF7346" w:rsidRDefault="00BF7346" w:rsidP="00A90447">
            <w:pPr>
              <w:spacing w:before="0" w:after="0" w:line="240" w:lineRule="auto"/>
              <w:rPr>
                <w:rFonts w:cs="Calibri"/>
                <w:i/>
                <w:iCs/>
                <w:color w:val="000000"/>
                <w:sz w:val="20"/>
                <w:szCs w:val="20"/>
                <w:lang w:eastAsia="en-US"/>
              </w:rPr>
            </w:pPr>
            <w:r w:rsidRPr="00BF7346">
              <w:rPr>
                <w:b/>
                <w:sz w:val="20"/>
                <w:szCs w:val="20"/>
                <w:lang w:val="en-GB" w:eastAsia="en-US"/>
              </w:rPr>
              <w:t>D1C2.1T:</w:t>
            </w:r>
            <w:r>
              <w:rPr>
                <w:b/>
                <w:sz w:val="20"/>
                <w:szCs w:val="20"/>
                <w:lang w:val="en-GB" w:eastAsia="en-US"/>
              </w:rPr>
              <w:t xml:space="preserve"> </w:t>
            </w:r>
            <w:r>
              <w:rPr>
                <w:sz w:val="20"/>
                <w:szCs w:val="20"/>
                <w:lang w:val="en-GB" w:eastAsia="en-US"/>
              </w:rPr>
              <w:t>Brojnost</w:t>
            </w:r>
            <w:r w:rsidRPr="007C4F00">
              <w:rPr>
                <w:sz w:val="20"/>
                <w:szCs w:val="20"/>
                <w:lang w:val="en-GB" w:eastAsia="en-US"/>
              </w:rPr>
              <w:t xml:space="preserve"> </w:t>
            </w:r>
            <w:r w:rsidR="005A6177">
              <w:rPr>
                <w:sz w:val="20"/>
                <w:szCs w:val="20"/>
                <w:lang w:val="en-GB" w:eastAsia="en-US"/>
              </w:rPr>
              <w:t xml:space="preserve">vrste </w:t>
            </w:r>
            <w:r w:rsidRPr="003D7837">
              <w:rPr>
                <w:rFonts w:cs="Calibri"/>
                <w:i/>
                <w:iCs/>
                <w:color w:val="000000"/>
                <w:sz w:val="20"/>
                <w:szCs w:val="20"/>
                <w:lang w:eastAsia="en-US"/>
              </w:rPr>
              <w:t>Caretta caretta</w:t>
            </w:r>
          </w:p>
          <w:p w14:paraId="4F0DA871" w14:textId="77777777" w:rsidR="00BF7346" w:rsidRDefault="00BF7346" w:rsidP="00A90447">
            <w:pPr>
              <w:spacing w:before="0" w:after="0" w:line="240" w:lineRule="auto"/>
              <w:rPr>
                <w:rFonts w:cs="Calibri"/>
                <w:i/>
                <w:iCs/>
                <w:color w:val="000000"/>
                <w:sz w:val="20"/>
                <w:szCs w:val="20"/>
                <w:lang w:eastAsia="en-US"/>
              </w:rPr>
            </w:pPr>
            <w:r>
              <w:rPr>
                <w:rFonts w:cs="Calibri"/>
                <w:b/>
                <w:iCs/>
                <w:color w:val="000000"/>
                <w:sz w:val="20"/>
                <w:szCs w:val="20"/>
                <w:lang w:eastAsia="en-US"/>
              </w:rPr>
              <w:t xml:space="preserve">D1C3.1T: </w:t>
            </w:r>
            <w:r>
              <w:rPr>
                <w:rFonts w:cs="Calibri"/>
                <w:iCs/>
                <w:color w:val="000000"/>
                <w:sz w:val="20"/>
                <w:szCs w:val="20"/>
                <w:lang w:eastAsia="en-US"/>
              </w:rPr>
              <w:t xml:space="preserve">Morfometrijske karakteristike vrste </w:t>
            </w:r>
            <w:r w:rsidRPr="003D7837">
              <w:rPr>
                <w:rFonts w:cs="Calibri"/>
                <w:i/>
                <w:iCs/>
                <w:color w:val="000000"/>
                <w:sz w:val="20"/>
                <w:szCs w:val="20"/>
                <w:lang w:eastAsia="en-US"/>
              </w:rPr>
              <w:t xml:space="preserve"> Caretta caretta</w:t>
            </w:r>
          </w:p>
          <w:p w14:paraId="5A03DB74" w14:textId="77777777" w:rsidR="00BF7346" w:rsidRPr="00BF7346" w:rsidRDefault="00BF7346" w:rsidP="00A90447">
            <w:pPr>
              <w:spacing w:before="0" w:after="0" w:line="240" w:lineRule="auto"/>
              <w:rPr>
                <w:rFonts w:cs="Calibri"/>
                <w:iCs/>
                <w:color w:val="000000"/>
                <w:sz w:val="20"/>
                <w:szCs w:val="20"/>
                <w:lang w:eastAsia="en-US"/>
              </w:rPr>
            </w:pPr>
            <w:r>
              <w:rPr>
                <w:rFonts w:cs="Calibri"/>
                <w:b/>
                <w:iCs/>
                <w:color w:val="000000"/>
                <w:sz w:val="20"/>
                <w:szCs w:val="20"/>
                <w:lang w:eastAsia="en-US"/>
              </w:rPr>
              <w:t xml:space="preserve">D1C4.1T: </w:t>
            </w:r>
            <w:r>
              <w:rPr>
                <w:rFonts w:cs="Calibri"/>
                <w:iCs/>
                <w:color w:val="000000"/>
                <w:sz w:val="20"/>
                <w:szCs w:val="20"/>
                <w:lang w:eastAsia="en-US"/>
              </w:rPr>
              <w:t xml:space="preserve">Distribucija vrste </w:t>
            </w:r>
            <w:r w:rsidRPr="003D7837">
              <w:rPr>
                <w:rFonts w:cs="Calibri"/>
                <w:i/>
                <w:iCs/>
                <w:color w:val="000000"/>
                <w:sz w:val="20"/>
                <w:szCs w:val="20"/>
                <w:lang w:eastAsia="en-US"/>
              </w:rPr>
              <w:t>Caretta caretta</w:t>
            </w:r>
          </w:p>
          <w:p w14:paraId="28A33536" w14:textId="77777777" w:rsidR="00BF7346" w:rsidRPr="001C6CCA" w:rsidRDefault="00BF7346" w:rsidP="003A057C">
            <w:pPr>
              <w:spacing w:before="0" w:after="0" w:line="240" w:lineRule="auto"/>
              <w:rPr>
                <w:sz w:val="20"/>
                <w:szCs w:val="20"/>
                <w:lang w:val="en-GB" w:eastAsia="en-US"/>
              </w:rPr>
            </w:pPr>
          </w:p>
        </w:tc>
      </w:tr>
    </w:tbl>
    <w:bookmarkEnd w:id="344"/>
    <w:p w14:paraId="4C2393AB" w14:textId="4614C70B" w:rsidR="008356EA" w:rsidRDefault="008356EA" w:rsidP="00F65CFF">
      <w:pPr>
        <w:tabs>
          <w:tab w:val="left" w:pos="1992"/>
        </w:tabs>
        <w:spacing w:before="0" w:after="0" w:line="259" w:lineRule="auto"/>
        <w:rPr>
          <w:rFonts w:eastAsia="Calibri" w:cs="Calibri"/>
          <w:color w:val="000000"/>
          <w:sz w:val="20"/>
          <w:szCs w:val="20"/>
          <w:shd w:val="clear" w:color="auto" w:fill="FFFFFF"/>
          <w:lang w:val="en-GB" w:eastAsia="en-US"/>
        </w:rPr>
      </w:pPr>
      <w:r>
        <w:rPr>
          <w:rFonts w:eastAsia="Calibri" w:cs="Calibri"/>
          <w:color w:val="000000"/>
          <w:sz w:val="20"/>
          <w:szCs w:val="20"/>
          <w:shd w:val="clear" w:color="auto" w:fill="FFFFFF"/>
          <w:lang w:val="en-GB" w:eastAsia="en-US"/>
        </w:rPr>
        <w:t>*</w:t>
      </w:r>
      <w:r w:rsidR="00C87B62">
        <w:rPr>
          <w:rFonts w:eastAsia="Calibri" w:cs="Calibri"/>
          <w:color w:val="000000"/>
          <w:sz w:val="20"/>
          <w:szCs w:val="20"/>
          <w:shd w:val="clear" w:color="auto" w:fill="FFFFFF"/>
          <w:lang w:val="en-GB" w:eastAsia="en-US"/>
        </w:rPr>
        <w:t>Morske kornjače</w:t>
      </w:r>
    </w:p>
    <w:p w14:paraId="77E33013" w14:textId="77777777" w:rsidR="008356EA" w:rsidRPr="001C6CCA" w:rsidRDefault="008356EA" w:rsidP="00F65CFF">
      <w:pPr>
        <w:tabs>
          <w:tab w:val="left" w:pos="1992"/>
        </w:tabs>
        <w:spacing w:before="0" w:after="0" w:line="259" w:lineRule="auto"/>
        <w:rPr>
          <w:rFonts w:eastAsia="Calibri" w:cs="Calibri"/>
          <w:color w:val="000000"/>
          <w:sz w:val="20"/>
          <w:szCs w:val="20"/>
          <w:shd w:val="clear" w:color="auto" w:fill="FFFFFF"/>
          <w:lang w:val="en-GB" w:eastAsia="en-US"/>
        </w:rPr>
      </w:pPr>
    </w:p>
    <w:p w14:paraId="741E8AEE" w14:textId="77777777" w:rsidR="00B85F63" w:rsidRPr="00F46EEC" w:rsidRDefault="00B85F63" w:rsidP="00B85F63">
      <w:pPr>
        <w:pStyle w:val="Heading4"/>
        <w:rPr>
          <w:rFonts w:eastAsia="Calibri"/>
          <w:lang w:val="en-GB"/>
        </w:rPr>
      </w:pPr>
      <w:r w:rsidRPr="00F46EEC">
        <w:rPr>
          <w:rFonts w:eastAsia="Calibri"/>
          <w:lang w:val="en-GB"/>
        </w:rPr>
        <w:t>Nedostaci i razvojne potrebe</w:t>
      </w:r>
    </w:p>
    <w:p w14:paraId="5D655718" w14:textId="62E67500" w:rsidR="000A2FFC" w:rsidRPr="000A2FFC" w:rsidRDefault="000A2FFC" w:rsidP="000A2FFC">
      <w:pPr>
        <w:tabs>
          <w:tab w:val="left" w:pos="1992"/>
        </w:tabs>
        <w:spacing w:before="0" w:after="0"/>
        <w:rPr>
          <w:rFonts w:eastAsia="Calibri" w:cs="Calibri"/>
          <w:szCs w:val="22"/>
          <w:lang w:val="en-GB" w:eastAsia="en-US"/>
        </w:rPr>
      </w:pPr>
      <w:r w:rsidRPr="000A2FFC">
        <w:rPr>
          <w:rFonts w:eastAsia="Calibri" w:cs="Calibri"/>
          <w:szCs w:val="22"/>
          <w:lang w:val="en-GB" w:eastAsia="en-US"/>
        </w:rPr>
        <w:t>Nedostaju podaci o demogra</w:t>
      </w:r>
      <w:r w:rsidR="001D25E2">
        <w:rPr>
          <w:rFonts w:eastAsia="Calibri" w:cs="Calibri"/>
          <w:szCs w:val="22"/>
          <w:lang w:val="en-GB" w:eastAsia="en-US"/>
        </w:rPr>
        <w:t xml:space="preserve">fiji </w:t>
      </w:r>
      <w:r w:rsidRPr="000A2FFC">
        <w:rPr>
          <w:rFonts w:eastAsia="Calibri" w:cs="Calibri"/>
          <w:szCs w:val="22"/>
          <w:lang w:val="en-GB" w:eastAsia="en-US"/>
        </w:rPr>
        <w:t>populacij</w:t>
      </w:r>
      <w:r w:rsidR="001D25E2">
        <w:rPr>
          <w:rFonts w:eastAsia="Calibri" w:cs="Calibri"/>
          <w:szCs w:val="22"/>
          <w:lang w:val="en-GB" w:eastAsia="en-US"/>
        </w:rPr>
        <w:t>e</w:t>
      </w:r>
      <w:r w:rsidRPr="000A2FFC">
        <w:rPr>
          <w:rFonts w:eastAsia="Calibri" w:cs="Calibri"/>
          <w:szCs w:val="22"/>
          <w:lang w:val="en-GB" w:eastAsia="en-US"/>
        </w:rPr>
        <w:t xml:space="preserve"> i smrtnosti izazvan</w:t>
      </w:r>
      <w:r w:rsidR="00D83894">
        <w:rPr>
          <w:rFonts w:eastAsia="Calibri" w:cs="Calibri"/>
          <w:szCs w:val="22"/>
          <w:lang w:val="en-GB" w:eastAsia="en-US"/>
        </w:rPr>
        <w:t xml:space="preserve">e ljudskim </w:t>
      </w:r>
      <w:r w:rsidR="000428A8">
        <w:rPr>
          <w:rFonts w:eastAsia="Calibri" w:cs="Calibri"/>
          <w:szCs w:val="22"/>
          <w:lang w:val="en-GB" w:eastAsia="en-US"/>
        </w:rPr>
        <w:t>aktivnostima</w:t>
      </w:r>
      <w:r w:rsidR="00D83894">
        <w:rPr>
          <w:rFonts w:eastAsia="Calibri" w:cs="Calibri"/>
          <w:szCs w:val="22"/>
          <w:lang w:val="en-GB" w:eastAsia="en-US"/>
        </w:rPr>
        <w:t>.</w:t>
      </w:r>
      <w:r w:rsidRPr="000A2FFC">
        <w:rPr>
          <w:rFonts w:eastAsia="Calibri" w:cs="Calibri"/>
          <w:szCs w:val="22"/>
          <w:lang w:val="en-GB" w:eastAsia="en-US"/>
        </w:rPr>
        <w:t xml:space="preserve"> Na nivou Jadranskog mora još nije izvršena ni</w:t>
      </w:r>
      <w:r w:rsidR="00F46EEC">
        <w:rPr>
          <w:rFonts w:eastAsia="Calibri" w:cs="Calibri"/>
          <w:szCs w:val="22"/>
          <w:lang w:val="en-GB" w:eastAsia="en-US"/>
        </w:rPr>
        <w:t xml:space="preserve">ti </w:t>
      </w:r>
      <w:r w:rsidRPr="000A2FFC">
        <w:rPr>
          <w:rFonts w:eastAsia="Calibri" w:cs="Calibri"/>
          <w:szCs w:val="22"/>
          <w:lang w:val="en-GB" w:eastAsia="en-US"/>
        </w:rPr>
        <w:t>jedna proc</w:t>
      </w:r>
      <w:r w:rsidR="00D83894">
        <w:rPr>
          <w:rFonts w:eastAsia="Calibri" w:cs="Calibri"/>
          <w:szCs w:val="22"/>
          <w:lang w:val="en-GB" w:eastAsia="en-US"/>
        </w:rPr>
        <w:t>j</w:t>
      </w:r>
      <w:r w:rsidRPr="000A2FFC">
        <w:rPr>
          <w:rFonts w:eastAsia="Calibri" w:cs="Calibri"/>
          <w:szCs w:val="22"/>
          <w:lang w:val="en-GB" w:eastAsia="en-US"/>
        </w:rPr>
        <w:t>ena statusa zaštite, kao što je regionalna proc</w:t>
      </w:r>
      <w:r w:rsidR="00D83894">
        <w:rPr>
          <w:rFonts w:eastAsia="Calibri" w:cs="Calibri"/>
          <w:szCs w:val="22"/>
          <w:lang w:val="en-GB" w:eastAsia="en-US"/>
        </w:rPr>
        <w:t>j</w:t>
      </w:r>
      <w:r w:rsidRPr="000A2FFC">
        <w:rPr>
          <w:rFonts w:eastAsia="Calibri" w:cs="Calibri"/>
          <w:szCs w:val="22"/>
          <w:lang w:val="en-GB" w:eastAsia="en-US"/>
        </w:rPr>
        <w:t>ena zasnovana na IUCN kriterijumima.</w:t>
      </w:r>
    </w:p>
    <w:p w14:paraId="4532D370" w14:textId="738B4264" w:rsidR="0008771E" w:rsidRDefault="000A2FFC" w:rsidP="000A2FFC">
      <w:pPr>
        <w:tabs>
          <w:tab w:val="left" w:pos="1992"/>
        </w:tabs>
        <w:spacing w:before="0" w:after="0"/>
        <w:rPr>
          <w:rFonts w:eastAsia="Calibri" w:cs="Calibri"/>
          <w:szCs w:val="22"/>
          <w:lang w:val="en-GB" w:eastAsia="en-US"/>
        </w:rPr>
      </w:pPr>
      <w:r w:rsidRPr="000A2FFC">
        <w:rPr>
          <w:rFonts w:eastAsia="Calibri" w:cs="Calibri"/>
          <w:szCs w:val="22"/>
          <w:lang w:val="en-GB" w:eastAsia="en-US"/>
        </w:rPr>
        <w:t xml:space="preserve">Da bi prikupljanje podataka bilo efikasno, </w:t>
      </w:r>
      <w:r w:rsidR="00D83894">
        <w:rPr>
          <w:rFonts w:eastAsia="Calibri" w:cs="Calibri"/>
          <w:szCs w:val="22"/>
          <w:lang w:val="en-GB" w:eastAsia="en-US"/>
        </w:rPr>
        <w:t>potrebna je jaka podregionalna</w:t>
      </w:r>
      <w:r w:rsidRPr="000A2FFC">
        <w:rPr>
          <w:rFonts w:eastAsia="Calibri" w:cs="Calibri"/>
          <w:szCs w:val="22"/>
          <w:lang w:val="en-GB" w:eastAsia="en-US"/>
        </w:rPr>
        <w:t xml:space="preserve"> </w:t>
      </w:r>
      <w:r w:rsidR="00C87B62">
        <w:rPr>
          <w:rFonts w:eastAsia="Calibri" w:cs="Calibri"/>
          <w:szCs w:val="22"/>
          <w:lang w:val="en-GB" w:eastAsia="en-US"/>
        </w:rPr>
        <w:t>sa</w:t>
      </w:r>
      <w:r w:rsidR="001D25E2">
        <w:rPr>
          <w:rFonts w:eastAsia="Calibri" w:cs="Calibri"/>
          <w:szCs w:val="22"/>
          <w:lang w:val="en-GB" w:eastAsia="en-US"/>
        </w:rPr>
        <w:t xml:space="preserve">radnja </w:t>
      </w:r>
      <w:r w:rsidR="00D83894">
        <w:rPr>
          <w:rFonts w:eastAsia="Calibri" w:cs="Calibri"/>
          <w:szCs w:val="22"/>
          <w:lang w:val="en-GB" w:eastAsia="en-US"/>
        </w:rPr>
        <w:t>kako bi mogla da se sprovede procjena stanja</w:t>
      </w:r>
      <w:r w:rsidRPr="000A2FFC">
        <w:rPr>
          <w:rFonts w:eastAsia="Calibri" w:cs="Calibri"/>
          <w:szCs w:val="22"/>
          <w:lang w:val="en-GB" w:eastAsia="en-US"/>
        </w:rPr>
        <w:t xml:space="preserve"> na nivou čitavog Jadrana</w:t>
      </w:r>
      <w:r w:rsidR="00F46EEC">
        <w:rPr>
          <w:rFonts w:eastAsia="Calibri" w:cs="Calibri"/>
          <w:szCs w:val="22"/>
          <w:lang w:val="en-GB" w:eastAsia="en-US"/>
        </w:rPr>
        <w:t xml:space="preserve"> s obzirom da </w:t>
      </w:r>
      <w:r w:rsidRPr="000A2FFC">
        <w:rPr>
          <w:rFonts w:eastAsia="Calibri" w:cs="Calibri"/>
          <w:szCs w:val="22"/>
          <w:lang w:val="en-GB" w:eastAsia="en-US"/>
        </w:rPr>
        <w:t xml:space="preserve">je </w:t>
      </w:r>
      <w:r w:rsidR="001D25E2">
        <w:rPr>
          <w:rFonts w:eastAsia="Calibri" w:cs="Calibri"/>
          <w:szCs w:val="22"/>
          <w:lang w:val="en-GB" w:eastAsia="en-US"/>
        </w:rPr>
        <w:t>to</w:t>
      </w:r>
      <w:r w:rsidRPr="000A2FFC">
        <w:rPr>
          <w:rFonts w:eastAsia="Calibri" w:cs="Calibri"/>
          <w:szCs w:val="22"/>
          <w:lang w:val="en-GB" w:eastAsia="en-US"/>
        </w:rPr>
        <w:t xml:space="preserve"> geografska skala koja je najprikladnija za </w:t>
      </w:r>
      <w:r w:rsidR="005A3E57">
        <w:rPr>
          <w:rFonts w:eastAsia="Calibri" w:cs="Calibri"/>
          <w:szCs w:val="22"/>
          <w:lang w:val="en-GB" w:eastAsia="en-US"/>
        </w:rPr>
        <w:t xml:space="preserve">procjenu statusa </w:t>
      </w:r>
      <w:r w:rsidRPr="000A2FFC">
        <w:rPr>
          <w:rFonts w:eastAsia="Calibri" w:cs="Calibri"/>
          <w:szCs w:val="22"/>
          <w:lang w:val="en-GB" w:eastAsia="en-US"/>
        </w:rPr>
        <w:t>ov</w:t>
      </w:r>
      <w:r w:rsidR="005A3E57">
        <w:rPr>
          <w:rFonts w:eastAsia="Calibri" w:cs="Calibri"/>
          <w:szCs w:val="22"/>
          <w:lang w:val="en-GB" w:eastAsia="en-US"/>
        </w:rPr>
        <w:t>e</w:t>
      </w:r>
      <w:r w:rsidRPr="000A2FFC">
        <w:rPr>
          <w:rFonts w:eastAsia="Calibri" w:cs="Calibri"/>
          <w:szCs w:val="22"/>
          <w:lang w:val="en-GB" w:eastAsia="en-US"/>
        </w:rPr>
        <w:t xml:space="preserve"> vrst</w:t>
      </w:r>
      <w:r w:rsidR="005A3E57">
        <w:rPr>
          <w:rFonts w:eastAsia="Calibri" w:cs="Calibri"/>
          <w:szCs w:val="22"/>
          <w:lang w:val="en-GB" w:eastAsia="en-US"/>
        </w:rPr>
        <w:t>e</w:t>
      </w:r>
      <w:r w:rsidRPr="000A2FFC">
        <w:rPr>
          <w:rFonts w:eastAsia="Calibri" w:cs="Calibri"/>
          <w:szCs w:val="22"/>
          <w:lang w:val="en-GB" w:eastAsia="en-US"/>
        </w:rPr>
        <w:t>. Napredak u istraživanju putem označavanja</w:t>
      </w:r>
      <w:r w:rsidR="005A3E57">
        <w:rPr>
          <w:rFonts w:eastAsia="Calibri" w:cs="Calibri"/>
          <w:szCs w:val="22"/>
          <w:lang w:val="en-GB" w:eastAsia="en-US"/>
        </w:rPr>
        <w:t xml:space="preserve">, </w:t>
      </w:r>
      <w:r w:rsidRPr="000A2FFC">
        <w:rPr>
          <w:rFonts w:eastAsia="Calibri" w:cs="Calibri"/>
          <w:szCs w:val="22"/>
          <w:lang w:val="en-GB" w:eastAsia="en-US"/>
        </w:rPr>
        <w:t xml:space="preserve">genetičkih </w:t>
      </w:r>
      <w:r w:rsidR="00C87B62">
        <w:rPr>
          <w:rFonts w:eastAsia="Calibri" w:cs="Calibri"/>
          <w:szCs w:val="22"/>
          <w:lang w:val="en-GB" w:eastAsia="en-US"/>
        </w:rPr>
        <w:t xml:space="preserve">istraživanja </w:t>
      </w:r>
      <w:r w:rsidR="00C87B62" w:rsidRPr="000A2FFC">
        <w:rPr>
          <w:rFonts w:eastAsia="Calibri" w:cs="Calibri"/>
          <w:szCs w:val="22"/>
          <w:lang w:val="en-GB" w:eastAsia="en-US"/>
        </w:rPr>
        <w:t>i</w:t>
      </w:r>
      <w:r w:rsidRPr="000A2FFC">
        <w:rPr>
          <w:rFonts w:eastAsia="Calibri" w:cs="Calibri"/>
          <w:szCs w:val="22"/>
          <w:lang w:val="en-GB" w:eastAsia="en-US"/>
        </w:rPr>
        <w:t xml:space="preserve"> </w:t>
      </w:r>
      <w:r w:rsidR="005A3E57">
        <w:rPr>
          <w:rFonts w:eastAsia="Calibri" w:cs="Calibri"/>
          <w:szCs w:val="22"/>
          <w:lang w:val="en-GB" w:eastAsia="en-US"/>
        </w:rPr>
        <w:t xml:space="preserve">istraživanja </w:t>
      </w:r>
      <w:r w:rsidRPr="000A2FFC">
        <w:rPr>
          <w:rFonts w:eastAsia="Calibri" w:cs="Calibri"/>
          <w:szCs w:val="22"/>
          <w:lang w:val="en-GB" w:eastAsia="en-US"/>
        </w:rPr>
        <w:t xml:space="preserve">o </w:t>
      </w:r>
      <w:r w:rsidR="001D25E2">
        <w:rPr>
          <w:rFonts w:eastAsia="Calibri" w:cs="Calibri"/>
          <w:szCs w:val="22"/>
          <w:lang w:val="en-GB" w:eastAsia="en-US"/>
        </w:rPr>
        <w:t>slučajnom ulovu</w:t>
      </w:r>
      <w:r w:rsidRPr="000A2FFC">
        <w:rPr>
          <w:rFonts w:eastAsia="Calibri" w:cs="Calibri"/>
          <w:szCs w:val="22"/>
          <w:lang w:val="en-GB" w:eastAsia="en-US"/>
        </w:rPr>
        <w:t xml:space="preserve"> </w:t>
      </w:r>
      <w:r w:rsidR="00F46EEC">
        <w:rPr>
          <w:rFonts w:eastAsia="Calibri" w:cs="Calibri"/>
          <w:szCs w:val="22"/>
          <w:lang w:val="en-GB" w:eastAsia="en-US"/>
        </w:rPr>
        <w:t xml:space="preserve">važne su aktivnosti </w:t>
      </w:r>
      <w:r w:rsidR="005A3E57">
        <w:rPr>
          <w:rFonts w:eastAsia="Calibri" w:cs="Calibri"/>
          <w:szCs w:val="22"/>
          <w:lang w:val="en-GB" w:eastAsia="en-US"/>
        </w:rPr>
        <w:t xml:space="preserve">u svrhu </w:t>
      </w:r>
      <w:r w:rsidR="00F46EEC">
        <w:rPr>
          <w:rFonts w:eastAsia="Calibri" w:cs="Calibri"/>
          <w:szCs w:val="22"/>
          <w:lang w:val="en-GB" w:eastAsia="en-US"/>
        </w:rPr>
        <w:t>određivanja stepena zaštite</w:t>
      </w:r>
      <w:r w:rsidRPr="000A2FFC">
        <w:rPr>
          <w:rFonts w:eastAsia="Calibri" w:cs="Calibri"/>
          <w:szCs w:val="22"/>
          <w:lang w:val="en-GB" w:eastAsia="en-US"/>
        </w:rPr>
        <w:t xml:space="preserve"> kornjača</w:t>
      </w:r>
      <w:r w:rsidR="00C87B62">
        <w:rPr>
          <w:rFonts w:eastAsia="Calibri" w:cs="Calibri"/>
          <w:szCs w:val="22"/>
          <w:lang w:val="en-GB" w:eastAsia="en-US"/>
        </w:rPr>
        <w:t xml:space="preserve"> i neohodno ih je uspostaviti i</w:t>
      </w:r>
      <w:r w:rsidR="00F46EEC">
        <w:rPr>
          <w:rFonts w:eastAsia="Calibri" w:cs="Calibri"/>
          <w:szCs w:val="22"/>
          <w:lang w:val="en-GB" w:eastAsia="en-US"/>
        </w:rPr>
        <w:t xml:space="preserve"> uključiti u budući monitoring program.</w:t>
      </w:r>
    </w:p>
    <w:p w14:paraId="762F44DA" w14:textId="77777777" w:rsidR="006A72D8" w:rsidRPr="00A52E7D" w:rsidRDefault="006A72D8" w:rsidP="000A2FFC">
      <w:pPr>
        <w:tabs>
          <w:tab w:val="left" w:pos="1992"/>
        </w:tabs>
        <w:spacing w:before="0" w:after="0"/>
        <w:rPr>
          <w:rFonts w:eastAsia="Calibri" w:cs="Calibri"/>
          <w:szCs w:val="22"/>
          <w:lang w:val="en-GB" w:eastAsia="en-US"/>
        </w:rPr>
      </w:pPr>
    </w:p>
    <w:p w14:paraId="364C3393" w14:textId="4AA36DFA" w:rsidR="00E575DD" w:rsidRPr="001C6CCA" w:rsidRDefault="00B85F63" w:rsidP="008665B1">
      <w:pPr>
        <w:pStyle w:val="Heading3"/>
        <w:rPr>
          <w:rFonts w:eastAsia="Calibri"/>
          <w:lang w:val="en-GB" w:eastAsia="en-US"/>
        </w:rPr>
      </w:pPr>
      <w:bookmarkStart w:id="345" w:name="_Toc68180824"/>
      <w:bookmarkStart w:id="346" w:name="_Toc83630974"/>
      <w:r>
        <w:rPr>
          <w:rFonts w:eastAsia="Calibri"/>
          <w:lang w:val="en-GB" w:eastAsia="en-US"/>
        </w:rPr>
        <w:t>Ribe</w:t>
      </w:r>
      <w:bookmarkEnd w:id="345"/>
      <w:bookmarkEnd w:id="346"/>
    </w:p>
    <w:p w14:paraId="549F00CB" w14:textId="6A6B89C1" w:rsidR="00583B1D" w:rsidRPr="001C6CCA" w:rsidRDefault="00B85F63" w:rsidP="005C2B42">
      <w:pPr>
        <w:spacing w:before="0" w:after="160"/>
        <w:rPr>
          <w:rFonts w:eastAsia="Calibri" w:cs="Calibri"/>
          <w:b/>
          <w:szCs w:val="22"/>
          <w:lang w:val="en-GB" w:eastAsia="en-US"/>
        </w:rPr>
      </w:pPr>
      <w:r>
        <w:rPr>
          <w:rFonts w:eastAsia="Calibri" w:cs="Calibri"/>
          <w:b/>
          <w:szCs w:val="22"/>
          <w:lang w:val="en-GB" w:eastAsia="en-US"/>
        </w:rPr>
        <w:t>Uvod</w:t>
      </w:r>
    </w:p>
    <w:p w14:paraId="71C0A275" w14:textId="49A88D23" w:rsidR="00583B1D" w:rsidRDefault="00392811" w:rsidP="003C7BEE">
      <w:pPr>
        <w:spacing w:before="0" w:after="160"/>
        <w:rPr>
          <w:rFonts w:eastAsia="Calibri" w:cs="Calibri"/>
          <w:szCs w:val="22"/>
          <w:lang w:val="en-GB" w:eastAsia="en-US"/>
        </w:rPr>
      </w:pPr>
      <w:r w:rsidRPr="00392811">
        <w:rPr>
          <w:rFonts w:eastAsia="Calibri" w:cs="Calibri"/>
          <w:szCs w:val="22"/>
          <w:lang w:val="en-GB" w:eastAsia="en-US"/>
        </w:rPr>
        <w:t xml:space="preserve">Smatra se da više od 460 vrsta riba naseljava Jadransko more (oko 67% poznatih vrsta i podvrsta Sredozemlja), veličine od epipelagijskih, okeanskih migratornih do sitnih </w:t>
      </w:r>
      <w:r w:rsidR="00457ED2">
        <w:rPr>
          <w:rFonts w:eastAsia="Calibri" w:cs="Calibri"/>
          <w:szCs w:val="22"/>
          <w:lang w:val="en-GB" w:eastAsia="en-US"/>
        </w:rPr>
        <w:t>rezidencijalnih</w:t>
      </w:r>
      <w:r w:rsidRPr="00392811">
        <w:rPr>
          <w:rFonts w:eastAsia="Calibri" w:cs="Calibri"/>
          <w:szCs w:val="22"/>
          <w:lang w:val="en-GB" w:eastAsia="en-US"/>
        </w:rPr>
        <w:t xml:space="preserve">, bentoskih gobija i vrsta </w:t>
      </w:r>
      <w:r w:rsidR="00457ED2">
        <w:rPr>
          <w:rFonts w:eastAsia="Calibri" w:cs="Calibri"/>
          <w:szCs w:val="22"/>
          <w:lang w:val="en-GB" w:eastAsia="en-US"/>
        </w:rPr>
        <w:t xml:space="preserve">koje naseljavaju </w:t>
      </w:r>
      <w:r w:rsidR="00457ED2" w:rsidRPr="00457ED2">
        <w:rPr>
          <w:rFonts w:eastAsia="Calibri" w:cs="Calibri"/>
          <w:szCs w:val="22"/>
          <w:lang w:val="en-GB" w:eastAsia="en-US"/>
        </w:rPr>
        <w:t>otvorene vode koje r</w:t>
      </w:r>
      <w:r w:rsidR="00457ED2">
        <w:rPr>
          <w:rFonts w:eastAsia="Calibri" w:cs="Calibri"/>
          <w:szCs w:val="22"/>
          <w:lang w:val="en-GB" w:eastAsia="en-US"/>
        </w:rPr>
        <w:t>ij</w:t>
      </w:r>
      <w:r w:rsidR="00457ED2" w:rsidRPr="00457ED2">
        <w:rPr>
          <w:rFonts w:eastAsia="Calibri" w:cs="Calibri"/>
          <w:szCs w:val="22"/>
          <w:lang w:val="en-GB" w:eastAsia="en-US"/>
        </w:rPr>
        <w:t>etko dostižu nekoliko centimetara dužine.</w:t>
      </w:r>
      <w:r w:rsidR="00457ED2">
        <w:rPr>
          <w:rFonts w:eastAsia="Calibri" w:cs="Calibri"/>
          <w:szCs w:val="22"/>
          <w:lang w:val="en-GB" w:eastAsia="en-US"/>
        </w:rPr>
        <w:t xml:space="preserve"> </w:t>
      </w:r>
      <w:r w:rsidRPr="00392811">
        <w:rPr>
          <w:rFonts w:eastAsia="Calibri" w:cs="Calibri"/>
          <w:szCs w:val="22"/>
          <w:lang w:val="en-GB" w:eastAsia="en-US"/>
        </w:rPr>
        <w:t xml:space="preserve">Prema ekološkim preferencijama, južni Jadran je zastupljen sa većim brojem </w:t>
      </w:r>
      <w:r w:rsidR="00A209C0">
        <w:rPr>
          <w:rFonts w:eastAsia="Calibri" w:cs="Calibri"/>
          <w:szCs w:val="22"/>
          <w:lang w:val="sr-Latn-ME" w:eastAsia="en-US"/>
        </w:rPr>
        <w:t>termofi</w:t>
      </w:r>
      <w:r w:rsidR="00A209C0" w:rsidRPr="003113C8">
        <w:rPr>
          <w:rFonts w:eastAsia="Calibri" w:cs="Calibri"/>
          <w:szCs w:val="22"/>
          <w:lang w:val="sr-Latn-ME" w:eastAsia="en-US"/>
        </w:rPr>
        <w:t>la i batifila</w:t>
      </w:r>
      <w:r w:rsidRPr="00392811">
        <w:rPr>
          <w:rFonts w:eastAsia="Calibri" w:cs="Calibri"/>
          <w:szCs w:val="22"/>
          <w:lang w:val="en-GB" w:eastAsia="en-US"/>
        </w:rPr>
        <w:t>, dok je veće prisustvo i brojnost borealnih vrsta karakteristično za sjeverni Jadran. Srednji Jadran je prelazno područje (Jardas, 1996).</w:t>
      </w:r>
    </w:p>
    <w:p w14:paraId="623B53A6" w14:textId="77777777" w:rsidR="006A72D8" w:rsidRPr="003C7BEE" w:rsidRDefault="006A72D8" w:rsidP="003C7BEE">
      <w:pPr>
        <w:spacing w:before="0" w:after="160"/>
        <w:rPr>
          <w:rFonts w:eastAsia="Calibri" w:cs="Calibri"/>
          <w:szCs w:val="22"/>
          <w:lang w:val="en-GB" w:eastAsia="en-US"/>
        </w:rPr>
      </w:pPr>
    </w:p>
    <w:p w14:paraId="6FBD379E" w14:textId="07A1F3E2" w:rsidR="000428A8" w:rsidRPr="000428A8" w:rsidRDefault="000428A8" w:rsidP="000428A8">
      <w:pPr>
        <w:pStyle w:val="Heading4"/>
        <w:rPr>
          <w:lang w:val="en-GB"/>
        </w:rPr>
      </w:pPr>
      <w:r w:rsidRPr="000428A8">
        <w:rPr>
          <w:lang w:val="en-GB"/>
        </w:rPr>
        <w:t xml:space="preserve">Rezime </w:t>
      </w:r>
      <w:r w:rsidR="001C6020">
        <w:rPr>
          <w:lang w:val="en-GB"/>
        </w:rPr>
        <w:t>s</w:t>
      </w:r>
      <w:r w:rsidRPr="000428A8">
        <w:rPr>
          <w:lang w:val="en-GB"/>
        </w:rPr>
        <w:t xml:space="preserve">tanja </w:t>
      </w:r>
      <w:r>
        <w:rPr>
          <w:lang w:val="en-GB"/>
        </w:rPr>
        <w:t xml:space="preserve">riba u odnosu na D1 </w:t>
      </w:r>
      <w:r w:rsidRPr="000428A8">
        <w:rPr>
          <w:lang w:val="en-GB"/>
        </w:rPr>
        <w:t xml:space="preserve">na osnovu Početne procjene </w:t>
      </w:r>
    </w:p>
    <w:p w14:paraId="5757D473" w14:textId="41264527" w:rsidR="003C7BEE" w:rsidRPr="003C7BEE" w:rsidRDefault="003C7BEE" w:rsidP="00C22057">
      <w:pPr>
        <w:spacing w:before="0" w:after="160"/>
      </w:pPr>
      <w:r>
        <w:t>Migratorne vrste riba koje ne predstavljaju ciljne vrste, vezuju se uglavnom za pojam velikih predstavnika hrskavičavih riba, odnosno ajkula i raža. Do danas je u Jadranu registrovano 59 vrsta hrskavičavih riba, od čega manji dio čine velike predatorske i planktivorne vrste ajkula i raža. Kao najčešća migratorna vrsta u prilovu crnogorskog ribarstva navodi se pas modrulj (</w:t>
      </w:r>
      <w:r w:rsidRPr="00531407">
        <w:rPr>
          <w:i/>
        </w:rPr>
        <w:t>Prionace glauca</w:t>
      </w:r>
      <w:r>
        <w:t>) (Ćetković, 2018). Popis migratornih vrsta hrskavičavih riba uzet je iz priloga I i II Konvencije o migratornim vrstama (CMS, 2020) čiji je Crna Gora potpisnik. Popis vrsta hrskavičavih riba sa ove konvencije, a registrovanih u crnogorskom moru, dat je u Tabeli 3.13.</w:t>
      </w:r>
    </w:p>
    <w:p w14:paraId="64E83877" w14:textId="7A8CC1D9" w:rsidR="00F5248F" w:rsidRPr="003C7BEE" w:rsidRDefault="00BA3162" w:rsidP="00C000AE">
      <w:pPr>
        <w:spacing w:after="0" w:line="240" w:lineRule="auto"/>
        <w:rPr>
          <w:i/>
          <w:szCs w:val="22"/>
          <w:lang w:val="en-GB"/>
        </w:rPr>
      </w:pPr>
      <w:bookmarkStart w:id="347" w:name="_Toc57140345"/>
      <w:bookmarkStart w:id="348" w:name="_Toc83643210"/>
      <w:r w:rsidRPr="00C000AE">
        <w:rPr>
          <w:b/>
          <w:szCs w:val="22"/>
          <w:lang w:val="en-GB"/>
        </w:rPr>
        <w:t>Tab</w:t>
      </w:r>
      <w:r w:rsidR="007574CA">
        <w:rPr>
          <w:b/>
          <w:szCs w:val="22"/>
          <w:lang w:val="en-GB"/>
        </w:rPr>
        <w:t>ela</w:t>
      </w:r>
      <w:r w:rsidRPr="00C000AE">
        <w:rPr>
          <w:b/>
          <w:szCs w:val="22"/>
          <w:lang w:val="en-GB"/>
        </w:rPr>
        <w:t xml:space="preserve"> </w:t>
      </w:r>
      <w:r w:rsidR="00C000AE" w:rsidRPr="00D932B6">
        <w:rPr>
          <w:b/>
          <w:szCs w:val="22"/>
        </w:rPr>
        <w:fldChar w:fldCharType="begin"/>
      </w:r>
      <w:r w:rsidR="00C000AE" w:rsidRPr="00D932B6">
        <w:rPr>
          <w:b/>
          <w:szCs w:val="22"/>
        </w:rPr>
        <w:instrText xml:space="preserve"> STYLEREF 1 \s </w:instrText>
      </w:r>
      <w:r w:rsidR="00C000AE" w:rsidRPr="00D932B6">
        <w:rPr>
          <w:b/>
          <w:szCs w:val="22"/>
        </w:rPr>
        <w:fldChar w:fldCharType="separate"/>
      </w:r>
      <w:r w:rsidR="000D1E20">
        <w:rPr>
          <w:b/>
          <w:noProof/>
          <w:szCs w:val="22"/>
        </w:rPr>
        <w:t>3</w:t>
      </w:r>
      <w:r w:rsidR="00C000AE" w:rsidRPr="00D932B6">
        <w:rPr>
          <w:b/>
          <w:szCs w:val="22"/>
        </w:rPr>
        <w:fldChar w:fldCharType="end"/>
      </w:r>
      <w:r w:rsidR="00C000AE" w:rsidRPr="00D932B6">
        <w:rPr>
          <w:b/>
          <w:szCs w:val="22"/>
        </w:rPr>
        <w:t>.</w:t>
      </w:r>
      <w:r w:rsidR="00C000AE" w:rsidRPr="00D932B6">
        <w:rPr>
          <w:b/>
          <w:szCs w:val="22"/>
        </w:rPr>
        <w:fldChar w:fldCharType="begin"/>
      </w:r>
      <w:r w:rsidR="00C000AE" w:rsidRPr="00D932B6">
        <w:rPr>
          <w:b/>
          <w:szCs w:val="22"/>
        </w:rPr>
        <w:instrText xml:space="preserve"> SEQ Table \* ARABIC \s 1 </w:instrText>
      </w:r>
      <w:r w:rsidR="00C000AE" w:rsidRPr="00D932B6">
        <w:rPr>
          <w:b/>
          <w:szCs w:val="22"/>
        </w:rPr>
        <w:fldChar w:fldCharType="separate"/>
      </w:r>
      <w:r w:rsidR="000D1E20">
        <w:rPr>
          <w:b/>
          <w:noProof/>
          <w:szCs w:val="22"/>
        </w:rPr>
        <w:t>14</w:t>
      </w:r>
      <w:r w:rsidR="00C000AE" w:rsidRPr="00D932B6">
        <w:rPr>
          <w:b/>
          <w:szCs w:val="22"/>
        </w:rPr>
        <w:fldChar w:fldCharType="end"/>
      </w:r>
      <w:r w:rsidR="00C000AE">
        <w:rPr>
          <w:b/>
          <w:szCs w:val="22"/>
        </w:rPr>
        <w:t>.</w:t>
      </w:r>
      <w:r w:rsidR="00C000AE" w:rsidRPr="001C6CCA">
        <w:rPr>
          <w:rFonts w:eastAsia="Calibri" w:cs="Calibri"/>
          <w:b/>
          <w:szCs w:val="22"/>
          <w:lang w:val="en-GB" w:eastAsia="en-US"/>
        </w:rPr>
        <w:t xml:space="preserve"> </w:t>
      </w:r>
      <w:bookmarkEnd w:id="347"/>
      <w:r w:rsidR="003C7BEE" w:rsidRPr="00647273">
        <w:rPr>
          <w:b/>
        </w:rPr>
        <w:t>Migratorne vrste hrskavičavih riba čije je prisustvo potvrđeno u području crnogorskog teritorijalnog mora.</w:t>
      </w:r>
      <w:r w:rsidR="003C7BEE" w:rsidRPr="003C7BEE">
        <w:t xml:space="preserve"> </w:t>
      </w:r>
      <w:r w:rsidR="003C7BEE" w:rsidRPr="003C7BEE">
        <w:rPr>
          <w:i/>
        </w:rPr>
        <w:t>Izvor: Početna procjena stanja morsk</w:t>
      </w:r>
      <w:r w:rsidR="003C7BEE">
        <w:rPr>
          <w:i/>
        </w:rPr>
        <w:t>e sredine</w:t>
      </w:r>
      <w:r w:rsidR="003C7BEE" w:rsidRPr="003C7BEE">
        <w:rPr>
          <w:i/>
        </w:rPr>
        <w:t xml:space="preserve"> Crne Gore, 2020</w:t>
      </w:r>
      <w:bookmarkEnd w:id="348"/>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508"/>
        <w:gridCol w:w="4508"/>
      </w:tblGrid>
      <w:tr w:rsidR="00BA3162" w:rsidRPr="001C6CCA" w14:paraId="1B772D6F" w14:textId="77777777" w:rsidTr="00E36DAD">
        <w:tc>
          <w:tcPr>
            <w:tcW w:w="4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65733589" w14:textId="7D054EA4" w:rsidR="00BA3162" w:rsidRPr="00E36DAD" w:rsidRDefault="00392811" w:rsidP="00F65CFF">
            <w:pPr>
              <w:spacing w:after="0" w:line="240" w:lineRule="auto"/>
              <w:rPr>
                <w:b/>
                <w:color w:val="FFFFFF" w:themeColor="background1"/>
                <w:sz w:val="20"/>
                <w:szCs w:val="20"/>
              </w:rPr>
            </w:pPr>
            <w:r w:rsidRPr="00E36DAD">
              <w:rPr>
                <w:b/>
                <w:color w:val="FFFFFF" w:themeColor="background1"/>
                <w:sz w:val="20"/>
                <w:szCs w:val="20"/>
              </w:rPr>
              <w:t>Vrste</w:t>
            </w:r>
          </w:p>
          <w:p w14:paraId="0FD9B87E" w14:textId="77777777" w:rsidR="00BA3162" w:rsidRPr="00E36DAD" w:rsidRDefault="00BA3162" w:rsidP="00F65CFF">
            <w:pPr>
              <w:spacing w:after="0" w:line="240" w:lineRule="auto"/>
              <w:rPr>
                <w:b/>
                <w:color w:val="FFFFFF" w:themeColor="background1"/>
                <w:sz w:val="20"/>
                <w:szCs w:val="20"/>
              </w:rPr>
            </w:pPr>
          </w:p>
        </w:tc>
        <w:tc>
          <w:tcPr>
            <w:tcW w:w="4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128EEEEA" w14:textId="6679A677" w:rsidR="00BA3162" w:rsidRDefault="00392811" w:rsidP="00F65CFF">
            <w:pPr>
              <w:spacing w:after="0" w:line="240" w:lineRule="auto"/>
              <w:rPr>
                <w:b/>
                <w:color w:val="FFFFFF" w:themeColor="background1"/>
                <w:sz w:val="20"/>
                <w:szCs w:val="20"/>
              </w:rPr>
            </w:pPr>
            <w:r w:rsidRPr="00E36DAD">
              <w:rPr>
                <w:b/>
                <w:color w:val="FFFFFF" w:themeColor="background1"/>
                <w:sz w:val="20"/>
                <w:szCs w:val="20"/>
              </w:rPr>
              <w:t>Reference</w:t>
            </w:r>
          </w:p>
          <w:p w14:paraId="2E876695" w14:textId="50FCEFF8" w:rsidR="00FE712C" w:rsidRPr="00E36DAD" w:rsidRDefault="00FE712C" w:rsidP="00F65CFF">
            <w:pPr>
              <w:spacing w:after="0" w:line="240" w:lineRule="auto"/>
              <w:rPr>
                <w:b/>
                <w:color w:val="FFFFFF" w:themeColor="background1"/>
                <w:sz w:val="20"/>
                <w:szCs w:val="20"/>
              </w:rPr>
            </w:pPr>
          </w:p>
        </w:tc>
      </w:tr>
      <w:tr w:rsidR="003C7BEE" w:rsidRPr="001C6CCA" w14:paraId="13EE601C" w14:textId="77777777" w:rsidTr="00E36DAD">
        <w:tc>
          <w:tcPr>
            <w:tcW w:w="4508" w:type="dxa"/>
            <w:tcBorders>
              <w:top w:val="single" w:sz="4" w:space="0" w:color="FFFFFF" w:themeColor="background1"/>
            </w:tcBorders>
            <w:hideMark/>
          </w:tcPr>
          <w:p w14:paraId="4616C3DB" w14:textId="22C694C6" w:rsidR="003C7BEE" w:rsidRPr="003C7BEE" w:rsidRDefault="003C7BEE" w:rsidP="003C7BEE">
            <w:pPr>
              <w:spacing w:after="0" w:line="240" w:lineRule="auto"/>
              <w:rPr>
                <w:sz w:val="20"/>
                <w:szCs w:val="20"/>
              </w:rPr>
            </w:pPr>
            <w:r w:rsidRPr="003C7BEE">
              <w:rPr>
                <w:sz w:val="20"/>
                <w:szCs w:val="20"/>
              </w:rPr>
              <w:t>Pas modrulj (</w:t>
            </w:r>
            <w:r w:rsidRPr="003C7BEE">
              <w:rPr>
                <w:i/>
                <w:sz w:val="20"/>
                <w:szCs w:val="20"/>
              </w:rPr>
              <w:t>Prionace glauca</w:t>
            </w:r>
            <w:r w:rsidRPr="003C7BEE">
              <w:rPr>
                <w:sz w:val="20"/>
                <w:szCs w:val="20"/>
              </w:rPr>
              <w:t>)</w:t>
            </w:r>
          </w:p>
        </w:tc>
        <w:tc>
          <w:tcPr>
            <w:tcW w:w="4508" w:type="dxa"/>
            <w:tcBorders>
              <w:top w:val="single" w:sz="4" w:space="0" w:color="FFFFFF" w:themeColor="background1"/>
            </w:tcBorders>
            <w:hideMark/>
          </w:tcPr>
          <w:p w14:paraId="72647BCD" w14:textId="77777777" w:rsidR="003C7BEE" w:rsidRPr="001C6CCA" w:rsidRDefault="003C7BEE" w:rsidP="003C7BEE">
            <w:pPr>
              <w:spacing w:after="0" w:line="240" w:lineRule="auto"/>
              <w:rPr>
                <w:sz w:val="20"/>
                <w:szCs w:val="20"/>
              </w:rPr>
            </w:pPr>
            <w:r w:rsidRPr="001C6CCA">
              <w:rPr>
                <w:sz w:val="20"/>
                <w:szCs w:val="20"/>
              </w:rPr>
              <w:t>Ćetković (2018)</w:t>
            </w:r>
          </w:p>
        </w:tc>
      </w:tr>
      <w:tr w:rsidR="003C7BEE" w:rsidRPr="001C6CCA" w14:paraId="19DC9949" w14:textId="77777777" w:rsidTr="00181B21">
        <w:tc>
          <w:tcPr>
            <w:tcW w:w="4508" w:type="dxa"/>
            <w:hideMark/>
          </w:tcPr>
          <w:p w14:paraId="3AE9D6BB" w14:textId="1C5B3554" w:rsidR="003C7BEE" w:rsidRPr="003C7BEE" w:rsidRDefault="003C7BEE" w:rsidP="003C7BEE">
            <w:pPr>
              <w:spacing w:after="0" w:line="240" w:lineRule="auto"/>
              <w:rPr>
                <w:sz w:val="20"/>
                <w:szCs w:val="20"/>
              </w:rPr>
            </w:pPr>
            <w:r w:rsidRPr="003C7BEE">
              <w:rPr>
                <w:sz w:val="20"/>
                <w:szCs w:val="20"/>
              </w:rPr>
              <w:t>Mako ajkula (</w:t>
            </w:r>
            <w:r w:rsidRPr="003C7BEE">
              <w:rPr>
                <w:i/>
                <w:sz w:val="20"/>
                <w:szCs w:val="20"/>
              </w:rPr>
              <w:t>Isurus oxyrinchus</w:t>
            </w:r>
            <w:r w:rsidRPr="003C7BEE">
              <w:rPr>
                <w:sz w:val="20"/>
                <w:szCs w:val="20"/>
              </w:rPr>
              <w:t>)</w:t>
            </w:r>
          </w:p>
        </w:tc>
        <w:tc>
          <w:tcPr>
            <w:tcW w:w="4508" w:type="dxa"/>
            <w:hideMark/>
          </w:tcPr>
          <w:p w14:paraId="37DFA57E" w14:textId="77777777" w:rsidR="003C7BEE" w:rsidRPr="001C6CCA" w:rsidRDefault="003C7BEE" w:rsidP="003C7BEE">
            <w:pPr>
              <w:spacing w:after="0" w:line="240" w:lineRule="auto"/>
              <w:rPr>
                <w:sz w:val="20"/>
                <w:szCs w:val="20"/>
              </w:rPr>
            </w:pPr>
            <w:r w:rsidRPr="001C6CCA">
              <w:rPr>
                <w:sz w:val="20"/>
                <w:szCs w:val="20"/>
              </w:rPr>
              <w:t>Ćetković (2018)</w:t>
            </w:r>
          </w:p>
        </w:tc>
      </w:tr>
      <w:tr w:rsidR="003C7BEE" w:rsidRPr="001C6CCA" w14:paraId="0CD56E5B" w14:textId="77777777" w:rsidTr="00181B21">
        <w:tc>
          <w:tcPr>
            <w:tcW w:w="4508" w:type="dxa"/>
            <w:hideMark/>
          </w:tcPr>
          <w:p w14:paraId="3EF13613" w14:textId="5DB8CD1C" w:rsidR="003C7BEE" w:rsidRPr="003C7BEE" w:rsidRDefault="003C7BEE" w:rsidP="003C7BEE">
            <w:pPr>
              <w:spacing w:after="0" w:line="240" w:lineRule="auto"/>
              <w:rPr>
                <w:sz w:val="20"/>
                <w:szCs w:val="20"/>
              </w:rPr>
            </w:pPr>
            <w:r w:rsidRPr="003C7BEE">
              <w:rPr>
                <w:sz w:val="20"/>
                <w:szCs w:val="20"/>
              </w:rPr>
              <w:t>Ajkula lisica (</w:t>
            </w:r>
            <w:r w:rsidRPr="003C7BEE">
              <w:rPr>
                <w:i/>
                <w:sz w:val="20"/>
                <w:szCs w:val="20"/>
              </w:rPr>
              <w:t>Alopias vulpinus</w:t>
            </w:r>
            <w:r w:rsidRPr="003C7BEE">
              <w:rPr>
                <w:sz w:val="20"/>
                <w:szCs w:val="20"/>
              </w:rPr>
              <w:t>)</w:t>
            </w:r>
          </w:p>
        </w:tc>
        <w:tc>
          <w:tcPr>
            <w:tcW w:w="4508" w:type="dxa"/>
            <w:hideMark/>
          </w:tcPr>
          <w:p w14:paraId="46B4455A" w14:textId="77777777" w:rsidR="003C7BEE" w:rsidRPr="001C6CCA" w:rsidRDefault="003C7BEE" w:rsidP="003C7BEE">
            <w:pPr>
              <w:spacing w:after="0" w:line="240" w:lineRule="auto"/>
              <w:rPr>
                <w:sz w:val="20"/>
                <w:szCs w:val="20"/>
              </w:rPr>
            </w:pPr>
            <w:r w:rsidRPr="001C6CCA">
              <w:rPr>
                <w:sz w:val="20"/>
                <w:szCs w:val="20"/>
              </w:rPr>
              <w:t>Ćetković (2018)</w:t>
            </w:r>
          </w:p>
        </w:tc>
      </w:tr>
      <w:tr w:rsidR="003C7BEE" w:rsidRPr="001C6CCA" w14:paraId="3D46CBBA" w14:textId="77777777" w:rsidTr="00181B21">
        <w:tc>
          <w:tcPr>
            <w:tcW w:w="4508" w:type="dxa"/>
            <w:hideMark/>
          </w:tcPr>
          <w:p w14:paraId="72F758AC" w14:textId="4F25EB6C" w:rsidR="003C7BEE" w:rsidRPr="003C7BEE" w:rsidRDefault="003C7BEE" w:rsidP="003C7BEE">
            <w:pPr>
              <w:spacing w:after="0" w:line="240" w:lineRule="auto"/>
              <w:rPr>
                <w:sz w:val="20"/>
                <w:szCs w:val="20"/>
              </w:rPr>
            </w:pPr>
            <w:r w:rsidRPr="003C7BEE">
              <w:rPr>
                <w:sz w:val="20"/>
                <w:szCs w:val="20"/>
              </w:rPr>
              <w:t>Atlantska ajkula, kučina (</w:t>
            </w:r>
            <w:r w:rsidRPr="003C7BEE">
              <w:rPr>
                <w:i/>
                <w:sz w:val="20"/>
                <w:szCs w:val="20"/>
              </w:rPr>
              <w:t>Lamna nasus</w:t>
            </w:r>
            <w:r w:rsidRPr="003C7BEE">
              <w:rPr>
                <w:sz w:val="20"/>
                <w:szCs w:val="20"/>
              </w:rPr>
              <w:t>)</w:t>
            </w:r>
          </w:p>
        </w:tc>
        <w:tc>
          <w:tcPr>
            <w:tcW w:w="4508" w:type="dxa"/>
            <w:hideMark/>
          </w:tcPr>
          <w:p w14:paraId="1611A07E" w14:textId="77777777" w:rsidR="003C7BEE" w:rsidRPr="001C6CCA" w:rsidRDefault="003C7BEE" w:rsidP="003C7BEE">
            <w:pPr>
              <w:spacing w:after="0" w:line="240" w:lineRule="auto"/>
              <w:rPr>
                <w:sz w:val="20"/>
                <w:szCs w:val="20"/>
              </w:rPr>
            </w:pPr>
            <w:r w:rsidRPr="001C6CCA">
              <w:rPr>
                <w:sz w:val="20"/>
                <w:szCs w:val="20"/>
              </w:rPr>
              <w:t>Unpublished data</w:t>
            </w:r>
          </w:p>
        </w:tc>
      </w:tr>
      <w:tr w:rsidR="003C7BEE" w:rsidRPr="001C6CCA" w14:paraId="0756C2AF" w14:textId="77777777" w:rsidTr="00181B21">
        <w:tc>
          <w:tcPr>
            <w:tcW w:w="4508" w:type="dxa"/>
            <w:hideMark/>
          </w:tcPr>
          <w:p w14:paraId="6002831F" w14:textId="3D3926EF" w:rsidR="003C7BEE" w:rsidRPr="003C7BEE" w:rsidRDefault="003C7BEE" w:rsidP="003C7BEE">
            <w:pPr>
              <w:spacing w:after="0" w:line="240" w:lineRule="auto"/>
              <w:rPr>
                <w:sz w:val="20"/>
                <w:szCs w:val="20"/>
              </w:rPr>
            </w:pPr>
            <w:r w:rsidRPr="003C7BEE">
              <w:rPr>
                <w:sz w:val="20"/>
                <w:szCs w:val="20"/>
              </w:rPr>
              <w:t>Velika bijela ajkula (</w:t>
            </w:r>
            <w:r w:rsidRPr="003C7BEE">
              <w:rPr>
                <w:i/>
                <w:sz w:val="20"/>
                <w:szCs w:val="20"/>
              </w:rPr>
              <w:t>Carcharodon carcharias</w:t>
            </w:r>
            <w:r w:rsidRPr="003C7BEE">
              <w:rPr>
                <w:sz w:val="20"/>
                <w:szCs w:val="20"/>
              </w:rPr>
              <w:t>)</w:t>
            </w:r>
          </w:p>
        </w:tc>
        <w:tc>
          <w:tcPr>
            <w:tcW w:w="4508" w:type="dxa"/>
            <w:hideMark/>
          </w:tcPr>
          <w:p w14:paraId="5B6D3352" w14:textId="77777777" w:rsidR="003C7BEE" w:rsidRPr="001C6CCA" w:rsidRDefault="003C7BEE" w:rsidP="003C7BEE">
            <w:pPr>
              <w:spacing w:after="0" w:line="240" w:lineRule="auto"/>
              <w:rPr>
                <w:sz w:val="20"/>
                <w:szCs w:val="20"/>
              </w:rPr>
            </w:pPr>
            <w:r w:rsidRPr="001C6CCA">
              <w:rPr>
                <w:sz w:val="20"/>
                <w:szCs w:val="20"/>
              </w:rPr>
              <w:t>Regner &amp; Joksimović (1998)</w:t>
            </w:r>
          </w:p>
        </w:tc>
      </w:tr>
      <w:tr w:rsidR="003C7BEE" w:rsidRPr="001C6CCA" w14:paraId="018FE9D6" w14:textId="77777777" w:rsidTr="00181B21">
        <w:tc>
          <w:tcPr>
            <w:tcW w:w="4508" w:type="dxa"/>
            <w:hideMark/>
          </w:tcPr>
          <w:p w14:paraId="26776AA6" w14:textId="53D44E38" w:rsidR="003C7BEE" w:rsidRPr="003C7BEE" w:rsidRDefault="003C7BEE" w:rsidP="003C7BEE">
            <w:pPr>
              <w:spacing w:after="0" w:line="240" w:lineRule="auto"/>
              <w:rPr>
                <w:sz w:val="20"/>
                <w:szCs w:val="20"/>
              </w:rPr>
            </w:pPr>
            <w:r w:rsidRPr="003C7BEE">
              <w:rPr>
                <w:sz w:val="20"/>
                <w:szCs w:val="20"/>
              </w:rPr>
              <w:t>Pas kostelj (</w:t>
            </w:r>
            <w:r w:rsidRPr="003C7BEE">
              <w:rPr>
                <w:i/>
                <w:sz w:val="20"/>
                <w:szCs w:val="20"/>
              </w:rPr>
              <w:t>Squalus acanthias</w:t>
            </w:r>
            <w:r w:rsidRPr="003C7BEE">
              <w:rPr>
                <w:sz w:val="20"/>
                <w:szCs w:val="20"/>
              </w:rPr>
              <w:t>)</w:t>
            </w:r>
          </w:p>
        </w:tc>
        <w:tc>
          <w:tcPr>
            <w:tcW w:w="4508" w:type="dxa"/>
            <w:hideMark/>
          </w:tcPr>
          <w:p w14:paraId="4E432930" w14:textId="77777777" w:rsidR="003C7BEE" w:rsidRPr="001C6CCA" w:rsidRDefault="003C7BEE" w:rsidP="003C7BEE">
            <w:pPr>
              <w:spacing w:after="0" w:line="240" w:lineRule="auto"/>
              <w:rPr>
                <w:sz w:val="20"/>
                <w:szCs w:val="20"/>
              </w:rPr>
            </w:pPr>
            <w:r w:rsidRPr="001C6CCA">
              <w:rPr>
                <w:sz w:val="20"/>
                <w:szCs w:val="20"/>
              </w:rPr>
              <w:t>Mediterranean Action Plan (2009)</w:t>
            </w:r>
          </w:p>
        </w:tc>
      </w:tr>
      <w:tr w:rsidR="003C7BEE" w:rsidRPr="001C6CCA" w14:paraId="14967F0E" w14:textId="77777777" w:rsidTr="00181B21">
        <w:tc>
          <w:tcPr>
            <w:tcW w:w="4508" w:type="dxa"/>
            <w:hideMark/>
          </w:tcPr>
          <w:p w14:paraId="090A7097" w14:textId="5C68C82C" w:rsidR="003C7BEE" w:rsidRPr="003C7BEE" w:rsidRDefault="003C7BEE" w:rsidP="003C7BEE">
            <w:pPr>
              <w:spacing w:after="0" w:line="240" w:lineRule="auto"/>
              <w:rPr>
                <w:sz w:val="20"/>
                <w:szCs w:val="20"/>
              </w:rPr>
            </w:pPr>
            <w:r w:rsidRPr="003C7BEE">
              <w:rPr>
                <w:sz w:val="20"/>
                <w:szCs w:val="20"/>
              </w:rPr>
              <w:t>Gorostasna psina (</w:t>
            </w:r>
            <w:r w:rsidRPr="003C7BEE">
              <w:rPr>
                <w:i/>
                <w:sz w:val="20"/>
                <w:szCs w:val="20"/>
              </w:rPr>
              <w:t>Cetorhinus maximus</w:t>
            </w:r>
            <w:r w:rsidRPr="003C7BEE">
              <w:rPr>
                <w:sz w:val="20"/>
                <w:szCs w:val="20"/>
              </w:rPr>
              <w:t>)</w:t>
            </w:r>
          </w:p>
        </w:tc>
        <w:tc>
          <w:tcPr>
            <w:tcW w:w="4508" w:type="dxa"/>
            <w:hideMark/>
          </w:tcPr>
          <w:p w14:paraId="708E0D05" w14:textId="13BD2E0F" w:rsidR="003C7BEE" w:rsidRPr="001C6CCA" w:rsidRDefault="003C7BEE" w:rsidP="003C7BEE">
            <w:pPr>
              <w:spacing w:after="0" w:line="240" w:lineRule="auto"/>
              <w:rPr>
                <w:sz w:val="20"/>
                <w:szCs w:val="20"/>
              </w:rPr>
            </w:pPr>
            <w:r>
              <w:rPr>
                <w:sz w:val="20"/>
                <w:szCs w:val="20"/>
              </w:rPr>
              <w:t>Neobjavljeni podaci</w:t>
            </w:r>
          </w:p>
        </w:tc>
      </w:tr>
      <w:tr w:rsidR="003C7BEE" w:rsidRPr="001C6CCA" w14:paraId="476AEDF7" w14:textId="77777777" w:rsidTr="00181B21">
        <w:tc>
          <w:tcPr>
            <w:tcW w:w="4508" w:type="dxa"/>
            <w:hideMark/>
          </w:tcPr>
          <w:p w14:paraId="6C94EC1D" w14:textId="79425F0A" w:rsidR="003C7BEE" w:rsidRPr="003C7BEE" w:rsidRDefault="003C7BEE" w:rsidP="003C7BEE">
            <w:pPr>
              <w:spacing w:after="0" w:line="240" w:lineRule="auto"/>
              <w:rPr>
                <w:sz w:val="20"/>
                <w:szCs w:val="20"/>
              </w:rPr>
            </w:pPr>
            <w:r w:rsidRPr="003C7BEE">
              <w:rPr>
                <w:sz w:val="20"/>
                <w:szCs w:val="20"/>
              </w:rPr>
              <w:t>Golub uhan (</w:t>
            </w:r>
            <w:r w:rsidRPr="003C7BEE">
              <w:rPr>
                <w:i/>
                <w:sz w:val="20"/>
                <w:szCs w:val="20"/>
              </w:rPr>
              <w:t>Mobula mobular</w:t>
            </w:r>
            <w:r w:rsidRPr="003C7BEE">
              <w:rPr>
                <w:sz w:val="20"/>
                <w:szCs w:val="20"/>
              </w:rPr>
              <w:t>)</w:t>
            </w:r>
          </w:p>
        </w:tc>
        <w:tc>
          <w:tcPr>
            <w:tcW w:w="4508" w:type="dxa"/>
            <w:hideMark/>
          </w:tcPr>
          <w:p w14:paraId="2832FEEF" w14:textId="081D6AF0" w:rsidR="003C7BEE" w:rsidRPr="001C6CCA" w:rsidRDefault="003C7BEE" w:rsidP="003C7BEE">
            <w:pPr>
              <w:spacing w:after="0" w:line="240" w:lineRule="auto"/>
              <w:rPr>
                <w:sz w:val="20"/>
                <w:szCs w:val="20"/>
              </w:rPr>
            </w:pPr>
            <w:r w:rsidRPr="001C6CCA">
              <w:rPr>
                <w:sz w:val="20"/>
                <w:szCs w:val="20"/>
              </w:rPr>
              <w:t xml:space="preserve">Holcer </w:t>
            </w:r>
            <w:r>
              <w:rPr>
                <w:sz w:val="20"/>
                <w:szCs w:val="20"/>
              </w:rPr>
              <w:t>I sar</w:t>
            </w:r>
            <w:r w:rsidRPr="001C6CCA">
              <w:rPr>
                <w:sz w:val="20"/>
                <w:szCs w:val="20"/>
              </w:rPr>
              <w:t>. (2013)</w:t>
            </w:r>
          </w:p>
        </w:tc>
      </w:tr>
    </w:tbl>
    <w:p w14:paraId="0CE2699B" w14:textId="1A283F0F" w:rsidR="00071524" w:rsidRPr="00CF7E4B" w:rsidRDefault="00CF7E4B" w:rsidP="00FE712C">
      <w:pPr>
        <w:spacing w:after="0"/>
        <w:rPr>
          <w:rFonts w:eastAsia="Calibri" w:cs="Calibri"/>
          <w:sz w:val="20"/>
          <w:szCs w:val="20"/>
          <w:lang w:val="en-GB" w:eastAsia="hr-HR"/>
        </w:rPr>
      </w:pPr>
      <w:r w:rsidRPr="00CF7E4B">
        <w:rPr>
          <w:rFonts w:eastAsia="Calibri" w:cs="Calibri"/>
          <w:sz w:val="20"/>
          <w:szCs w:val="20"/>
          <w:lang w:val="en-GB" w:eastAsia="hr-HR"/>
        </w:rPr>
        <w:t>Odabrane komercijalno eksploatisane ribe povezane sa D1 (pridnene i pelagične) opisane su u poglavlju 2.2 ovog teksta pod Deskriptor</w:t>
      </w:r>
      <w:r w:rsidR="00AB690A">
        <w:rPr>
          <w:rFonts w:eastAsia="Calibri" w:cs="Calibri"/>
          <w:sz w:val="20"/>
          <w:szCs w:val="20"/>
          <w:lang w:val="en-GB" w:eastAsia="hr-HR"/>
        </w:rPr>
        <w:t>om</w:t>
      </w:r>
      <w:r w:rsidRPr="00CF7E4B">
        <w:rPr>
          <w:rFonts w:eastAsia="Calibri" w:cs="Calibri"/>
          <w:sz w:val="20"/>
          <w:szCs w:val="20"/>
          <w:lang w:val="en-GB" w:eastAsia="hr-HR"/>
        </w:rPr>
        <w:t xml:space="preserve"> 3.</w:t>
      </w:r>
    </w:p>
    <w:p w14:paraId="1D1DCE79" w14:textId="77777777" w:rsidR="0052449C" w:rsidRPr="00CF7E4B" w:rsidRDefault="0052449C" w:rsidP="00FE712C">
      <w:pPr>
        <w:spacing w:after="0"/>
        <w:rPr>
          <w:sz w:val="20"/>
          <w:szCs w:val="20"/>
          <w:lang w:val="en-GB"/>
        </w:rPr>
      </w:pPr>
    </w:p>
    <w:p w14:paraId="4EEA6EF7" w14:textId="0321C243" w:rsidR="00982E88" w:rsidRPr="001C6CCA" w:rsidRDefault="003C7BEE" w:rsidP="008665B1">
      <w:pPr>
        <w:pStyle w:val="Heading4"/>
        <w:rPr>
          <w:rFonts w:eastAsia="Calibri"/>
          <w:lang w:val="en-GB"/>
        </w:rPr>
      </w:pPr>
      <w:r>
        <w:rPr>
          <w:rFonts w:eastAsia="Calibri"/>
          <w:lang w:val="en-GB"/>
        </w:rPr>
        <w:t>Pristup GES procjeni</w:t>
      </w:r>
    </w:p>
    <w:p w14:paraId="7593BFFF" w14:textId="054044DD" w:rsidR="007574CA" w:rsidRPr="007574CA" w:rsidRDefault="007574CA" w:rsidP="007574CA">
      <w:pPr>
        <w:spacing w:before="0" w:after="160"/>
        <w:rPr>
          <w:rFonts w:eastAsia="Calibri" w:cs="Calibri"/>
          <w:szCs w:val="22"/>
          <w:lang w:val="en-GB" w:eastAsia="hr-HR"/>
        </w:rPr>
      </w:pPr>
      <w:r w:rsidRPr="007574CA">
        <w:rPr>
          <w:rFonts w:eastAsia="Calibri" w:cs="Calibri"/>
          <w:szCs w:val="22"/>
          <w:lang w:val="en-GB" w:eastAsia="hr-HR"/>
        </w:rPr>
        <w:t xml:space="preserve">Uzimajući u obzir nekomercijalne vrste </w:t>
      </w:r>
      <w:r>
        <w:rPr>
          <w:rFonts w:eastAsia="Calibri" w:cs="Calibri"/>
          <w:szCs w:val="22"/>
          <w:lang w:val="en-GB" w:eastAsia="hr-HR"/>
        </w:rPr>
        <w:t xml:space="preserve">riba koje su </w:t>
      </w:r>
      <w:r w:rsidRPr="007574CA">
        <w:rPr>
          <w:rFonts w:eastAsia="Calibri" w:cs="Calibri"/>
          <w:szCs w:val="22"/>
          <w:lang w:val="en-GB" w:eastAsia="hr-HR"/>
        </w:rPr>
        <w:t xml:space="preserve">slučajno ulovljene u crnogorskom ribarstvu, zbog nedostatka naučnih podataka </w:t>
      </w:r>
      <w:r>
        <w:rPr>
          <w:rFonts w:eastAsia="Calibri" w:cs="Calibri"/>
          <w:szCs w:val="22"/>
          <w:lang w:val="en-GB" w:eastAsia="hr-HR"/>
        </w:rPr>
        <w:t xml:space="preserve">nije mogla da se sprovede procjena </w:t>
      </w:r>
      <w:r w:rsidRPr="007574CA">
        <w:rPr>
          <w:rFonts w:eastAsia="Calibri" w:cs="Calibri"/>
          <w:szCs w:val="22"/>
          <w:lang w:val="en-GB" w:eastAsia="hr-HR"/>
        </w:rPr>
        <w:t>GES</w:t>
      </w:r>
      <w:r>
        <w:rPr>
          <w:rFonts w:eastAsia="Calibri" w:cs="Calibri"/>
          <w:szCs w:val="22"/>
          <w:lang w:val="en-GB" w:eastAsia="hr-HR"/>
        </w:rPr>
        <w:t xml:space="preserve">-a. </w:t>
      </w:r>
      <w:r w:rsidRPr="007574CA">
        <w:rPr>
          <w:rFonts w:eastAsia="Calibri" w:cs="Calibri"/>
          <w:szCs w:val="22"/>
          <w:lang w:val="en-GB" w:eastAsia="hr-HR"/>
        </w:rPr>
        <w:t xml:space="preserve">Međutim, objavljena literatura (Megalofonou, 2005; Ćetković, 2018) i neobjavljeni podaci Instituta za biologiju mora sugerišu da plavu ajkulu </w:t>
      </w:r>
      <w:r w:rsidRPr="001C6CCA">
        <w:rPr>
          <w:rFonts w:eastAsia="Calibri" w:cs="Calibri"/>
          <w:szCs w:val="22"/>
          <w:lang w:val="en-GB" w:eastAsia="hr-HR"/>
        </w:rPr>
        <w:t>(</w:t>
      </w:r>
      <w:r w:rsidRPr="001C6CCA">
        <w:rPr>
          <w:rFonts w:eastAsia="Calibri" w:cs="Calibri"/>
          <w:i/>
          <w:iCs/>
          <w:szCs w:val="22"/>
          <w:lang w:val="en-GB" w:eastAsia="hr-HR"/>
        </w:rPr>
        <w:t>Prionace glauca</w:t>
      </w:r>
      <w:r w:rsidRPr="001C6CCA">
        <w:rPr>
          <w:rFonts w:eastAsia="Calibri" w:cs="Calibri"/>
          <w:szCs w:val="22"/>
          <w:lang w:val="en-GB" w:eastAsia="hr-HR"/>
        </w:rPr>
        <w:t xml:space="preserve">) </w:t>
      </w:r>
      <w:r w:rsidRPr="007574CA">
        <w:rPr>
          <w:rFonts w:eastAsia="Calibri" w:cs="Calibri"/>
          <w:szCs w:val="22"/>
          <w:lang w:val="en-GB" w:eastAsia="hr-HR"/>
        </w:rPr>
        <w:t xml:space="preserve">treba smatrati vrstom koja je </w:t>
      </w:r>
      <w:r>
        <w:rPr>
          <w:rFonts w:eastAsia="Calibri" w:cs="Calibri"/>
          <w:szCs w:val="22"/>
          <w:lang w:val="en-GB" w:eastAsia="hr-HR"/>
        </w:rPr>
        <w:t>u velikoj mjeri pogođena ribolovnim prilovom</w:t>
      </w:r>
      <w:r w:rsidRPr="007574CA">
        <w:rPr>
          <w:rFonts w:eastAsia="Calibri" w:cs="Calibri"/>
          <w:szCs w:val="22"/>
          <w:lang w:val="en-GB" w:eastAsia="hr-HR"/>
        </w:rPr>
        <w:t xml:space="preserve">. U komercijalnom ulovu javlja se još nekoliko ugroženih vrsta ajkula i </w:t>
      </w:r>
      <w:r>
        <w:rPr>
          <w:rFonts w:eastAsia="Calibri" w:cs="Calibri"/>
          <w:szCs w:val="22"/>
          <w:lang w:val="en-GB" w:eastAsia="hr-HR"/>
        </w:rPr>
        <w:t>raža</w:t>
      </w:r>
      <w:r w:rsidRPr="007574CA">
        <w:rPr>
          <w:rFonts w:eastAsia="Calibri" w:cs="Calibri"/>
          <w:szCs w:val="22"/>
          <w:lang w:val="en-GB" w:eastAsia="hr-HR"/>
        </w:rPr>
        <w:t xml:space="preserve">, ali u poređenju sa plavom ajkulom </w:t>
      </w:r>
      <w:r>
        <w:rPr>
          <w:rFonts w:eastAsia="Calibri" w:cs="Calibri"/>
          <w:szCs w:val="22"/>
          <w:lang w:val="en-GB" w:eastAsia="hr-HR"/>
        </w:rPr>
        <w:t xml:space="preserve">te pojave su </w:t>
      </w:r>
      <w:r w:rsidRPr="007574CA">
        <w:rPr>
          <w:rFonts w:eastAsia="Calibri" w:cs="Calibri"/>
          <w:szCs w:val="22"/>
          <w:lang w:val="en-GB" w:eastAsia="hr-HR"/>
        </w:rPr>
        <w:t>r</w:t>
      </w:r>
      <w:r>
        <w:rPr>
          <w:rFonts w:eastAsia="Calibri" w:cs="Calibri"/>
          <w:szCs w:val="22"/>
          <w:lang w:val="en-GB" w:eastAsia="hr-HR"/>
        </w:rPr>
        <w:t>ijetke</w:t>
      </w:r>
      <w:r w:rsidRPr="007574CA">
        <w:rPr>
          <w:rFonts w:eastAsia="Calibri" w:cs="Calibri"/>
          <w:szCs w:val="22"/>
          <w:lang w:val="en-GB" w:eastAsia="hr-HR"/>
        </w:rPr>
        <w:t xml:space="preserve">. Ćetković (2018) </w:t>
      </w:r>
      <w:r>
        <w:rPr>
          <w:rFonts w:eastAsia="Calibri" w:cs="Calibri"/>
          <w:szCs w:val="22"/>
          <w:lang w:val="en-GB" w:eastAsia="hr-HR"/>
        </w:rPr>
        <w:t>ukazuje</w:t>
      </w:r>
      <w:r w:rsidRPr="007574CA">
        <w:rPr>
          <w:rFonts w:eastAsia="Calibri" w:cs="Calibri"/>
          <w:szCs w:val="22"/>
          <w:lang w:val="en-GB" w:eastAsia="hr-HR"/>
        </w:rPr>
        <w:t xml:space="preserve"> da je stopa smrtnosti plavih ajkula oko 50%, ali studija </w:t>
      </w:r>
      <w:r>
        <w:rPr>
          <w:rFonts w:eastAsia="Calibri" w:cs="Calibri"/>
          <w:szCs w:val="22"/>
          <w:lang w:val="en-GB" w:eastAsia="hr-HR"/>
        </w:rPr>
        <w:t xml:space="preserve">obuhvata </w:t>
      </w:r>
      <w:r w:rsidRPr="007574CA">
        <w:rPr>
          <w:rFonts w:eastAsia="Calibri" w:cs="Calibri"/>
          <w:szCs w:val="22"/>
          <w:lang w:val="en-GB" w:eastAsia="hr-HR"/>
        </w:rPr>
        <w:t xml:space="preserve">plave ajkule </w:t>
      </w:r>
      <w:r>
        <w:rPr>
          <w:rFonts w:eastAsia="Calibri" w:cs="Calibri"/>
          <w:szCs w:val="22"/>
          <w:lang w:val="en-GB" w:eastAsia="hr-HR"/>
        </w:rPr>
        <w:t xml:space="preserve">kao ulov </w:t>
      </w:r>
      <w:r w:rsidRPr="007574CA">
        <w:rPr>
          <w:rFonts w:eastAsia="Calibri" w:cs="Calibri"/>
          <w:szCs w:val="22"/>
          <w:lang w:val="en-GB" w:eastAsia="hr-HR"/>
        </w:rPr>
        <w:t>rekreativn</w:t>
      </w:r>
      <w:r>
        <w:rPr>
          <w:rFonts w:eastAsia="Calibri" w:cs="Calibri"/>
          <w:szCs w:val="22"/>
          <w:lang w:val="en-GB" w:eastAsia="hr-HR"/>
        </w:rPr>
        <w:t>og ribolova</w:t>
      </w:r>
      <w:r w:rsidRPr="007574CA">
        <w:rPr>
          <w:rFonts w:eastAsia="Calibri" w:cs="Calibri"/>
          <w:szCs w:val="22"/>
          <w:lang w:val="en-GB" w:eastAsia="hr-HR"/>
        </w:rPr>
        <w:t xml:space="preserve">. Može se zaključiti da je smrtnost veća kod pasivnih komercijalnih </w:t>
      </w:r>
      <w:r>
        <w:rPr>
          <w:rFonts w:eastAsia="Calibri" w:cs="Calibri"/>
          <w:szCs w:val="22"/>
          <w:lang w:val="en-GB" w:eastAsia="hr-HR"/>
        </w:rPr>
        <w:t xml:space="preserve">ribolovnih </w:t>
      </w:r>
      <w:r w:rsidRPr="007574CA">
        <w:rPr>
          <w:rFonts w:eastAsia="Calibri" w:cs="Calibri"/>
          <w:szCs w:val="22"/>
          <w:lang w:val="en-GB" w:eastAsia="hr-HR"/>
        </w:rPr>
        <w:t>alata</w:t>
      </w:r>
      <w:r>
        <w:rPr>
          <w:rFonts w:eastAsia="Calibri" w:cs="Calibri"/>
          <w:szCs w:val="22"/>
          <w:lang w:val="en-GB" w:eastAsia="hr-HR"/>
        </w:rPr>
        <w:t xml:space="preserve">, onemogućavajući ajkulama da plivaju </w:t>
      </w:r>
      <w:r w:rsidRPr="007574CA">
        <w:rPr>
          <w:rFonts w:eastAsia="Calibri" w:cs="Calibri"/>
          <w:szCs w:val="22"/>
          <w:lang w:val="en-GB" w:eastAsia="hr-HR"/>
        </w:rPr>
        <w:t>što je neophodno za njihovo održavanje.</w:t>
      </w:r>
    </w:p>
    <w:p w14:paraId="51F516E5" w14:textId="188A8282" w:rsidR="006A72D8" w:rsidRPr="000310E7" w:rsidRDefault="007574CA" w:rsidP="000310E7">
      <w:pPr>
        <w:spacing w:before="0" w:after="160"/>
        <w:rPr>
          <w:rFonts w:eastAsia="Calibri" w:cs="Calibri"/>
          <w:szCs w:val="22"/>
          <w:lang w:val="en-GB" w:eastAsia="hr-HR"/>
        </w:rPr>
      </w:pPr>
      <w:r w:rsidRPr="007574CA">
        <w:rPr>
          <w:rFonts w:eastAsia="Calibri" w:cs="Calibri"/>
          <w:szCs w:val="22"/>
          <w:lang w:val="en-GB" w:eastAsia="hr-HR"/>
        </w:rPr>
        <w:t>GES proc</w:t>
      </w:r>
      <w:r>
        <w:rPr>
          <w:rFonts w:eastAsia="Calibri" w:cs="Calibri"/>
          <w:szCs w:val="22"/>
          <w:lang w:val="en-GB" w:eastAsia="hr-HR"/>
        </w:rPr>
        <w:t>j</w:t>
      </w:r>
      <w:r w:rsidRPr="007574CA">
        <w:rPr>
          <w:rFonts w:eastAsia="Calibri" w:cs="Calibri"/>
          <w:szCs w:val="22"/>
          <w:lang w:val="en-GB" w:eastAsia="hr-HR"/>
        </w:rPr>
        <w:t>ena za odabrane komercijalno eksploatisane ribe povezane sa D1 zasniva se na kriterijumima za D3 koristeći kriterijum D3C2 za D1C2 i kriterijum D3C3 za D1C3 (tabel</w:t>
      </w:r>
      <w:r>
        <w:rPr>
          <w:rFonts w:eastAsia="Calibri" w:cs="Calibri"/>
          <w:szCs w:val="22"/>
          <w:lang w:val="en-GB" w:eastAsia="hr-HR"/>
        </w:rPr>
        <w:t>a</w:t>
      </w:r>
      <w:r w:rsidRPr="007574CA">
        <w:rPr>
          <w:rFonts w:eastAsia="Calibri" w:cs="Calibri"/>
          <w:szCs w:val="22"/>
          <w:lang w:val="en-GB" w:eastAsia="hr-HR"/>
        </w:rPr>
        <w:t xml:space="preserve"> 3.14).</w:t>
      </w:r>
    </w:p>
    <w:p w14:paraId="2EC65A85" w14:textId="77777777" w:rsidR="006A72D8" w:rsidRDefault="006A72D8" w:rsidP="00BD7D8E">
      <w:pPr>
        <w:tabs>
          <w:tab w:val="left" w:pos="7328"/>
        </w:tabs>
        <w:spacing w:before="0" w:after="0" w:line="240" w:lineRule="auto"/>
        <w:rPr>
          <w:rFonts w:eastAsia="Calibri" w:cs="Calibri"/>
          <w:b/>
          <w:szCs w:val="22"/>
          <w:lang w:val="en-GB" w:eastAsia="en-US"/>
        </w:rPr>
      </w:pPr>
    </w:p>
    <w:p w14:paraId="60C68E50" w14:textId="0A8B7C7B" w:rsidR="00BD7D8E" w:rsidRPr="006A72D8" w:rsidRDefault="000D0ED1" w:rsidP="00BD7D8E">
      <w:pPr>
        <w:tabs>
          <w:tab w:val="left" w:pos="7328"/>
        </w:tabs>
        <w:spacing w:before="0" w:after="0" w:line="240" w:lineRule="auto"/>
        <w:rPr>
          <w:rFonts w:eastAsia="Calibri" w:cs="Calibri"/>
          <w:b/>
          <w:bCs/>
          <w:szCs w:val="22"/>
          <w:lang w:val="en-GB" w:eastAsia="en-US"/>
        </w:rPr>
      </w:pPr>
      <w:bookmarkStart w:id="349" w:name="_Toc83643211"/>
      <w:r w:rsidRPr="001C6CCA">
        <w:rPr>
          <w:rFonts w:eastAsia="Calibri" w:cs="Calibri"/>
          <w:b/>
          <w:szCs w:val="22"/>
          <w:lang w:val="en-GB" w:eastAsia="en-US"/>
        </w:rPr>
        <w:t>Tab</w:t>
      </w:r>
      <w:r w:rsidR="007574CA">
        <w:rPr>
          <w:rFonts w:eastAsia="Calibri" w:cs="Calibri"/>
          <w:b/>
          <w:szCs w:val="22"/>
          <w:lang w:val="en-GB" w:eastAsia="en-US"/>
        </w:rPr>
        <w:t>ela</w:t>
      </w:r>
      <w:r w:rsidR="00FE712C" w:rsidRPr="001C6CCA">
        <w:rPr>
          <w:rFonts w:eastAsia="Calibri" w:cs="Calibri"/>
          <w:b/>
          <w:szCs w:val="22"/>
          <w:lang w:val="en-GB" w:eastAsia="en-US"/>
        </w:rPr>
        <w:t xml:space="preserve"> </w:t>
      </w:r>
      <w:r w:rsidR="00C000AE" w:rsidRPr="00D932B6">
        <w:rPr>
          <w:b/>
          <w:szCs w:val="22"/>
        </w:rPr>
        <w:fldChar w:fldCharType="begin"/>
      </w:r>
      <w:r w:rsidR="00C000AE" w:rsidRPr="00D932B6">
        <w:rPr>
          <w:b/>
          <w:szCs w:val="22"/>
        </w:rPr>
        <w:instrText xml:space="preserve"> STYLEREF 1 \s </w:instrText>
      </w:r>
      <w:r w:rsidR="00C000AE" w:rsidRPr="00D932B6">
        <w:rPr>
          <w:b/>
          <w:szCs w:val="22"/>
        </w:rPr>
        <w:fldChar w:fldCharType="separate"/>
      </w:r>
      <w:r w:rsidR="000D1E20">
        <w:rPr>
          <w:b/>
          <w:noProof/>
          <w:szCs w:val="22"/>
        </w:rPr>
        <w:t>3</w:t>
      </w:r>
      <w:r w:rsidR="00C000AE" w:rsidRPr="00D932B6">
        <w:rPr>
          <w:b/>
          <w:szCs w:val="22"/>
        </w:rPr>
        <w:fldChar w:fldCharType="end"/>
      </w:r>
      <w:r w:rsidR="00C000AE" w:rsidRPr="00D932B6">
        <w:rPr>
          <w:b/>
          <w:szCs w:val="22"/>
        </w:rPr>
        <w:t>.</w:t>
      </w:r>
      <w:r w:rsidR="00C000AE" w:rsidRPr="00D932B6">
        <w:rPr>
          <w:b/>
          <w:szCs w:val="22"/>
        </w:rPr>
        <w:fldChar w:fldCharType="begin"/>
      </w:r>
      <w:r w:rsidR="00C000AE" w:rsidRPr="00D932B6">
        <w:rPr>
          <w:b/>
          <w:szCs w:val="22"/>
        </w:rPr>
        <w:instrText xml:space="preserve"> SEQ Table \* ARABIC \s 1 </w:instrText>
      </w:r>
      <w:r w:rsidR="00C000AE" w:rsidRPr="00D932B6">
        <w:rPr>
          <w:b/>
          <w:szCs w:val="22"/>
        </w:rPr>
        <w:fldChar w:fldCharType="separate"/>
      </w:r>
      <w:r w:rsidR="000D1E20">
        <w:rPr>
          <w:b/>
          <w:noProof/>
          <w:szCs w:val="22"/>
        </w:rPr>
        <w:t>15</w:t>
      </w:r>
      <w:r w:rsidR="00C000AE" w:rsidRPr="00D932B6">
        <w:rPr>
          <w:b/>
          <w:szCs w:val="22"/>
        </w:rPr>
        <w:fldChar w:fldCharType="end"/>
      </w:r>
      <w:r w:rsidR="00C000AE">
        <w:rPr>
          <w:b/>
          <w:szCs w:val="22"/>
        </w:rPr>
        <w:t>.</w:t>
      </w:r>
      <w:r w:rsidR="00C000AE" w:rsidRPr="001C6CCA">
        <w:rPr>
          <w:rFonts w:eastAsia="Calibri" w:cs="Calibri"/>
          <w:b/>
          <w:szCs w:val="22"/>
          <w:lang w:val="en-GB" w:eastAsia="en-US"/>
        </w:rPr>
        <w:t xml:space="preserve"> </w:t>
      </w:r>
      <w:r w:rsidR="000428A8">
        <w:rPr>
          <w:rFonts w:eastAsia="Calibri" w:cs="Calibri"/>
          <w:b/>
          <w:szCs w:val="22"/>
          <w:lang w:val="en-GB" w:eastAsia="en-US"/>
        </w:rPr>
        <w:t>P</w:t>
      </w:r>
      <w:r w:rsidR="007574CA" w:rsidRPr="00F00BA2">
        <w:rPr>
          <w:rFonts w:eastAsia="Calibri" w:cs="Calibri"/>
          <w:b/>
          <w:szCs w:val="22"/>
          <w:lang w:val="en-GB" w:eastAsia="en-US"/>
        </w:rPr>
        <w:t>roc</w:t>
      </w:r>
      <w:r w:rsidR="007574CA">
        <w:rPr>
          <w:rFonts w:eastAsia="Calibri" w:cs="Calibri"/>
          <w:b/>
          <w:szCs w:val="22"/>
          <w:lang w:val="en-GB" w:eastAsia="en-US"/>
        </w:rPr>
        <w:t>j</w:t>
      </w:r>
      <w:r w:rsidR="007574CA" w:rsidRPr="00F00BA2">
        <w:rPr>
          <w:rFonts w:eastAsia="Calibri" w:cs="Calibri"/>
          <w:b/>
          <w:szCs w:val="22"/>
          <w:lang w:val="en-GB" w:eastAsia="en-US"/>
        </w:rPr>
        <w:t xml:space="preserve">ena </w:t>
      </w:r>
      <w:r w:rsidR="000428A8">
        <w:rPr>
          <w:rFonts w:eastAsia="Calibri" w:cs="Calibri"/>
          <w:b/>
          <w:szCs w:val="22"/>
          <w:lang w:val="en-GB" w:eastAsia="en-US"/>
        </w:rPr>
        <w:t xml:space="preserve">GES-a za ribe </w:t>
      </w:r>
      <w:r w:rsidR="007574CA" w:rsidRPr="007574CA">
        <w:rPr>
          <w:rFonts w:eastAsia="Calibri" w:cs="Calibri"/>
          <w:b/>
          <w:szCs w:val="22"/>
          <w:lang w:val="en-GB" w:eastAsia="en-US"/>
        </w:rPr>
        <w:t xml:space="preserve">u odnosu na D1 prema kriterijumima </w:t>
      </w:r>
      <w:r w:rsidR="007574CA" w:rsidRPr="0050686E">
        <w:rPr>
          <w:rFonts w:eastAsia="Calibri" w:cs="Calibri"/>
          <w:b/>
          <w:szCs w:val="22"/>
          <w:lang w:val="en-GB" w:eastAsia="en-US"/>
        </w:rPr>
        <w:t>Odlu</w:t>
      </w:r>
      <w:r w:rsidR="000428A8">
        <w:rPr>
          <w:rFonts w:eastAsia="Calibri" w:cs="Calibri"/>
          <w:b/>
          <w:szCs w:val="22"/>
          <w:lang w:val="en-GB" w:eastAsia="en-US"/>
        </w:rPr>
        <w:t>ke</w:t>
      </w:r>
      <w:r w:rsidR="007574CA" w:rsidRPr="0050686E">
        <w:rPr>
          <w:rFonts w:eastAsia="Calibri" w:cs="Calibri"/>
          <w:b/>
          <w:szCs w:val="22"/>
          <w:lang w:val="en-GB" w:eastAsia="en-US"/>
        </w:rPr>
        <w:t xml:space="preserve"> Komisije </w:t>
      </w:r>
      <w:r w:rsidR="007574CA" w:rsidRPr="00C000AE">
        <w:rPr>
          <w:rFonts w:eastAsia="Calibri" w:cs="Calibri"/>
          <w:b/>
          <w:szCs w:val="22"/>
          <w:lang w:val="en-GB" w:eastAsia="en-US"/>
        </w:rPr>
        <w:t>2017/845/EU</w:t>
      </w:r>
      <w:bookmarkEnd w:id="349"/>
      <w:r w:rsidR="007574CA" w:rsidRPr="00C000AE">
        <w:rPr>
          <w:rFonts w:eastAsia="Calibri" w:cs="Calibri"/>
          <w:b/>
          <w:bCs/>
          <w:szCs w:val="22"/>
          <w:lang w:val="en-GB" w:eastAsia="en-US"/>
        </w:rPr>
        <w:t xml:space="preserve"> </w:t>
      </w:r>
    </w:p>
    <w:tbl>
      <w:tblPr>
        <w:tblStyle w:val="GolderTable32"/>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010"/>
        <w:gridCol w:w="632"/>
        <w:gridCol w:w="1007"/>
        <w:gridCol w:w="2077"/>
        <w:gridCol w:w="3295"/>
      </w:tblGrid>
      <w:tr w:rsidR="005E3183" w:rsidRPr="001C6CCA" w14:paraId="26EC42E2" w14:textId="77777777" w:rsidTr="007A302A">
        <w:trPr>
          <w:tblHeader/>
        </w:trPr>
        <w:tc>
          <w:tcPr>
            <w:tcW w:w="9021"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63509EE2" w14:textId="5895FF5C" w:rsidR="005E3183" w:rsidRPr="000310E7" w:rsidRDefault="005E3183" w:rsidP="005E3183">
            <w:pPr>
              <w:spacing w:before="0" w:after="0" w:line="240" w:lineRule="auto"/>
              <w:jc w:val="center"/>
              <w:rPr>
                <w:b/>
                <w:color w:val="FFFFFF" w:themeColor="background1"/>
                <w:lang w:val="en-GB" w:eastAsia="en-US"/>
              </w:rPr>
            </w:pPr>
            <w:r>
              <w:rPr>
                <w:b/>
                <w:color w:val="FFFFFF" w:themeColor="background1"/>
                <w:lang w:val="en-GB" w:eastAsia="en-US"/>
              </w:rPr>
              <w:t>Područje procjene: subregionalni nivo – Jadransko more</w:t>
            </w:r>
          </w:p>
        </w:tc>
      </w:tr>
      <w:tr w:rsidR="009B4A49" w:rsidRPr="001C6CCA" w14:paraId="3C2F2073" w14:textId="77777777" w:rsidTr="005E3183">
        <w:trPr>
          <w:tblHeader/>
        </w:trPr>
        <w:tc>
          <w:tcPr>
            <w:tcW w:w="20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50C357FF" w14:textId="724BDB63" w:rsidR="009B4A49" w:rsidRPr="000310E7" w:rsidRDefault="007574CA" w:rsidP="00F65CFF">
            <w:pPr>
              <w:spacing w:before="0" w:after="0" w:line="240" w:lineRule="auto"/>
              <w:rPr>
                <w:b/>
                <w:color w:val="FFFFFF" w:themeColor="background1"/>
                <w:lang w:val="en-GB" w:eastAsia="en-US"/>
              </w:rPr>
            </w:pPr>
            <w:r w:rsidRPr="000310E7">
              <w:rPr>
                <w:b/>
                <w:color w:val="FFFFFF" w:themeColor="background1"/>
                <w:lang w:val="en-GB" w:eastAsia="en-US"/>
              </w:rPr>
              <w:t>Kriterijumi</w:t>
            </w:r>
          </w:p>
        </w:tc>
        <w:tc>
          <w:tcPr>
            <w:tcW w:w="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2011ECD0" w14:textId="77777777" w:rsidR="009B4A49" w:rsidRPr="000310E7" w:rsidRDefault="009B4A49" w:rsidP="00F65CFF">
            <w:pPr>
              <w:spacing w:before="0" w:after="0" w:line="240" w:lineRule="auto"/>
              <w:jc w:val="center"/>
              <w:rPr>
                <w:b/>
                <w:color w:val="FFFFFF" w:themeColor="background1"/>
                <w:lang w:val="en-GB" w:eastAsia="en-US"/>
              </w:rPr>
            </w:pPr>
          </w:p>
        </w:tc>
        <w:tc>
          <w:tcPr>
            <w:tcW w:w="308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113BB95" w14:textId="152CB587" w:rsidR="009B4A49" w:rsidRPr="000310E7" w:rsidRDefault="007574CA" w:rsidP="00F65CFF">
            <w:pPr>
              <w:spacing w:before="0" w:after="0" w:line="240" w:lineRule="auto"/>
              <w:jc w:val="center"/>
              <w:rPr>
                <w:b/>
                <w:color w:val="FFFFFF" w:themeColor="background1"/>
                <w:lang w:val="en-GB" w:eastAsia="en-US"/>
              </w:rPr>
            </w:pPr>
            <w:r w:rsidRPr="000310E7">
              <w:rPr>
                <w:b/>
                <w:color w:val="FFFFFF" w:themeColor="background1"/>
                <w:lang w:val="en-GB" w:eastAsia="en-US"/>
              </w:rPr>
              <w:t>Odabrane vrste</w:t>
            </w:r>
          </w:p>
          <w:p w14:paraId="1D103D31" w14:textId="77777777" w:rsidR="009B4A49" w:rsidRPr="000310E7" w:rsidRDefault="009B4A49" w:rsidP="00F65CFF">
            <w:pPr>
              <w:spacing w:before="0" w:after="0" w:line="240" w:lineRule="auto"/>
              <w:jc w:val="center"/>
              <w:rPr>
                <w:b/>
                <w:color w:val="FFFFFF" w:themeColor="background1"/>
                <w:lang w:val="en-GB" w:eastAsia="en-US"/>
              </w:rPr>
            </w:pPr>
          </w:p>
        </w:tc>
        <w:tc>
          <w:tcPr>
            <w:tcW w:w="32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1308303C" w14:textId="77777777" w:rsidR="009B4A49" w:rsidRPr="000310E7" w:rsidRDefault="009B4A49" w:rsidP="00F65CFF">
            <w:pPr>
              <w:spacing w:before="0" w:after="0" w:line="240" w:lineRule="auto"/>
              <w:rPr>
                <w:b/>
                <w:color w:val="FFFFFF" w:themeColor="background1"/>
                <w:lang w:val="en-GB" w:eastAsia="en-US"/>
              </w:rPr>
            </w:pPr>
            <w:r w:rsidRPr="000310E7">
              <w:rPr>
                <w:b/>
                <w:color w:val="FFFFFF" w:themeColor="background1"/>
                <w:lang w:val="en-GB" w:eastAsia="en-US"/>
              </w:rPr>
              <w:t>GES</w:t>
            </w:r>
          </w:p>
        </w:tc>
      </w:tr>
      <w:tr w:rsidR="007574CA" w:rsidRPr="001C6CCA" w14:paraId="258886CA" w14:textId="77777777" w:rsidTr="005E3183">
        <w:trPr>
          <w:cantSplit/>
          <w:trHeight w:val="1851"/>
        </w:trPr>
        <w:tc>
          <w:tcPr>
            <w:tcW w:w="2010" w:type="dxa"/>
            <w:tcBorders>
              <w:top w:val="single" w:sz="4" w:space="0" w:color="FFFFFF" w:themeColor="background1"/>
            </w:tcBorders>
          </w:tcPr>
          <w:p w14:paraId="40E35C1D" w14:textId="77777777" w:rsidR="007574CA" w:rsidRDefault="007574CA" w:rsidP="007574CA">
            <w:pPr>
              <w:spacing w:before="0" w:after="0" w:line="259" w:lineRule="auto"/>
              <w:jc w:val="left"/>
              <w:rPr>
                <w:rFonts w:eastAsiaTheme="minorHAnsi" w:cstheme="minorBidi"/>
                <w:sz w:val="20"/>
                <w:szCs w:val="20"/>
                <w:lang w:val="en-GB"/>
              </w:rPr>
            </w:pPr>
            <w:r w:rsidRPr="00D83AAE">
              <w:rPr>
                <w:rFonts w:eastAsiaTheme="minorHAnsi" w:cstheme="minorBidi"/>
                <w:b/>
                <w:sz w:val="20"/>
                <w:szCs w:val="20"/>
                <w:lang w:val="en-GB"/>
              </w:rPr>
              <w:t>D1C1 – Primarni:</w:t>
            </w:r>
            <w:r>
              <w:rPr>
                <w:sz w:val="20"/>
                <w:szCs w:val="20"/>
                <w:lang w:val="en-GB"/>
              </w:rPr>
              <w:t xml:space="preserve"> </w:t>
            </w:r>
          </w:p>
          <w:p w14:paraId="65821FE3" w14:textId="6D51A364" w:rsidR="007574CA" w:rsidRPr="001C6CCA" w:rsidRDefault="007574CA" w:rsidP="007574CA">
            <w:pPr>
              <w:spacing w:before="0" w:after="0" w:line="240" w:lineRule="auto"/>
              <w:jc w:val="left"/>
              <w:rPr>
                <w:sz w:val="20"/>
                <w:szCs w:val="20"/>
                <w:lang w:val="en-GB" w:eastAsia="en-US"/>
              </w:rPr>
            </w:pPr>
            <w:r w:rsidRPr="00D83AAE">
              <w:rPr>
                <w:rFonts w:eastAsiaTheme="minorHAnsi" w:cstheme="minorBidi"/>
                <w:sz w:val="20"/>
                <w:szCs w:val="20"/>
                <w:lang w:val="en-GB"/>
              </w:rPr>
              <w:t>Stopa smrtnosti po vrsti kao rezultat slučajnog usputnog ulova</w:t>
            </w:r>
          </w:p>
        </w:tc>
        <w:tc>
          <w:tcPr>
            <w:tcW w:w="632" w:type="dxa"/>
            <w:tcBorders>
              <w:top w:val="single" w:sz="4" w:space="0" w:color="FFFFFF" w:themeColor="background1"/>
            </w:tcBorders>
            <w:textDirection w:val="btLr"/>
          </w:tcPr>
          <w:p w14:paraId="7AB71CAE" w14:textId="6F61DE22" w:rsidR="007574CA" w:rsidRPr="001C6CCA" w:rsidRDefault="007574CA" w:rsidP="007574CA">
            <w:pPr>
              <w:spacing w:before="0" w:after="0" w:line="240" w:lineRule="auto"/>
              <w:ind w:left="113" w:right="113"/>
              <w:rPr>
                <w:b/>
                <w:sz w:val="20"/>
                <w:szCs w:val="20"/>
                <w:lang w:val="en-GB"/>
              </w:rPr>
            </w:pPr>
            <w:r w:rsidRPr="001C6CCA">
              <w:rPr>
                <w:b/>
                <w:sz w:val="20"/>
                <w:szCs w:val="20"/>
                <w:lang w:val="en-GB"/>
              </w:rPr>
              <w:t xml:space="preserve"> </w:t>
            </w:r>
            <w:r>
              <w:rPr>
                <w:b/>
                <w:sz w:val="20"/>
                <w:szCs w:val="20"/>
                <w:lang w:val="en-GB"/>
              </w:rPr>
              <w:t>Nekomercijalne</w:t>
            </w:r>
          </w:p>
        </w:tc>
        <w:tc>
          <w:tcPr>
            <w:tcW w:w="3084" w:type="dxa"/>
            <w:gridSpan w:val="2"/>
            <w:tcBorders>
              <w:top w:val="single" w:sz="4" w:space="0" w:color="FFFFFF" w:themeColor="background1"/>
            </w:tcBorders>
          </w:tcPr>
          <w:p w14:paraId="727B061C" w14:textId="6AB69D22" w:rsidR="007574CA" w:rsidRPr="001C6CCA" w:rsidRDefault="007574CA" w:rsidP="007574CA">
            <w:pPr>
              <w:spacing w:before="0" w:after="0" w:line="240" w:lineRule="auto"/>
              <w:jc w:val="center"/>
              <w:rPr>
                <w:b/>
                <w:sz w:val="20"/>
                <w:szCs w:val="20"/>
                <w:lang w:val="en-GB"/>
              </w:rPr>
            </w:pPr>
          </w:p>
          <w:p w14:paraId="6956ACA2" w14:textId="77777777" w:rsidR="007574CA" w:rsidRPr="001C6CCA" w:rsidRDefault="007574CA" w:rsidP="007574CA">
            <w:pPr>
              <w:spacing w:before="0" w:after="0" w:line="240" w:lineRule="auto"/>
              <w:jc w:val="center"/>
              <w:rPr>
                <w:b/>
                <w:sz w:val="20"/>
                <w:szCs w:val="20"/>
                <w:lang w:val="en-GB"/>
              </w:rPr>
            </w:pPr>
          </w:p>
          <w:p w14:paraId="0401FAB9" w14:textId="77777777" w:rsidR="007574CA" w:rsidRPr="001C6CCA" w:rsidRDefault="007574CA" w:rsidP="007574CA">
            <w:pPr>
              <w:spacing w:before="0" w:after="0" w:line="240" w:lineRule="auto"/>
              <w:jc w:val="center"/>
              <w:rPr>
                <w:b/>
                <w:sz w:val="20"/>
                <w:szCs w:val="20"/>
                <w:lang w:val="en-GB"/>
              </w:rPr>
            </w:pPr>
          </w:p>
          <w:p w14:paraId="4C0E2187" w14:textId="3D29B498" w:rsidR="007574CA" w:rsidRPr="001C6CCA" w:rsidRDefault="007574CA" w:rsidP="007574CA">
            <w:pPr>
              <w:spacing w:before="0" w:after="0" w:line="240" w:lineRule="auto"/>
              <w:jc w:val="center"/>
              <w:rPr>
                <w:b/>
                <w:sz w:val="20"/>
                <w:szCs w:val="20"/>
                <w:lang w:val="en-GB"/>
              </w:rPr>
            </w:pPr>
            <w:r w:rsidRPr="001C6CCA">
              <w:rPr>
                <w:b/>
                <w:sz w:val="20"/>
                <w:szCs w:val="20"/>
                <w:lang w:val="en-GB"/>
              </w:rPr>
              <w:t>Elasmobranchs</w:t>
            </w:r>
          </w:p>
        </w:tc>
        <w:tc>
          <w:tcPr>
            <w:tcW w:w="3295" w:type="dxa"/>
            <w:tcBorders>
              <w:top w:val="single" w:sz="4" w:space="0" w:color="FFFFFF" w:themeColor="background1"/>
            </w:tcBorders>
          </w:tcPr>
          <w:p w14:paraId="55291E9E" w14:textId="336F3F11" w:rsidR="007574CA" w:rsidRPr="001C6CCA" w:rsidRDefault="007574CA" w:rsidP="007574CA">
            <w:pPr>
              <w:spacing w:before="0" w:after="0" w:line="240" w:lineRule="auto"/>
              <w:jc w:val="left"/>
              <w:rPr>
                <w:rFonts w:cs="Calibri"/>
                <w:sz w:val="20"/>
                <w:szCs w:val="20"/>
                <w:lang w:val="en-GB" w:eastAsia="hr-HR"/>
              </w:rPr>
            </w:pPr>
            <w:r w:rsidRPr="007574CA">
              <w:rPr>
                <w:rFonts w:cs="Calibri"/>
                <w:sz w:val="20"/>
                <w:szCs w:val="20"/>
                <w:lang w:val="en-GB" w:eastAsia="hr-HR"/>
              </w:rPr>
              <w:t xml:space="preserve">GES nije </w:t>
            </w:r>
            <w:r w:rsidR="00452A55">
              <w:rPr>
                <w:rFonts w:cs="Calibri"/>
                <w:sz w:val="20"/>
                <w:szCs w:val="20"/>
                <w:lang w:val="en-GB" w:eastAsia="hr-HR"/>
              </w:rPr>
              <w:t xml:space="preserve">moguće procijeniti </w:t>
            </w:r>
            <w:r w:rsidRPr="007574CA">
              <w:rPr>
                <w:rFonts w:cs="Calibri"/>
                <w:sz w:val="20"/>
                <w:szCs w:val="20"/>
                <w:lang w:val="en-GB" w:eastAsia="hr-HR"/>
              </w:rPr>
              <w:t xml:space="preserve">zbog nedostatka podataka, ali dostupni podaci za nekomercijalne ribe sugerišu da bi plavu ajkulu </w:t>
            </w:r>
            <w:r w:rsidRPr="001C6CCA">
              <w:rPr>
                <w:rFonts w:cs="Calibri"/>
                <w:sz w:val="20"/>
                <w:szCs w:val="20"/>
                <w:lang w:val="en-GB" w:eastAsia="hr-HR"/>
              </w:rPr>
              <w:t>(</w:t>
            </w:r>
            <w:r w:rsidRPr="001C6CCA">
              <w:rPr>
                <w:rFonts w:cs="Calibri"/>
                <w:i/>
                <w:iCs/>
                <w:sz w:val="20"/>
                <w:szCs w:val="20"/>
                <w:lang w:val="en-GB" w:eastAsia="hr-HR"/>
              </w:rPr>
              <w:t>Prionace glauca</w:t>
            </w:r>
            <w:r w:rsidRPr="001C6CCA">
              <w:rPr>
                <w:rFonts w:cs="Calibri"/>
                <w:sz w:val="20"/>
                <w:szCs w:val="20"/>
                <w:lang w:val="en-GB" w:eastAsia="hr-HR"/>
              </w:rPr>
              <w:t xml:space="preserve">) </w:t>
            </w:r>
            <w:r w:rsidRPr="007574CA">
              <w:rPr>
                <w:rFonts w:cs="Calibri"/>
                <w:sz w:val="20"/>
                <w:szCs w:val="20"/>
                <w:lang w:val="en-GB" w:eastAsia="hr-HR"/>
              </w:rPr>
              <w:t>trebalo smatrati vrstom koja je</w:t>
            </w:r>
            <w:r>
              <w:rPr>
                <w:rFonts w:cs="Calibri"/>
                <w:sz w:val="20"/>
                <w:szCs w:val="20"/>
                <w:lang w:val="en-GB" w:eastAsia="hr-HR"/>
              </w:rPr>
              <w:t xml:space="preserve"> u velikoj mjeri pogođena </w:t>
            </w:r>
            <w:r w:rsidRPr="007574CA">
              <w:rPr>
                <w:rFonts w:cs="Calibri"/>
                <w:sz w:val="20"/>
                <w:szCs w:val="20"/>
                <w:lang w:val="en-GB" w:eastAsia="hr-HR"/>
              </w:rPr>
              <w:t>ribolovnim prilovom.</w:t>
            </w:r>
          </w:p>
        </w:tc>
      </w:tr>
      <w:tr w:rsidR="007574CA" w:rsidRPr="001C6CCA" w14:paraId="2534CB49" w14:textId="77777777" w:rsidTr="005E3183">
        <w:trPr>
          <w:trHeight w:val="702"/>
        </w:trPr>
        <w:tc>
          <w:tcPr>
            <w:tcW w:w="2010" w:type="dxa"/>
            <w:vMerge w:val="restart"/>
          </w:tcPr>
          <w:p w14:paraId="52E47CFF" w14:textId="77777777" w:rsidR="007574CA" w:rsidRDefault="007574CA" w:rsidP="007574CA">
            <w:pPr>
              <w:spacing w:before="0" w:after="0" w:line="259" w:lineRule="auto"/>
              <w:jc w:val="left"/>
              <w:rPr>
                <w:rFonts w:eastAsiaTheme="minorHAnsi" w:cstheme="minorBidi"/>
                <w:sz w:val="20"/>
                <w:szCs w:val="20"/>
                <w:lang w:val="en-GB"/>
              </w:rPr>
            </w:pPr>
            <w:r>
              <w:rPr>
                <w:rFonts w:eastAsiaTheme="minorHAnsi" w:cstheme="minorBidi"/>
                <w:b/>
                <w:sz w:val="20"/>
                <w:szCs w:val="20"/>
                <w:lang w:val="en-GB"/>
              </w:rPr>
              <w:t>D1C2</w:t>
            </w:r>
            <w:r w:rsidRPr="00D83AAE">
              <w:rPr>
                <w:rFonts w:eastAsiaTheme="minorHAnsi" w:cstheme="minorBidi"/>
                <w:b/>
                <w:sz w:val="20"/>
                <w:szCs w:val="20"/>
                <w:lang w:val="en-GB"/>
              </w:rPr>
              <w:t xml:space="preserve"> – Primarni:</w:t>
            </w:r>
            <w:r>
              <w:rPr>
                <w:sz w:val="20"/>
                <w:szCs w:val="20"/>
                <w:lang w:val="en-GB"/>
              </w:rPr>
              <w:t xml:space="preserve"> </w:t>
            </w:r>
          </w:p>
          <w:p w14:paraId="7BE761E4" w14:textId="229C3102" w:rsidR="007574CA" w:rsidRPr="001C6CCA" w:rsidRDefault="007574CA" w:rsidP="007574CA">
            <w:pPr>
              <w:spacing w:before="0" w:after="0" w:line="240" w:lineRule="auto"/>
              <w:jc w:val="left"/>
              <w:rPr>
                <w:b/>
                <w:sz w:val="20"/>
                <w:szCs w:val="20"/>
                <w:lang w:val="en-GB" w:eastAsia="en-US"/>
              </w:rPr>
            </w:pPr>
            <w:r w:rsidRPr="00B01F32">
              <w:rPr>
                <w:sz w:val="20"/>
                <w:szCs w:val="20"/>
                <w:lang w:val="en-GB" w:eastAsia="en-US"/>
              </w:rPr>
              <w:t>Brojnost populacije vrsta</w:t>
            </w:r>
          </w:p>
        </w:tc>
        <w:tc>
          <w:tcPr>
            <w:tcW w:w="632" w:type="dxa"/>
            <w:vMerge w:val="restart"/>
            <w:textDirection w:val="btLr"/>
          </w:tcPr>
          <w:p w14:paraId="3274D88D" w14:textId="6A079233" w:rsidR="007574CA" w:rsidRPr="001C6CCA" w:rsidRDefault="007574CA" w:rsidP="007574CA">
            <w:pPr>
              <w:spacing w:before="0" w:after="0" w:line="240" w:lineRule="auto"/>
              <w:ind w:left="113" w:right="113"/>
              <w:jc w:val="center"/>
              <w:rPr>
                <w:rFonts w:cs="Calibri"/>
                <w:b/>
                <w:bCs/>
                <w:iCs/>
                <w:sz w:val="20"/>
                <w:szCs w:val="20"/>
                <w:lang w:val="en-GB" w:eastAsia="en-US"/>
              </w:rPr>
            </w:pPr>
            <w:r>
              <w:rPr>
                <w:rFonts w:cs="Calibri"/>
                <w:b/>
                <w:bCs/>
                <w:iCs/>
                <w:sz w:val="20"/>
                <w:szCs w:val="20"/>
                <w:lang w:val="en-GB" w:eastAsia="en-US"/>
              </w:rPr>
              <w:t>Komercijalne vrste</w:t>
            </w:r>
          </w:p>
        </w:tc>
        <w:tc>
          <w:tcPr>
            <w:tcW w:w="1007" w:type="dxa"/>
            <w:vMerge w:val="restart"/>
          </w:tcPr>
          <w:p w14:paraId="3B642E3F" w14:textId="5DD43EAA" w:rsidR="007574CA" w:rsidRPr="001C6CCA" w:rsidRDefault="007574CA" w:rsidP="007574CA">
            <w:pPr>
              <w:spacing w:before="0" w:after="0" w:line="240" w:lineRule="auto"/>
              <w:rPr>
                <w:rFonts w:cs="Calibri"/>
                <w:b/>
                <w:bCs/>
                <w:iCs/>
                <w:sz w:val="20"/>
                <w:szCs w:val="20"/>
                <w:lang w:val="en-GB" w:eastAsia="en-US"/>
              </w:rPr>
            </w:pPr>
          </w:p>
          <w:p w14:paraId="1A22F3B0" w14:textId="52E2F61B" w:rsidR="007574CA" w:rsidRPr="007574CA" w:rsidRDefault="007574CA" w:rsidP="007574CA">
            <w:pPr>
              <w:spacing w:before="0" w:after="0" w:line="240" w:lineRule="auto"/>
              <w:rPr>
                <w:rFonts w:cs="Calibri"/>
                <w:b/>
                <w:bCs/>
                <w:iCs/>
                <w:sz w:val="20"/>
                <w:szCs w:val="20"/>
                <w:lang w:val="en-GB" w:eastAsia="en-US"/>
              </w:rPr>
            </w:pPr>
            <w:r w:rsidRPr="007574CA">
              <w:rPr>
                <w:rFonts w:cs="Calibri"/>
                <w:b/>
                <w:sz w:val="20"/>
                <w:szCs w:val="20"/>
                <w:lang w:val="en-GB" w:eastAsia="hr-HR"/>
              </w:rPr>
              <w:t>Pridnene vrste</w:t>
            </w:r>
          </w:p>
        </w:tc>
        <w:tc>
          <w:tcPr>
            <w:tcW w:w="2077" w:type="dxa"/>
          </w:tcPr>
          <w:p w14:paraId="3BE69599" w14:textId="2C9CE5A7" w:rsidR="007574CA" w:rsidRPr="001C6CCA" w:rsidRDefault="007574CA" w:rsidP="007574CA">
            <w:pPr>
              <w:spacing w:before="0" w:after="0" w:line="240" w:lineRule="auto"/>
              <w:jc w:val="center"/>
              <w:rPr>
                <w:rFonts w:cs="Calibri"/>
                <w:b/>
                <w:bCs/>
                <w:i/>
                <w:iCs/>
                <w:sz w:val="20"/>
                <w:szCs w:val="20"/>
                <w:lang w:val="en-GB" w:eastAsia="en-US"/>
              </w:rPr>
            </w:pPr>
            <w:r w:rsidRPr="001C6CCA">
              <w:rPr>
                <w:rFonts w:cs="Calibri"/>
                <w:b/>
                <w:bCs/>
                <w:i/>
                <w:iCs/>
                <w:sz w:val="20"/>
                <w:szCs w:val="20"/>
                <w:lang w:val="en-GB" w:eastAsia="en-US"/>
              </w:rPr>
              <w:t>Mullus barbatus</w:t>
            </w:r>
          </w:p>
          <w:p w14:paraId="76A35CF0" w14:textId="77777777" w:rsidR="007574CA" w:rsidRPr="001C6CCA" w:rsidRDefault="007574CA" w:rsidP="007574CA">
            <w:pPr>
              <w:spacing w:before="0" w:after="0" w:line="240" w:lineRule="auto"/>
              <w:jc w:val="center"/>
              <w:rPr>
                <w:b/>
                <w:sz w:val="20"/>
                <w:szCs w:val="20"/>
                <w:lang w:val="en-GB"/>
              </w:rPr>
            </w:pPr>
          </w:p>
        </w:tc>
        <w:tc>
          <w:tcPr>
            <w:tcW w:w="3295" w:type="dxa"/>
            <w:vMerge w:val="restart"/>
          </w:tcPr>
          <w:p w14:paraId="2F30E1E3" w14:textId="0D348613" w:rsidR="007574CA" w:rsidRPr="001C6CCA" w:rsidRDefault="007574CA" w:rsidP="007574CA">
            <w:pPr>
              <w:spacing w:before="0" w:after="0" w:line="240" w:lineRule="auto"/>
              <w:jc w:val="left"/>
              <w:rPr>
                <w:rFonts w:cs="Calibri"/>
                <w:b/>
                <w:sz w:val="20"/>
                <w:szCs w:val="20"/>
                <w:lang w:val="en-GB" w:eastAsia="hr-HR"/>
              </w:rPr>
            </w:pPr>
            <w:r w:rsidRPr="007574CA">
              <w:rPr>
                <w:rFonts w:cs="Calibri"/>
                <w:b/>
                <w:sz w:val="20"/>
                <w:szCs w:val="20"/>
                <w:lang w:val="en-GB" w:eastAsia="hr-HR"/>
              </w:rPr>
              <w:t xml:space="preserve">Obrađeno pod </w:t>
            </w:r>
            <w:r w:rsidRPr="001C6CCA">
              <w:rPr>
                <w:rFonts w:cs="Calibri"/>
                <w:b/>
                <w:sz w:val="20"/>
                <w:szCs w:val="20"/>
                <w:lang w:val="en-GB" w:eastAsia="hr-HR"/>
              </w:rPr>
              <w:t>D3C2</w:t>
            </w:r>
          </w:p>
          <w:p w14:paraId="09FE4854" w14:textId="77777777" w:rsidR="007574CA" w:rsidRDefault="007574CA" w:rsidP="007574CA">
            <w:pPr>
              <w:spacing w:before="0" w:after="0" w:line="240" w:lineRule="auto"/>
              <w:jc w:val="left"/>
              <w:rPr>
                <w:sz w:val="20"/>
                <w:szCs w:val="20"/>
                <w:lang w:val="en-GB" w:eastAsia="en-US"/>
              </w:rPr>
            </w:pPr>
            <w:r w:rsidRPr="007574CA">
              <w:rPr>
                <w:sz w:val="20"/>
                <w:szCs w:val="20"/>
                <w:lang w:val="en-GB" w:eastAsia="en-US"/>
              </w:rPr>
              <w:t xml:space="preserve">GES nije postignut </w:t>
            </w:r>
          </w:p>
          <w:p w14:paraId="64BF3DE5" w14:textId="3268DE60" w:rsidR="007574CA" w:rsidRPr="001C6CCA" w:rsidRDefault="007574CA" w:rsidP="007574CA">
            <w:pPr>
              <w:spacing w:before="0" w:after="0" w:line="240" w:lineRule="auto"/>
              <w:jc w:val="left"/>
              <w:rPr>
                <w:sz w:val="20"/>
                <w:szCs w:val="20"/>
                <w:lang w:val="en-GB" w:eastAsia="en-US"/>
              </w:rPr>
            </w:pPr>
            <w:r w:rsidRPr="001C6CCA">
              <w:rPr>
                <w:sz w:val="20"/>
                <w:szCs w:val="20"/>
                <w:lang w:val="en-GB" w:eastAsia="en-US"/>
              </w:rPr>
              <w:t>(</w:t>
            </w:r>
            <w:r>
              <w:rPr>
                <w:sz w:val="20"/>
                <w:szCs w:val="20"/>
                <w:lang w:val="en-GB" w:eastAsia="en-US"/>
              </w:rPr>
              <w:t>vidjeti Tabelu</w:t>
            </w:r>
            <w:r w:rsidRPr="001C6CCA">
              <w:rPr>
                <w:sz w:val="20"/>
                <w:szCs w:val="20"/>
                <w:lang w:val="en-GB" w:eastAsia="en-US"/>
              </w:rPr>
              <w:t xml:space="preserve"> 2.8)</w:t>
            </w:r>
          </w:p>
          <w:p w14:paraId="74315FCA" w14:textId="4F02C6EE" w:rsidR="007574CA" w:rsidRPr="001C6CCA" w:rsidRDefault="007574CA" w:rsidP="007574CA">
            <w:pPr>
              <w:spacing w:before="0" w:after="0" w:line="240" w:lineRule="auto"/>
              <w:rPr>
                <w:sz w:val="20"/>
                <w:szCs w:val="20"/>
                <w:lang w:val="en-GB" w:eastAsia="hr-HR"/>
              </w:rPr>
            </w:pPr>
          </w:p>
        </w:tc>
      </w:tr>
      <w:tr w:rsidR="009B4A49" w:rsidRPr="001C6CCA" w14:paraId="18B5ABD6" w14:textId="77777777" w:rsidTr="005E3183">
        <w:trPr>
          <w:trHeight w:val="570"/>
        </w:trPr>
        <w:tc>
          <w:tcPr>
            <w:tcW w:w="2010" w:type="dxa"/>
            <w:vMerge/>
          </w:tcPr>
          <w:p w14:paraId="1CD0C464" w14:textId="77777777" w:rsidR="009B4A49" w:rsidRPr="001C6CCA" w:rsidRDefault="009B4A49" w:rsidP="00F65CFF">
            <w:pPr>
              <w:spacing w:before="0" w:after="0" w:line="240" w:lineRule="auto"/>
              <w:jc w:val="left"/>
              <w:rPr>
                <w:b/>
                <w:sz w:val="20"/>
                <w:szCs w:val="20"/>
                <w:lang w:val="en-GB" w:eastAsia="en-US"/>
              </w:rPr>
            </w:pPr>
          </w:p>
        </w:tc>
        <w:tc>
          <w:tcPr>
            <w:tcW w:w="632" w:type="dxa"/>
            <w:vMerge/>
          </w:tcPr>
          <w:p w14:paraId="0686908A" w14:textId="77777777" w:rsidR="009B4A49" w:rsidRPr="001C6CCA" w:rsidRDefault="009B4A49" w:rsidP="00F65CFF">
            <w:pPr>
              <w:spacing w:before="0" w:after="0" w:line="240" w:lineRule="auto"/>
              <w:jc w:val="center"/>
              <w:rPr>
                <w:b/>
                <w:i/>
                <w:sz w:val="20"/>
                <w:szCs w:val="20"/>
                <w:lang w:val="en-GB" w:eastAsia="en-US"/>
              </w:rPr>
            </w:pPr>
          </w:p>
        </w:tc>
        <w:tc>
          <w:tcPr>
            <w:tcW w:w="1007" w:type="dxa"/>
            <w:vMerge/>
          </w:tcPr>
          <w:p w14:paraId="67CFA575" w14:textId="47A45610" w:rsidR="009B4A49" w:rsidRPr="001C6CCA" w:rsidRDefault="009B4A49" w:rsidP="00F65CFF">
            <w:pPr>
              <w:spacing w:before="0" w:after="0" w:line="240" w:lineRule="auto"/>
              <w:jc w:val="center"/>
              <w:rPr>
                <w:b/>
                <w:i/>
                <w:sz w:val="20"/>
                <w:szCs w:val="20"/>
                <w:lang w:val="en-GB" w:eastAsia="en-US"/>
              </w:rPr>
            </w:pPr>
          </w:p>
        </w:tc>
        <w:tc>
          <w:tcPr>
            <w:tcW w:w="2077" w:type="dxa"/>
          </w:tcPr>
          <w:p w14:paraId="100AE3A8" w14:textId="49EB6D5F" w:rsidR="009B4A49" w:rsidRPr="001C6CCA" w:rsidRDefault="009B4A49" w:rsidP="00F65CFF">
            <w:pPr>
              <w:spacing w:before="0" w:after="0" w:line="240" w:lineRule="auto"/>
              <w:jc w:val="center"/>
              <w:rPr>
                <w:b/>
                <w:sz w:val="20"/>
                <w:szCs w:val="20"/>
                <w:lang w:val="en-GB"/>
              </w:rPr>
            </w:pPr>
            <w:r w:rsidRPr="001C6CCA">
              <w:rPr>
                <w:b/>
                <w:i/>
                <w:sz w:val="20"/>
                <w:szCs w:val="20"/>
                <w:lang w:val="en-GB" w:eastAsia="en-US"/>
              </w:rPr>
              <w:t>Merluccius merluccius</w:t>
            </w:r>
          </w:p>
        </w:tc>
        <w:tc>
          <w:tcPr>
            <w:tcW w:w="3295" w:type="dxa"/>
            <w:vMerge/>
          </w:tcPr>
          <w:p w14:paraId="0CCC67C5" w14:textId="597302E3" w:rsidR="009B4A49" w:rsidRPr="001C6CCA" w:rsidRDefault="009B4A49" w:rsidP="00F65CFF">
            <w:pPr>
              <w:spacing w:before="0" w:after="0" w:line="240" w:lineRule="auto"/>
              <w:rPr>
                <w:rFonts w:cs="Calibri"/>
                <w:sz w:val="20"/>
                <w:szCs w:val="20"/>
                <w:lang w:val="en-GB" w:eastAsia="hr-HR"/>
              </w:rPr>
            </w:pPr>
          </w:p>
        </w:tc>
      </w:tr>
      <w:tr w:rsidR="005D6251" w:rsidRPr="001C6CCA" w14:paraId="2817166B" w14:textId="77777777" w:rsidTr="005E3183">
        <w:trPr>
          <w:trHeight w:val="857"/>
        </w:trPr>
        <w:tc>
          <w:tcPr>
            <w:tcW w:w="2010" w:type="dxa"/>
            <w:vMerge/>
          </w:tcPr>
          <w:p w14:paraId="5E5672AD" w14:textId="77777777" w:rsidR="005D6251" w:rsidRPr="001C6CCA" w:rsidRDefault="005D6251" w:rsidP="00F65CFF">
            <w:pPr>
              <w:spacing w:before="0" w:after="0" w:line="240" w:lineRule="auto"/>
              <w:jc w:val="left"/>
              <w:rPr>
                <w:b/>
                <w:sz w:val="20"/>
                <w:szCs w:val="20"/>
                <w:lang w:val="en-GB" w:eastAsia="en-US"/>
              </w:rPr>
            </w:pPr>
          </w:p>
        </w:tc>
        <w:tc>
          <w:tcPr>
            <w:tcW w:w="632" w:type="dxa"/>
            <w:vMerge/>
          </w:tcPr>
          <w:p w14:paraId="501ABC71" w14:textId="77777777" w:rsidR="005D6251" w:rsidRPr="001C6CCA" w:rsidRDefault="005D6251" w:rsidP="00F65CFF">
            <w:pPr>
              <w:spacing w:before="0" w:after="0" w:line="240" w:lineRule="auto"/>
              <w:jc w:val="center"/>
              <w:rPr>
                <w:b/>
                <w:sz w:val="20"/>
                <w:szCs w:val="20"/>
                <w:lang w:val="en-GB"/>
              </w:rPr>
            </w:pPr>
          </w:p>
        </w:tc>
        <w:tc>
          <w:tcPr>
            <w:tcW w:w="1007" w:type="dxa"/>
            <w:vMerge w:val="restart"/>
          </w:tcPr>
          <w:p w14:paraId="14CE0A47" w14:textId="7363A0BF" w:rsidR="005D6251" w:rsidRPr="001C6CCA" w:rsidRDefault="005D6251" w:rsidP="00F65CFF">
            <w:pPr>
              <w:spacing w:before="0" w:after="0" w:line="240" w:lineRule="auto"/>
              <w:jc w:val="center"/>
              <w:rPr>
                <w:b/>
                <w:sz w:val="20"/>
                <w:szCs w:val="20"/>
                <w:lang w:val="en-GB"/>
              </w:rPr>
            </w:pPr>
          </w:p>
          <w:p w14:paraId="663212F8" w14:textId="5B035834" w:rsidR="005D6251" w:rsidRPr="001C6CCA" w:rsidRDefault="007574CA" w:rsidP="00F65CFF">
            <w:pPr>
              <w:spacing w:before="0" w:after="0" w:line="240" w:lineRule="auto"/>
              <w:jc w:val="center"/>
              <w:rPr>
                <w:b/>
                <w:sz w:val="20"/>
                <w:szCs w:val="20"/>
                <w:lang w:val="en-GB"/>
              </w:rPr>
            </w:pPr>
            <w:r>
              <w:rPr>
                <w:b/>
                <w:sz w:val="20"/>
                <w:szCs w:val="20"/>
                <w:lang w:val="en-GB"/>
              </w:rPr>
              <w:t>Pelagične vrste</w:t>
            </w:r>
          </w:p>
        </w:tc>
        <w:tc>
          <w:tcPr>
            <w:tcW w:w="2077" w:type="dxa"/>
          </w:tcPr>
          <w:p w14:paraId="357A4452" w14:textId="240B7271" w:rsidR="005D6251" w:rsidRPr="001C6CCA" w:rsidRDefault="005D6251" w:rsidP="00F65CFF">
            <w:pPr>
              <w:spacing w:before="0" w:after="0" w:line="240" w:lineRule="auto"/>
              <w:jc w:val="center"/>
              <w:rPr>
                <w:b/>
                <w:sz w:val="20"/>
                <w:szCs w:val="20"/>
                <w:lang w:val="en-GB"/>
              </w:rPr>
            </w:pPr>
            <w:r w:rsidRPr="001C6CCA">
              <w:rPr>
                <w:b/>
                <w:sz w:val="20"/>
                <w:szCs w:val="20"/>
                <w:lang w:val="en-GB"/>
              </w:rPr>
              <w:t>Sardina pilchardus</w:t>
            </w:r>
          </w:p>
        </w:tc>
        <w:tc>
          <w:tcPr>
            <w:tcW w:w="3295" w:type="dxa"/>
            <w:vMerge w:val="restart"/>
          </w:tcPr>
          <w:p w14:paraId="6D0A6C3E" w14:textId="41BEAE9D" w:rsidR="0049477F" w:rsidRPr="001C6CCA" w:rsidRDefault="007574CA" w:rsidP="00F65CFF">
            <w:pPr>
              <w:spacing w:before="0" w:after="0" w:line="240" w:lineRule="auto"/>
              <w:rPr>
                <w:rFonts w:cs="Calibri"/>
                <w:b/>
                <w:sz w:val="20"/>
                <w:szCs w:val="20"/>
                <w:lang w:val="en-GB" w:eastAsia="hr-HR"/>
              </w:rPr>
            </w:pPr>
            <w:r w:rsidRPr="007574CA">
              <w:rPr>
                <w:rFonts w:cs="Calibri"/>
                <w:b/>
                <w:sz w:val="20"/>
                <w:szCs w:val="20"/>
                <w:lang w:val="en-GB" w:eastAsia="hr-HR"/>
              </w:rPr>
              <w:t xml:space="preserve">Obrađeno pod </w:t>
            </w:r>
            <w:r w:rsidR="0049477F" w:rsidRPr="001C6CCA">
              <w:rPr>
                <w:rFonts w:cs="Calibri"/>
                <w:b/>
                <w:sz w:val="20"/>
                <w:szCs w:val="20"/>
                <w:lang w:val="en-GB" w:eastAsia="hr-HR"/>
              </w:rPr>
              <w:t>D3C2</w:t>
            </w:r>
          </w:p>
          <w:p w14:paraId="2E9BBFBA" w14:textId="22E0B8FF" w:rsidR="005D6251" w:rsidRPr="001C6CCA" w:rsidRDefault="007574CA" w:rsidP="00F65CFF">
            <w:pPr>
              <w:spacing w:before="0" w:after="0" w:line="240" w:lineRule="auto"/>
              <w:rPr>
                <w:sz w:val="20"/>
                <w:szCs w:val="20"/>
                <w:lang w:val="en-GB"/>
              </w:rPr>
            </w:pPr>
            <w:r w:rsidRPr="007574CA">
              <w:rPr>
                <w:sz w:val="20"/>
                <w:szCs w:val="20"/>
                <w:lang w:val="en-GB"/>
              </w:rPr>
              <w:t xml:space="preserve">GES nije postignut </w:t>
            </w:r>
            <w:r>
              <w:rPr>
                <w:sz w:val="20"/>
                <w:szCs w:val="20"/>
                <w:lang w:val="en-GB"/>
              </w:rPr>
              <w:t>(</w:t>
            </w:r>
            <w:r>
              <w:rPr>
                <w:sz w:val="20"/>
                <w:szCs w:val="20"/>
                <w:lang w:val="en-GB" w:eastAsia="en-US"/>
              </w:rPr>
              <w:t>vidjeti Tabelu</w:t>
            </w:r>
            <w:r w:rsidRPr="001C6CCA">
              <w:rPr>
                <w:sz w:val="20"/>
                <w:szCs w:val="20"/>
                <w:lang w:val="en-GB" w:eastAsia="en-US"/>
              </w:rPr>
              <w:t xml:space="preserve"> </w:t>
            </w:r>
            <w:r w:rsidR="00FE712C" w:rsidRPr="001C6CCA">
              <w:rPr>
                <w:sz w:val="20"/>
                <w:szCs w:val="20"/>
                <w:lang w:val="en-GB"/>
              </w:rPr>
              <w:t>2.9)</w:t>
            </w:r>
          </w:p>
        </w:tc>
      </w:tr>
      <w:tr w:rsidR="005D6251" w:rsidRPr="001C6CCA" w14:paraId="35544750" w14:textId="77777777" w:rsidTr="005E3183">
        <w:trPr>
          <w:trHeight w:val="275"/>
        </w:trPr>
        <w:tc>
          <w:tcPr>
            <w:tcW w:w="2010" w:type="dxa"/>
            <w:vMerge/>
          </w:tcPr>
          <w:p w14:paraId="21D7270E" w14:textId="77777777" w:rsidR="005D6251" w:rsidRPr="001C6CCA" w:rsidRDefault="005D6251" w:rsidP="00F65CFF">
            <w:pPr>
              <w:spacing w:before="0" w:after="0" w:line="240" w:lineRule="auto"/>
              <w:jc w:val="left"/>
              <w:rPr>
                <w:b/>
                <w:sz w:val="20"/>
                <w:szCs w:val="20"/>
                <w:lang w:val="en-GB" w:eastAsia="en-US"/>
              </w:rPr>
            </w:pPr>
          </w:p>
        </w:tc>
        <w:tc>
          <w:tcPr>
            <w:tcW w:w="632" w:type="dxa"/>
            <w:vMerge/>
          </w:tcPr>
          <w:p w14:paraId="4765F5E5" w14:textId="77777777" w:rsidR="005D6251" w:rsidRPr="001C6CCA" w:rsidRDefault="005D6251" w:rsidP="00F65CFF">
            <w:pPr>
              <w:spacing w:before="0" w:after="0" w:line="240" w:lineRule="auto"/>
              <w:jc w:val="center"/>
              <w:rPr>
                <w:b/>
                <w:sz w:val="20"/>
                <w:szCs w:val="20"/>
                <w:lang w:val="en-GB"/>
              </w:rPr>
            </w:pPr>
          </w:p>
        </w:tc>
        <w:tc>
          <w:tcPr>
            <w:tcW w:w="1007" w:type="dxa"/>
            <w:vMerge/>
          </w:tcPr>
          <w:p w14:paraId="0DC0A078" w14:textId="2CBC1B09" w:rsidR="005D6251" w:rsidRPr="001C6CCA" w:rsidRDefault="005D6251" w:rsidP="00F65CFF">
            <w:pPr>
              <w:spacing w:before="0" w:after="0" w:line="240" w:lineRule="auto"/>
              <w:jc w:val="center"/>
              <w:rPr>
                <w:b/>
                <w:sz w:val="20"/>
                <w:szCs w:val="20"/>
                <w:lang w:val="en-GB"/>
              </w:rPr>
            </w:pPr>
          </w:p>
        </w:tc>
        <w:tc>
          <w:tcPr>
            <w:tcW w:w="2077" w:type="dxa"/>
          </w:tcPr>
          <w:p w14:paraId="557DB248" w14:textId="77777777" w:rsidR="005D6251" w:rsidRPr="001C6CCA" w:rsidRDefault="005D6251" w:rsidP="00F65CFF">
            <w:pPr>
              <w:spacing w:before="0" w:after="0" w:line="240" w:lineRule="auto"/>
              <w:jc w:val="center"/>
              <w:rPr>
                <w:b/>
                <w:sz w:val="20"/>
                <w:szCs w:val="20"/>
                <w:lang w:val="en-GB"/>
              </w:rPr>
            </w:pPr>
            <w:r w:rsidRPr="001C6CCA">
              <w:rPr>
                <w:b/>
                <w:sz w:val="20"/>
                <w:szCs w:val="20"/>
                <w:lang w:val="en-GB"/>
              </w:rPr>
              <w:t>Engraulis encrasicolus</w:t>
            </w:r>
          </w:p>
          <w:p w14:paraId="56021575" w14:textId="47F9CEC2" w:rsidR="00D771C4" w:rsidRPr="001C6CCA" w:rsidRDefault="00D771C4" w:rsidP="00F65CFF">
            <w:pPr>
              <w:spacing w:before="0" w:after="0" w:line="240" w:lineRule="auto"/>
              <w:jc w:val="center"/>
              <w:rPr>
                <w:b/>
                <w:sz w:val="20"/>
                <w:szCs w:val="20"/>
                <w:lang w:val="en-GB"/>
              </w:rPr>
            </w:pPr>
          </w:p>
        </w:tc>
        <w:tc>
          <w:tcPr>
            <w:tcW w:w="3295" w:type="dxa"/>
            <w:vMerge/>
          </w:tcPr>
          <w:p w14:paraId="28FE0D63" w14:textId="2C42ACC3" w:rsidR="005D6251" w:rsidRPr="001C6CCA" w:rsidRDefault="005D6251" w:rsidP="00F65CFF">
            <w:pPr>
              <w:spacing w:before="0" w:after="0" w:line="240" w:lineRule="auto"/>
              <w:rPr>
                <w:rFonts w:cs="Calibri"/>
                <w:sz w:val="20"/>
                <w:szCs w:val="20"/>
                <w:lang w:val="en-GB" w:eastAsia="hr-HR"/>
              </w:rPr>
            </w:pPr>
          </w:p>
        </w:tc>
      </w:tr>
      <w:tr w:rsidR="009B4A49" w:rsidRPr="001C6CCA" w14:paraId="63DBD1D7" w14:textId="77777777" w:rsidTr="005E3183">
        <w:trPr>
          <w:trHeight w:val="558"/>
        </w:trPr>
        <w:tc>
          <w:tcPr>
            <w:tcW w:w="2010" w:type="dxa"/>
            <w:vMerge w:val="restart"/>
          </w:tcPr>
          <w:p w14:paraId="5FE9A363" w14:textId="77777777" w:rsidR="007574CA" w:rsidRPr="001C6CCA" w:rsidRDefault="007574CA" w:rsidP="007574CA">
            <w:pPr>
              <w:spacing w:before="0" w:after="0" w:line="259" w:lineRule="auto"/>
              <w:jc w:val="left"/>
              <w:rPr>
                <w:b/>
                <w:sz w:val="20"/>
                <w:szCs w:val="20"/>
                <w:lang w:val="en-GB" w:eastAsia="en-US"/>
              </w:rPr>
            </w:pPr>
            <w:r w:rsidRPr="001C6CCA">
              <w:rPr>
                <w:b/>
                <w:sz w:val="20"/>
                <w:szCs w:val="20"/>
                <w:lang w:val="en-GB" w:eastAsia="en-US"/>
              </w:rPr>
              <w:t>D1C3 — Se</w:t>
            </w:r>
            <w:r>
              <w:rPr>
                <w:b/>
                <w:sz w:val="20"/>
                <w:szCs w:val="20"/>
                <w:lang w:val="en-GB" w:eastAsia="en-US"/>
              </w:rPr>
              <w:t>kundarni:</w:t>
            </w:r>
          </w:p>
          <w:p w14:paraId="68521790" w14:textId="212DF38B" w:rsidR="009B4A49" w:rsidRPr="001C6CCA" w:rsidRDefault="007574CA" w:rsidP="007574CA">
            <w:pPr>
              <w:spacing w:before="0" w:after="0" w:line="240" w:lineRule="auto"/>
              <w:jc w:val="left"/>
              <w:rPr>
                <w:b/>
                <w:sz w:val="20"/>
                <w:szCs w:val="20"/>
                <w:lang w:val="en-GB" w:eastAsia="en-US"/>
              </w:rPr>
            </w:pPr>
            <w:r>
              <w:rPr>
                <w:sz w:val="20"/>
                <w:szCs w:val="20"/>
                <w:lang w:val="en-GB" w:eastAsia="en-US"/>
              </w:rPr>
              <w:t>D</w:t>
            </w:r>
            <w:r w:rsidRPr="00D83AAE">
              <w:rPr>
                <w:sz w:val="20"/>
                <w:szCs w:val="20"/>
                <w:lang w:val="en-GB" w:eastAsia="en-US"/>
              </w:rPr>
              <w:t>emografske karakteristike populacije vrste</w:t>
            </w:r>
          </w:p>
        </w:tc>
        <w:tc>
          <w:tcPr>
            <w:tcW w:w="632" w:type="dxa"/>
            <w:vMerge/>
          </w:tcPr>
          <w:p w14:paraId="1C8974AF" w14:textId="77777777" w:rsidR="009B4A49" w:rsidRPr="001C6CCA" w:rsidRDefault="009B4A49" w:rsidP="00F65CFF">
            <w:pPr>
              <w:spacing w:before="0" w:after="0" w:line="240" w:lineRule="auto"/>
              <w:rPr>
                <w:rFonts w:cs="Calibri"/>
                <w:b/>
                <w:bCs/>
                <w:iCs/>
                <w:sz w:val="20"/>
                <w:szCs w:val="20"/>
                <w:lang w:val="en-GB" w:eastAsia="en-US"/>
              </w:rPr>
            </w:pPr>
          </w:p>
        </w:tc>
        <w:tc>
          <w:tcPr>
            <w:tcW w:w="1007" w:type="dxa"/>
            <w:vMerge w:val="restart"/>
          </w:tcPr>
          <w:p w14:paraId="0CB7BE02" w14:textId="2D9732ED" w:rsidR="009B4A49" w:rsidRPr="001C6CCA" w:rsidRDefault="009B4A49" w:rsidP="00F65CFF">
            <w:pPr>
              <w:spacing w:before="0" w:after="0" w:line="240" w:lineRule="auto"/>
              <w:rPr>
                <w:rFonts w:cs="Calibri"/>
                <w:b/>
                <w:bCs/>
                <w:iCs/>
                <w:sz w:val="20"/>
                <w:szCs w:val="20"/>
                <w:lang w:val="en-GB" w:eastAsia="en-US"/>
              </w:rPr>
            </w:pPr>
          </w:p>
          <w:p w14:paraId="68A333A5" w14:textId="6F8BAF3E" w:rsidR="009B4A49" w:rsidRPr="001C6CCA" w:rsidRDefault="007574CA" w:rsidP="00F65CFF">
            <w:pPr>
              <w:spacing w:before="0" w:after="0" w:line="240" w:lineRule="auto"/>
              <w:jc w:val="center"/>
              <w:rPr>
                <w:b/>
                <w:sz w:val="20"/>
                <w:szCs w:val="20"/>
                <w:lang w:val="en-GB"/>
              </w:rPr>
            </w:pPr>
            <w:r w:rsidRPr="007574CA">
              <w:rPr>
                <w:rFonts w:cs="Calibri"/>
                <w:b/>
                <w:sz w:val="20"/>
                <w:szCs w:val="20"/>
                <w:lang w:val="en-GB" w:eastAsia="hr-HR"/>
              </w:rPr>
              <w:t>Pridnene vrste</w:t>
            </w:r>
          </w:p>
        </w:tc>
        <w:tc>
          <w:tcPr>
            <w:tcW w:w="2077" w:type="dxa"/>
          </w:tcPr>
          <w:p w14:paraId="6EFD8CD9" w14:textId="77777777" w:rsidR="009B4A49" w:rsidRPr="001C6CCA" w:rsidRDefault="009B4A49" w:rsidP="00F65CFF">
            <w:pPr>
              <w:spacing w:before="0" w:after="0" w:line="240" w:lineRule="auto"/>
              <w:jc w:val="center"/>
              <w:rPr>
                <w:rFonts w:cs="Calibri"/>
                <w:b/>
                <w:bCs/>
                <w:i/>
                <w:iCs/>
                <w:sz w:val="20"/>
                <w:szCs w:val="20"/>
                <w:lang w:val="en-GB" w:eastAsia="en-US"/>
              </w:rPr>
            </w:pPr>
            <w:r w:rsidRPr="001C6CCA">
              <w:rPr>
                <w:rFonts w:cs="Calibri"/>
                <w:b/>
                <w:bCs/>
                <w:i/>
                <w:iCs/>
                <w:sz w:val="20"/>
                <w:szCs w:val="20"/>
                <w:lang w:val="en-GB" w:eastAsia="en-US"/>
              </w:rPr>
              <w:t>Mullus barbatus</w:t>
            </w:r>
          </w:p>
          <w:p w14:paraId="305EEF4B" w14:textId="31D8E3AD" w:rsidR="009B4A49" w:rsidRPr="001C6CCA" w:rsidRDefault="009B4A49" w:rsidP="00F65CFF">
            <w:pPr>
              <w:spacing w:before="0" w:after="0" w:line="240" w:lineRule="auto"/>
              <w:jc w:val="center"/>
              <w:rPr>
                <w:b/>
                <w:sz w:val="20"/>
                <w:szCs w:val="20"/>
                <w:lang w:val="en-GB"/>
              </w:rPr>
            </w:pPr>
          </w:p>
        </w:tc>
        <w:tc>
          <w:tcPr>
            <w:tcW w:w="3295" w:type="dxa"/>
            <w:vMerge w:val="restart"/>
          </w:tcPr>
          <w:p w14:paraId="5C4E9893" w14:textId="73CC4ECA" w:rsidR="009B4A49" w:rsidRPr="001C6CCA" w:rsidRDefault="007574CA" w:rsidP="00F65CFF">
            <w:pPr>
              <w:spacing w:before="0" w:after="0" w:line="240" w:lineRule="auto"/>
              <w:rPr>
                <w:rFonts w:cs="Calibri"/>
                <w:b/>
                <w:bCs/>
                <w:color w:val="000000"/>
                <w:sz w:val="20"/>
                <w:szCs w:val="20"/>
                <w:lang w:val="en-GB"/>
              </w:rPr>
            </w:pPr>
            <w:r w:rsidRPr="007574CA">
              <w:rPr>
                <w:rFonts w:cs="Calibri"/>
                <w:b/>
                <w:bCs/>
                <w:color w:val="000000"/>
                <w:sz w:val="20"/>
                <w:szCs w:val="20"/>
                <w:lang w:val="en-GB"/>
              </w:rPr>
              <w:t xml:space="preserve">Obrađeno pod </w:t>
            </w:r>
            <w:r w:rsidR="007E3358" w:rsidRPr="001C6CCA">
              <w:rPr>
                <w:rFonts w:cs="Calibri"/>
                <w:b/>
                <w:bCs/>
                <w:color w:val="000000"/>
                <w:sz w:val="20"/>
                <w:szCs w:val="20"/>
                <w:lang w:val="en-GB"/>
              </w:rPr>
              <w:t>D3C3</w:t>
            </w:r>
          </w:p>
          <w:p w14:paraId="450ECD03" w14:textId="7FC8BD8A" w:rsidR="00D771C4" w:rsidRPr="001C6CCA" w:rsidRDefault="007574CA" w:rsidP="00F65CFF">
            <w:pPr>
              <w:spacing w:before="0" w:after="0" w:line="240" w:lineRule="auto"/>
              <w:rPr>
                <w:rFonts w:cs="Calibri"/>
                <w:bCs/>
                <w:color w:val="000000"/>
                <w:sz w:val="20"/>
                <w:szCs w:val="20"/>
                <w:lang w:val="en-GB"/>
              </w:rPr>
            </w:pPr>
            <w:r w:rsidRPr="007574CA">
              <w:rPr>
                <w:rFonts w:cs="Calibri"/>
                <w:bCs/>
                <w:color w:val="000000"/>
                <w:sz w:val="20"/>
                <w:szCs w:val="20"/>
                <w:lang w:val="en-GB"/>
              </w:rPr>
              <w:t>GES nije postignut</w:t>
            </w:r>
          </w:p>
        </w:tc>
      </w:tr>
      <w:tr w:rsidR="009B4A49" w:rsidRPr="001C6CCA" w14:paraId="054C70F5" w14:textId="77777777" w:rsidTr="005E3183">
        <w:trPr>
          <w:trHeight w:val="558"/>
        </w:trPr>
        <w:tc>
          <w:tcPr>
            <w:tcW w:w="2010" w:type="dxa"/>
            <w:vMerge/>
          </w:tcPr>
          <w:p w14:paraId="360982AD" w14:textId="77777777" w:rsidR="009B4A49" w:rsidRPr="001C6CCA" w:rsidRDefault="009B4A49" w:rsidP="00F65CFF">
            <w:pPr>
              <w:spacing w:before="0" w:after="0" w:line="240" w:lineRule="auto"/>
              <w:jc w:val="left"/>
              <w:rPr>
                <w:b/>
                <w:sz w:val="20"/>
                <w:szCs w:val="20"/>
                <w:lang w:val="en-GB" w:eastAsia="en-US"/>
              </w:rPr>
            </w:pPr>
          </w:p>
        </w:tc>
        <w:tc>
          <w:tcPr>
            <w:tcW w:w="632" w:type="dxa"/>
            <w:vMerge/>
          </w:tcPr>
          <w:p w14:paraId="2E8C2A6A" w14:textId="77777777" w:rsidR="009B4A49" w:rsidRPr="001C6CCA" w:rsidRDefault="009B4A49" w:rsidP="00F65CFF">
            <w:pPr>
              <w:spacing w:before="0" w:after="0" w:line="240" w:lineRule="auto"/>
              <w:jc w:val="center"/>
              <w:rPr>
                <w:b/>
                <w:sz w:val="20"/>
                <w:szCs w:val="20"/>
                <w:lang w:val="en-GB"/>
              </w:rPr>
            </w:pPr>
          </w:p>
        </w:tc>
        <w:tc>
          <w:tcPr>
            <w:tcW w:w="1007" w:type="dxa"/>
            <w:vMerge/>
          </w:tcPr>
          <w:p w14:paraId="3FFF7EB6" w14:textId="604E1518" w:rsidR="009B4A49" w:rsidRPr="001C6CCA" w:rsidRDefault="009B4A49" w:rsidP="00F65CFF">
            <w:pPr>
              <w:spacing w:before="0" w:after="0" w:line="240" w:lineRule="auto"/>
              <w:jc w:val="center"/>
              <w:rPr>
                <w:b/>
                <w:sz w:val="20"/>
                <w:szCs w:val="20"/>
                <w:lang w:val="en-GB"/>
              </w:rPr>
            </w:pPr>
          </w:p>
        </w:tc>
        <w:tc>
          <w:tcPr>
            <w:tcW w:w="2077" w:type="dxa"/>
          </w:tcPr>
          <w:p w14:paraId="25E700C3" w14:textId="10115ABE" w:rsidR="009B4A49" w:rsidRPr="001C6CCA" w:rsidRDefault="009B4A49" w:rsidP="00F65CFF">
            <w:pPr>
              <w:spacing w:before="0" w:after="0" w:line="240" w:lineRule="auto"/>
              <w:jc w:val="center"/>
              <w:rPr>
                <w:b/>
                <w:sz w:val="20"/>
                <w:szCs w:val="20"/>
                <w:lang w:val="en-GB"/>
              </w:rPr>
            </w:pPr>
            <w:r w:rsidRPr="001C6CCA">
              <w:rPr>
                <w:b/>
                <w:i/>
                <w:sz w:val="20"/>
                <w:szCs w:val="20"/>
                <w:lang w:val="en-GB" w:eastAsia="en-US"/>
              </w:rPr>
              <w:t>Merluccius merluccius</w:t>
            </w:r>
          </w:p>
        </w:tc>
        <w:tc>
          <w:tcPr>
            <w:tcW w:w="3295" w:type="dxa"/>
            <w:vMerge/>
            <w:tcBorders>
              <w:bottom w:val="single" w:sz="4" w:space="0" w:color="auto"/>
            </w:tcBorders>
          </w:tcPr>
          <w:p w14:paraId="2A15117B" w14:textId="77777777" w:rsidR="009B4A49" w:rsidRPr="001C6CCA" w:rsidRDefault="009B4A49" w:rsidP="00F65CFF">
            <w:pPr>
              <w:spacing w:before="0" w:after="0" w:line="240" w:lineRule="auto"/>
              <w:rPr>
                <w:rFonts w:cs="Calibri"/>
                <w:sz w:val="20"/>
                <w:szCs w:val="20"/>
                <w:lang w:val="en-GB" w:eastAsia="hr-HR"/>
              </w:rPr>
            </w:pPr>
          </w:p>
        </w:tc>
      </w:tr>
      <w:tr w:rsidR="009B4A49" w:rsidRPr="001C6CCA" w14:paraId="3B0A474B" w14:textId="77777777" w:rsidTr="005E3183">
        <w:trPr>
          <w:trHeight w:val="558"/>
        </w:trPr>
        <w:tc>
          <w:tcPr>
            <w:tcW w:w="2010" w:type="dxa"/>
            <w:vMerge/>
          </w:tcPr>
          <w:p w14:paraId="2675D9AA" w14:textId="77777777" w:rsidR="009B4A49" w:rsidRPr="001C6CCA" w:rsidRDefault="009B4A49" w:rsidP="00F65CFF">
            <w:pPr>
              <w:spacing w:before="0" w:after="0" w:line="240" w:lineRule="auto"/>
              <w:jc w:val="left"/>
              <w:rPr>
                <w:b/>
                <w:sz w:val="20"/>
                <w:szCs w:val="20"/>
                <w:lang w:val="en-GB" w:eastAsia="en-US"/>
              </w:rPr>
            </w:pPr>
          </w:p>
        </w:tc>
        <w:tc>
          <w:tcPr>
            <w:tcW w:w="632" w:type="dxa"/>
            <w:vMerge/>
          </w:tcPr>
          <w:p w14:paraId="10D5A3CE" w14:textId="77777777" w:rsidR="009B4A49" w:rsidRPr="001C6CCA" w:rsidRDefault="009B4A49" w:rsidP="00F65CFF">
            <w:pPr>
              <w:spacing w:before="0" w:after="0" w:line="240" w:lineRule="auto"/>
              <w:jc w:val="center"/>
              <w:rPr>
                <w:b/>
                <w:sz w:val="20"/>
                <w:szCs w:val="20"/>
                <w:lang w:val="en-GB"/>
              </w:rPr>
            </w:pPr>
          </w:p>
        </w:tc>
        <w:tc>
          <w:tcPr>
            <w:tcW w:w="1007" w:type="dxa"/>
            <w:vMerge w:val="restart"/>
          </w:tcPr>
          <w:p w14:paraId="45180AE1" w14:textId="5243DF2D" w:rsidR="009B4A49" w:rsidRPr="001C6CCA" w:rsidRDefault="009B4A49" w:rsidP="00F65CFF">
            <w:pPr>
              <w:spacing w:before="0" w:after="0" w:line="240" w:lineRule="auto"/>
              <w:jc w:val="center"/>
              <w:rPr>
                <w:b/>
                <w:sz w:val="20"/>
                <w:szCs w:val="20"/>
                <w:lang w:val="en-GB"/>
              </w:rPr>
            </w:pPr>
          </w:p>
          <w:p w14:paraId="513ABFF0" w14:textId="3533D2D2" w:rsidR="009B4A49" w:rsidRPr="001C6CCA" w:rsidRDefault="007574CA" w:rsidP="00F65CFF">
            <w:pPr>
              <w:spacing w:before="0" w:after="0" w:line="240" w:lineRule="auto"/>
              <w:jc w:val="center"/>
              <w:rPr>
                <w:b/>
                <w:sz w:val="20"/>
                <w:szCs w:val="20"/>
                <w:lang w:val="en-GB"/>
              </w:rPr>
            </w:pPr>
            <w:r>
              <w:rPr>
                <w:b/>
                <w:sz w:val="20"/>
                <w:szCs w:val="20"/>
                <w:lang w:val="en-GB"/>
              </w:rPr>
              <w:t>Pelagične vrste</w:t>
            </w:r>
          </w:p>
        </w:tc>
        <w:tc>
          <w:tcPr>
            <w:tcW w:w="2077" w:type="dxa"/>
          </w:tcPr>
          <w:p w14:paraId="122C18A4" w14:textId="04D2F2E2" w:rsidR="009B4A49" w:rsidRPr="001C6CCA" w:rsidRDefault="009B4A49" w:rsidP="00F65CFF">
            <w:pPr>
              <w:spacing w:before="0" w:after="0" w:line="240" w:lineRule="auto"/>
              <w:jc w:val="center"/>
              <w:rPr>
                <w:b/>
                <w:sz w:val="20"/>
                <w:szCs w:val="20"/>
                <w:lang w:val="en-GB"/>
              </w:rPr>
            </w:pPr>
            <w:r w:rsidRPr="001C6CCA">
              <w:rPr>
                <w:b/>
                <w:sz w:val="20"/>
                <w:szCs w:val="20"/>
                <w:lang w:val="en-GB"/>
              </w:rPr>
              <w:t>Sardina pilchardus</w:t>
            </w:r>
          </w:p>
        </w:tc>
        <w:tc>
          <w:tcPr>
            <w:tcW w:w="3295" w:type="dxa"/>
            <w:vMerge w:val="restart"/>
            <w:tcBorders>
              <w:top w:val="single" w:sz="4" w:space="0" w:color="auto"/>
            </w:tcBorders>
          </w:tcPr>
          <w:p w14:paraId="04DFC98F" w14:textId="368EC9F7" w:rsidR="007E3358" w:rsidRPr="001C6CCA" w:rsidRDefault="007574CA" w:rsidP="00F65CFF">
            <w:pPr>
              <w:spacing w:before="0" w:after="0" w:line="240" w:lineRule="auto"/>
              <w:rPr>
                <w:rFonts w:cs="Calibri"/>
                <w:b/>
                <w:bCs/>
                <w:color w:val="000000"/>
                <w:sz w:val="20"/>
                <w:szCs w:val="20"/>
                <w:lang w:val="en-GB"/>
              </w:rPr>
            </w:pPr>
            <w:r w:rsidRPr="007574CA">
              <w:rPr>
                <w:rFonts w:cs="Calibri"/>
                <w:b/>
                <w:bCs/>
                <w:color w:val="000000"/>
                <w:sz w:val="20"/>
                <w:szCs w:val="20"/>
                <w:lang w:val="en-GB"/>
              </w:rPr>
              <w:t xml:space="preserve">Obrađeno pod </w:t>
            </w:r>
            <w:r w:rsidR="007E3358" w:rsidRPr="001C6CCA">
              <w:rPr>
                <w:rFonts w:cs="Calibri"/>
                <w:b/>
                <w:bCs/>
                <w:color w:val="000000"/>
                <w:sz w:val="20"/>
                <w:szCs w:val="20"/>
                <w:lang w:val="en-GB"/>
              </w:rPr>
              <w:t>D3C3</w:t>
            </w:r>
          </w:p>
          <w:p w14:paraId="40BA02CD" w14:textId="44D48040" w:rsidR="009B4A49" w:rsidRPr="001C6CCA" w:rsidRDefault="007574CA" w:rsidP="00F65CFF">
            <w:pPr>
              <w:spacing w:before="0" w:after="0" w:line="240" w:lineRule="auto"/>
              <w:rPr>
                <w:rFonts w:cs="Calibri"/>
                <w:sz w:val="20"/>
                <w:szCs w:val="20"/>
                <w:lang w:val="en-GB" w:eastAsia="hr-HR"/>
              </w:rPr>
            </w:pPr>
            <w:r w:rsidRPr="007574CA">
              <w:rPr>
                <w:rFonts w:cs="Calibri"/>
                <w:sz w:val="20"/>
                <w:szCs w:val="20"/>
                <w:lang w:val="en-GB" w:eastAsia="hr-HR"/>
              </w:rPr>
              <w:t>GES nije postignut</w:t>
            </w:r>
          </w:p>
        </w:tc>
      </w:tr>
      <w:tr w:rsidR="009B4A49" w:rsidRPr="001C6CCA" w14:paraId="35872E53" w14:textId="77777777" w:rsidTr="005E3183">
        <w:trPr>
          <w:trHeight w:val="558"/>
        </w:trPr>
        <w:tc>
          <w:tcPr>
            <w:tcW w:w="2010" w:type="dxa"/>
            <w:vMerge/>
          </w:tcPr>
          <w:p w14:paraId="6E586E5C" w14:textId="77777777" w:rsidR="009B4A49" w:rsidRPr="001C6CCA" w:rsidRDefault="009B4A49" w:rsidP="00F65CFF">
            <w:pPr>
              <w:spacing w:before="0" w:after="0" w:line="240" w:lineRule="auto"/>
              <w:jc w:val="left"/>
              <w:rPr>
                <w:b/>
                <w:sz w:val="20"/>
                <w:szCs w:val="20"/>
                <w:lang w:val="en-GB" w:eastAsia="en-US"/>
              </w:rPr>
            </w:pPr>
          </w:p>
        </w:tc>
        <w:tc>
          <w:tcPr>
            <w:tcW w:w="632" w:type="dxa"/>
            <w:vMerge/>
          </w:tcPr>
          <w:p w14:paraId="038F66FE" w14:textId="77777777" w:rsidR="009B4A49" w:rsidRPr="001C6CCA" w:rsidRDefault="009B4A49" w:rsidP="00F65CFF">
            <w:pPr>
              <w:spacing w:before="0" w:after="0" w:line="240" w:lineRule="auto"/>
              <w:jc w:val="center"/>
              <w:rPr>
                <w:b/>
                <w:sz w:val="20"/>
                <w:szCs w:val="20"/>
                <w:lang w:val="en-GB"/>
              </w:rPr>
            </w:pPr>
          </w:p>
        </w:tc>
        <w:tc>
          <w:tcPr>
            <w:tcW w:w="1007" w:type="dxa"/>
            <w:vMerge/>
          </w:tcPr>
          <w:p w14:paraId="657679BC" w14:textId="6EF9E33C" w:rsidR="009B4A49" w:rsidRPr="001C6CCA" w:rsidRDefault="009B4A49" w:rsidP="00F65CFF">
            <w:pPr>
              <w:spacing w:before="0" w:after="0" w:line="240" w:lineRule="auto"/>
              <w:jc w:val="center"/>
              <w:rPr>
                <w:b/>
                <w:sz w:val="20"/>
                <w:szCs w:val="20"/>
                <w:lang w:val="en-GB"/>
              </w:rPr>
            </w:pPr>
          </w:p>
        </w:tc>
        <w:tc>
          <w:tcPr>
            <w:tcW w:w="2077" w:type="dxa"/>
          </w:tcPr>
          <w:p w14:paraId="518EB835" w14:textId="79FA41A2" w:rsidR="009B4A49" w:rsidRPr="001C6CCA" w:rsidRDefault="009B4A49" w:rsidP="00F65CFF">
            <w:pPr>
              <w:spacing w:before="0" w:after="0" w:line="240" w:lineRule="auto"/>
              <w:jc w:val="center"/>
              <w:rPr>
                <w:b/>
                <w:sz w:val="20"/>
                <w:szCs w:val="20"/>
                <w:lang w:val="en-GB"/>
              </w:rPr>
            </w:pPr>
            <w:r w:rsidRPr="001C6CCA">
              <w:rPr>
                <w:b/>
                <w:sz w:val="20"/>
                <w:szCs w:val="20"/>
                <w:lang w:val="en-GB"/>
              </w:rPr>
              <w:t>Engraulis encrasicolus</w:t>
            </w:r>
          </w:p>
        </w:tc>
        <w:tc>
          <w:tcPr>
            <w:tcW w:w="3295" w:type="dxa"/>
            <w:vMerge/>
          </w:tcPr>
          <w:p w14:paraId="6B3D9B99" w14:textId="77777777" w:rsidR="009B4A49" w:rsidRPr="001C6CCA" w:rsidRDefault="009B4A49" w:rsidP="00F65CFF">
            <w:pPr>
              <w:spacing w:before="0" w:after="0" w:line="240" w:lineRule="auto"/>
              <w:rPr>
                <w:rFonts w:cs="Calibri"/>
                <w:sz w:val="20"/>
                <w:szCs w:val="20"/>
                <w:lang w:val="en-GB" w:eastAsia="hr-HR"/>
              </w:rPr>
            </w:pPr>
          </w:p>
        </w:tc>
      </w:tr>
    </w:tbl>
    <w:p w14:paraId="7931FEAC" w14:textId="0D34B05B" w:rsidR="0042716A" w:rsidRPr="001C6CCA" w:rsidRDefault="0042716A" w:rsidP="00F65CFF">
      <w:pPr>
        <w:tabs>
          <w:tab w:val="left" w:pos="1992"/>
        </w:tabs>
        <w:spacing w:before="0" w:after="0" w:line="259" w:lineRule="auto"/>
        <w:jc w:val="left"/>
        <w:rPr>
          <w:rFonts w:eastAsia="Calibri"/>
          <w:b/>
          <w:sz w:val="20"/>
          <w:szCs w:val="20"/>
          <w:lang w:val="en-GB" w:eastAsia="en-US"/>
        </w:rPr>
      </w:pPr>
    </w:p>
    <w:p w14:paraId="6A240CE8" w14:textId="77777777" w:rsidR="00AA6D51" w:rsidRDefault="00AA6D51" w:rsidP="00F65CFF">
      <w:pPr>
        <w:tabs>
          <w:tab w:val="left" w:pos="1992"/>
        </w:tabs>
        <w:spacing w:before="0" w:after="0" w:line="259" w:lineRule="auto"/>
        <w:jc w:val="left"/>
        <w:rPr>
          <w:rFonts w:eastAsia="Calibri"/>
          <w:b/>
          <w:sz w:val="20"/>
          <w:szCs w:val="20"/>
          <w:lang w:val="en-GB" w:eastAsia="en-US"/>
        </w:rPr>
      </w:pPr>
    </w:p>
    <w:p w14:paraId="332D20C3" w14:textId="6AF07039" w:rsidR="00DC1266" w:rsidRPr="00DC1266" w:rsidRDefault="00043601" w:rsidP="00DC1266">
      <w:pPr>
        <w:pStyle w:val="Heading4"/>
        <w:rPr>
          <w:rFonts w:eastAsia="Calibri"/>
          <w:lang w:val="en-GB" w:eastAsia="en-US"/>
        </w:rPr>
      </w:pPr>
      <w:r w:rsidRPr="00043601">
        <w:rPr>
          <w:rFonts w:eastAsia="Calibri"/>
          <w:lang w:val="en-GB" w:eastAsia="en-US"/>
        </w:rPr>
        <w:t xml:space="preserve">Pristup </w:t>
      </w:r>
      <w:r w:rsidR="00DC1266">
        <w:rPr>
          <w:rFonts w:eastAsia="Calibri"/>
          <w:lang w:val="en-GB" w:eastAsia="en-US"/>
        </w:rPr>
        <w:t xml:space="preserve">definisanju ciljeva </w:t>
      </w:r>
      <w:r w:rsidR="00DC1266" w:rsidRPr="00DC1266">
        <w:rPr>
          <w:rFonts w:eastAsia="Calibri"/>
          <w:lang w:val="en-GB" w:eastAsia="en-US"/>
        </w:rPr>
        <w:t xml:space="preserve">za ostvarivanje/održavanje GES- a za </w:t>
      </w:r>
      <w:r w:rsidR="00DC1266">
        <w:rPr>
          <w:rFonts w:eastAsia="Calibri"/>
          <w:lang w:val="en-GB" w:eastAsia="en-US"/>
        </w:rPr>
        <w:t>ribe u odnosu na D1</w:t>
      </w:r>
    </w:p>
    <w:p w14:paraId="10FB4676" w14:textId="2A851187" w:rsidR="007574CA" w:rsidRDefault="00043601" w:rsidP="007574CA">
      <w:pPr>
        <w:autoSpaceDE w:val="0"/>
        <w:autoSpaceDN w:val="0"/>
        <w:adjustRightInd w:val="0"/>
        <w:spacing w:before="0" w:after="160"/>
        <w:rPr>
          <w:rFonts w:cs="Calibri"/>
          <w:color w:val="000000"/>
          <w:szCs w:val="22"/>
          <w:lang w:val="en-GB" w:eastAsia="en-US"/>
        </w:rPr>
      </w:pPr>
      <w:r>
        <w:rPr>
          <w:rFonts w:cs="Calibri"/>
          <w:color w:val="000000"/>
          <w:szCs w:val="22"/>
          <w:lang w:val="en-GB" w:eastAsia="en-US"/>
        </w:rPr>
        <w:t xml:space="preserve">Prema postojećem </w:t>
      </w:r>
      <w:r w:rsidR="007574CA" w:rsidRPr="007574CA">
        <w:rPr>
          <w:rFonts w:cs="Calibri"/>
          <w:color w:val="000000"/>
          <w:szCs w:val="22"/>
          <w:lang w:val="en-GB" w:eastAsia="en-US"/>
        </w:rPr>
        <w:t>zakonodavstv</w:t>
      </w:r>
      <w:r>
        <w:rPr>
          <w:rFonts w:cs="Calibri"/>
          <w:color w:val="000000"/>
          <w:szCs w:val="22"/>
          <w:lang w:val="en-GB" w:eastAsia="en-US"/>
        </w:rPr>
        <w:t xml:space="preserve">u, </w:t>
      </w:r>
      <w:r w:rsidR="007574CA" w:rsidRPr="007574CA">
        <w:rPr>
          <w:rFonts w:cs="Calibri"/>
          <w:color w:val="000000"/>
          <w:szCs w:val="22"/>
          <w:lang w:val="en-GB" w:eastAsia="en-US"/>
        </w:rPr>
        <w:t>ciljev</w:t>
      </w:r>
      <w:r>
        <w:rPr>
          <w:rFonts w:cs="Calibri"/>
          <w:color w:val="000000"/>
          <w:szCs w:val="22"/>
          <w:lang w:val="en-GB" w:eastAsia="en-US"/>
        </w:rPr>
        <w:t>i</w:t>
      </w:r>
      <w:r w:rsidR="007574CA" w:rsidRPr="007574CA">
        <w:rPr>
          <w:rFonts w:cs="Calibri"/>
          <w:color w:val="000000"/>
          <w:szCs w:val="22"/>
          <w:lang w:val="en-GB" w:eastAsia="en-US"/>
        </w:rPr>
        <w:t xml:space="preserve"> za ribe koji su pogodni kao </w:t>
      </w:r>
      <w:r>
        <w:rPr>
          <w:rFonts w:cs="Calibri"/>
          <w:color w:val="000000"/>
          <w:szCs w:val="22"/>
          <w:lang w:val="en-GB" w:eastAsia="en-US"/>
        </w:rPr>
        <w:t>indikatori</w:t>
      </w:r>
      <w:r w:rsidR="007574CA" w:rsidRPr="007574CA">
        <w:rPr>
          <w:rFonts w:cs="Calibri"/>
          <w:color w:val="000000"/>
          <w:szCs w:val="22"/>
          <w:lang w:val="en-GB" w:eastAsia="en-US"/>
        </w:rPr>
        <w:t xml:space="preserve"> biodiverziteta rib</w:t>
      </w:r>
      <w:r>
        <w:rPr>
          <w:rFonts w:cs="Calibri"/>
          <w:color w:val="000000"/>
          <w:szCs w:val="22"/>
          <w:lang w:val="en-GB" w:eastAsia="en-US"/>
        </w:rPr>
        <w:t>a</w:t>
      </w:r>
      <w:r w:rsidR="007574CA" w:rsidRPr="007574CA">
        <w:rPr>
          <w:rFonts w:cs="Calibri"/>
          <w:color w:val="000000"/>
          <w:szCs w:val="22"/>
          <w:lang w:val="en-GB" w:eastAsia="en-US"/>
        </w:rPr>
        <w:t xml:space="preserve"> </w:t>
      </w:r>
      <w:r>
        <w:rPr>
          <w:rFonts w:cs="Calibri"/>
          <w:color w:val="000000"/>
          <w:szCs w:val="22"/>
          <w:lang w:val="en-GB" w:eastAsia="en-US"/>
        </w:rPr>
        <w:t xml:space="preserve">ima malo </w:t>
      </w:r>
      <w:r w:rsidR="007574CA" w:rsidRPr="007574CA">
        <w:rPr>
          <w:rFonts w:cs="Calibri"/>
          <w:color w:val="000000"/>
          <w:szCs w:val="22"/>
          <w:lang w:val="en-GB" w:eastAsia="en-US"/>
        </w:rPr>
        <w:t>(prikazano pod D3). Predloženi su dodatni ciljevi u vezi s</w:t>
      </w:r>
      <w:r>
        <w:rPr>
          <w:rFonts w:cs="Calibri"/>
          <w:color w:val="000000"/>
          <w:szCs w:val="22"/>
          <w:lang w:val="en-GB" w:eastAsia="en-US"/>
        </w:rPr>
        <w:t>a</w:t>
      </w:r>
      <w:r w:rsidR="007574CA" w:rsidRPr="007574CA">
        <w:rPr>
          <w:rFonts w:cs="Calibri"/>
          <w:color w:val="000000"/>
          <w:szCs w:val="22"/>
          <w:lang w:val="en-GB" w:eastAsia="en-US"/>
        </w:rPr>
        <w:t xml:space="preserve"> </w:t>
      </w:r>
      <w:r>
        <w:rPr>
          <w:rFonts w:cs="Calibri"/>
          <w:color w:val="000000"/>
          <w:szCs w:val="22"/>
          <w:lang w:val="en-GB" w:eastAsia="en-US"/>
        </w:rPr>
        <w:t xml:space="preserve">brojnošću i rasprostranjenošću </w:t>
      </w:r>
      <w:r w:rsidR="007574CA" w:rsidRPr="007574CA">
        <w:rPr>
          <w:rFonts w:cs="Calibri"/>
          <w:color w:val="000000"/>
          <w:szCs w:val="22"/>
          <w:lang w:val="en-GB" w:eastAsia="en-US"/>
        </w:rPr>
        <w:t>ribe, kao i u vezi sa ukupnim zdravljem riblje zajednice (Tabela 3.15). Kako za Jadran nije uspostavljena lista os</w:t>
      </w:r>
      <w:r>
        <w:rPr>
          <w:rFonts w:cs="Calibri"/>
          <w:color w:val="000000"/>
          <w:szCs w:val="22"/>
          <w:lang w:val="en-GB" w:eastAsia="en-US"/>
        </w:rPr>
        <w:t>j</w:t>
      </w:r>
      <w:r w:rsidR="007574CA" w:rsidRPr="007574CA">
        <w:rPr>
          <w:rFonts w:cs="Calibri"/>
          <w:color w:val="000000"/>
          <w:szCs w:val="22"/>
          <w:lang w:val="en-GB" w:eastAsia="en-US"/>
        </w:rPr>
        <w:t>etljivih vrsta, važno je uspostaviti tu listu i, u zavisnosti od izbora vrsta, utvrditi referentne vr</w:t>
      </w:r>
      <w:r>
        <w:rPr>
          <w:rFonts w:cs="Calibri"/>
          <w:color w:val="000000"/>
          <w:szCs w:val="22"/>
          <w:lang w:val="en-GB" w:eastAsia="en-US"/>
        </w:rPr>
        <w:t>ij</w:t>
      </w:r>
      <w:r w:rsidR="007574CA" w:rsidRPr="007574CA">
        <w:rPr>
          <w:rFonts w:cs="Calibri"/>
          <w:color w:val="000000"/>
          <w:szCs w:val="22"/>
          <w:lang w:val="en-GB" w:eastAsia="en-US"/>
        </w:rPr>
        <w:t>ednosti za njih.</w:t>
      </w:r>
    </w:p>
    <w:p w14:paraId="4DFE30DF" w14:textId="77777777" w:rsidR="00E24841" w:rsidRPr="00C22057" w:rsidRDefault="00E24841" w:rsidP="007574CA">
      <w:pPr>
        <w:autoSpaceDE w:val="0"/>
        <w:autoSpaceDN w:val="0"/>
        <w:adjustRightInd w:val="0"/>
        <w:spacing w:before="0" w:after="160"/>
        <w:rPr>
          <w:rFonts w:cs="Calibri"/>
          <w:color w:val="000000"/>
          <w:szCs w:val="22"/>
          <w:lang w:val="en-GB" w:eastAsia="en-US"/>
        </w:rPr>
      </w:pPr>
    </w:p>
    <w:p w14:paraId="6A099E94" w14:textId="24333E32" w:rsidR="00DB68A1" w:rsidRPr="00C000AE" w:rsidRDefault="005B09A5" w:rsidP="005B09A5">
      <w:pPr>
        <w:spacing w:before="0" w:line="240" w:lineRule="auto"/>
        <w:rPr>
          <w:rFonts w:eastAsia="Calibri" w:cs="Calibri"/>
          <w:b/>
          <w:bCs/>
          <w:szCs w:val="22"/>
          <w:lang w:val="en-GB" w:eastAsia="en-US"/>
        </w:rPr>
      </w:pPr>
      <w:bookmarkStart w:id="350" w:name="_Toc83643212"/>
      <w:r w:rsidRPr="00C000AE">
        <w:rPr>
          <w:rFonts w:eastAsia="Calibri"/>
          <w:b/>
          <w:szCs w:val="22"/>
          <w:lang w:val="en-GB" w:eastAsia="en-US"/>
        </w:rPr>
        <w:t>Tab</w:t>
      </w:r>
      <w:r w:rsidR="00043601">
        <w:rPr>
          <w:rFonts w:eastAsia="Calibri"/>
          <w:b/>
          <w:szCs w:val="22"/>
          <w:lang w:val="en-GB" w:eastAsia="en-US"/>
        </w:rPr>
        <w:t>ela</w:t>
      </w:r>
      <w:r w:rsidRPr="00C000AE">
        <w:rPr>
          <w:rFonts w:eastAsia="Calibri"/>
          <w:b/>
          <w:szCs w:val="22"/>
          <w:lang w:val="en-GB" w:eastAsia="en-US"/>
        </w:rPr>
        <w:t xml:space="preserve"> </w:t>
      </w:r>
      <w:r w:rsidR="00C000AE" w:rsidRPr="00C000AE">
        <w:rPr>
          <w:b/>
          <w:szCs w:val="22"/>
        </w:rPr>
        <w:fldChar w:fldCharType="begin"/>
      </w:r>
      <w:r w:rsidR="00C000AE" w:rsidRPr="00C000AE">
        <w:rPr>
          <w:b/>
          <w:szCs w:val="22"/>
        </w:rPr>
        <w:instrText xml:space="preserve"> STYLEREF 1 \s </w:instrText>
      </w:r>
      <w:r w:rsidR="00C000AE" w:rsidRPr="00C000AE">
        <w:rPr>
          <w:b/>
          <w:szCs w:val="22"/>
        </w:rPr>
        <w:fldChar w:fldCharType="separate"/>
      </w:r>
      <w:r w:rsidR="000D1E20">
        <w:rPr>
          <w:b/>
          <w:noProof/>
          <w:szCs w:val="22"/>
        </w:rPr>
        <w:t>3</w:t>
      </w:r>
      <w:r w:rsidR="00C000AE" w:rsidRPr="00C000AE">
        <w:rPr>
          <w:b/>
          <w:szCs w:val="22"/>
        </w:rPr>
        <w:fldChar w:fldCharType="end"/>
      </w:r>
      <w:r w:rsidR="00C000AE" w:rsidRPr="00C000AE">
        <w:rPr>
          <w:b/>
          <w:szCs w:val="22"/>
        </w:rPr>
        <w:t>.</w:t>
      </w:r>
      <w:r w:rsidR="00C000AE" w:rsidRPr="00C000AE">
        <w:rPr>
          <w:b/>
          <w:szCs w:val="22"/>
        </w:rPr>
        <w:fldChar w:fldCharType="begin"/>
      </w:r>
      <w:r w:rsidR="00C000AE" w:rsidRPr="00C000AE">
        <w:rPr>
          <w:b/>
          <w:szCs w:val="22"/>
        </w:rPr>
        <w:instrText xml:space="preserve"> SEQ Table \* ARABIC \s 1 </w:instrText>
      </w:r>
      <w:r w:rsidR="00C000AE" w:rsidRPr="00C000AE">
        <w:rPr>
          <w:b/>
          <w:szCs w:val="22"/>
        </w:rPr>
        <w:fldChar w:fldCharType="separate"/>
      </w:r>
      <w:r w:rsidR="000D1E20">
        <w:rPr>
          <w:b/>
          <w:noProof/>
          <w:szCs w:val="22"/>
        </w:rPr>
        <w:t>16</w:t>
      </w:r>
      <w:r w:rsidR="00C000AE" w:rsidRPr="00C000AE">
        <w:rPr>
          <w:b/>
          <w:szCs w:val="22"/>
        </w:rPr>
        <w:fldChar w:fldCharType="end"/>
      </w:r>
      <w:r w:rsidR="00C000AE" w:rsidRPr="00C000AE">
        <w:rPr>
          <w:b/>
          <w:szCs w:val="22"/>
        </w:rPr>
        <w:t>.</w:t>
      </w:r>
      <w:r w:rsidR="00C000AE" w:rsidRPr="00C000AE">
        <w:rPr>
          <w:rFonts w:eastAsia="Calibri" w:cs="Calibri"/>
          <w:b/>
          <w:szCs w:val="22"/>
          <w:lang w:val="en-GB" w:eastAsia="en-US"/>
        </w:rPr>
        <w:t xml:space="preserve"> </w:t>
      </w:r>
      <w:r w:rsidR="00DC1266" w:rsidRPr="00DC1266">
        <w:rPr>
          <w:rFonts w:eastAsia="Calibri" w:cs="Calibri"/>
          <w:b/>
          <w:szCs w:val="22"/>
          <w:lang w:val="en-GB" w:eastAsia="en-US"/>
        </w:rPr>
        <w:t>C</w:t>
      </w:r>
      <w:r w:rsidR="00043601" w:rsidRPr="00DC1266">
        <w:rPr>
          <w:rFonts w:eastAsia="Calibri" w:cs="Calibri"/>
          <w:b/>
          <w:szCs w:val="22"/>
          <w:lang w:val="en-GB" w:eastAsia="en-US"/>
        </w:rPr>
        <w:t>iljevi</w:t>
      </w:r>
      <w:r w:rsidR="00043601" w:rsidRPr="00AD451F">
        <w:rPr>
          <w:rFonts w:eastAsia="Calibri" w:cs="Calibri"/>
          <w:b/>
          <w:szCs w:val="22"/>
          <w:lang w:val="en-GB" w:eastAsia="en-US"/>
        </w:rPr>
        <w:t xml:space="preserve"> </w:t>
      </w:r>
      <w:r w:rsidR="00DC1266" w:rsidRPr="006612D6">
        <w:rPr>
          <w:rFonts w:eastAsia="Calibri"/>
          <w:b/>
          <w:szCs w:val="22"/>
          <w:lang w:val="sr-Latn-RS" w:eastAsia="en-US"/>
        </w:rPr>
        <w:t xml:space="preserve">koji vode ka </w:t>
      </w:r>
      <w:r w:rsidR="00DC1266">
        <w:rPr>
          <w:rFonts w:eastAsia="Calibri"/>
          <w:b/>
          <w:szCs w:val="22"/>
          <w:lang w:val="sr-Latn-RS" w:eastAsia="en-US"/>
        </w:rPr>
        <w:t xml:space="preserve">napretku </w:t>
      </w:r>
      <w:r w:rsidR="00DC1266" w:rsidRPr="006612D6">
        <w:rPr>
          <w:rFonts w:eastAsia="Calibri"/>
          <w:b/>
          <w:szCs w:val="22"/>
          <w:lang w:val="sr-Latn-RS" w:eastAsia="en-US"/>
        </w:rPr>
        <w:t xml:space="preserve">u postizanja GES-a za </w:t>
      </w:r>
      <w:r w:rsidR="00043601">
        <w:rPr>
          <w:rFonts w:eastAsia="Calibri" w:cs="Calibri"/>
          <w:b/>
          <w:bCs/>
          <w:szCs w:val="22"/>
          <w:lang w:val="en-GB" w:eastAsia="en-US"/>
        </w:rPr>
        <w:t>za ribe u odnosu na D1</w:t>
      </w:r>
      <w:bookmarkEnd w:id="350"/>
    </w:p>
    <w:tbl>
      <w:tblPr>
        <w:tblStyle w:val="GolderTable8"/>
        <w:tblW w:w="0" w:type="auto"/>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463"/>
        <w:gridCol w:w="6470"/>
        <w:gridCol w:w="1083"/>
      </w:tblGrid>
      <w:tr w:rsidR="00E24841" w:rsidRPr="001C6CCA" w14:paraId="6E7C48E4" w14:textId="77777777" w:rsidTr="00B4601E">
        <w:trPr>
          <w:tblHeader/>
        </w:trPr>
        <w:tc>
          <w:tcPr>
            <w:tcW w:w="9016" w:type="dxa"/>
            <w:gridSpan w:val="3"/>
            <w:shd w:val="clear" w:color="auto" w:fill="1F497D" w:themeFill="text2"/>
          </w:tcPr>
          <w:p w14:paraId="627B2D48" w14:textId="77777777" w:rsidR="00E24841" w:rsidRPr="00E36DAD" w:rsidRDefault="00E24841" w:rsidP="00E24841">
            <w:pPr>
              <w:tabs>
                <w:tab w:val="left" w:pos="1992"/>
              </w:tabs>
              <w:spacing w:before="0" w:after="0" w:line="240" w:lineRule="auto"/>
              <w:jc w:val="center"/>
              <w:rPr>
                <w:b/>
                <w:color w:val="FFFFFF" w:themeColor="background1"/>
                <w:sz w:val="20"/>
                <w:szCs w:val="20"/>
                <w:lang w:val="en-GB" w:eastAsia="en-US"/>
              </w:rPr>
            </w:pPr>
            <w:r>
              <w:rPr>
                <w:b/>
                <w:color w:val="FFFFFF" w:themeColor="background1"/>
                <w:sz w:val="20"/>
                <w:szCs w:val="20"/>
                <w:lang w:val="en-GB" w:eastAsia="en-US"/>
              </w:rPr>
              <w:t>Područje procjene: subregionalni nivo - Jadransko more</w:t>
            </w:r>
          </w:p>
          <w:p w14:paraId="17568D6D" w14:textId="77777777" w:rsidR="00E24841" w:rsidRPr="00452437" w:rsidRDefault="00E24841" w:rsidP="00F65CFF">
            <w:pPr>
              <w:spacing w:before="0" w:after="0" w:line="240" w:lineRule="auto"/>
              <w:jc w:val="left"/>
              <w:rPr>
                <w:b/>
                <w:color w:val="FFFFFF" w:themeColor="background1"/>
                <w:lang w:val="en-GB" w:eastAsia="en-US"/>
              </w:rPr>
            </w:pPr>
          </w:p>
        </w:tc>
      </w:tr>
      <w:tr w:rsidR="009C28F4" w:rsidRPr="001C6CCA" w14:paraId="612905DF" w14:textId="77777777" w:rsidTr="00452437">
        <w:trPr>
          <w:tblHeader/>
        </w:trPr>
        <w:tc>
          <w:tcPr>
            <w:tcW w:w="1463" w:type="dxa"/>
            <w:shd w:val="clear" w:color="auto" w:fill="1F497D" w:themeFill="text2"/>
          </w:tcPr>
          <w:p w14:paraId="2FFEC3BE" w14:textId="0F68AC02" w:rsidR="009C28F4" w:rsidRPr="00452437" w:rsidRDefault="007574CA" w:rsidP="00F65CFF">
            <w:pPr>
              <w:spacing w:before="0" w:after="0" w:line="240" w:lineRule="auto"/>
              <w:jc w:val="left"/>
              <w:rPr>
                <w:b/>
                <w:color w:val="FFFFFF" w:themeColor="background1"/>
                <w:lang w:val="en-GB" w:eastAsia="en-US"/>
              </w:rPr>
            </w:pPr>
            <w:r w:rsidRPr="00452437">
              <w:rPr>
                <w:b/>
                <w:color w:val="FFFFFF" w:themeColor="background1"/>
                <w:lang w:val="en-GB" w:eastAsia="en-US"/>
              </w:rPr>
              <w:t>Kriterijum</w:t>
            </w:r>
          </w:p>
        </w:tc>
        <w:tc>
          <w:tcPr>
            <w:tcW w:w="6470" w:type="dxa"/>
            <w:shd w:val="clear" w:color="auto" w:fill="1F497D" w:themeFill="text2"/>
          </w:tcPr>
          <w:p w14:paraId="5BA8187A" w14:textId="23D3A47D" w:rsidR="009C28F4" w:rsidRPr="00452437" w:rsidRDefault="007574CA" w:rsidP="00F65CFF">
            <w:pPr>
              <w:spacing w:before="0" w:after="0" w:line="240" w:lineRule="auto"/>
              <w:jc w:val="left"/>
              <w:rPr>
                <w:b/>
                <w:color w:val="FFFFFF" w:themeColor="background1"/>
                <w:lang w:val="en-GB" w:eastAsia="en-US"/>
              </w:rPr>
            </w:pPr>
            <w:r w:rsidRPr="00452437">
              <w:rPr>
                <w:b/>
                <w:color w:val="FFFFFF" w:themeColor="background1"/>
                <w:lang w:val="en-GB" w:eastAsia="en-US"/>
              </w:rPr>
              <w:t>Ciljevi</w:t>
            </w:r>
          </w:p>
          <w:p w14:paraId="5ABFF2F6" w14:textId="77777777" w:rsidR="009C28F4" w:rsidRPr="00452437" w:rsidRDefault="009C28F4" w:rsidP="00F65CFF">
            <w:pPr>
              <w:spacing w:before="0" w:after="0" w:line="240" w:lineRule="auto"/>
              <w:jc w:val="left"/>
              <w:rPr>
                <w:b/>
                <w:color w:val="FFFFFF" w:themeColor="background1"/>
                <w:lang w:val="en-GB" w:eastAsia="en-US"/>
              </w:rPr>
            </w:pPr>
          </w:p>
        </w:tc>
        <w:tc>
          <w:tcPr>
            <w:tcW w:w="1083" w:type="dxa"/>
            <w:shd w:val="clear" w:color="auto" w:fill="1F497D" w:themeFill="text2"/>
          </w:tcPr>
          <w:p w14:paraId="10D89DC3" w14:textId="37F03538" w:rsidR="009C28F4" w:rsidRPr="00452437" w:rsidRDefault="00043601" w:rsidP="00F65CFF">
            <w:pPr>
              <w:spacing w:before="0" w:after="0" w:line="240" w:lineRule="auto"/>
              <w:jc w:val="left"/>
              <w:rPr>
                <w:b/>
                <w:color w:val="FFFFFF" w:themeColor="background1"/>
                <w:lang w:val="en-GB" w:eastAsia="en-US"/>
              </w:rPr>
            </w:pPr>
            <w:r w:rsidRPr="00452437">
              <w:rPr>
                <w:b/>
                <w:color w:val="FFFFFF" w:themeColor="background1"/>
                <w:lang w:val="en-GB" w:eastAsia="en-US"/>
              </w:rPr>
              <w:t>Kod cilja</w:t>
            </w:r>
          </w:p>
        </w:tc>
      </w:tr>
      <w:tr w:rsidR="009C28F4" w:rsidRPr="001C6CCA" w14:paraId="10F7D91F" w14:textId="77777777" w:rsidTr="00BF53E6">
        <w:tc>
          <w:tcPr>
            <w:tcW w:w="1463" w:type="dxa"/>
          </w:tcPr>
          <w:p w14:paraId="7DD33983" w14:textId="77777777" w:rsidR="009C28F4" w:rsidRPr="001C6CCA" w:rsidRDefault="009C28F4" w:rsidP="00F65CFF">
            <w:pPr>
              <w:spacing w:before="0" w:after="0" w:line="240" w:lineRule="auto"/>
              <w:jc w:val="left"/>
              <w:rPr>
                <w:sz w:val="20"/>
                <w:szCs w:val="20"/>
                <w:lang w:val="en-GB" w:eastAsia="en-US"/>
              </w:rPr>
            </w:pPr>
            <w:r w:rsidRPr="001C6CCA">
              <w:rPr>
                <w:sz w:val="20"/>
                <w:szCs w:val="20"/>
                <w:lang w:val="en-GB" w:eastAsia="en-US"/>
              </w:rPr>
              <w:t>D1C1</w:t>
            </w:r>
          </w:p>
        </w:tc>
        <w:tc>
          <w:tcPr>
            <w:tcW w:w="6470" w:type="dxa"/>
          </w:tcPr>
          <w:p w14:paraId="2B52604F" w14:textId="7E8C9836" w:rsidR="00043601" w:rsidRPr="001C6CCA" w:rsidRDefault="00043601" w:rsidP="00043601">
            <w:pPr>
              <w:spacing w:before="0" w:after="0" w:line="240" w:lineRule="auto"/>
              <w:jc w:val="left"/>
              <w:rPr>
                <w:rFonts w:cs="Calibri"/>
                <w:sz w:val="20"/>
                <w:szCs w:val="20"/>
                <w:lang w:val="en-GB" w:eastAsia="en-US"/>
              </w:rPr>
            </w:pPr>
            <w:r w:rsidRPr="00043601">
              <w:rPr>
                <w:rFonts w:cs="Calibri"/>
                <w:sz w:val="20"/>
                <w:szCs w:val="20"/>
                <w:lang w:val="en-GB" w:eastAsia="en-US"/>
              </w:rPr>
              <w:t>Slučajni ulov je ispod nivoa koji ugrožava dugoročnu održivo</w:t>
            </w:r>
            <w:r>
              <w:rPr>
                <w:rFonts w:cs="Calibri"/>
                <w:sz w:val="20"/>
                <w:szCs w:val="20"/>
                <w:lang w:val="en-GB" w:eastAsia="en-US"/>
              </w:rPr>
              <w:t>st i oporavak riblje populacije</w:t>
            </w:r>
          </w:p>
        </w:tc>
        <w:tc>
          <w:tcPr>
            <w:tcW w:w="1083" w:type="dxa"/>
          </w:tcPr>
          <w:p w14:paraId="12458B26" w14:textId="40669CA5" w:rsidR="009C28F4" w:rsidRPr="0008771E" w:rsidRDefault="009C28F4" w:rsidP="00F65CFF">
            <w:pPr>
              <w:spacing w:before="0" w:after="0" w:line="240" w:lineRule="auto"/>
              <w:jc w:val="left"/>
              <w:rPr>
                <w:rFonts w:cs="Calibri"/>
                <w:b/>
                <w:color w:val="000000"/>
                <w:sz w:val="20"/>
                <w:szCs w:val="20"/>
                <w:lang w:val="en-GB" w:eastAsia="en-US"/>
              </w:rPr>
            </w:pPr>
            <w:r w:rsidRPr="0008771E">
              <w:rPr>
                <w:rFonts w:cs="Calibri"/>
                <w:b/>
                <w:color w:val="000000"/>
                <w:sz w:val="20"/>
                <w:szCs w:val="20"/>
                <w:lang w:val="en-GB" w:eastAsia="en-US"/>
              </w:rPr>
              <w:t>D1T1F</w:t>
            </w:r>
            <w:r w:rsidR="000A5F98" w:rsidRPr="0008771E">
              <w:rPr>
                <w:rFonts w:cs="Calibri"/>
                <w:b/>
                <w:color w:val="000000"/>
                <w:sz w:val="20"/>
                <w:szCs w:val="20"/>
                <w:lang w:val="en-GB" w:eastAsia="en-US"/>
              </w:rPr>
              <w:t>*</w:t>
            </w:r>
          </w:p>
        </w:tc>
      </w:tr>
      <w:tr w:rsidR="009C28F4" w:rsidRPr="001C6CCA" w14:paraId="48F14B80" w14:textId="77777777" w:rsidTr="009C28F4">
        <w:trPr>
          <w:trHeight w:val="718"/>
        </w:trPr>
        <w:tc>
          <w:tcPr>
            <w:tcW w:w="1463" w:type="dxa"/>
          </w:tcPr>
          <w:p w14:paraId="0F51231A" w14:textId="2007A4F2" w:rsidR="009C28F4" w:rsidRPr="001C6CCA" w:rsidRDefault="009C28F4" w:rsidP="00043601">
            <w:pPr>
              <w:spacing w:before="0" w:after="0" w:line="240" w:lineRule="auto"/>
              <w:jc w:val="left"/>
              <w:rPr>
                <w:sz w:val="20"/>
                <w:szCs w:val="20"/>
                <w:lang w:val="en-GB" w:eastAsia="en-US"/>
              </w:rPr>
            </w:pPr>
            <w:r w:rsidRPr="001C6CCA">
              <w:rPr>
                <w:sz w:val="20"/>
                <w:szCs w:val="20"/>
                <w:lang w:val="en-GB" w:eastAsia="en-US"/>
              </w:rPr>
              <w:t>D1C2</w:t>
            </w:r>
          </w:p>
        </w:tc>
        <w:tc>
          <w:tcPr>
            <w:tcW w:w="6470" w:type="dxa"/>
          </w:tcPr>
          <w:p w14:paraId="36BC4FB2" w14:textId="37E0CAE7" w:rsidR="00043601" w:rsidRPr="001C6CCA" w:rsidRDefault="00043601" w:rsidP="00043601">
            <w:pPr>
              <w:spacing w:before="0" w:after="0" w:line="240" w:lineRule="auto"/>
              <w:jc w:val="left"/>
              <w:rPr>
                <w:rFonts w:cs="Calibri"/>
                <w:sz w:val="20"/>
                <w:szCs w:val="20"/>
                <w:lang w:val="en-GB" w:eastAsia="en-US"/>
              </w:rPr>
            </w:pPr>
            <w:r w:rsidRPr="00043601">
              <w:rPr>
                <w:rFonts w:cs="Calibri"/>
                <w:sz w:val="20"/>
                <w:szCs w:val="20"/>
                <w:lang w:val="en-GB" w:eastAsia="en-US"/>
              </w:rPr>
              <w:t>Brojnost odabranih vrsta se ne smanjuje zbog antropogenih aktivnosti i os</w:t>
            </w:r>
            <w:r>
              <w:rPr>
                <w:rFonts w:cs="Calibri"/>
                <w:sz w:val="20"/>
                <w:szCs w:val="20"/>
                <w:lang w:val="en-GB" w:eastAsia="en-US"/>
              </w:rPr>
              <w:t>igurava se dugoročna održivost.</w:t>
            </w:r>
          </w:p>
        </w:tc>
        <w:tc>
          <w:tcPr>
            <w:tcW w:w="1083" w:type="dxa"/>
          </w:tcPr>
          <w:p w14:paraId="714A42CB" w14:textId="10CD844B" w:rsidR="009C28F4" w:rsidRPr="0008771E" w:rsidRDefault="000A5F98" w:rsidP="00F65CFF">
            <w:pPr>
              <w:spacing w:before="0" w:after="0" w:line="240" w:lineRule="auto"/>
              <w:jc w:val="left"/>
              <w:rPr>
                <w:b/>
                <w:sz w:val="20"/>
                <w:szCs w:val="20"/>
                <w:lang w:val="en-GB" w:eastAsia="en-US"/>
              </w:rPr>
            </w:pPr>
            <w:r w:rsidRPr="0008771E">
              <w:rPr>
                <w:b/>
                <w:sz w:val="20"/>
                <w:szCs w:val="20"/>
                <w:lang w:val="en-GB" w:eastAsia="en-US"/>
              </w:rPr>
              <w:t>D1T2F</w:t>
            </w:r>
          </w:p>
        </w:tc>
      </w:tr>
      <w:tr w:rsidR="009C28F4" w:rsidRPr="001C6CCA" w14:paraId="78BCFC21" w14:textId="77777777" w:rsidTr="00BF53E6">
        <w:tc>
          <w:tcPr>
            <w:tcW w:w="1463" w:type="dxa"/>
          </w:tcPr>
          <w:p w14:paraId="3EAC0B84" w14:textId="63B6162B" w:rsidR="009C28F4" w:rsidRPr="005E3183" w:rsidRDefault="009C28F4" w:rsidP="00F65CFF">
            <w:pPr>
              <w:spacing w:before="0" w:after="0" w:line="240" w:lineRule="auto"/>
              <w:jc w:val="left"/>
              <w:rPr>
                <w:sz w:val="20"/>
                <w:szCs w:val="20"/>
                <w:lang w:val="en-GB" w:eastAsia="en-US"/>
              </w:rPr>
            </w:pPr>
            <w:r w:rsidRPr="005E3183">
              <w:rPr>
                <w:sz w:val="20"/>
                <w:szCs w:val="20"/>
                <w:lang w:val="en-GB" w:eastAsia="en-US"/>
              </w:rPr>
              <w:t>D1C3</w:t>
            </w:r>
          </w:p>
        </w:tc>
        <w:tc>
          <w:tcPr>
            <w:tcW w:w="6470" w:type="dxa"/>
          </w:tcPr>
          <w:p w14:paraId="692EEB46" w14:textId="6F5C56F9" w:rsidR="000A5F98" w:rsidRPr="005E3183" w:rsidRDefault="005E3183" w:rsidP="00F65CFF">
            <w:pPr>
              <w:spacing w:before="0" w:after="0" w:line="240" w:lineRule="auto"/>
              <w:jc w:val="left"/>
              <w:rPr>
                <w:rFonts w:cs="Calibri"/>
                <w:sz w:val="20"/>
                <w:szCs w:val="20"/>
                <w:lang w:val="en-GB" w:eastAsia="en-US"/>
              </w:rPr>
            </w:pPr>
            <w:r>
              <w:rPr>
                <w:rFonts w:cs="Calibri"/>
                <w:sz w:val="20"/>
                <w:szCs w:val="20"/>
                <w:lang w:val="en-GB" w:eastAsia="en-US"/>
              </w:rPr>
              <w:t>Vidjeti tabelu 2.10</w:t>
            </w:r>
          </w:p>
        </w:tc>
        <w:tc>
          <w:tcPr>
            <w:tcW w:w="1083" w:type="dxa"/>
          </w:tcPr>
          <w:p w14:paraId="4804BC6A" w14:textId="77777777" w:rsidR="009C28F4" w:rsidRPr="001C6CCA" w:rsidRDefault="009C28F4" w:rsidP="00F65CFF">
            <w:pPr>
              <w:spacing w:before="0" w:after="0" w:line="240" w:lineRule="auto"/>
              <w:jc w:val="left"/>
              <w:rPr>
                <w:sz w:val="20"/>
                <w:szCs w:val="20"/>
                <w:lang w:val="en-GB" w:eastAsia="en-US"/>
              </w:rPr>
            </w:pPr>
          </w:p>
        </w:tc>
      </w:tr>
      <w:tr w:rsidR="005E3183" w:rsidRPr="001C6CCA" w14:paraId="0F193A3F" w14:textId="77777777" w:rsidTr="007A302A">
        <w:tc>
          <w:tcPr>
            <w:tcW w:w="1463" w:type="dxa"/>
          </w:tcPr>
          <w:p w14:paraId="26318198" w14:textId="0B4AD80E" w:rsidR="005E3183" w:rsidRPr="00392811" w:rsidRDefault="005E3183" w:rsidP="00392811">
            <w:pPr>
              <w:spacing w:before="0" w:after="0" w:line="240" w:lineRule="auto"/>
              <w:jc w:val="left"/>
              <w:rPr>
                <w:b/>
                <w:sz w:val="20"/>
                <w:szCs w:val="20"/>
                <w:lang w:val="en-GB" w:eastAsia="en-US"/>
              </w:rPr>
            </w:pPr>
            <w:r w:rsidRPr="00392811">
              <w:rPr>
                <w:b/>
              </w:rPr>
              <w:t>Operativni ciljevi</w:t>
            </w:r>
          </w:p>
        </w:tc>
        <w:tc>
          <w:tcPr>
            <w:tcW w:w="7553" w:type="dxa"/>
            <w:gridSpan w:val="2"/>
          </w:tcPr>
          <w:p w14:paraId="3B83E3EB" w14:textId="77777777" w:rsidR="005E3183" w:rsidRPr="00043601" w:rsidRDefault="005E3183" w:rsidP="00043601">
            <w:pPr>
              <w:spacing w:before="0" w:after="0" w:line="240" w:lineRule="auto"/>
              <w:jc w:val="left"/>
              <w:rPr>
                <w:rFonts w:cs="Calibri"/>
                <w:sz w:val="20"/>
                <w:szCs w:val="20"/>
                <w:lang w:val="en-GB" w:eastAsia="en-US"/>
              </w:rPr>
            </w:pPr>
            <w:r w:rsidRPr="00043601">
              <w:rPr>
                <w:rFonts w:cs="Calibri"/>
                <w:sz w:val="20"/>
                <w:szCs w:val="20"/>
                <w:lang w:val="en-GB" w:eastAsia="en-US"/>
              </w:rPr>
              <w:t>Saradnja sa jadranskim zemljama na utvrđivanju liste os</w:t>
            </w:r>
            <w:r>
              <w:rPr>
                <w:rFonts w:cs="Calibri"/>
                <w:sz w:val="20"/>
                <w:szCs w:val="20"/>
                <w:lang w:val="en-GB" w:eastAsia="en-US"/>
              </w:rPr>
              <w:t>j</w:t>
            </w:r>
            <w:r w:rsidRPr="00043601">
              <w:rPr>
                <w:rFonts w:cs="Calibri"/>
                <w:sz w:val="20"/>
                <w:szCs w:val="20"/>
                <w:lang w:val="en-GB" w:eastAsia="en-US"/>
              </w:rPr>
              <w:t>etljivih vrsta za Jadransko more i uspostavljanju odgovarajućih graničnih vr</w:t>
            </w:r>
            <w:r>
              <w:rPr>
                <w:rFonts w:cs="Calibri"/>
                <w:sz w:val="20"/>
                <w:szCs w:val="20"/>
                <w:lang w:val="en-GB" w:eastAsia="en-US"/>
              </w:rPr>
              <w:t>ij</w:t>
            </w:r>
            <w:r w:rsidRPr="00043601">
              <w:rPr>
                <w:rFonts w:cs="Calibri"/>
                <w:sz w:val="20"/>
                <w:szCs w:val="20"/>
                <w:lang w:val="en-GB" w:eastAsia="en-US"/>
              </w:rPr>
              <w:t>ednosti tamo gd</w:t>
            </w:r>
            <w:r>
              <w:rPr>
                <w:rFonts w:cs="Calibri"/>
                <w:sz w:val="20"/>
                <w:szCs w:val="20"/>
                <w:lang w:val="en-GB" w:eastAsia="en-US"/>
              </w:rPr>
              <w:t>j</w:t>
            </w:r>
            <w:r w:rsidRPr="00043601">
              <w:rPr>
                <w:rFonts w:cs="Calibri"/>
                <w:sz w:val="20"/>
                <w:szCs w:val="20"/>
                <w:lang w:val="en-GB" w:eastAsia="en-US"/>
              </w:rPr>
              <w:t>e je to moguće.</w:t>
            </w:r>
          </w:p>
          <w:p w14:paraId="08891C8E" w14:textId="4DCB8836" w:rsidR="005E3183" w:rsidRPr="001C6CCA" w:rsidRDefault="005E3183" w:rsidP="00392811">
            <w:pPr>
              <w:spacing w:before="0" w:after="0" w:line="240" w:lineRule="auto"/>
              <w:rPr>
                <w:sz w:val="20"/>
                <w:szCs w:val="20"/>
                <w:lang w:val="en-GB" w:eastAsia="en-US"/>
              </w:rPr>
            </w:pPr>
            <w:r w:rsidRPr="00043601">
              <w:rPr>
                <w:rFonts w:cs="Calibri"/>
                <w:sz w:val="20"/>
                <w:szCs w:val="20"/>
                <w:lang w:val="en-GB" w:eastAsia="en-US"/>
              </w:rPr>
              <w:t xml:space="preserve">Poboljšanje i razvoj </w:t>
            </w:r>
            <w:r>
              <w:rPr>
                <w:rFonts w:cs="Calibri"/>
                <w:sz w:val="20"/>
                <w:szCs w:val="20"/>
                <w:lang w:val="en-GB" w:eastAsia="en-US"/>
              </w:rPr>
              <w:t>indikatora za prilov ribe.</w:t>
            </w:r>
          </w:p>
        </w:tc>
      </w:tr>
      <w:tr w:rsidR="00D56ACC" w:rsidRPr="001C6CCA" w14:paraId="3515005A" w14:textId="77777777" w:rsidTr="00B50111">
        <w:tc>
          <w:tcPr>
            <w:tcW w:w="1463" w:type="dxa"/>
          </w:tcPr>
          <w:p w14:paraId="55DC4160" w14:textId="209D3D9F" w:rsidR="00D56ACC" w:rsidRPr="00392811" w:rsidRDefault="00D56ACC" w:rsidP="005E3183">
            <w:pPr>
              <w:spacing w:before="0" w:after="0" w:line="240" w:lineRule="auto"/>
              <w:jc w:val="left"/>
              <w:rPr>
                <w:b/>
                <w:bCs/>
                <w:sz w:val="20"/>
                <w:szCs w:val="20"/>
                <w:lang w:val="en-GB" w:eastAsia="en-US"/>
              </w:rPr>
            </w:pPr>
            <w:r w:rsidRPr="00392811">
              <w:rPr>
                <w:b/>
              </w:rPr>
              <w:t>Indikatori koji se koriste za procjenu statusa</w:t>
            </w:r>
          </w:p>
        </w:tc>
        <w:tc>
          <w:tcPr>
            <w:tcW w:w="7553" w:type="dxa"/>
            <w:gridSpan w:val="2"/>
          </w:tcPr>
          <w:p w14:paraId="51FAB6BA" w14:textId="77777777" w:rsidR="00D56ACC" w:rsidRDefault="00D56ACC" w:rsidP="00392811">
            <w:pPr>
              <w:spacing w:before="0" w:after="0" w:line="240" w:lineRule="auto"/>
              <w:rPr>
                <w:rFonts w:cs="Calibri"/>
                <w:sz w:val="20"/>
                <w:szCs w:val="20"/>
                <w:lang w:val="en-GB" w:eastAsia="en-US"/>
              </w:rPr>
            </w:pPr>
            <w:r w:rsidRPr="00BF7346">
              <w:rPr>
                <w:rFonts w:cs="Calibri"/>
                <w:b/>
                <w:sz w:val="20"/>
                <w:szCs w:val="20"/>
                <w:lang w:val="en-GB" w:eastAsia="en-US"/>
              </w:rPr>
              <w:t>D1C1.1</w:t>
            </w:r>
            <w:r>
              <w:rPr>
                <w:rFonts w:cs="Calibri"/>
                <w:b/>
                <w:sz w:val="20"/>
                <w:szCs w:val="20"/>
                <w:lang w:val="en-GB" w:eastAsia="en-US"/>
              </w:rPr>
              <w:t>F</w:t>
            </w:r>
            <w:r w:rsidRPr="00BF7346">
              <w:rPr>
                <w:rFonts w:cs="Calibri"/>
                <w:b/>
                <w:sz w:val="20"/>
                <w:szCs w:val="20"/>
                <w:lang w:val="en-GB" w:eastAsia="en-US"/>
              </w:rPr>
              <w:t>:</w:t>
            </w:r>
            <w:r>
              <w:rPr>
                <w:rFonts w:cs="Calibri"/>
                <w:sz w:val="20"/>
                <w:szCs w:val="20"/>
                <w:lang w:val="en-GB" w:eastAsia="en-US"/>
              </w:rPr>
              <w:t xml:space="preserve"> Slučajan ulov odabranih vrsta riba</w:t>
            </w:r>
          </w:p>
          <w:p w14:paraId="1A40D324" w14:textId="77777777" w:rsidR="00D56ACC" w:rsidRDefault="00D56ACC" w:rsidP="00392811">
            <w:pPr>
              <w:spacing w:before="0" w:after="0" w:line="240" w:lineRule="auto"/>
              <w:rPr>
                <w:rFonts w:cs="Calibri"/>
                <w:sz w:val="20"/>
                <w:szCs w:val="20"/>
                <w:lang w:val="en-GB" w:eastAsia="en-US"/>
              </w:rPr>
            </w:pPr>
            <w:r w:rsidRPr="00D56ACC">
              <w:rPr>
                <w:rFonts w:cs="Calibri"/>
                <w:b/>
                <w:sz w:val="20"/>
                <w:szCs w:val="20"/>
                <w:lang w:val="en-GB" w:eastAsia="en-US"/>
              </w:rPr>
              <w:t>D1C2.1F:</w:t>
            </w:r>
            <w:r>
              <w:rPr>
                <w:rFonts w:cs="Calibri"/>
                <w:b/>
                <w:sz w:val="20"/>
                <w:szCs w:val="20"/>
                <w:lang w:val="en-GB" w:eastAsia="en-US"/>
              </w:rPr>
              <w:t xml:space="preserve"> </w:t>
            </w:r>
            <w:r w:rsidRPr="00043601">
              <w:rPr>
                <w:rFonts w:cs="Calibri"/>
                <w:sz w:val="20"/>
                <w:szCs w:val="20"/>
                <w:lang w:val="en-GB" w:eastAsia="en-US"/>
              </w:rPr>
              <w:t>Proc</w:t>
            </w:r>
            <w:r>
              <w:rPr>
                <w:rFonts w:cs="Calibri"/>
                <w:sz w:val="20"/>
                <w:szCs w:val="20"/>
                <w:lang w:val="en-GB" w:eastAsia="en-US"/>
              </w:rPr>
              <w:t>j</w:t>
            </w:r>
            <w:r w:rsidRPr="00043601">
              <w:rPr>
                <w:rFonts w:cs="Calibri"/>
                <w:sz w:val="20"/>
                <w:szCs w:val="20"/>
                <w:lang w:val="en-GB" w:eastAsia="en-US"/>
              </w:rPr>
              <w:t xml:space="preserve">ene </w:t>
            </w:r>
            <w:r>
              <w:rPr>
                <w:rFonts w:cs="Calibri"/>
                <w:sz w:val="20"/>
                <w:szCs w:val="20"/>
                <w:lang w:val="en-GB" w:eastAsia="en-US"/>
              </w:rPr>
              <w:t xml:space="preserve">brojnosti </w:t>
            </w:r>
            <w:r w:rsidRPr="00043601">
              <w:rPr>
                <w:rFonts w:cs="Calibri"/>
                <w:sz w:val="20"/>
                <w:szCs w:val="20"/>
                <w:lang w:val="en-GB" w:eastAsia="en-US"/>
              </w:rPr>
              <w:t>za odabrane vrste riba</w:t>
            </w:r>
          </w:p>
          <w:p w14:paraId="43F0D030" w14:textId="77777777" w:rsidR="00D56ACC" w:rsidRDefault="00D56ACC" w:rsidP="00392811">
            <w:pPr>
              <w:spacing w:before="0" w:after="0" w:line="240" w:lineRule="auto"/>
              <w:rPr>
                <w:rFonts w:cs="Calibri"/>
                <w:sz w:val="20"/>
                <w:szCs w:val="20"/>
                <w:lang w:val="en-GB" w:eastAsia="en-US"/>
              </w:rPr>
            </w:pPr>
            <w:r w:rsidRPr="00D56ACC">
              <w:rPr>
                <w:rFonts w:cs="Calibri"/>
                <w:b/>
                <w:sz w:val="20"/>
                <w:szCs w:val="20"/>
                <w:lang w:val="en-GB" w:eastAsia="en-US"/>
              </w:rPr>
              <w:t>D1C3.1F:</w:t>
            </w:r>
            <w:r>
              <w:rPr>
                <w:rFonts w:cs="Calibri"/>
                <w:sz w:val="20"/>
                <w:szCs w:val="20"/>
                <w:lang w:val="en-GB" w:eastAsia="en-US"/>
              </w:rPr>
              <w:t xml:space="preserve"> Demografske karakteristike za odabrane vrste riba </w:t>
            </w:r>
          </w:p>
          <w:p w14:paraId="086F9F8D" w14:textId="77777777" w:rsidR="00D56ACC" w:rsidRDefault="00D56ACC" w:rsidP="00392811">
            <w:pPr>
              <w:spacing w:before="0" w:after="0" w:line="240" w:lineRule="auto"/>
              <w:rPr>
                <w:rFonts w:cs="Calibri"/>
                <w:sz w:val="20"/>
                <w:szCs w:val="20"/>
                <w:lang w:val="en-GB" w:eastAsia="en-US"/>
              </w:rPr>
            </w:pPr>
          </w:p>
          <w:p w14:paraId="5377C6DD" w14:textId="77777777" w:rsidR="00D56ACC" w:rsidRPr="001C6CCA" w:rsidRDefault="00D56ACC" w:rsidP="00392811">
            <w:pPr>
              <w:spacing w:before="0" w:after="0" w:line="240" w:lineRule="auto"/>
              <w:rPr>
                <w:sz w:val="20"/>
                <w:szCs w:val="20"/>
                <w:lang w:val="en-GB" w:eastAsia="en-US"/>
              </w:rPr>
            </w:pPr>
          </w:p>
        </w:tc>
      </w:tr>
    </w:tbl>
    <w:p w14:paraId="6AF47A3D" w14:textId="587E9E81" w:rsidR="00477089" w:rsidRPr="001C6CCA" w:rsidRDefault="00392811" w:rsidP="00F65CFF">
      <w:pPr>
        <w:spacing w:after="0"/>
        <w:rPr>
          <w:rFonts w:cs="ArialMT"/>
          <w:sz w:val="20"/>
          <w:szCs w:val="20"/>
          <w:lang w:val="en-GB" w:eastAsia="en-US"/>
        </w:rPr>
      </w:pPr>
      <w:r>
        <w:rPr>
          <w:rFonts w:cs="ArialMT"/>
          <w:sz w:val="20"/>
          <w:szCs w:val="20"/>
          <w:lang w:val="en-GB" w:eastAsia="en-US"/>
        </w:rPr>
        <w:t>*Ribe</w:t>
      </w:r>
    </w:p>
    <w:p w14:paraId="52C4BEF3" w14:textId="77777777" w:rsidR="00B85F63" w:rsidRPr="001C6CCA" w:rsidRDefault="00B85F63" w:rsidP="00B85F63">
      <w:pPr>
        <w:pStyle w:val="Heading4"/>
        <w:rPr>
          <w:rFonts w:eastAsia="Calibri"/>
          <w:lang w:val="en-GB"/>
        </w:rPr>
      </w:pPr>
      <w:r>
        <w:rPr>
          <w:rFonts w:eastAsia="Calibri"/>
          <w:lang w:val="en-GB"/>
        </w:rPr>
        <w:t>Nedostaci i razvojne potrebe</w:t>
      </w:r>
    </w:p>
    <w:p w14:paraId="6F0204E7" w14:textId="60FB5A34" w:rsidR="00043601" w:rsidRPr="001C6CCA" w:rsidRDefault="00043601" w:rsidP="00006A82">
      <w:pPr>
        <w:spacing w:before="0" w:after="160"/>
        <w:rPr>
          <w:rFonts w:cs="ArialMT"/>
          <w:szCs w:val="22"/>
          <w:lang w:val="en-GB" w:eastAsia="en-US"/>
        </w:rPr>
      </w:pPr>
      <w:r w:rsidRPr="00043601">
        <w:rPr>
          <w:rFonts w:cs="ArialMT"/>
          <w:szCs w:val="22"/>
          <w:lang w:val="en-GB" w:eastAsia="en-US"/>
        </w:rPr>
        <w:t xml:space="preserve">Zbog nedostatka podataka, posebno za nekomercijalne vrste, neophodno je uspostaviti program </w:t>
      </w:r>
      <w:r>
        <w:rPr>
          <w:rFonts w:cs="ArialMT"/>
          <w:szCs w:val="22"/>
          <w:lang w:val="en-GB" w:eastAsia="en-US"/>
        </w:rPr>
        <w:t>monitoringa</w:t>
      </w:r>
      <w:r w:rsidRPr="00043601">
        <w:rPr>
          <w:rFonts w:cs="ArialMT"/>
          <w:szCs w:val="22"/>
          <w:lang w:val="en-GB" w:eastAsia="en-US"/>
        </w:rPr>
        <w:t xml:space="preserve"> koji će fokusirati istra</w:t>
      </w:r>
      <w:r w:rsidR="00BD2937">
        <w:rPr>
          <w:rFonts w:cs="ArialMT"/>
          <w:szCs w:val="22"/>
          <w:lang w:val="en-GB" w:eastAsia="en-US"/>
        </w:rPr>
        <w:t>živanja uticaja</w:t>
      </w:r>
      <w:r w:rsidRPr="00043601">
        <w:rPr>
          <w:rFonts w:cs="ArialMT"/>
          <w:szCs w:val="22"/>
          <w:lang w:val="en-GB" w:eastAsia="en-US"/>
        </w:rPr>
        <w:t xml:space="preserve"> svih pritisaka koji će pomoći u uspostavljanju odgovarajućih polaznih </w:t>
      </w:r>
      <w:r w:rsidR="00C87B62">
        <w:rPr>
          <w:rFonts w:cs="ArialMT"/>
          <w:szCs w:val="22"/>
          <w:lang w:val="en-GB" w:eastAsia="en-US"/>
        </w:rPr>
        <w:t>i</w:t>
      </w:r>
      <w:r w:rsidR="00BD2937">
        <w:rPr>
          <w:rFonts w:cs="ArialMT"/>
          <w:szCs w:val="22"/>
          <w:lang w:val="en-GB" w:eastAsia="en-US"/>
        </w:rPr>
        <w:t xml:space="preserve"> graničnih </w:t>
      </w:r>
      <w:r w:rsidRPr="00043601">
        <w:rPr>
          <w:rFonts w:cs="ArialMT"/>
          <w:szCs w:val="22"/>
          <w:lang w:val="en-GB" w:eastAsia="en-US"/>
        </w:rPr>
        <w:t>vr</w:t>
      </w:r>
      <w:r w:rsidR="00BD2937">
        <w:rPr>
          <w:rFonts w:cs="ArialMT"/>
          <w:szCs w:val="22"/>
          <w:lang w:val="en-GB" w:eastAsia="en-US"/>
        </w:rPr>
        <w:t>ij</w:t>
      </w:r>
      <w:r w:rsidRPr="00043601">
        <w:rPr>
          <w:rFonts w:cs="ArialMT"/>
          <w:szCs w:val="22"/>
          <w:lang w:val="en-GB" w:eastAsia="en-US"/>
        </w:rPr>
        <w:t xml:space="preserve">ednosti za sve indikatore. </w:t>
      </w:r>
      <w:r w:rsidR="00BD2937">
        <w:rPr>
          <w:rFonts w:cs="ArialMT"/>
          <w:szCs w:val="22"/>
          <w:lang w:val="en-GB" w:eastAsia="en-US"/>
        </w:rPr>
        <w:t xml:space="preserve">Nedostaci </w:t>
      </w:r>
      <w:r w:rsidRPr="00043601">
        <w:rPr>
          <w:rFonts w:cs="ArialMT"/>
          <w:szCs w:val="22"/>
          <w:lang w:val="en-GB" w:eastAsia="en-US"/>
        </w:rPr>
        <w:t>i razvojne potrebe u odnosu na komercijalne vrste opisane su u ovom tekstu pod D3.</w:t>
      </w:r>
    </w:p>
    <w:p w14:paraId="2FDC666D" w14:textId="3D50A2E1" w:rsidR="000A5F98" w:rsidRPr="00CF7E4B" w:rsidRDefault="00CF7E4B" w:rsidP="004C3A51">
      <w:pPr>
        <w:pStyle w:val="Heading2"/>
        <w:ind w:left="567" w:hanging="567"/>
        <w:rPr>
          <w:lang w:val="en-GB" w:eastAsia="en-US"/>
        </w:rPr>
      </w:pPr>
      <w:bookmarkStart w:id="351" w:name="_Toc83630975"/>
      <w:r w:rsidRPr="001C6CCA">
        <w:rPr>
          <w:caps w:val="0"/>
          <w:lang w:val="en-GB" w:eastAsia="en-US"/>
        </w:rPr>
        <w:t>PELAGI</w:t>
      </w:r>
      <w:r>
        <w:rPr>
          <w:caps w:val="0"/>
          <w:lang w:val="en-GB" w:eastAsia="en-US"/>
        </w:rPr>
        <w:t xml:space="preserve">ČNA STANIŠTA </w:t>
      </w:r>
      <w:r w:rsidR="007A0C64">
        <w:rPr>
          <w:caps w:val="0"/>
          <w:lang w:val="en-GB" w:eastAsia="en-US"/>
        </w:rPr>
        <w:t>(</w:t>
      </w:r>
      <w:r>
        <w:rPr>
          <w:caps w:val="0"/>
          <w:lang w:val="en-GB" w:eastAsia="en-US"/>
        </w:rPr>
        <w:t>DESKRIPTOR 1</w:t>
      </w:r>
      <w:bookmarkStart w:id="352" w:name="_Hlk65707532"/>
      <w:r w:rsidR="007A0C64">
        <w:rPr>
          <w:caps w:val="0"/>
          <w:lang w:val="en-GB" w:eastAsia="en-US"/>
        </w:rPr>
        <w:t>)</w:t>
      </w:r>
      <w:bookmarkEnd w:id="351"/>
    </w:p>
    <w:p w14:paraId="1D6F9E27" w14:textId="77777777" w:rsidR="006612D6" w:rsidRPr="006612D6" w:rsidRDefault="006612D6" w:rsidP="006612D6">
      <w:pPr>
        <w:shd w:val="clear" w:color="auto" w:fill="FFFFFF"/>
        <w:spacing w:before="0" w:after="160"/>
        <w:rPr>
          <w:rFonts w:eastAsia="Calibri" w:cs="Calibri"/>
          <w:b/>
          <w:color w:val="000000"/>
          <w:szCs w:val="22"/>
          <w:lang w:val="sr-Latn-RS" w:eastAsia="hr-HR"/>
        </w:rPr>
      </w:pPr>
      <w:r w:rsidRPr="006612D6">
        <w:rPr>
          <w:rFonts w:eastAsia="Calibri" w:cs="Calibri"/>
          <w:b/>
          <w:color w:val="000000"/>
          <w:szCs w:val="22"/>
          <w:lang w:val="sr-Latn-RS" w:eastAsia="hr-HR"/>
        </w:rPr>
        <w:t>Uvod</w:t>
      </w:r>
    </w:p>
    <w:p w14:paraId="5E12F610" w14:textId="1F750D3A" w:rsidR="006612D6" w:rsidRPr="006612D6" w:rsidRDefault="006612D6" w:rsidP="006612D6">
      <w:pPr>
        <w:shd w:val="clear" w:color="auto" w:fill="FFFFFF"/>
        <w:spacing w:before="0" w:after="160"/>
        <w:rPr>
          <w:rFonts w:eastAsia="Calibri" w:cs="Calibri"/>
          <w:bCs/>
          <w:color w:val="000000"/>
          <w:szCs w:val="22"/>
          <w:lang w:val="sr-Latn-RS" w:eastAsia="hr-HR"/>
        </w:rPr>
      </w:pPr>
      <w:r w:rsidRPr="006612D6">
        <w:rPr>
          <w:rFonts w:eastAsia="Calibri" w:cs="Calibri"/>
          <w:bCs/>
          <w:color w:val="000000"/>
          <w:szCs w:val="22"/>
          <w:lang w:val="sr-Latn-RS" w:eastAsia="hr-HR"/>
        </w:rPr>
        <w:t>Pelagična staništa (vodeni stub) važan su dio morskog ekosistema predstavljaju</w:t>
      </w:r>
      <w:r w:rsidR="00437264">
        <w:rPr>
          <w:rFonts w:eastAsia="Calibri" w:cs="Calibri"/>
          <w:bCs/>
          <w:color w:val="000000"/>
          <w:szCs w:val="22"/>
          <w:lang w:val="sr-Latn-RS" w:eastAsia="hr-HR"/>
        </w:rPr>
        <w:t>ći</w:t>
      </w:r>
      <w:r w:rsidRPr="006612D6">
        <w:rPr>
          <w:rFonts w:eastAsia="Calibri" w:cs="Calibri"/>
          <w:bCs/>
          <w:color w:val="000000"/>
          <w:szCs w:val="22"/>
          <w:lang w:val="sr-Latn-RS" w:eastAsia="hr-HR"/>
        </w:rPr>
        <w:t xml:space="preserve"> </w:t>
      </w:r>
      <w:r w:rsidR="00437264">
        <w:rPr>
          <w:rFonts w:eastAsia="Calibri" w:cs="Calibri"/>
          <w:bCs/>
          <w:color w:val="000000"/>
          <w:szCs w:val="22"/>
          <w:lang w:val="sr-Latn-RS" w:eastAsia="hr-HR"/>
        </w:rPr>
        <w:t xml:space="preserve">ujedno </w:t>
      </w:r>
      <w:r w:rsidRPr="006612D6">
        <w:rPr>
          <w:rFonts w:eastAsia="Calibri" w:cs="Calibri"/>
          <w:bCs/>
          <w:color w:val="000000"/>
          <w:szCs w:val="22"/>
          <w:lang w:val="sr-Latn-RS" w:eastAsia="hr-HR"/>
        </w:rPr>
        <w:t>najveći ekosistem na Zemlji koji pokriva više od 70% površine Zemlje. Pelagična staništa predstavljaju zajednicu malih i mikroskopskih organizama nazvanu plankton koja su nošena strujanjima morske vode. Plankton uključuje bakterije, mikroskopske alge (fitoplankton), jednoćelijske protozoe, mikroskopske životinje (zooplankton) kao što su kopepodi, jaja i larve riba (ihtioplankton) i veće životinje poput meduza. Plankton ima presudnu ulogu u pelagičnoj prehrambenoj mreži, podržavajući strukturu pelagične zajednice i morski ekosistem u cjelini. Zbog kratkog životnog ciklusa, zajednice planktona brže reaguju (potencijalno brže od ostalih trofičkih nivoa) na promjene u morskoj sredini</w:t>
      </w:r>
      <w:r w:rsidR="00437264">
        <w:rPr>
          <w:rFonts w:eastAsia="Calibri" w:cs="Calibri"/>
          <w:bCs/>
          <w:color w:val="000000"/>
          <w:szCs w:val="22"/>
          <w:lang w:val="sr-Latn-RS" w:eastAsia="hr-HR"/>
        </w:rPr>
        <w:t xml:space="preserve"> te su jako dobar pokazatelj promjena koje se u moru događaju</w:t>
      </w:r>
      <w:r w:rsidRPr="006612D6">
        <w:rPr>
          <w:rFonts w:eastAsia="Calibri" w:cs="Calibri"/>
          <w:bCs/>
          <w:color w:val="000000"/>
          <w:szCs w:val="22"/>
          <w:lang w:val="sr-Latn-RS" w:eastAsia="hr-HR"/>
        </w:rPr>
        <w:t xml:space="preserve">. Plankton je takođe bitan za organizme koji se nalaze </w:t>
      </w:r>
      <w:r w:rsidR="007D0C91">
        <w:rPr>
          <w:rFonts w:eastAsia="Calibri" w:cs="Calibri"/>
          <w:bCs/>
          <w:color w:val="000000"/>
          <w:szCs w:val="22"/>
          <w:lang w:val="sr-Latn-RS" w:eastAsia="hr-HR"/>
        </w:rPr>
        <w:t>na višim nivoima prehrambene mreže</w:t>
      </w:r>
      <w:r w:rsidRPr="006612D6">
        <w:rPr>
          <w:rFonts w:eastAsia="Calibri" w:cs="Calibri"/>
          <w:bCs/>
          <w:color w:val="000000"/>
          <w:szCs w:val="22"/>
          <w:lang w:val="sr-Latn-RS" w:eastAsia="hr-HR"/>
        </w:rPr>
        <w:t xml:space="preserve">, poput školjki, riba i morskih ptica, </w:t>
      </w:r>
      <w:r w:rsidR="008D3576">
        <w:rPr>
          <w:rFonts w:eastAsia="Calibri" w:cs="Calibri"/>
          <w:bCs/>
          <w:color w:val="000000"/>
          <w:szCs w:val="22"/>
          <w:lang w:val="sr-Latn-RS" w:eastAsia="hr-HR"/>
        </w:rPr>
        <w:t>i</w:t>
      </w:r>
      <w:r w:rsidRPr="006612D6">
        <w:rPr>
          <w:rFonts w:eastAsia="Calibri" w:cs="Calibri"/>
          <w:bCs/>
          <w:color w:val="000000"/>
          <w:szCs w:val="22"/>
          <w:lang w:val="sr-Latn-RS" w:eastAsia="hr-HR"/>
        </w:rPr>
        <w:t xml:space="preserve"> promjene u zajednici planktona mogu značajno uticati na cjelokupni morski ekosistem.</w:t>
      </w:r>
    </w:p>
    <w:p w14:paraId="1876B0FC" w14:textId="77777777" w:rsidR="006612D6" w:rsidRPr="006612D6" w:rsidRDefault="006612D6" w:rsidP="006612D6">
      <w:pPr>
        <w:shd w:val="clear" w:color="auto" w:fill="FFFFFF"/>
        <w:spacing w:before="0" w:after="160"/>
        <w:rPr>
          <w:rFonts w:eastAsia="Calibri" w:cs="Calibri"/>
          <w:bCs/>
          <w:color w:val="000000"/>
          <w:szCs w:val="22"/>
          <w:lang w:val="sr-Latn-RS" w:eastAsia="hr-HR"/>
        </w:rPr>
      </w:pPr>
      <w:r w:rsidRPr="006612D6">
        <w:rPr>
          <w:rFonts w:eastAsia="Calibri" w:cs="Calibri"/>
          <w:bCs/>
          <w:color w:val="000000"/>
          <w:szCs w:val="22"/>
          <w:lang w:val="sr-Latn-RS" w:eastAsia="hr-HR"/>
        </w:rPr>
        <w:t>U ovom tekstu, procjena dostizanja GES-a za pelagična staništa u odnosu na D1 bazira se na fitoplanktonu, mezozooplanktonu i ihtioplanktonu za koje su dostupni podaci.</w:t>
      </w:r>
    </w:p>
    <w:p w14:paraId="1C707FFA" w14:textId="46DC0A34" w:rsidR="006612D6" w:rsidRPr="006612D6" w:rsidRDefault="006612D6" w:rsidP="006612D6">
      <w:pPr>
        <w:shd w:val="clear" w:color="auto" w:fill="FFFFFF"/>
        <w:spacing w:before="0" w:after="160"/>
        <w:rPr>
          <w:rFonts w:eastAsia="Calibri" w:cs="Calibri"/>
          <w:bCs/>
          <w:color w:val="000000"/>
          <w:szCs w:val="22"/>
          <w:lang w:val="sr-Latn-RS" w:eastAsia="hr-HR"/>
        </w:rPr>
      </w:pPr>
      <w:r w:rsidRPr="006612D6">
        <w:rPr>
          <w:rFonts w:eastAsia="Calibri" w:cs="Calibri"/>
          <w:b/>
          <w:color w:val="000000"/>
          <w:szCs w:val="22"/>
          <w:lang w:val="sr-Latn-RS" w:eastAsia="hr-HR"/>
        </w:rPr>
        <w:t>Dobro stanje</w:t>
      </w:r>
      <w:r w:rsidRPr="006612D6">
        <w:rPr>
          <w:rFonts w:eastAsia="Calibri" w:cs="Calibri"/>
          <w:bCs/>
          <w:color w:val="000000"/>
          <w:szCs w:val="22"/>
          <w:lang w:val="sr-Latn-RS" w:eastAsia="hr-HR"/>
        </w:rPr>
        <w:t xml:space="preserve"> pelagičnih staništa će biti postignuto ukoliko prostorne i vremenske </w:t>
      </w:r>
      <w:r w:rsidR="00437264">
        <w:rPr>
          <w:rFonts w:eastAsia="Calibri" w:cs="Calibri"/>
          <w:bCs/>
          <w:color w:val="000000"/>
          <w:szCs w:val="22"/>
          <w:lang w:val="sr-Latn-RS" w:eastAsia="hr-HR"/>
        </w:rPr>
        <w:t>promjene</w:t>
      </w:r>
      <w:r w:rsidRPr="006612D6">
        <w:rPr>
          <w:rFonts w:eastAsia="Calibri" w:cs="Calibri"/>
          <w:bCs/>
          <w:color w:val="000000"/>
          <w:szCs w:val="22"/>
          <w:lang w:val="sr-Latn-RS" w:eastAsia="hr-HR"/>
        </w:rPr>
        <w:t xml:space="preserve"> planktonskih zajednica ostanu unutar opsega koji sugeriše dobro stanje </w:t>
      </w:r>
      <w:r w:rsidR="008D3576">
        <w:rPr>
          <w:rFonts w:eastAsia="Calibri" w:cs="Calibri"/>
          <w:bCs/>
          <w:color w:val="000000"/>
          <w:szCs w:val="22"/>
          <w:lang w:val="sr-Latn-RS" w:eastAsia="hr-HR"/>
        </w:rPr>
        <w:t>morske</w:t>
      </w:r>
      <w:r w:rsidRPr="006612D6">
        <w:rPr>
          <w:rFonts w:eastAsia="Calibri" w:cs="Calibri"/>
          <w:bCs/>
          <w:color w:val="000000"/>
          <w:szCs w:val="22"/>
          <w:lang w:val="sr-Latn-RS" w:eastAsia="hr-HR"/>
        </w:rPr>
        <w:t xml:space="preserve"> sredine.</w:t>
      </w:r>
    </w:p>
    <w:p w14:paraId="22EA57CA" w14:textId="77777777" w:rsidR="006612D6" w:rsidRPr="006612D6" w:rsidRDefault="006612D6" w:rsidP="006612D6">
      <w:pPr>
        <w:autoSpaceDE w:val="0"/>
        <w:autoSpaceDN w:val="0"/>
        <w:adjustRightInd w:val="0"/>
        <w:spacing w:before="0" w:after="160"/>
        <w:jc w:val="left"/>
        <w:rPr>
          <w:rFonts w:eastAsia="Calibri" w:cs="Calibri"/>
          <w:sz w:val="20"/>
          <w:szCs w:val="20"/>
          <w:lang w:val="sr-Latn-RS" w:eastAsia="en-US"/>
        </w:rPr>
      </w:pPr>
      <w:r w:rsidRPr="006612D6">
        <w:rPr>
          <w:noProof/>
          <w:lang w:eastAsia="en-US"/>
        </w:rPr>
        <mc:AlternateContent>
          <mc:Choice Requires="wps">
            <w:drawing>
              <wp:anchor distT="0" distB="0" distL="114300" distR="114300" simplePos="0" relativeHeight="251806720" behindDoc="0" locked="0" layoutInCell="1" allowOverlap="1" wp14:anchorId="2BC89C27" wp14:editId="4A1B605E">
                <wp:simplePos x="0" y="0"/>
                <wp:positionH relativeFrom="column">
                  <wp:posOffset>0</wp:posOffset>
                </wp:positionH>
                <wp:positionV relativeFrom="paragraph">
                  <wp:posOffset>26035</wp:posOffset>
                </wp:positionV>
                <wp:extent cx="5760720" cy="760730"/>
                <wp:effectExtent l="0" t="0" r="0" b="1270"/>
                <wp:wrapNone/>
                <wp:docPr id="21" name="Rectangle: Rounded Corners 118"/>
                <wp:cNvGraphicFramePr/>
                <a:graphic xmlns:a="http://schemas.openxmlformats.org/drawingml/2006/main">
                  <a:graphicData uri="http://schemas.microsoft.com/office/word/2010/wordprocessingShape">
                    <wps:wsp>
                      <wps:cNvSpPr/>
                      <wps:spPr>
                        <a:xfrm>
                          <a:off x="0" y="0"/>
                          <a:ext cx="5760720" cy="760095"/>
                        </a:xfrm>
                        <a:prstGeom prst="roundRect">
                          <a:avLst/>
                        </a:prstGeom>
                        <a:solidFill>
                          <a:srgbClr val="4F81BD">
                            <a:lumMod val="20000"/>
                            <a:lumOff val="80000"/>
                            <a:alpha val="84000"/>
                          </a:srgbClr>
                        </a:solidFill>
                        <a:ln w="25400" cap="flat" cmpd="sng" algn="ctr">
                          <a:noFill/>
                          <a:prstDash val="solid"/>
                        </a:ln>
                        <a:effectLst/>
                      </wps:spPr>
                      <wps:txbx>
                        <w:txbxContent>
                          <w:p w14:paraId="62322CB4" w14:textId="77777777" w:rsidR="00515997" w:rsidRDefault="00515997" w:rsidP="006612D6">
                            <w:pPr>
                              <w:spacing w:after="0"/>
                              <w:rPr>
                                <w:b/>
                                <w:i/>
                                <w:iCs/>
                                <w:lang w:val="en-GB"/>
                              </w:rPr>
                            </w:pPr>
                            <w:r>
                              <w:rPr>
                                <w:b/>
                                <w:i/>
                                <w:iCs/>
                                <w:lang w:val="en-GB"/>
                              </w:rPr>
                              <w:t>GES definicija za Deskriptor 1: Biološki diverzitet je održan. Kvalitet i prisutnost staništa, kao i rasprostranjenost i brojnost vrsta u skladu su sa preovladavajućim fiziografskim, geografskim i klimatskim uslovima.</w:t>
                            </w:r>
                          </w:p>
                          <w:p w14:paraId="39E9D48D" w14:textId="77777777" w:rsidR="00515997" w:rsidRDefault="00515997" w:rsidP="006612D6">
                            <w:pPr>
                              <w:rPr>
                                <w:b/>
                                <w:i/>
                                <w:color w:val="000000"/>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C89C27" id="Rectangle: Rounded Corners 118" o:spid="_x0000_s1063" style="position:absolute;margin-left:0;margin-top:2.05pt;width:453.6pt;height:59.9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" fillcolor="#dce6f2" stroked="f" strokeweight="2pt">
                <v:fill opacity="54998f"/>
                <v:textbox>
                  <w:txbxContent>
                    <w:p w14:paraId="62322CB4" w14:textId="77777777" w:rsidR="00515997" w:rsidRDefault="00515997" w:rsidP="006612D6">
                      <w:pPr>
                        <w:spacing w:after="0"/>
                        <w:rPr>
                          <w:b/>
                          <w:i/>
                          <w:iCs/>
                          <w:lang w:val="en-GB"/>
                        </w:rPr>
                      </w:pPr>
                      <w:r>
                        <w:rPr>
                          <w:b/>
                          <w:i/>
                          <w:iCs/>
                          <w:lang w:val="en-GB"/>
                        </w:rPr>
                        <w:t>GES definicija za Deskriptor 1: Biološki diverzitet je održan. Kvalitet i prisutnost staništa, kao i rasprostranjenost i brojnost vrsta u skladu su sa preovladavajućim fiziografskim, geografskim i klimatskim uslovima.</w:t>
                      </w:r>
                    </w:p>
                    <w:p w14:paraId="39E9D48D" w14:textId="77777777" w:rsidR="00515997" w:rsidRDefault="00515997" w:rsidP="006612D6">
                      <w:pPr>
                        <w:rPr>
                          <w:b/>
                          <w:i/>
                          <w:color w:val="000000"/>
                          <w14:textOutline w14:w="9525" w14:cap="rnd" w14:cmpd="sng" w14:algn="ctr">
                            <w14:noFill/>
                            <w14:prstDash w14:val="solid"/>
                            <w14:bevel/>
                          </w14:textOutline>
                        </w:rPr>
                      </w:pPr>
                    </w:p>
                  </w:txbxContent>
                </v:textbox>
              </v:roundrect>
            </w:pict>
          </mc:Fallback>
        </mc:AlternateContent>
      </w:r>
    </w:p>
    <w:p w14:paraId="13369C2E" w14:textId="77777777" w:rsidR="006612D6" w:rsidRPr="006612D6" w:rsidRDefault="006612D6" w:rsidP="006612D6">
      <w:pPr>
        <w:autoSpaceDE w:val="0"/>
        <w:autoSpaceDN w:val="0"/>
        <w:adjustRightInd w:val="0"/>
        <w:spacing w:before="0" w:after="160"/>
        <w:jc w:val="left"/>
        <w:rPr>
          <w:rFonts w:eastAsia="Calibri" w:cs="Calibri"/>
          <w:sz w:val="20"/>
          <w:szCs w:val="20"/>
          <w:lang w:val="sr-Latn-RS" w:eastAsia="en-US"/>
        </w:rPr>
      </w:pPr>
    </w:p>
    <w:p w14:paraId="3112423D" w14:textId="77777777" w:rsidR="006612D6" w:rsidRPr="006612D6" w:rsidRDefault="006612D6" w:rsidP="006612D6">
      <w:pPr>
        <w:autoSpaceDE w:val="0"/>
        <w:autoSpaceDN w:val="0"/>
        <w:adjustRightInd w:val="0"/>
        <w:spacing w:before="0" w:after="160"/>
        <w:jc w:val="left"/>
        <w:rPr>
          <w:rFonts w:eastAsia="Calibri" w:cs="Calibri"/>
          <w:sz w:val="20"/>
          <w:szCs w:val="20"/>
          <w:lang w:val="sr-Latn-RS" w:eastAsia="en-US"/>
        </w:rPr>
      </w:pPr>
    </w:p>
    <w:p w14:paraId="2483FA79" w14:textId="77777777" w:rsidR="006612D6" w:rsidRPr="006612D6" w:rsidRDefault="006612D6" w:rsidP="006612D6">
      <w:pPr>
        <w:rPr>
          <w:lang w:val="sr-Latn-RS"/>
        </w:rPr>
      </w:pPr>
    </w:p>
    <w:p w14:paraId="762CC567" w14:textId="77777777" w:rsidR="006612D6" w:rsidRPr="00CF7E4B" w:rsidRDefault="006612D6" w:rsidP="00CF7E4B">
      <w:pPr>
        <w:pStyle w:val="Heading3"/>
        <w:rPr>
          <w:rFonts w:eastAsia="Calibri"/>
          <w:lang w:val="en-GB" w:eastAsia="en-US"/>
        </w:rPr>
      </w:pPr>
      <w:bookmarkStart w:id="353" w:name="_Toc83630976"/>
      <w:bookmarkStart w:id="354" w:name="_Toc69678426"/>
      <w:r w:rsidRPr="00CF7E4B">
        <w:rPr>
          <w:rFonts w:eastAsia="Calibri"/>
          <w:lang w:val="en-GB" w:eastAsia="en-US"/>
        </w:rPr>
        <w:t>Relevantni pritisci i uticaji</w:t>
      </w:r>
      <w:bookmarkEnd w:id="353"/>
      <w:r w:rsidRPr="00CF7E4B">
        <w:rPr>
          <w:rFonts w:eastAsia="Calibri"/>
          <w:lang w:val="en-GB" w:eastAsia="en-US"/>
        </w:rPr>
        <w:t xml:space="preserve"> </w:t>
      </w:r>
      <w:bookmarkEnd w:id="354"/>
    </w:p>
    <w:p w14:paraId="2E9DEB44" w14:textId="77777777" w:rsidR="006612D6" w:rsidRPr="006612D6" w:rsidRDefault="006612D6" w:rsidP="006612D6">
      <w:pPr>
        <w:rPr>
          <w:rFonts w:eastAsia="Calibri"/>
          <w:lang w:val="sr-Latn-RS" w:eastAsia="en-US"/>
        </w:rPr>
      </w:pPr>
      <w:r w:rsidRPr="006612D6">
        <w:rPr>
          <w:rFonts w:eastAsia="Calibri"/>
          <w:lang w:val="sr-Latn-RS" w:eastAsia="en-US"/>
        </w:rPr>
        <w:t>Pritisci i uticaji na pelagična staništa uzrokovani su višestrukim pritiscima koji djeluju zajedno. Na cijelo Jadransko more utiče niz različitih pritisaka koji su rezultat ljudskih aktivnosti na moru i u njegovom slivu. Pritiske i uticaje treba posmatrati ne samo na nacionalnom nivou, već i na regionalnom, posebno zbog činjenice da je Jadransko more poluzatvoreni bazen sa specifičnostima koje ga odvajaju od ostatka Sredozemlja.</w:t>
      </w:r>
    </w:p>
    <w:p w14:paraId="7B576A70" w14:textId="36E93F9E" w:rsidR="006612D6" w:rsidRPr="006612D6" w:rsidRDefault="006612D6" w:rsidP="006612D6">
      <w:pPr>
        <w:rPr>
          <w:rFonts w:eastAsia="Calibri"/>
          <w:lang w:val="sr-Latn-RS" w:eastAsia="en-US"/>
        </w:rPr>
      </w:pPr>
      <w:r w:rsidRPr="006612D6">
        <w:rPr>
          <w:rFonts w:eastAsia="Calibri"/>
          <w:lang w:val="sr-Latn-RS" w:eastAsia="en-US"/>
        </w:rPr>
        <w:t xml:space="preserve">Najintenzivniji pritisci koji se pripisuju većini utvrđenih uticaja su eutrofikacija (D5) i koncentracije hranjivih supstanci, opasnih supstanci (D8), </w:t>
      </w:r>
      <w:r w:rsidR="00741F8B">
        <w:rPr>
          <w:rFonts w:eastAsia="Calibri"/>
          <w:lang w:val="sr-Latn-RS" w:eastAsia="en-US"/>
        </w:rPr>
        <w:t>strane brste</w:t>
      </w:r>
      <w:r w:rsidRPr="006612D6">
        <w:rPr>
          <w:rFonts w:eastAsia="Calibri"/>
          <w:lang w:val="sr-Latn-RS" w:eastAsia="en-US"/>
        </w:rPr>
        <w:t xml:space="preserve"> (D2), otpad u moru (D10), smanjenje ribljeg fonda uslijed prelova i fizički gubitak bentoskih staništa. Ribolov (D3 i dijelovi D1, D4, D6) utiču odozgo prema dolje („</w:t>
      </w:r>
      <w:r w:rsidRPr="006612D6">
        <w:rPr>
          <w:rFonts w:eastAsia="Calibri" w:cs="Calibri"/>
          <w:szCs w:val="22"/>
          <w:lang w:val="en-GB" w:eastAsia="en-US"/>
        </w:rPr>
        <w:t xml:space="preserve">top-down“) </w:t>
      </w:r>
      <w:r w:rsidRPr="006612D6">
        <w:rPr>
          <w:rFonts w:eastAsia="Calibri"/>
          <w:lang w:val="sr-Latn-RS" w:eastAsia="en-US"/>
        </w:rPr>
        <w:t xml:space="preserve">na plankton što može rezultirati promjenama u fitoplanktonu, zooplanktonu i ihtioplanltonu, biomasi i sastavu zajednica planktona, posebno u vrijeme stresa ekosistema zbog višestrukih pritisaka (Daskalov, 2002, Kirby </w:t>
      </w:r>
      <w:r w:rsidRPr="006612D6">
        <w:rPr>
          <w:rFonts w:eastAsia="Calibri"/>
          <w:i/>
          <w:iCs/>
          <w:lang w:val="sr-Latn-RS" w:eastAsia="en-US"/>
        </w:rPr>
        <w:t>et al.,</w:t>
      </w:r>
      <w:r w:rsidRPr="006612D6">
        <w:rPr>
          <w:rFonts w:eastAsia="Calibri"/>
          <w:lang w:val="sr-Latn-RS" w:eastAsia="en-US"/>
        </w:rPr>
        <w:t xml:space="preserve"> 2009). Prelov može rezultirati takvom planktonskom </w:t>
      </w:r>
      <w:r w:rsidR="00741F8B">
        <w:rPr>
          <w:rFonts w:eastAsia="Calibri"/>
          <w:lang w:val="sr-Latn-RS" w:eastAsia="en-US"/>
        </w:rPr>
        <w:t>prehrambenom</w:t>
      </w:r>
      <w:r w:rsidRPr="006612D6">
        <w:rPr>
          <w:rFonts w:eastAsia="Calibri"/>
          <w:lang w:val="sr-Latn-RS" w:eastAsia="en-US"/>
        </w:rPr>
        <w:t xml:space="preserve"> mrežom koja kulminira meduzama, a ne larvama, jer se larve </w:t>
      </w:r>
      <w:r w:rsidR="00741F8B">
        <w:rPr>
          <w:rFonts w:eastAsia="Calibri"/>
          <w:lang w:val="sr-Latn-RS" w:eastAsia="en-US"/>
        </w:rPr>
        <w:t xml:space="preserve">pod takvim pritiskom </w:t>
      </w:r>
      <w:r w:rsidRPr="006612D6">
        <w:rPr>
          <w:rFonts w:eastAsia="Calibri"/>
          <w:lang w:val="sr-Latn-RS" w:eastAsia="en-US"/>
        </w:rPr>
        <w:t xml:space="preserve">uklanjaju iz sistema. Ribolovne </w:t>
      </w:r>
      <w:r w:rsidR="00C430BE">
        <w:rPr>
          <w:rFonts w:eastAsia="Calibri"/>
          <w:lang w:val="sr-Latn-RS" w:eastAsia="en-US"/>
        </w:rPr>
        <w:t>aktivnosti</w:t>
      </w:r>
      <w:r w:rsidRPr="006612D6">
        <w:rPr>
          <w:rFonts w:eastAsia="Calibri"/>
          <w:lang w:val="sr-Latn-RS" w:eastAsia="en-US"/>
        </w:rPr>
        <w:t xml:space="preserve"> kojima se uništavaju bentoska staništa (D3, D6; dredža, kočarenje) pritisak su na plankton koji može promijeniti sistem zajednica zooplanktona smanjenjem </w:t>
      </w:r>
      <w:r w:rsidR="00741F8B">
        <w:rPr>
          <w:rFonts w:eastAsia="Calibri"/>
          <w:lang w:val="sr-Latn-RS" w:eastAsia="en-US"/>
        </w:rPr>
        <w:t>brojnosti</w:t>
      </w:r>
      <w:r w:rsidRPr="006612D6">
        <w:rPr>
          <w:rFonts w:eastAsia="Calibri"/>
          <w:lang w:val="sr-Latn-RS" w:eastAsia="en-US"/>
        </w:rPr>
        <w:t xml:space="preserve"> taksona meroplanktona (rakovi, kamenice, dagnje; Jennings </w:t>
      </w:r>
      <w:r w:rsidRPr="006612D6">
        <w:rPr>
          <w:rFonts w:eastAsia="Calibri"/>
          <w:i/>
          <w:iCs/>
          <w:lang w:val="sr-Latn-RS" w:eastAsia="en-US"/>
        </w:rPr>
        <w:t>et al..,</w:t>
      </w:r>
      <w:r w:rsidRPr="006612D6">
        <w:rPr>
          <w:rFonts w:eastAsia="Calibri"/>
          <w:lang w:val="sr-Latn-RS" w:eastAsia="en-US"/>
        </w:rPr>
        <w:t xml:space="preserve"> 2001.).</w:t>
      </w:r>
    </w:p>
    <w:p w14:paraId="639B499D" w14:textId="46584A41" w:rsidR="006612D6" w:rsidRPr="006612D6" w:rsidRDefault="00741F8B" w:rsidP="006612D6">
      <w:pPr>
        <w:rPr>
          <w:rFonts w:eastAsia="Calibri"/>
          <w:lang w:val="sr-Latn-RS" w:eastAsia="en-US"/>
        </w:rPr>
      </w:pPr>
      <w:r>
        <w:rPr>
          <w:rFonts w:eastAsia="Calibri"/>
          <w:lang w:val="sr-Latn-RS" w:eastAsia="en-US"/>
        </w:rPr>
        <w:t xml:space="preserve">Svi gore navedeni pritisci </w:t>
      </w:r>
      <w:r w:rsidR="006612D6" w:rsidRPr="006612D6">
        <w:rPr>
          <w:rFonts w:eastAsia="Calibri"/>
          <w:lang w:val="sr-Latn-RS" w:eastAsia="en-US"/>
        </w:rPr>
        <w:t xml:space="preserve">mogu direktno uticati na žive organizme, </w:t>
      </w:r>
      <w:r>
        <w:rPr>
          <w:rFonts w:eastAsia="Calibri"/>
          <w:lang w:val="sr-Latn-RS" w:eastAsia="en-US"/>
        </w:rPr>
        <w:t>u</w:t>
      </w:r>
      <w:r w:rsidR="006612D6" w:rsidRPr="006612D6">
        <w:rPr>
          <w:rFonts w:eastAsia="Calibri"/>
          <w:lang w:val="sr-Latn-RS" w:eastAsia="en-US"/>
        </w:rPr>
        <w:t>ti</w:t>
      </w:r>
      <w:r>
        <w:rPr>
          <w:rFonts w:eastAsia="Calibri"/>
          <w:lang w:val="sr-Latn-RS" w:eastAsia="en-US"/>
        </w:rPr>
        <w:t>čući</w:t>
      </w:r>
      <w:r w:rsidR="006612D6" w:rsidRPr="006612D6">
        <w:rPr>
          <w:rFonts w:eastAsia="Calibri"/>
          <w:lang w:val="sr-Latn-RS" w:eastAsia="en-US"/>
        </w:rPr>
        <w:t xml:space="preserve"> na njihovu pojavu, brojnost ili fiziološki status. Međutim, oni takođe mogu uzrokovati </w:t>
      </w:r>
      <w:r>
        <w:rPr>
          <w:rFonts w:eastAsia="Calibri"/>
          <w:lang w:val="sr-Latn-RS" w:eastAsia="en-US"/>
        </w:rPr>
        <w:t xml:space="preserve">i </w:t>
      </w:r>
      <w:r w:rsidR="006612D6" w:rsidRPr="006612D6">
        <w:rPr>
          <w:rFonts w:eastAsia="Calibri"/>
          <w:lang w:val="sr-Latn-RS" w:eastAsia="en-US"/>
        </w:rPr>
        <w:t xml:space="preserve">indirektne uticaje </w:t>
      </w:r>
      <w:r w:rsidR="00B100D2">
        <w:rPr>
          <w:rFonts w:eastAsia="Calibri"/>
          <w:lang w:val="sr-Latn-RS" w:eastAsia="en-US"/>
        </w:rPr>
        <w:t xml:space="preserve">mijenjajući odnose </w:t>
      </w:r>
      <w:r w:rsidR="006612D6" w:rsidRPr="006612D6">
        <w:rPr>
          <w:rFonts w:eastAsia="Calibri"/>
          <w:lang w:val="sr-Latn-RS" w:eastAsia="en-US"/>
        </w:rPr>
        <w:t>vrsta u prehrambenoj mreži ili utičući na staništa od kojih vrste zavise. Ti su pritisci široko rasprostranjeni u crnogorskom dijelu Jadranskog mora, na koji su osjetljive mnoge vrste i staništa.</w:t>
      </w:r>
    </w:p>
    <w:p w14:paraId="576400D9" w14:textId="77777777" w:rsidR="006612D6" w:rsidRPr="006612D6" w:rsidRDefault="006612D6" w:rsidP="006612D6">
      <w:pPr>
        <w:rPr>
          <w:bCs/>
          <w:szCs w:val="22"/>
          <w:lang w:val="sr-Latn-RS" w:eastAsia="en-US"/>
        </w:rPr>
      </w:pPr>
    </w:p>
    <w:p w14:paraId="3281657E" w14:textId="5086DD75" w:rsidR="006612D6" w:rsidRPr="00CF7E4B" w:rsidRDefault="00346DF4" w:rsidP="00CF7E4B">
      <w:pPr>
        <w:pStyle w:val="Heading3"/>
        <w:rPr>
          <w:rFonts w:eastAsia="Calibri"/>
          <w:lang w:val="en-GB" w:eastAsia="en-US"/>
        </w:rPr>
      </w:pPr>
      <w:bookmarkStart w:id="355" w:name="_Toc83630977"/>
      <w:r>
        <w:rPr>
          <w:rFonts w:eastAsia="Calibri"/>
          <w:lang w:val="en-GB" w:eastAsia="en-US"/>
        </w:rPr>
        <w:t xml:space="preserve">Odabir </w:t>
      </w:r>
      <w:r w:rsidR="006612D6" w:rsidRPr="00CF7E4B">
        <w:rPr>
          <w:rFonts w:eastAsia="Calibri"/>
          <w:lang w:val="en-GB" w:eastAsia="en-US"/>
        </w:rPr>
        <w:t>kriterijuma za procjenu GES-a</w:t>
      </w:r>
      <w:bookmarkEnd w:id="355"/>
    </w:p>
    <w:p w14:paraId="291F5264" w14:textId="6EB80E8C" w:rsidR="006612D6" w:rsidRPr="006612D6" w:rsidRDefault="006612D6" w:rsidP="006612D6">
      <w:pPr>
        <w:spacing w:before="0" w:after="0" w:line="256" w:lineRule="auto"/>
        <w:rPr>
          <w:szCs w:val="22"/>
          <w:lang w:val="sr-Latn-RS" w:eastAsia="en-US"/>
        </w:rPr>
      </w:pPr>
      <w:r w:rsidRPr="006612D6">
        <w:rPr>
          <w:szCs w:val="22"/>
          <w:lang w:val="sr-Latn-RS" w:eastAsia="en-US"/>
        </w:rPr>
        <w:t>Procjena GES-a pelagičnih staništa u Crnoj Gori je bazirana na primarn</w:t>
      </w:r>
      <w:r w:rsidR="00346DF4">
        <w:rPr>
          <w:szCs w:val="22"/>
          <w:lang w:val="sr-Latn-RS" w:eastAsia="en-US"/>
        </w:rPr>
        <w:t>om</w:t>
      </w:r>
      <w:r w:rsidRPr="006612D6">
        <w:rPr>
          <w:szCs w:val="22"/>
          <w:lang w:val="sr-Latn-RS" w:eastAsia="en-US"/>
        </w:rPr>
        <w:t xml:space="preserve"> kriterijum</w:t>
      </w:r>
      <w:r w:rsidR="00346DF4">
        <w:rPr>
          <w:szCs w:val="22"/>
          <w:lang w:val="sr-Latn-RS" w:eastAsia="en-US"/>
        </w:rPr>
        <w:t>u</w:t>
      </w:r>
      <w:r w:rsidRPr="006612D6">
        <w:rPr>
          <w:szCs w:val="22"/>
          <w:lang w:val="sr-Latn-RS" w:eastAsia="en-US"/>
        </w:rPr>
        <w:t xml:space="preserve"> D1C6 u skladu sa Odlukom Komisije </w:t>
      </w:r>
      <w:r w:rsidRPr="006612D6">
        <w:rPr>
          <w:rFonts w:eastAsia="Calibri"/>
          <w:szCs w:val="22"/>
          <w:lang w:val="sr-Latn-RS" w:eastAsia="en-US"/>
        </w:rPr>
        <w:t>2017/848/EU (Tabela 3.16).</w:t>
      </w:r>
    </w:p>
    <w:p w14:paraId="04100404" w14:textId="77777777" w:rsidR="00AA6D51" w:rsidRDefault="00AA6D51" w:rsidP="006612D6">
      <w:pPr>
        <w:spacing w:before="0" w:after="0" w:line="256" w:lineRule="auto"/>
        <w:rPr>
          <w:rFonts w:eastAsia="Calibri" w:cs="Calibri"/>
          <w:b/>
          <w:bCs/>
          <w:szCs w:val="22"/>
          <w:lang w:val="sr-Latn-RS" w:eastAsia="hr-HR"/>
        </w:rPr>
      </w:pPr>
    </w:p>
    <w:p w14:paraId="26131004" w14:textId="477AEC1E" w:rsidR="00346DF4" w:rsidRPr="00341C69" w:rsidRDefault="006612D6" w:rsidP="00346DF4">
      <w:pPr>
        <w:spacing w:before="0" w:after="200"/>
        <w:rPr>
          <w:rFonts w:eastAsia="Calibri"/>
          <w:b/>
          <w:szCs w:val="22"/>
          <w:lang w:eastAsia="en-US"/>
        </w:rPr>
      </w:pPr>
      <w:bookmarkStart w:id="356" w:name="_Toc83643213"/>
      <w:r w:rsidRPr="006612D6">
        <w:rPr>
          <w:rFonts w:eastAsia="Calibri" w:cs="Calibri"/>
          <w:b/>
          <w:bCs/>
          <w:szCs w:val="22"/>
          <w:lang w:val="sr-Latn-RS" w:eastAsia="hr-HR"/>
        </w:rPr>
        <w:t xml:space="preserve">Tabela </w:t>
      </w:r>
      <w:r w:rsidRPr="006612D6">
        <w:fldChar w:fldCharType="begin"/>
      </w:r>
      <w:r w:rsidRPr="006612D6">
        <w:rPr>
          <w:b/>
          <w:szCs w:val="22"/>
          <w:lang w:val="sr-Latn-RS"/>
        </w:rPr>
        <w:instrText xml:space="preserve"> STYLEREF 1 \s </w:instrText>
      </w:r>
      <w:r w:rsidRPr="006612D6">
        <w:fldChar w:fldCharType="separate"/>
      </w:r>
      <w:r w:rsidR="000D1E20">
        <w:rPr>
          <w:b/>
          <w:noProof/>
          <w:szCs w:val="22"/>
          <w:lang w:val="sr-Latn-RS"/>
        </w:rPr>
        <w:t>3</w:t>
      </w:r>
      <w:r w:rsidRPr="006612D6">
        <w:fldChar w:fldCharType="end"/>
      </w:r>
      <w:r w:rsidRPr="006612D6">
        <w:rPr>
          <w:b/>
          <w:szCs w:val="22"/>
          <w:lang w:val="sr-Latn-RS"/>
        </w:rPr>
        <w:t>.</w:t>
      </w:r>
      <w:r w:rsidRPr="006612D6">
        <w:fldChar w:fldCharType="begin"/>
      </w:r>
      <w:r w:rsidRPr="006612D6">
        <w:rPr>
          <w:b/>
          <w:szCs w:val="22"/>
          <w:lang w:val="sr-Latn-RS"/>
        </w:rPr>
        <w:instrText xml:space="preserve"> SEQ Table \* ARABIC \s 1 </w:instrText>
      </w:r>
      <w:r w:rsidRPr="006612D6">
        <w:fldChar w:fldCharType="separate"/>
      </w:r>
      <w:r w:rsidR="000D1E20">
        <w:rPr>
          <w:b/>
          <w:noProof/>
          <w:szCs w:val="22"/>
          <w:lang w:val="sr-Latn-RS"/>
        </w:rPr>
        <w:t>17</w:t>
      </w:r>
      <w:r w:rsidRPr="006612D6">
        <w:fldChar w:fldCharType="end"/>
      </w:r>
      <w:r w:rsidRPr="006612D6">
        <w:rPr>
          <w:b/>
          <w:szCs w:val="22"/>
          <w:lang w:val="sr-Latn-RS"/>
        </w:rPr>
        <w:t>.</w:t>
      </w:r>
      <w:r w:rsidRPr="006612D6">
        <w:rPr>
          <w:rFonts w:eastAsia="Calibri" w:cs="Calibri"/>
          <w:b/>
          <w:szCs w:val="22"/>
          <w:lang w:val="sr-Latn-RS" w:eastAsia="en-US"/>
        </w:rPr>
        <w:t xml:space="preserve"> </w:t>
      </w:r>
      <w:r w:rsidR="00346DF4">
        <w:rPr>
          <w:rFonts w:eastAsia="Calibri" w:cs="Calibri"/>
          <w:b/>
          <w:szCs w:val="22"/>
          <w:lang w:val="sr-Latn-RS" w:eastAsia="en-US"/>
        </w:rPr>
        <w:t>Elementi kriterijuma i kr</w:t>
      </w:r>
      <w:r w:rsidR="00DC1266">
        <w:rPr>
          <w:rFonts w:eastAsia="Calibri" w:cs="Calibri"/>
          <w:b/>
          <w:szCs w:val="22"/>
          <w:lang w:val="sr-Latn-RS" w:eastAsia="en-US"/>
        </w:rPr>
        <w:t>i</w:t>
      </w:r>
      <w:r w:rsidR="00346DF4">
        <w:rPr>
          <w:rFonts w:eastAsia="Calibri" w:cs="Calibri"/>
          <w:b/>
          <w:szCs w:val="22"/>
          <w:lang w:val="sr-Latn-RS" w:eastAsia="en-US"/>
        </w:rPr>
        <w:t>t</w:t>
      </w:r>
      <w:r w:rsidR="00DC1266">
        <w:rPr>
          <w:rFonts w:eastAsia="Calibri" w:cs="Calibri"/>
          <w:b/>
          <w:szCs w:val="22"/>
          <w:lang w:val="sr-Latn-RS" w:eastAsia="en-US"/>
        </w:rPr>
        <w:t>er</w:t>
      </w:r>
      <w:r w:rsidR="00346DF4">
        <w:rPr>
          <w:rFonts w:eastAsia="Calibri" w:cs="Calibri"/>
          <w:b/>
          <w:szCs w:val="22"/>
          <w:lang w:val="sr-Latn-RS" w:eastAsia="en-US"/>
        </w:rPr>
        <w:t xml:space="preserve">ijum za procjenu </w:t>
      </w:r>
      <w:r w:rsidR="00346DF4">
        <w:rPr>
          <w:rFonts w:eastAsia="Calibri"/>
          <w:b/>
          <w:szCs w:val="22"/>
          <w:lang w:eastAsia="en-US"/>
        </w:rPr>
        <w:t xml:space="preserve">GES-a </w:t>
      </w:r>
      <w:r w:rsidR="00346DF4" w:rsidRPr="0046315C">
        <w:rPr>
          <w:rFonts w:eastAsia="Calibri"/>
          <w:b/>
          <w:szCs w:val="22"/>
          <w:lang w:eastAsia="en-US"/>
        </w:rPr>
        <w:t xml:space="preserve"> za </w:t>
      </w:r>
      <w:r w:rsidR="00346DF4">
        <w:rPr>
          <w:rFonts w:eastAsia="Calibri"/>
          <w:b/>
          <w:szCs w:val="22"/>
          <w:lang w:eastAsia="en-US"/>
        </w:rPr>
        <w:t xml:space="preserve">za pelagična staništa u skladu sa </w:t>
      </w:r>
      <w:r w:rsidR="00346DF4" w:rsidRPr="0046315C">
        <w:rPr>
          <w:rFonts w:eastAsia="Calibri"/>
          <w:b/>
          <w:szCs w:val="22"/>
          <w:lang w:eastAsia="en-US"/>
        </w:rPr>
        <w:t xml:space="preserve"> Odlu</w:t>
      </w:r>
      <w:r w:rsidR="00346DF4">
        <w:rPr>
          <w:rFonts w:eastAsia="Calibri"/>
          <w:b/>
          <w:szCs w:val="22"/>
          <w:lang w:eastAsia="en-US"/>
        </w:rPr>
        <w:t xml:space="preserve">kom </w:t>
      </w:r>
      <w:r w:rsidR="00346DF4" w:rsidRPr="0046315C">
        <w:rPr>
          <w:rFonts w:eastAsia="Calibri"/>
          <w:b/>
          <w:szCs w:val="22"/>
          <w:lang w:eastAsia="en-US"/>
        </w:rPr>
        <w:t>Komisije 2017/848/EU</w:t>
      </w:r>
      <w:bookmarkEnd w:id="356"/>
    </w:p>
    <w:tbl>
      <w:tblPr>
        <w:tblStyle w:val="GolderTable15"/>
        <w:tblW w:w="0" w:type="auto"/>
        <w:tblInd w:w="108" w:type="dxa"/>
        <w:tblLook w:val="04A0" w:firstRow="1" w:lastRow="0" w:firstColumn="1" w:lastColumn="0" w:noHBand="0" w:noVBand="1"/>
      </w:tblPr>
      <w:tblGrid>
        <w:gridCol w:w="3018"/>
        <w:gridCol w:w="4447"/>
        <w:gridCol w:w="1448"/>
      </w:tblGrid>
      <w:tr w:rsidR="006612D6" w:rsidRPr="006612D6" w14:paraId="79F6C6AE" w14:textId="77777777" w:rsidTr="00AC0DCF">
        <w:trPr>
          <w:tblHeader/>
        </w:trPr>
        <w:tc>
          <w:tcPr>
            <w:tcW w:w="30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371D5519" w14:textId="77777777" w:rsidR="006612D6" w:rsidRPr="006F740E" w:rsidRDefault="006612D6" w:rsidP="006612D6">
            <w:pPr>
              <w:autoSpaceDE w:val="0"/>
              <w:autoSpaceDN w:val="0"/>
              <w:adjustRightInd w:val="0"/>
              <w:spacing w:before="0" w:after="0" w:line="240" w:lineRule="auto"/>
              <w:rPr>
                <w:rFonts w:cs="Calibri"/>
                <w:b/>
                <w:color w:val="FFFFFF" w:themeColor="background1"/>
                <w:lang w:val="sr-Latn-RS" w:eastAsia="en-US"/>
              </w:rPr>
            </w:pPr>
            <w:r w:rsidRPr="006F740E">
              <w:rPr>
                <w:rFonts w:cs="Calibri"/>
                <w:b/>
                <w:color w:val="FFFFFF" w:themeColor="background1"/>
                <w:lang w:val="sr-Latn-RS" w:eastAsia="en-US"/>
              </w:rPr>
              <w:t>Elementi kriterijuma</w:t>
            </w:r>
          </w:p>
          <w:p w14:paraId="7B567D84" w14:textId="77777777" w:rsidR="006612D6" w:rsidRPr="006F740E" w:rsidRDefault="006612D6" w:rsidP="006612D6">
            <w:pPr>
              <w:spacing w:before="0" w:after="0" w:line="240" w:lineRule="auto"/>
              <w:rPr>
                <w:b/>
                <w:color w:val="FFFFFF" w:themeColor="background1"/>
                <w:lang w:val="sr-Latn-RS" w:eastAsia="en-US"/>
              </w:rPr>
            </w:pPr>
          </w:p>
        </w:tc>
        <w:tc>
          <w:tcPr>
            <w:tcW w:w="44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401A1E33" w14:textId="77777777" w:rsidR="006612D6" w:rsidRPr="006F740E" w:rsidRDefault="006612D6" w:rsidP="006612D6">
            <w:pPr>
              <w:autoSpaceDE w:val="0"/>
              <w:autoSpaceDN w:val="0"/>
              <w:adjustRightInd w:val="0"/>
              <w:spacing w:before="0" w:after="0" w:line="240" w:lineRule="auto"/>
              <w:jc w:val="left"/>
              <w:rPr>
                <w:rFonts w:cs="Calibri"/>
                <w:b/>
                <w:color w:val="FFFFFF" w:themeColor="background1"/>
                <w:lang w:val="sr-Latn-RS" w:eastAsia="en-US"/>
              </w:rPr>
            </w:pPr>
            <w:r w:rsidRPr="006F740E">
              <w:rPr>
                <w:rFonts w:cs="Calibri"/>
                <w:b/>
                <w:color w:val="FFFFFF" w:themeColor="background1"/>
                <w:lang w:val="sr-Latn-RS" w:eastAsia="en-US"/>
              </w:rPr>
              <w:t>Kriterijum</w:t>
            </w:r>
          </w:p>
        </w:tc>
        <w:tc>
          <w:tcPr>
            <w:tcW w:w="14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45055E13" w14:textId="65777657" w:rsidR="006612D6" w:rsidRPr="006F740E" w:rsidRDefault="00C430BE" w:rsidP="006612D6">
            <w:pPr>
              <w:autoSpaceDE w:val="0"/>
              <w:autoSpaceDN w:val="0"/>
              <w:adjustRightInd w:val="0"/>
              <w:spacing w:before="0" w:after="0" w:line="240" w:lineRule="auto"/>
              <w:jc w:val="left"/>
              <w:rPr>
                <w:rFonts w:cs="Calibri"/>
                <w:b/>
                <w:color w:val="FFFFFF" w:themeColor="background1"/>
                <w:lang w:val="sr-Latn-RS" w:eastAsia="en-US"/>
              </w:rPr>
            </w:pPr>
            <w:r w:rsidRPr="006F740E">
              <w:rPr>
                <w:rFonts w:cs="Calibri"/>
                <w:b/>
                <w:color w:val="FFFFFF" w:themeColor="background1"/>
                <w:lang w:val="sr-Latn-RS" w:eastAsia="en-US"/>
              </w:rPr>
              <w:t>CG</w:t>
            </w:r>
            <w:r w:rsidR="006612D6" w:rsidRPr="006F740E">
              <w:rPr>
                <w:rFonts w:cs="Calibri"/>
                <w:b/>
                <w:color w:val="FFFFFF" w:themeColor="background1"/>
                <w:lang w:val="sr-Latn-RS" w:eastAsia="en-US"/>
              </w:rPr>
              <w:t xml:space="preserve"> GES pokrivenost</w:t>
            </w:r>
            <w:r w:rsidR="006612D6" w:rsidRPr="006F740E">
              <w:rPr>
                <w:b/>
                <w:color w:val="FFFFFF" w:themeColor="background1"/>
                <w:vertAlign w:val="superscript"/>
                <w:lang w:val="sr-Latn-RS" w:eastAsia="en-US"/>
              </w:rPr>
              <w:footnoteReference w:id="69"/>
            </w:r>
            <w:r w:rsidR="006612D6" w:rsidRPr="006F740E">
              <w:rPr>
                <w:rFonts w:cs="Calibri"/>
                <w:b/>
                <w:color w:val="FFFFFF" w:themeColor="background1"/>
                <w:lang w:val="sr-Latn-RS" w:eastAsia="en-US"/>
              </w:rPr>
              <w:t xml:space="preserve"> </w:t>
            </w:r>
          </w:p>
        </w:tc>
      </w:tr>
      <w:tr w:rsidR="006612D6" w:rsidRPr="006612D6" w14:paraId="772C67AB" w14:textId="77777777" w:rsidTr="006F740E">
        <w:tc>
          <w:tcPr>
            <w:tcW w:w="3018" w:type="dxa"/>
            <w:tcBorders>
              <w:top w:val="single" w:sz="4" w:space="0" w:color="FFFFFF" w:themeColor="background1"/>
              <w:left w:val="single" w:sz="4" w:space="0" w:color="auto"/>
              <w:bottom w:val="single" w:sz="4" w:space="0" w:color="auto"/>
              <w:right w:val="single" w:sz="4" w:space="0" w:color="auto"/>
            </w:tcBorders>
          </w:tcPr>
          <w:p w14:paraId="7221507A" w14:textId="4757070D" w:rsidR="006612D6" w:rsidRPr="006612D6" w:rsidRDefault="006612D6" w:rsidP="00417D2F">
            <w:pPr>
              <w:rPr>
                <w:rFonts w:eastAsia="Times New Roman"/>
                <w:sz w:val="20"/>
                <w:szCs w:val="20"/>
                <w:lang w:val="sr-Latn-RS" w:eastAsia="en-US"/>
              </w:rPr>
            </w:pPr>
            <w:r w:rsidRPr="006612D6">
              <w:rPr>
                <w:sz w:val="20"/>
                <w:szCs w:val="20"/>
                <w:lang w:val="sr-Latn-RS" w:eastAsia="en-US"/>
              </w:rPr>
              <w:t xml:space="preserve">Široki tipovi pelagičnih staništa </w:t>
            </w:r>
          </w:p>
        </w:tc>
        <w:tc>
          <w:tcPr>
            <w:tcW w:w="4447" w:type="dxa"/>
            <w:tcBorders>
              <w:top w:val="single" w:sz="4" w:space="0" w:color="FFFFFF" w:themeColor="background1"/>
              <w:left w:val="single" w:sz="4" w:space="0" w:color="auto"/>
              <w:bottom w:val="single" w:sz="4" w:space="0" w:color="auto"/>
              <w:right w:val="single" w:sz="4" w:space="0" w:color="auto"/>
            </w:tcBorders>
          </w:tcPr>
          <w:p w14:paraId="03194652" w14:textId="77777777" w:rsidR="006612D6" w:rsidRPr="006612D6" w:rsidRDefault="006612D6" w:rsidP="006612D6">
            <w:pPr>
              <w:spacing w:before="0" w:after="0" w:line="240" w:lineRule="auto"/>
              <w:jc w:val="left"/>
              <w:rPr>
                <w:rFonts w:cs="Calibri"/>
                <w:b/>
                <w:sz w:val="20"/>
                <w:szCs w:val="20"/>
                <w:lang w:val="sr-Latn-RS" w:eastAsia="en-US"/>
              </w:rPr>
            </w:pPr>
            <w:r w:rsidRPr="006612D6">
              <w:rPr>
                <w:rFonts w:cs="Calibri"/>
                <w:b/>
                <w:sz w:val="20"/>
                <w:szCs w:val="20"/>
                <w:lang w:val="sr-Latn-RS" w:eastAsia="en-US"/>
              </w:rPr>
              <w:t>D1C6 — Primarni:</w:t>
            </w:r>
          </w:p>
          <w:p w14:paraId="783978A7" w14:textId="62C2C7F4" w:rsidR="006612D6" w:rsidRPr="00C87B62" w:rsidRDefault="006612D6" w:rsidP="00C87B62">
            <w:pPr>
              <w:rPr>
                <w:sz w:val="20"/>
                <w:szCs w:val="20"/>
                <w:lang w:val="sr-Latn-RS" w:eastAsia="en-US"/>
              </w:rPr>
            </w:pPr>
            <w:r w:rsidRPr="006612D6">
              <w:rPr>
                <w:sz w:val="20"/>
                <w:szCs w:val="20"/>
                <w:lang w:val="sr-Latn-RS" w:eastAsia="en-US"/>
              </w:rPr>
              <w:t>Stanje tipa staništa, uključujući njegovu biotičku i abiotičku strukturu i njegove funkcije (npr. tipični sastav vrsta i njihova relativna brojnost, odsustvo posebno osjetljivih vrsta ili vrsta koje imaju ključnu funkciju, struktura vrste prema veličini), nije pogorša</w:t>
            </w:r>
            <w:r w:rsidR="00C87B62">
              <w:rPr>
                <w:sz w:val="20"/>
                <w:szCs w:val="20"/>
                <w:lang w:val="sr-Latn-RS" w:eastAsia="en-US"/>
              </w:rPr>
              <w:t>no zbog antropogenih pritisaka.</w:t>
            </w:r>
          </w:p>
        </w:tc>
        <w:tc>
          <w:tcPr>
            <w:tcW w:w="1448" w:type="dxa"/>
            <w:tcBorders>
              <w:top w:val="single" w:sz="4" w:space="0" w:color="FFFFFF" w:themeColor="background1"/>
              <w:left w:val="single" w:sz="4" w:space="0" w:color="auto"/>
              <w:bottom w:val="single" w:sz="4" w:space="0" w:color="auto"/>
              <w:right w:val="single" w:sz="4" w:space="0" w:color="auto"/>
            </w:tcBorders>
            <w:hideMark/>
          </w:tcPr>
          <w:p w14:paraId="4FD69C06"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Pokriveno</w:t>
            </w:r>
          </w:p>
        </w:tc>
      </w:tr>
    </w:tbl>
    <w:p w14:paraId="6869F0D5" w14:textId="77777777" w:rsidR="002D1379" w:rsidRDefault="002D1379" w:rsidP="006612D6">
      <w:pPr>
        <w:rPr>
          <w:rFonts w:eastAsia="Calibri"/>
          <w:lang w:val="sr-Latn-RS" w:eastAsia="en-US"/>
        </w:rPr>
      </w:pPr>
    </w:p>
    <w:p w14:paraId="657DB81A" w14:textId="77777777" w:rsidR="00C87B62" w:rsidRPr="006612D6" w:rsidRDefault="00C87B62" w:rsidP="006612D6">
      <w:pPr>
        <w:rPr>
          <w:rFonts w:eastAsia="Calibri"/>
          <w:lang w:val="sr-Latn-RS" w:eastAsia="en-US"/>
        </w:rPr>
      </w:pPr>
    </w:p>
    <w:p w14:paraId="0850E2F4" w14:textId="6E780E8D" w:rsidR="006612D6" w:rsidRPr="00CF7E4B" w:rsidRDefault="00346DF4" w:rsidP="006A72D8">
      <w:pPr>
        <w:pStyle w:val="Heading3"/>
        <w:ind w:left="993" w:hanging="709"/>
        <w:rPr>
          <w:rFonts w:eastAsia="Calibri"/>
          <w:lang w:val="en-GB" w:eastAsia="en-US"/>
        </w:rPr>
      </w:pPr>
      <w:bookmarkStart w:id="357" w:name="_Toc83630978"/>
      <w:bookmarkStart w:id="358" w:name="_Toc69678428"/>
      <w:r w:rsidRPr="00496597">
        <w:rPr>
          <w:rFonts w:eastAsia="Calibri"/>
          <w:lang w:val="en-GB" w:eastAsia="en-US"/>
        </w:rPr>
        <w:t xml:space="preserve">Rezime stanja </w:t>
      </w:r>
      <w:r w:rsidR="006612D6" w:rsidRPr="00496597">
        <w:rPr>
          <w:rFonts w:eastAsia="Calibri"/>
          <w:lang w:val="en-GB" w:eastAsia="en-US"/>
        </w:rPr>
        <w:t>pelagičnih</w:t>
      </w:r>
      <w:r w:rsidR="006612D6" w:rsidRPr="00CF7E4B">
        <w:rPr>
          <w:rFonts w:eastAsia="Calibri"/>
          <w:lang w:val="en-GB" w:eastAsia="en-US"/>
        </w:rPr>
        <w:t xml:space="preserve"> staništa na osnovu </w:t>
      </w:r>
      <w:r w:rsidR="00CF7E4B">
        <w:rPr>
          <w:rFonts w:eastAsia="Calibri"/>
          <w:lang w:val="en-GB" w:eastAsia="en-US"/>
        </w:rPr>
        <w:t>Početne procjene</w:t>
      </w:r>
      <w:bookmarkEnd w:id="357"/>
      <w:r w:rsidR="00CF7E4B">
        <w:rPr>
          <w:rFonts w:eastAsia="Calibri"/>
          <w:lang w:val="en-GB" w:eastAsia="en-US"/>
        </w:rPr>
        <w:t xml:space="preserve"> </w:t>
      </w:r>
      <w:bookmarkEnd w:id="358"/>
    </w:p>
    <w:p w14:paraId="221F6BFB" w14:textId="2E9DE77E" w:rsidR="006612D6" w:rsidRPr="006612D6" w:rsidRDefault="006612D6" w:rsidP="006612D6">
      <w:pPr>
        <w:spacing w:before="0" w:after="0"/>
        <w:rPr>
          <w:bCs/>
          <w:szCs w:val="22"/>
          <w:lang w:val="sr-Latn-RS" w:eastAsia="en-US"/>
        </w:rPr>
      </w:pPr>
      <w:r w:rsidRPr="006612D6">
        <w:rPr>
          <w:bCs/>
          <w:szCs w:val="22"/>
          <w:lang w:val="sr-Latn-RS" w:eastAsia="en-US"/>
        </w:rPr>
        <w:t>U sklopu dokumenta „Početna procjena stanja mors</w:t>
      </w:r>
      <w:r w:rsidR="00B100D2">
        <w:rPr>
          <w:bCs/>
          <w:szCs w:val="22"/>
          <w:lang w:val="sr-Latn-RS" w:eastAsia="en-US"/>
        </w:rPr>
        <w:t>e sredine Crne Gore</w:t>
      </w:r>
      <w:r w:rsidRPr="006612D6">
        <w:rPr>
          <w:bCs/>
          <w:szCs w:val="22"/>
          <w:lang w:val="sr-Latn-RS" w:eastAsia="en-US"/>
        </w:rPr>
        <w:t>“ (2020), kada je riječ o statusu fitoplanktona, zooplanktona i ihtioplanktona, svi dostupni podaci o ukupnoj brojnosti, prostornoj distribuciji, brojnosti vrsta i kvalitativnom sastavu vrsta su analizirani.</w:t>
      </w:r>
    </w:p>
    <w:p w14:paraId="2A7E3EA6" w14:textId="77777777" w:rsidR="006612D6" w:rsidRPr="006612D6" w:rsidRDefault="006612D6" w:rsidP="006612D6">
      <w:pPr>
        <w:spacing w:before="0" w:after="0"/>
        <w:rPr>
          <w:bCs/>
          <w:szCs w:val="22"/>
          <w:lang w:val="sr-Latn-RS" w:eastAsia="en-US"/>
        </w:rPr>
      </w:pPr>
    </w:p>
    <w:p w14:paraId="5F4E099B" w14:textId="77777777" w:rsidR="00784F42" w:rsidRPr="00AA528C" w:rsidRDefault="00784F42" w:rsidP="00784F42">
      <w:pPr>
        <w:contextualSpacing/>
        <w:rPr>
          <w:rFonts w:eastAsia="Calibri" w:cs="Calibri"/>
          <w:b/>
          <w:u w:val="single"/>
          <w:lang w:val="en-GB"/>
        </w:rPr>
      </w:pPr>
      <w:bookmarkStart w:id="359" w:name="_Hlk68162774"/>
      <w:r w:rsidRPr="00AA528C">
        <w:rPr>
          <w:rFonts w:eastAsia="Calibri" w:cs="Calibri"/>
          <w:b/>
          <w:u w:val="single"/>
          <w:lang w:val="en-GB"/>
        </w:rPr>
        <w:t>Stanje fitoplanktona</w:t>
      </w:r>
    </w:p>
    <w:p w14:paraId="4FD376E5" w14:textId="77777777" w:rsidR="00784F42" w:rsidRPr="00AA528C" w:rsidRDefault="00784F42" w:rsidP="00784F42">
      <w:pPr>
        <w:contextualSpacing/>
        <w:rPr>
          <w:rFonts w:eastAsia="Calibri" w:cs="Calibri"/>
          <w:b/>
          <w:u w:val="single"/>
          <w:lang w:val="en-GB"/>
        </w:rPr>
      </w:pPr>
    </w:p>
    <w:p w14:paraId="5022D04D" w14:textId="7AD1FB8E" w:rsidR="00784F42" w:rsidRPr="00AA528C" w:rsidRDefault="00784F42" w:rsidP="00784F42">
      <w:pPr>
        <w:contextualSpacing/>
        <w:rPr>
          <w:rFonts w:eastAsia="Calibri" w:cs="Calibri"/>
          <w:lang w:val="en-GB"/>
        </w:rPr>
      </w:pPr>
      <w:r w:rsidRPr="00AA528C">
        <w:rPr>
          <w:rFonts w:eastAsia="Calibri" w:cs="Calibri"/>
          <w:lang w:val="en-GB"/>
        </w:rPr>
        <w:t xml:space="preserve">Procjena </w:t>
      </w:r>
      <w:r w:rsidR="009E227E">
        <w:rPr>
          <w:rFonts w:eastAsia="Calibri" w:cs="Calibri"/>
          <w:lang w:val="en-GB"/>
        </w:rPr>
        <w:t>G</w:t>
      </w:r>
      <w:r w:rsidRPr="00AA528C">
        <w:rPr>
          <w:rFonts w:eastAsia="Calibri" w:cs="Calibri"/>
          <w:lang w:val="en-GB"/>
        </w:rPr>
        <w:t>ES-a za fitoplankton zasniva se na podacima o brojnosti, biomasi, sastavu vrsta, vrijednostima izračunatih indeksa biodiverziteta, kao i učestalosti cvjetanja (Poglavlje 2.2.1 P</w:t>
      </w:r>
      <w:r w:rsidR="00B100D2">
        <w:rPr>
          <w:rFonts w:eastAsia="Calibri" w:cs="Calibri"/>
          <w:lang w:val="en-GB"/>
        </w:rPr>
        <w:t xml:space="preserve">očetne prcjene). </w:t>
      </w:r>
      <w:r w:rsidRPr="00AA528C">
        <w:rPr>
          <w:rFonts w:eastAsia="Calibri" w:cs="Calibri"/>
          <w:lang w:val="en-GB"/>
        </w:rPr>
        <w:t>Ukupna brojnost fitoplanktonske zajednice kretala se od 2,34 x10</w:t>
      </w:r>
      <w:r w:rsidRPr="00AA528C">
        <w:rPr>
          <w:rFonts w:eastAsia="Calibri" w:cs="Calibri"/>
          <w:vertAlign w:val="superscript"/>
          <w:lang w:val="en-GB"/>
        </w:rPr>
        <w:t>4</w:t>
      </w:r>
      <w:r w:rsidRPr="00AA528C">
        <w:rPr>
          <w:rFonts w:eastAsia="Calibri" w:cs="Calibri"/>
          <w:lang w:val="en-GB"/>
        </w:rPr>
        <w:t xml:space="preserve"> ćelija/L do 7,83 x 10</w:t>
      </w:r>
      <w:r w:rsidRPr="00AA528C">
        <w:rPr>
          <w:rFonts w:eastAsia="Calibri" w:cs="Calibri"/>
          <w:vertAlign w:val="superscript"/>
          <w:lang w:val="en-GB"/>
        </w:rPr>
        <w:t>6</w:t>
      </w:r>
      <w:r w:rsidRPr="00AA528C">
        <w:rPr>
          <w:rFonts w:eastAsia="Calibri" w:cs="Calibri"/>
          <w:lang w:val="en-GB"/>
        </w:rPr>
        <w:t xml:space="preserve"> ćelija/L u Bokokotorskom zalivu i od 7,79 x 10</w:t>
      </w:r>
      <w:r w:rsidRPr="00AA528C">
        <w:rPr>
          <w:rFonts w:eastAsia="Calibri" w:cs="Calibri"/>
          <w:vertAlign w:val="superscript"/>
          <w:lang w:val="en-GB"/>
        </w:rPr>
        <w:t>4</w:t>
      </w:r>
      <w:r w:rsidRPr="00AA528C">
        <w:rPr>
          <w:rFonts w:eastAsia="Calibri" w:cs="Calibri"/>
          <w:lang w:val="en-GB"/>
        </w:rPr>
        <w:t xml:space="preserve"> ćelija/L do 1,95 x 10</w:t>
      </w:r>
      <w:r w:rsidRPr="00AA528C">
        <w:rPr>
          <w:rFonts w:eastAsia="Calibri" w:cs="Calibri"/>
          <w:vertAlign w:val="superscript"/>
          <w:lang w:val="en-GB"/>
        </w:rPr>
        <w:t>6</w:t>
      </w:r>
      <w:r w:rsidRPr="00AA528C">
        <w:rPr>
          <w:rFonts w:eastAsia="Calibri" w:cs="Calibri"/>
          <w:lang w:val="en-GB"/>
        </w:rPr>
        <w:t xml:space="preserve"> ćelija/L u priobalnom dijelu otvorenog mora. Variranje brojnosti povezano je sa sezonskim ciklusima koji su uglavnom uslovljeni prirodnim procesima promjene hidrografskih uslova. Vrijednosti brojnosti nalaze se u granicama brojnosti fitoplanktona za cijelo Jadransko i Sredozemno more ('Ažurirani dokument morske strategije u Hrvatskoj, 2019</w:t>
      </w:r>
      <w:r w:rsidRPr="00AA528C">
        <w:rPr>
          <w:rFonts w:eastAsia="Calibri" w:cs="Calibri"/>
          <w:vertAlign w:val="superscript"/>
          <w:lang w:val="en-GB"/>
        </w:rPr>
        <w:t>2</w:t>
      </w:r>
      <w:r w:rsidRPr="00AA528C">
        <w:rPr>
          <w:rFonts w:eastAsia="Calibri" w:cs="Calibri"/>
          <w:lang w:val="en-GB"/>
        </w:rPr>
        <w:t>').</w:t>
      </w:r>
    </w:p>
    <w:p w14:paraId="629E09FD" w14:textId="77777777" w:rsidR="00784F42" w:rsidRPr="00AA528C" w:rsidRDefault="00784F42" w:rsidP="00784F42">
      <w:pPr>
        <w:contextualSpacing/>
        <w:rPr>
          <w:rFonts w:eastAsia="Calibri" w:cs="Calibri"/>
          <w:lang w:val="en-GB"/>
        </w:rPr>
      </w:pPr>
    </w:p>
    <w:bookmarkEnd w:id="359"/>
    <w:p w14:paraId="63F21DF4" w14:textId="6821091D" w:rsidR="00784F42" w:rsidRDefault="00784F42" w:rsidP="00784F42">
      <w:pPr>
        <w:rPr>
          <w:rFonts w:eastAsia="Calibri" w:cs="Calibri"/>
          <w:bCs/>
          <w:lang w:val="en-GB"/>
        </w:rPr>
      </w:pPr>
      <w:r w:rsidRPr="00AA528C">
        <w:rPr>
          <w:rFonts w:eastAsia="Calibri" w:cs="Calibri"/>
          <w:bCs/>
          <w:lang w:val="en-GB"/>
        </w:rPr>
        <w:t>Grupe mikroplanktona koje najviše doprinose ukupnoj brojnosti fitoplanktonskih zajednica na istraženim lokacijama na području zaliva i u priobalnom dijelu otvorenog mora su dijatomeje,</w:t>
      </w:r>
      <w:r w:rsidR="009E227E">
        <w:rPr>
          <w:rFonts w:eastAsia="Calibri" w:cs="Calibri"/>
          <w:bCs/>
          <w:lang w:val="en-GB"/>
        </w:rPr>
        <w:t xml:space="preserve"> </w:t>
      </w:r>
      <w:r w:rsidRPr="00AA528C">
        <w:rPr>
          <w:rFonts w:eastAsia="Calibri" w:cs="Calibri"/>
          <w:bCs/>
          <w:lang w:val="en-GB"/>
        </w:rPr>
        <w:t xml:space="preserve">zatim dinoflagelati. Dijatomeje su dominantne i sa nešto većim doprinosom u priobalnom području </w:t>
      </w:r>
      <w:r w:rsidR="009E227E">
        <w:rPr>
          <w:rFonts w:eastAsia="Calibri" w:cs="Calibri"/>
          <w:bCs/>
          <w:lang w:val="en-GB"/>
        </w:rPr>
        <w:t xml:space="preserve">otvorenog mora </w:t>
      </w:r>
      <w:r w:rsidRPr="00AA528C">
        <w:rPr>
          <w:rFonts w:eastAsia="Calibri" w:cs="Calibri"/>
          <w:bCs/>
          <w:lang w:val="en-GB"/>
        </w:rPr>
        <w:t>u poređenju sa zalivskim područjem (Slika 3.1).</w:t>
      </w:r>
    </w:p>
    <w:p w14:paraId="566780AA" w14:textId="77777777" w:rsidR="006A72D8" w:rsidRPr="00AA528C" w:rsidRDefault="006A72D8" w:rsidP="00784F42">
      <w:pPr>
        <w:rPr>
          <w:rFonts w:eastAsia="Calibri" w:cs="Calibri"/>
          <w:bCs/>
          <w:lang w:val="en-GB"/>
        </w:rPr>
      </w:pPr>
    </w:p>
    <w:p w14:paraId="5CFF298F" w14:textId="450E5B76" w:rsidR="00784F42" w:rsidRDefault="00784F42" w:rsidP="002D1379">
      <w:pPr>
        <w:spacing w:before="0" w:after="200" w:line="240" w:lineRule="auto"/>
        <w:jc w:val="left"/>
        <w:rPr>
          <w:rFonts w:eastAsia="Calibri"/>
          <w:b/>
          <w:szCs w:val="22"/>
          <w:lang w:val="en-GB" w:eastAsia="en-US"/>
        </w:rPr>
      </w:pPr>
      <w:r w:rsidRPr="001C6CCA">
        <w:rPr>
          <w:rFonts w:eastAsia="Calibri"/>
          <w:noProof/>
          <w:szCs w:val="22"/>
          <w:lang w:eastAsia="en-US"/>
        </w:rPr>
        <w:drawing>
          <wp:anchor distT="0" distB="0" distL="114300" distR="114300" simplePos="0" relativeHeight="251809792" behindDoc="0" locked="0" layoutInCell="1" allowOverlap="1" wp14:anchorId="4163D672" wp14:editId="6EDA7DDC">
            <wp:simplePos x="0" y="0"/>
            <wp:positionH relativeFrom="column">
              <wp:posOffset>2929024</wp:posOffset>
            </wp:positionH>
            <wp:positionV relativeFrom="paragraph">
              <wp:posOffset>8024</wp:posOffset>
            </wp:positionV>
            <wp:extent cx="2758440" cy="1623060"/>
            <wp:effectExtent l="0" t="0" r="3810" b="0"/>
            <wp:wrapNone/>
            <wp:docPr id="28" name="Picture 2" descr="G:\MSFD IPA projekat\Početna procjena\fitopl.grupe udio otvore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MSFD IPA projekat\Početna procjena\fitopl.grupe udio otvoreno.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758440" cy="1623060"/>
                    </a:xfrm>
                    <a:prstGeom prst="rect">
                      <a:avLst/>
                    </a:prstGeom>
                    <a:noFill/>
                    <a:ln w="9525">
                      <a:noFill/>
                      <a:miter lim="800000"/>
                      <a:headEnd/>
                      <a:tailEnd/>
                    </a:ln>
                  </pic:spPr>
                </pic:pic>
              </a:graphicData>
            </a:graphic>
          </wp:anchor>
        </w:drawing>
      </w:r>
      <w:r w:rsidRPr="001C6CCA">
        <w:rPr>
          <w:rFonts w:eastAsia="Calibri"/>
          <w:noProof/>
          <w:szCs w:val="22"/>
          <w:lang w:eastAsia="en-US"/>
        </w:rPr>
        <w:drawing>
          <wp:anchor distT="0" distB="0" distL="114300" distR="114300" simplePos="0" relativeHeight="251808768" behindDoc="0" locked="0" layoutInCell="1" allowOverlap="1" wp14:anchorId="1D2A8447" wp14:editId="43CDC76D">
            <wp:simplePos x="0" y="0"/>
            <wp:positionH relativeFrom="margin">
              <wp:align>left</wp:align>
            </wp:positionH>
            <wp:positionV relativeFrom="paragraph">
              <wp:posOffset>10679</wp:posOffset>
            </wp:positionV>
            <wp:extent cx="2822458" cy="1623060"/>
            <wp:effectExtent l="0" t="0" r="0" b="0"/>
            <wp:wrapNone/>
            <wp:docPr id="30" name="Picture 1" descr="G:\MSFD IPA projekat\Početna procjena\fitopl.grupe udio zal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SFD IPA projekat\Početna procjena\fitopl.grupe udio zaliv.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822458" cy="1623060"/>
                    </a:xfrm>
                    <a:prstGeom prst="rect">
                      <a:avLst/>
                    </a:prstGeom>
                    <a:noFill/>
                    <a:ln w="9525">
                      <a:noFill/>
                      <a:miter lim="800000"/>
                      <a:headEnd/>
                      <a:tailEnd/>
                    </a:ln>
                  </pic:spPr>
                </pic:pic>
              </a:graphicData>
            </a:graphic>
          </wp:anchor>
        </w:drawing>
      </w:r>
    </w:p>
    <w:p w14:paraId="25640580" w14:textId="488C2FB0" w:rsidR="00784F42" w:rsidRDefault="00784F42" w:rsidP="002D1379">
      <w:pPr>
        <w:spacing w:before="0" w:after="200" w:line="240" w:lineRule="auto"/>
        <w:jc w:val="left"/>
        <w:rPr>
          <w:rFonts w:eastAsia="Calibri"/>
          <w:b/>
          <w:szCs w:val="22"/>
          <w:lang w:val="en-GB" w:eastAsia="en-US"/>
        </w:rPr>
      </w:pPr>
    </w:p>
    <w:p w14:paraId="4F1B427A" w14:textId="77777777" w:rsidR="00784F42" w:rsidRDefault="00784F42" w:rsidP="002D1379">
      <w:pPr>
        <w:spacing w:before="0" w:after="200" w:line="240" w:lineRule="auto"/>
        <w:jc w:val="left"/>
        <w:rPr>
          <w:rFonts w:eastAsia="Calibri"/>
          <w:b/>
          <w:szCs w:val="22"/>
          <w:lang w:val="en-GB" w:eastAsia="en-US"/>
        </w:rPr>
      </w:pPr>
    </w:p>
    <w:p w14:paraId="5D63044F" w14:textId="77777777" w:rsidR="00784F42" w:rsidRDefault="00784F42" w:rsidP="002D1379">
      <w:pPr>
        <w:spacing w:before="0" w:after="200" w:line="240" w:lineRule="auto"/>
        <w:jc w:val="left"/>
        <w:rPr>
          <w:rFonts w:eastAsia="Calibri"/>
          <w:b/>
          <w:szCs w:val="22"/>
          <w:lang w:val="en-GB" w:eastAsia="en-US"/>
        </w:rPr>
      </w:pPr>
    </w:p>
    <w:p w14:paraId="460EF1D4" w14:textId="77777777" w:rsidR="006A72D8" w:rsidRDefault="00784F42" w:rsidP="00D97080">
      <w:pPr>
        <w:rPr>
          <w:rFonts w:eastAsia="Calibri"/>
          <w:lang w:val="en-GB"/>
        </w:rPr>
      </w:pPr>
      <w:r w:rsidRPr="00AA528C">
        <w:rPr>
          <w:rFonts w:eastAsia="Calibri"/>
          <w:lang w:val="en-GB"/>
        </w:rPr>
        <w:t xml:space="preserve">Biodiverzitet procjenjen na osnovu različitih indeksa biološke raznovrsnosti (Tabela 3.16) ukazuje na dobro ekološko stanje. Medijane Shannon-ovog indeksa biodiverziteta na otvorenom moru veće su od </w:t>
      </w:r>
    </w:p>
    <w:p w14:paraId="70D2F57F" w14:textId="230C9CD5" w:rsidR="006A72D8" w:rsidRPr="00C87B62" w:rsidRDefault="00206305" w:rsidP="00C87B62">
      <w:pPr>
        <w:spacing w:after="200" w:line="240" w:lineRule="auto"/>
        <w:rPr>
          <w:rFonts w:eastAsia="Calibri"/>
          <w:b/>
          <w:lang w:val="en-GB"/>
        </w:rPr>
      </w:pPr>
      <w:bookmarkStart w:id="360" w:name="_Toc83636928"/>
      <w:r>
        <w:rPr>
          <w:rFonts w:eastAsia="Calibri" w:cs="Calibri"/>
          <w:b/>
          <w:szCs w:val="22"/>
          <w:lang w:val="en-GB" w:eastAsia="en-US"/>
        </w:rPr>
        <w:t>Slika</w:t>
      </w:r>
      <w:r w:rsidRPr="001C6CCA">
        <w:rPr>
          <w:rFonts w:eastAsia="Calibri" w:cs="Calibri"/>
          <w:b/>
          <w:szCs w:val="22"/>
          <w:lang w:val="en-GB" w:eastAsia="en-US"/>
        </w:rPr>
        <w:t xml:space="preserve"> </w:t>
      </w:r>
      <w:r>
        <w:rPr>
          <w:rFonts w:eastAsia="Calibri" w:cs="Calibri"/>
          <w:b/>
          <w:iCs/>
          <w:szCs w:val="22"/>
          <w:lang w:val="en-GB" w:eastAsia="en-US"/>
        </w:rPr>
        <w:fldChar w:fldCharType="begin"/>
      </w:r>
      <w:r>
        <w:rPr>
          <w:rFonts w:eastAsia="Calibri" w:cs="Calibri"/>
          <w:b/>
          <w:iCs/>
          <w:szCs w:val="22"/>
          <w:lang w:val="en-GB" w:eastAsia="en-US"/>
        </w:rPr>
        <w:instrText xml:space="preserve"> STYLEREF 1 \s </w:instrText>
      </w:r>
      <w:r>
        <w:rPr>
          <w:rFonts w:eastAsia="Calibri" w:cs="Calibri"/>
          <w:b/>
          <w:iCs/>
          <w:szCs w:val="22"/>
          <w:lang w:val="en-GB" w:eastAsia="en-US"/>
        </w:rPr>
        <w:fldChar w:fldCharType="separate"/>
      </w:r>
      <w:r w:rsidR="000D1E20">
        <w:rPr>
          <w:rFonts w:eastAsia="Calibri" w:cs="Calibri"/>
          <w:b/>
          <w:iCs/>
          <w:noProof/>
          <w:szCs w:val="22"/>
          <w:lang w:val="en-GB" w:eastAsia="en-US"/>
        </w:rPr>
        <w:t>3</w:t>
      </w:r>
      <w:r>
        <w:rPr>
          <w:rFonts w:eastAsia="Calibri" w:cs="Calibri"/>
          <w:b/>
          <w:iCs/>
          <w:szCs w:val="22"/>
          <w:lang w:val="en-GB" w:eastAsia="en-US"/>
        </w:rPr>
        <w:fldChar w:fldCharType="end"/>
      </w:r>
      <w:r>
        <w:rPr>
          <w:rFonts w:eastAsia="Calibri" w:cs="Calibri"/>
          <w:b/>
          <w:iCs/>
          <w:szCs w:val="22"/>
          <w:lang w:val="en-GB" w:eastAsia="en-US"/>
        </w:rPr>
        <w:t>.</w:t>
      </w:r>
      <w:r>
        <w:rPr>
          <w:rFonts w:eastAsia="Calibri" w:cs="Calibri"/>
          <w:b/>
          <w:iCs/>
          <w:szCs w:val="22"/>
          <w:lang w:val="en-GB" w:eastAsia="en-US"/>
        </w:rPr>
        <w:fldChar w:fldCharType="begin"/>
      </w:r>
      <w:r>
        <w:rPr>
          <w:rFonts w:eastAsia="Calibri" w:cs="Calibri"/>
          <w:b/>
          <w:iCs/>
          <w:szCs w:val="22"/>
          <w:lang w:val="en-GB" w:eastAsia="en-US"/>
        </w:rPr>
        <w:instrText xml:space="preserve"> SEQ Figure \* ARABIC \s 1 </w:instrText>
      </w:r>
      <w:r>
        <w:rPr>
          <w:rFonts w:eastAsia="Calibri" w:cs="Calibri"/>
          <w:b/>
          <w:iCs/>
          <w:szCs w:val="22"/>
          <w:lang w:val="en-GB" w:eastAsia="en-US"/>
        </w:rPr>
        <w:fldChar w:fldCharType="separate"/>
      </w:r>
      <w:r w:rsidR="000D1E20">
        <w:rPr>
          <w:rFonts w:eastAsia="Calibri" w:cs="Calibri"/>
          <w:b/>
          <w:iCs/>
          <w:noProof/>
          <w:szCs w:val="22"/>
          <w:lang w:val="en-GB" w:eastAsia="en-US"/>
        </w:rPr>
        <w:t>1</w:t>
      </w:r>
      <w:r>
        <w:rPr>
          <w:rFonts w:eastAsia="Calibri" w:cs="Calibri"/>
          <w:b/>
          <w:iCs/>
          <w:szCs w:val="22"/>
          <w:lang w:val="en-GB" w:eastAsia="en-US"/>
        </w:rPr>
        <w:fldChar w:fldCharType="end"/>
      </w:r>
      <w:r>
        <w:rPr>
          <w:szCs w:val="22"/>
        </w:rPr>
        <w:t>.</w:t>
      </w:r>
      <w:r w:rsidRPr="001C6CCA">
        <w:rPr>
          <w:rFonts w:eastAsia="Calibri" w:cs="Calibri"/>
          <w:szCs w:val="22"/>
          <w:lang w:val="en-GB" w:eastAsia="en-US"/>
        </w:rPr>
        <w:t xml:space="preserve"> </w:t>
      </w:r>
      <w:r>
        <w:rPr>
          <w:rFonts w:eastAsia="Calibri" w:cs="Calibri"/>
          <w:szCs w:val="22"/>
          <w:lang w:val="en-GB" w:eastAsia="en-US"/>
        </w:rPr>
        <w:t xml:space="preserve"> </w:t>
      </w:r>
      <w:r w:rsidRPr="00AA528C">
        <w:rPr>
          <w:rFonts w:eastAsia="Calibri"/>
          <w:b/>
          <w:lang w:val="en-GB"/>
        </w:rPr>
        <w:t>Doprinos taksonomskih grupa mikroplanktona u ukupnoj brojnosti fitoplanktona na lokacijama u zalivskom i priobalnom području otv</w:t>
      </w:r>
      <w:r>
        <w:rPr>
          <w:rFonts w:eastAsia="Calibri"/>
          <w:b/>
          <w:lang w:val="en-GB"/>
        </w:rPr>
        <w:t>orenog mora u periodu 2009-2019</w:t>
      </w:r>
      <w:bookmarkEnd w:id="360"/>
    </w:p>
    <w:p w14:paraId="160A1016" w14:textId="466020B1" w:rsidR="00784F42" w:rsidRPr="00AA528C" w:rsidRDefault="009E227E" w:rsidP="00AC0DCF">
      <w:pPr>
        <w:spacing w:before="0" w:after="120"/>
        <w:rPr>
          <w:rFonts w:eastAsia="Calibri"/>
          <w:lang w:val="en-GB"/>
        </w:rPr>
      </w:pPr>
      <w:r>
        <w:rPr>
          <w:rFonts w:eastAsia="Calibri"/>
          <w:szCs w:val="22"/>
          <w:lang w:val="en-GB" w:eastAsia="en-US"/>
        </w:rPr>
        <w:t xml:space="preserve">Biodiverzitet procjenjen na osnovu različitih indeksa biološke raznovrsnosti (Tabela 3.16) ukazuje na dobro stanje. Medijane Shannon-ovog indeksa biodiverziteta na otvorenom moru veće su od 2, </w:t>
      </w:r>
      <w:r w:rsidR="00784F42" w:rsidRPr="009E227E">
        <w:rPr>
          <w:rFonts w:eastAsia="Calibri"/>
          <w:lang w:val="en-GB"/>
        </w:rPr>
        <w:t>2, dok su u priobalnom dijelu otvorenog mora i na području zaliva medijane iznad 1,5. Margalef-ov indeks</w:t>
      </w:r>
      <w:r w:rsidR="00784F42" w:rsidRPr="00AA528C">
        <w:rPr>
          <w:rFonts w:eastAsia="Calibri"/>
          <w:lang w:val="en-GB"/>
        </w:rPr>
        <w:t xml:space="preserve"> raznovrsnosti u području otvorenog mora veći je od vrijednosti zabilježenih u drugim oblastima Sredozemnog mora, dok su vrijednosti u priobalnom dijelu otvorenog mora slične vrijednostima zabilježenim u drugim oblastima Sredozemlja. Menhinickov indeks je relativno visok i iznad vrijednosti zabilježenih u sjevernom Jadranu (Facca i sar., 2013). Medijane indeksa ujednačenosti, kao i indeksa dominacije ukazuju na relativno ujednačenu distribuciju vrsta fitoplanktona. Sezonski porast biomase uvijek prati porast indeksa dominacije i smanjenje indeksa ujednačenosti, što je uobičajeno za populacije fitoplanktona. Naime, povećanje biomase uglavnom je rezultat povećanja brojnosti nekoliko oportunističkih vrsta koje imaju potencijal za bolje korišćenje raspoloživih resursa. Prema zabilježenim vrijednostima indeksa biodiverziteta, istraženo područje je pod blagim antropogenim pritiscima, a biološka raznovrsnost u zalivu, priobalnom području otvorenog mora i otvorenom moru je dobra i ukazuje na dobar ekološki status.</w:t>
      </w:r>
    </w:p>
    <w:p w14:paraId="1B17DE75" w14:textId="77777777" w:rsidR="00784F42" w:rsidRPr="00AA528C" w:rsidRDefault="00784F42" w:rsidP="00AC0DCF">
      <w:pPr>
        <w:spacing w:before="0" w:after="120"/>
        <w:rPr>
          <w:rFonts w:eastAsia="Calibri"/>
          <w:lang w:val="en-GB"/>
        </w:rPr>
      </w:pPr>
      <w:r w:rsidRPr="00AA528C">
        <w:rPr>
          <w:rFonts w:eastAsia="Calibri"/>
          <w:lang w:val="en-GB"/>
        </w:rPr>
        <w:t>Najčešće, dominantne i relativno brojne vrste uglavnom su prisutne na svim lokacijama, dok su rijetke i malo zastupljene vrste odgovorne za veći biodiverzitet. Zabilježene rijetke vrste na istraživanom području pripadale su dijatomejama: A</w:t>
      </w:r>
      <w:r w:rsidRPr="00AA528C">
        <w:rPr>
          <w:rFonts w:eastAsia="Calibri"/>
          <w:i/>
          <w:lang w:val="en-GB"/>
        </w:rPr>
        <w:t>chnanthes brevipes, A. longipes, Amphora ostrearia, Diploneis bombus, D. crabro, Licmophora flabellata</w:t>
      </w:r>
      <w:r w:rsidRPr="00AA528C">
        <w:rPr>
          <w:rFonts w:eastAsia="Calibri"/>
          <w:lang w:val="en-GB"/>
        </w:rPr>
        <w:t xml:space="preserve">. Od dinoflagelata zabilježene rijetke vrste su </w:t>
      </w:r>
      <w:r w:rsidRPr="00AA528C">
        <w:rPr>
          <w:rFonts w:eastAsia="Calibri"/>
          <w:i/>
          <w:lang w:val="en-GB"/>
        </w:rPr>
        <w:t>Hermesinum adriaticum, Ornithocercus heteroporus, O. magnificus, Tripos candelabrum, T. horridum</w:t>
      </w:r>
      <w:r w:rsidRPr="00AA528C">
        <w:rPr>
          <w:rFonts w:eastAsia="Calibri"/>
          <w:lang w:val="en-GB"/>
        </w:rPr>
        <w:t xml:space="preserve">, dok je od kokolitoforida rijetka vrsta bila </w:t>
      </w:r>
      <w:r w:rsidRPr="00AA528C">
        <w:rPr>
          <w:rFonts w:eastAsia="Calibri"/>
          <w:i/>
          <w:lang w:val="en-GB"/>
        </w:rPr>
        <w:t>Acanthoica quatrospina</w:t>
      </w:r>
      <w:r w:rsidRPr="00AA528C">
        <w:rPr>
          <w:rFonts w:eastAsia="Calibri"/>
          <w:lang w:val="en-GB"/>
        </w:rPr>
        <w:t xml:space="preserve">. Vrste koje su uglavnom bile prisutne u zajednici na svim istražnim lokacijama su: od dijatomejskih vrsta </w:t>
      </w:r>
      <w:r w:rsidRPr="00AA528C">
        <w:rPr>
          <w:rFonts w:eastAsia="Calibri"/>
          <w:i/>
          <w:lang w:val="en-GB"/>
        </w:rPr>
        <w:t>Asterionellopsis glacialis</w:t>
      </w:r>
      <w:r w:rsidRPr="00AA528C">
        <w:rPr>
          <w:rFonts w:eastAsia="Calibri"/>
          <w:lang w:val="en-GB"/>
        </w:rPr>
        <w:t xml:space="preserve">, zatim vrste iz roda </w:t>
      </w:r>
      <w:r w:rsidRPr="00AA528C">
        <w:rPr>
          <w:rFonts w:eastAsia="Calibri"/>
          <w:i/>
          <w:lang w:val="en-GB"/>
        </w:rPr>
        <w:t>Chaetoceros</w:t>
      </w:r>
      <w:r w:rsidRPr="00AA528C">
        <w:rPr>
          <w:rFonts w:eastAsia="Calibri"/>
          <w:lang w:val="en-GB"/>
        </w:rPr>
        <w:t xml:space="preserve"> i </w:t>
      </w:r>
      <w:r w:rsidRPr="00AA528C">
        <w:rPr>
          <w:rFonts w:eastAsia="Calibri"/>
          <w:i/>
          <w:lang w:val="en-GB"/>
        </w:rPr>
        <w:t>Navicula,</w:t>
      </w:r>
      <w:r w:rsidRPr="00AA528C">
        <w:rPr>
          <w:rFonts w:eastAsia="Calibri"/>
          <w:lang w:val="en-GB"/>
        </w:rPr>
        <w:t xml:space="preserve"> zatim vrsta </w:t>
      </w:r>
      <w:r w:rsidRPr="00AA528C">
        <w:rPr>
          <w:rFonts w:eastAsia="Calibri"/>
          <w:i/>
          <w:lang w:val="en-GB"/>
        </w:rPr>
        <w:t>Thalassionema nitzschioides</w:t>
      </w:r>
      <w:r w:rsidRPr="00AA528C">
        <w:rPr>
          <w:rFonts w:eastAsia="Calibri"/>
          <w:lang w:val="en-GB"/>
        </w:rPr>
        <w:t xml:space="preserve">, vrste iz roda </w:t>
      </w:r>
      <w:r w:rsidRPr="00AA528C">
        <w:rPr>
          <w:rFonts w:eastAsia="Calibri"/>
          <w:i/>
          <w:lang w:val="en-GB"/>
        </w:rPr>
        <w:t>Pseudo-nitzschia</w:t>
      </w:r>
      <w:r w:rsidRPr="00AA528C">
        <w:rPr>
          <w:rFonts w:eastAsia="Calibri"/>
          <w:lang w:val="en-GB"/>
        </w:rPr>
        <w:t xml:space="preserve">, od dinoflagelata vrste  iz roda </w:t>
      </w:r>
      <w:r w:rsidRPr="00AA528C">
        <w:rPr>
          <w:rFonts w:eastAsia="Calibri"/>
          <w:i/>
          <w:lang w:val="en-GB"/>
        </w:rPr>
        <w:t>Gonyaulax</w:t>
      </w:r>
      <w:r w:rsidRPr="00AA528C">
        <w:rPr>
          <w:rFonts w:eastAsia="Calibri"/>
          <w:lang w:val="en-GB"/>
        </w:rPr>
        <w:t xml:space="preserve">, zatim vrste </w:t>
      </w:r>
      <w:r w:rsidRPr="00AA528C">
        <w:rPr>
          <w:rFonts w:eastAsia="Calibri"/>
          <w:i/>
          <w:lang w:val="en-GB"/>
        </w:rPr>
        <w:t>Gyrodinium fusiforme</w:t>
      </w:r>
      <w:r w:rsidRPr="00AA528C">
        <w:rPr>
          <w:rFonts w:eastAsia="Calibri"/>
          <w:lang w:val="en-GB"/>
        </w:rPr>
        <w:t xml:space="preserve">, </w:t>
      </w:r>
      <w:r w:rsidRPr="00AA528C">
        <w:rPr>
          <w:rFonts w:eastAsia="Calibri"/>
          <w:i/>
          <w:lang w:val="en-GB"/>
        </w:rPr>
        <w:t>Prorocentrum micans</w:t>
      </w:r>
      <w:r w:rsidRPr="00AA528C">
        <w:rPr>
          <w:rFonts w:eastAsia="Calibri"/>
          <w:lang w:val="en-GB"/>
        </w:rPr>
        <w:t xml:space="preserve">, </w:t>
      </w:r>
      <w:r w:rsidRPr="00AA528C">
        <w:rPr>
          <w:rFonts w:eastAsia="Calibri"/>
          <w:i/>
          <w:lang w:val="en-GB"/>
        </w:rPr>
        <w:t>Tripos furca</w:t>
      </w:r>
      <w:r w:rsidRPr="00AA528C">
        <w:rPr>
          <w:rFonts w:eastAsia="Calibri"/>
          <w:lang w:val="en-GB"/>
        </w:rPr>
        <w:t xml:space="preserve">.Od kokolitoforida dominirale su vrste </w:t>
      </w:r>
      <w:r w:rsidRPr="00AA528C">
        <w:rPr>
          <w:rFonts w:eastAsia="Calibri"/>
          <w:i/>
          <w:lang w:val="en-GB"/>
        </w:rPr>
        <w:t>Calyptrosphaera oblonga, Rhabdosphaera tignifer, Syracosphaera pulchra</w:t>
      </w:r>
      <w:r w:rsidRPr="00AA528C">
        <w:rPr>
          <w:rFonts w:eastAsia="Calibri"/>
          <w:lang w:val="en-GB"/>
        </w:rPr>
        <w:t xml:space="preserve"> i </w:t>
      </w:r>
      <w:r w:rsidRPr="00AA528C">
        <w:rPr>
          <w:rFonts w:eastAsia="Calibri"/>
          <w:i/>
          <w:lang w:val="en-GB"/>
        </w:rPr>
        <w:t>Helicosphaera wallichii</w:t>
      </w:r>
      <w:r w:rsidRPr="00AA528C">
        <w:rPr>
          <w:rFonts w:eastAsia="Calibri"/>
          <w:lang w:val="en-GB"/>
        </w:rPr>
        <w:t>.</w:t>
      </w:r>
    </w:p>
    <w:p w14:paraId="7DBDE666" w14:textId="431A0866" w:rsidR="00784F42" w:rsidRPr="00AA528C" w:rsidRDefault="00784F42" w:rsidP="00AC0DCF">
      <w:pPr>
        <w:spacing w:before="0" w:after="120"/>
        <w:rPr>
          <w:rFonts w:eastAsia="Calibri" w:cs="Calibri"/>
          <w:bCs/>
          <w:lang w:val="en-GB"/>
        </w:rPr>
      </w:pPr>
      <w:r w:rsidRPr="00AA528C">
        <w:rPr>
          <w:rFonts w:eastAsia="Calibri" w:cs="Calibri"/>
          <w:bCs/>
          <w:lang w:val="en-GB"/>
        </w:rPr>
        <w:t xml:space="preserve">Kako zvanične granične vrijednosti za indekse biodiverziteta još uvijek nisu određene, </w:t>
      </w:r>
      <w:r w:rsidR="009E227E">
        <w:rPr>
          <w:rFonts w:eastAsia="Calibri" w:cs="Calibri"/>
          <w:bCs/>
          <w:lang w:val="en-GB"/>
        </w:rPr>
        <w:t>procjena stanja morske sredine u</w:t>
      </w:r>
      <w:r w:rsidRPr="00AA528C">
        <w:rPr>
          <w:rFonts w:eastAsia="Calibri" w:cs="Calibri"/>
          <w:bCs/>
          <w:lang w:val="en-GB"/>
        </w:rPr>
        <w:t>tvrđen</w:t>
      </w:r>
      <w:r w:rsidR="009E227E">
        <w:rPr>
          <w:rFonts w:eastAsia="Calibri" w:cs="Calibri"/>
          <w:bCs/>
          <w:lang w:val="en-GB"/>
        </w:rPr>
        <w:t>a</w:t>
      </w:r>
      <w:r w:rsidRPr="00AA528C">
        <w:rPr>
          <w:rFonts w:eastAsia="Calibri" w:cs="Calibri"/>
          <w:bCs/>
          <w:lang w:val="en-GB"/>
        </w:rPr>
        <w:t xml:space="preserve"> je stručnom procjenom na osnovu poređenja dobijenih rezultata sa rezultatima iz literature. Vrijednosti indeksa utvrđenih za morsko područje Crne Gore (Tabela 3.17) bile su u okviru vrijednosti uočenih za Jadransko, Egejsko i Jonsko more u okviru projekta MEDCIS (Francuska i sar., 2019). Budući da su gotovo svi indeksi raznovrsnosti fitoplanktona u Crnogorskom dijelu Jadranskog mora u skladu sa vrijednostima u drugim oblastima Jadrana i Sredozemlja, status fitoplanktona može se procijeniti kao dobar.</w:t>
      </w:r>
    </w:p>
    <w:p w14:paraId="793CC439" w14:textId="77777777" w:rsidR="00784F42" w:rsidRPr="00AA528C" w:rsidRDefault="00784F42" w:rsidP="00D97080">
      <w:pPr>
        <w:spacing w:after="0"/>
        <w:rPr>
          <w:rFonts w:eastAsia="Calibri" w:cs="Calibri"/>
          <w:bCs/>
          <w:lang w:val="en-GB"/>
        </w:rPr>
      </w:pPr>
    </w:p>
    <w:p w14:paraId="5B949723" w14:textId="77777777" w:rsidR="00784F42" w:rsidRPr="00AA528C" w:rsidRDefault="00784F42" w:rsidP="00784F42">
      <w:pPr>
        <w:contextualSpacing/>
        <w:rPr>
          <w:rFonts w:eastAsia="Calibri" w:cs="Calibri"/>
          <w:b/>
          <w:lang w:val="en-GB"/>
        </w:rPr>
      </w:pPr>
      <w:bookmarkStart w:id="361" w:name="_Toc69718432"/>
      <w:bookmarkStart w:id="362" w:name="_Toc83643214"/>
      <w:r w:rsidRPr="00AA528C">
        <w:rPr>
          <w:rFonts w:eastAsia="Calibri"/>
          <w:b/>
          <w:lang w:val="en-GB"/>
        </w:rPr>
        <w:t xml:space="preserve">Tabela </w:t>
      </w:r>
      <w:r w:rsidRPr="00AA528C">
        <w:rPr>
          <w:b/>
        </w:rPr>
        <w:fldChar w:fldCharType="begin"/>
      </w:r>
      <w:r w:rsidRPr="00AA528C">
        <w:rPr>
          <w:b/>
        </w:rPr>
        <w:instrText xml:space="preserve"> STYLEREF 1 \s </w:instrText>
      </w:r>
      <w:r w:rsidRPr="00AA528C">
        <w:rPr>
          <w:b/>
        </w:rPr>
        <w:fldChar w:fldCharType="separate"/>
      </w:r>
      <w:r w:rsidR="000D1E20">
        <w:rPr>
          <w:b/>
          <w:noProof/>
        </w:rPr>
        <w:t>3</w:t>
      </w:r>
      <w:r w:rsidRPr="00AA528C">
        <w:rPr>
          <w:b/>
        </w:rPr>
        <w:fldChar w:fldCharType="end"/>
      </w:r>
      <w:r w:rsidRPr="00AA528C">
        <w:rPr>
          <w:b/>
        </w:rPr>
        <w:t>.</w:t>
      </w:r>
      <w:r w:rsidRPr="00AA528C">
        <w:rPr>
          <w:b/>
        </w:rPr>
        <w:fldChar w:fldCharType="begin"/>
      </w:r>
      <w:r w:rsidRPr="00AA528C">
        <w:rPr>
          <w:b/>
        </w:rPr>
        <w:instrText xml:space="preserve"> SEQ Table \* ARABIC \s 1 </w:instrText>
      </w:r>
      <w:r w:rsidRPr="00AA528C">
        <w:rPr>
          <w:b/>
        </w:rPr>
        <w:fldChar w:fldCharType="separate"/>
      </w:r>
      <w:r w:rsidR="000D1E20">
        <w:rPr>
          <w:b/>
          <w:noProof/>
        </w:rPr>
        <w:t>18</w:t>
      </w:r>
      <w:r w:rsidRPr="00AA528C">
        <w:rPr>
          <w:b/>
        </w:rPr>
        <w:fldChar w:fldCharType="end"/>
      </w:r>
      <w:r w:rsidRPr="00AA528C">
        <w:rPr>
          <w:b/>
        </w:rPr>
        <w:t>.</w:t>
      </w:r>
      <w:r w:rsidRPr="00AA528C">
        <w:rPr>
          <w:rFonts w:eastAsia="Calibri" w:cs="Calibri"/>
          <w:b/>
          <w:lang w:val="en-GB"/>
        </w:rPr>
        <w:t xml:space="preserve"> Indeksi biodiverziteta u Bokokotorskom zalivu i priobalnom i otvorenom moru</w:t>
      </w:r>
      <w:bookmarkEnd w:id="361"/>
      <w:bookmarkEnd w:id="362"/>
    </w:p>
    <w:tbl>
      <w:tblPr>
        <w:tblStyle w:val="TableGrid13"/>
        <w:tblpPr w:leftFromText="180" w:rightFromText="180" w:vertAnchor="text" w:horzAnchor="margin" w:tblpXSpec="center" w:tblpY="223"/>
        <w:tblW w:w="0" w:type="auto"/>
        <w:tblLook w:val="04A0" w:firstRow="1" w:lastRow="0" w:firstColumn="1" w:lastColumn="0" w:noHBand="0" w:noVBand="1"/>
      </w:tblPr>
      <w:tblGrid>
        <w:gridCol w:w="2122"/>
        <w:gridCol w:w="1701"/>
        <w:gridCol w:w="1842"/>
        <w:gridCol w:w="1547"/>
        <w:gridCol w:w="1714"/>
      </w:tblGrid>
      <w:tr w:rsidR="00784F42" w:rsidRPr="00AA528C" w14:paraId="1FBC3906" w14:textId="77777777" w:rsidTr="00D97080">
        <w:tc>
          <w:tcPr>
            <w:tcW w:w="2122" w:type="dxa"/>
            <w:vMerge w:val="restart"/>
            <w:shd w:val="clear" w:color="auto" w:fill="2F5496"/>
          </w:tcPr>
          <w:p w14:paraId="6E76F679" w14:textId="77777777" w:rsidR="00784F42" w:rsidRPr="00AA528C" w:rsidRDefault="00784F42" w:rsidP="00D97080">
            <w:pPr>
              <w:contextualSpacing/>
              <w:rPr>
                <w:rFonts w:eastAsia="Times New Roman"/>
                <w:b/>
                <w:color w:val="FFFFFF"/>
                <w:lang w:val="en-GB"/>
              </w:rPr>
            </w:pPr>
            <w:r w:rsidRPr="00AA528C">
              <w:rPr>
                <w:rFonts w:eastAsia="Times New Roman"/>
                <w:b/>
                <w:color w:val="FFFFFF"/>
                <w:lang w:val="en-GB"/>
              </w:rPr>
              <w:t>Indeksi biodiverziteta</w:t>
            </w:r>
          </w:p>
          <w:p w14:paraId="64DA7B36" w14:textId="77777777" w:rsidR="00784F42" w:rsidRPr="00AA528C" w:rsidRDefault="00784F42" w:rsidP="00D97080">
            <w:pPr>
              <w:contextualSpacing/>
              <w:rPr>
                <w:rFonts w:eastAsia="Times New Roman"/>
                <w:b/>
                <w:color w:val="FFFFFF"/>
                <w:lang w:val="en-GB"/>
              </w:rPr>
            </w:pPr>
          </w:p>
        </w:tc>
        <w:tc>
          <w:tcPr>
            <w:tcW w:w="3543" w:type="dxa"/>
            <w:gridSpan w:val="2"/>
            <w:shd w:val="clear" w:color="auto" w:fill="2F5496"/>
          </w:tcPr>
          <w:p w14:paraId="2CB5BF2E" w14:textId="77777777" w:rsidR="00784F42" w:rsidRPr="00AA528C" w:rsidRDefault="00784F42" w:rsidP="00D97080">
            <w:pPr>
              <w:contextualSpacing/>
              <w:jc w:val="center"/>
              <w:rPr>
                <w:rFonts w:eastAsia="Times New Roman"/>
                <w:b/>
                <w:color w:val="FFFFFF"/>
                <w:lang w:val="en-GB"/>
              </w:rPr>
            </w:pPr>
            <w:r w:rsidRPr="00AA528C">
              <w:rPr>
                <w:rFonts w:eastAsia="Times New Roman"/>
                <w:b/>
                <w:color w:val="FFFFFF"/>
                <w:lang w:val="en-GB"/>
              </w:rPr>
              <w:t>Bokokotorski zaliv</w:t>
            </w:r>
          </w:p>
          <w:p w14:paraId="53740527" w14:textId="77777777" w:rsidR="00784F42" w:rsidRPr="00AA528C" w:rsidRDefault="00784F42" w:rsidP="00D97080">
            <w:pPr>
              <w:contextualSpacing/>
              <w:jc w:val="center"/>
              <w:rPr>
                <w:rFonts w:eastAsia="Times New Roman"/>
                <w:b/>
                <w:color w:val="FFFFFF"/>
                <w:lang w:val="en-GB"/>
              </w:rPr>
            </w:pPr>
          </w:p>
        </w:tc>
        <w:tc>
          <w:tcPr>
            <w:tcW w:w="3261" w:type="dxa"/>
            <w:gridSpan w:val="2"/>
            <w:shd w:val="clear" w:color="auto" w:fill="2F5496"/>
          </w:tcPr>
          <w:p w14:paraId="24F680E9" w14:textId="77777777" w:rsidR="00784F42" w:rsidRPr="00AA528C" w:rsidRDefault="00784F42" w:rsidP="00D97080">
            <w:pPr>
              <w:contextualSpacing/>
              <w:jc w:val="center"/>
              <w:rPr>
                <w:rFonts w:eastAsia="Times New Roman"/>
                <w:b/>
                <w:color w:val="FFFFFF"/>
                <w:lang w:val="en-GB"/>
              </w:rPr>
            </w:pPr>
            <w:r w:rsidRPr="00AA528C">
              <w:rPr>
                <w:rFonts w:eastAsia="Times New Roman"/>
                <w:b/>
                <w:color w:val="FFFFFF"/>
                <w:lang w:val="en-GB"/>
              </w:rPr>
              <w:t>Priobalno-otvoreno more</w:t>
            </w:r>
          </w:p>
        </w:tc>
      </w:tr>
      <w:tr w:rsidR="00784F42" w:rsidRPr="00AA528C" w14:paraId="11DFA0BA" w14:textId="77777777" w:rsidTr="00D97080">
        <w:tc>
          <w:tcPr>
            <w:tcW w:w="2122" w:type="dxa"/>
            <w:vMerge/>
          </w:tcPr>
          <w:p w14:paraId="12E44E82" w14:textId="77777777" w:rsidR="00784F42" w:rsidRPr="00AA528C" w:rsidRDefault="00784F42" w:rsidP="00D97080">
            <w:pPr>
              <w:contextualSpacing/>
              <w:rPr>
                <w:rFonts w:eastAsia="Times New Roman"/>
                <w:lang w:val="en-GB"/>
              </w:rPr>
            </w:pPr>
          </w:p>
        </w:tc>
        <w:tc>
          <w:tcPr>
            <w:tcW w:w="1701" w:type="dxa"/>
          </w:tcPr>
          <w:p w14:paraId="5BA494F6"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Raspon</w:t>
            </w:r>
          </w:p>
        </w:tc>
        <w:tc>
          <w:tcPr>
            <w:tcW w:w="1842" w:type="dxa"/>
          </w:tcPr>
          <w:p w14:paraId="53F382FF"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Medijana</w:t>
            </w:r>
          </w:p>
        </w:tc>
        <w:tc>
          <w:tcPr>
            <w:tcW w:w="1547" w:type="dxa"/>
          </w:tcPr>
          <w:p w14:paraId="3FF5647A"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Raspon</w:t>
            </w:r>
          </w:p>
        </w:tc>
        <w:tc>
          <w:tcPr>
            <w:tcW w:w="1714" w:type="dxa"/>
          </w:tcPr>
          <w:p w14:paraId="441C6F1E"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Medijana</w:t>
            </w:r>
          </w:p>
        </w:tc>
      </w:tr>
      <w:tr w:rsidR="00784F42" w:rsidRPr="00AA528C" w14:paraId="5035B328" w14:textId="77777777" w:rsidTr="00D97080">
        <w:tc>
          <w:tcPr>
            <w:tcW w:w="2122" w:type="dxa"/>
          </w:tcPr>
          <w:p w14:paraId="4B25B658"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Margalef</w:t>
            </w:r>
          </w:p>
        </w:tc>
        <w:tc>
          <w:tcPr>
            <w:tcW w:w="1701" w:type="dxa"/>
            <w:shd w:val="clear" w:color="auto" w:fill="FFFFFF"/>
          </w:tcPr>
          <w:p w14:paraId="00D11F58"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0.14 – 3.22</w:t>
            </w:r>
          </w:p>
        </w:tc>
        <w:tc>
          <w:tcPr>
            <w:tcW w:w="1842" w:type="dxa"/>
          </w:tcPr>
          <w:p w14:paraId="71AC307B"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1.31</w:t>
            </w:r>
          </w:p>
        </w:tc>
        <w:tc>
          <w:tcPr>
            <w:tcW w:w="1547" w:type="dxa"/>
          </w:tcPr>
          <w:p w14:paraId="75CCE3C1"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0.13 – 2.48</w:t>
            </w:r>
          </w:p>
        </w:tc>
        <w:tc>
          <w:tcPr>
            <w:tcW w:w="1714" w:type="dxa"/>
          </w:tcPr>
          <w:p w14:paraId="504A5F45"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1.19</w:t>
            </w:r>
          </w:p>
        </w:tc>
      </w:tr>
      <w:tr w:rsidR="00784F42" w:rsidRPr="00AA528C" w14:paraId="2BF6985C" w14:textId="77777777" w:rsidTr="00D97080">
        <w:tc>
          <w:tcPr>
            <w:tcW w:w="2122" w:type="dxa"/>
          </w:tcPr>
          <w:p w14:paraId="3726DE3F"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Pielou</w:t>
            </w:r>
          </w:p>
        </w:tc>
        <w:tc>
          <w:tcPr>
            <w:tcW w:w="1701" w:type="dxa"/>
            <w:shd w:val="clear" w:color="auto" w:fill="FFFFFF"/>
          </w:tcPr>
          <w:p w14:paraId="6928F31F"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0.24 – 1.00</w:t>
            </w:r>
          </w:p>
        </w:tc>
        <w:tc>
          <w:tcPr>
            <w:tcW w:w="1842" w:type="dxa"/>
          </w:tcPr>
          <w:p w14:paraId="6303DD1A"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0.56</w:t>
            </w:r>
          </w:p>
        </w:tc>
        <w:tc>
          <w:tcPr>
            <w:tcW w:w="1547" w:type="dxa"/>
          </w:tcPr>
          <w:p w14:paraId="26461D6A"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0.26 – 1.00</w:t>
            </w:r>
          </w:p>
        </w:tc>
        <w:tc>
          <w:tcPr>
            <w:tcW w:w="1714" w:type="dxa"/>
          </w:tcPr>
          <w:p w14:paraId="6AE345B8"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0.60</w:t>
            </w:r>
          </w:p>
        </w:tc>
      </w:tr>
      <w:tr w:rsidR="00784F42" w:rsidRPr="00AA528C" w14:paraId="6E2FF83A" w14:textId="77777777" w:rsidTr="00D97080">
        <w:tc>
          <w:tcPr>
            <w:tcW w:w="2122" w:type="dxa"/>
          </w:tcPr>
          <w:p w14:paraId="2E3FC648"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Shannon-Wiener</w:t>
            </w:r>
          </w:p>
        </w:tc>
        <w:tc>
          <w:tcPr>
            <w:tcW w:w="1701" w:type="dxa"/>
            <w:shd w:val="clear" w:color="auto" w:fill="FFFFFF"/>
          </w:tcPr>
          <w:p w14:paraId="5FA68F39"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0.69 – 2.02</w:t>
            </w:r>
          </w:p>
        </w:tc>
        <w:tc>
          <w:tcPr>
            <w:tcW w:w="1842" w:type="dxa"/>
          </w:tcPr>
          <w:p w14:paraId="13D15A19"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1.45</w:t>
            </w:r>
          </w:p>
        </w:tc>
        <w:tc>
          <w:tcPr>
            <w:tcW w:w="1547" w:type="dxa"/>
          </w:tcPr>
          <w:p w14:paraId="617A2322"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0.69 – 2.05</w:t>
            </w:r>
          </w:p>
        </w:tc>
        <w:tc>
          <w:tcPr>
            <w:tcW w:w="1714" w:type="dxa"/>
          </w:tcPr>
          <w:p w14:paraId="25A2B615"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1.44</w:t>
            </w:r>
          </w:p>
        </w:tc>
      </w:tr>
      <w:tr w:rsidR="00784F42" w:rsidRPr="00AA528C" w14:paraId="09273392" w14:textId="77777777" w:rsidTr="00D97080">
        <w:tc>
          <w:tcPr>
            <w:tcW w:w="2122" w:type="dxa"/>
          </w:tcPr>
          <w:p w14:paraId="4152B68A"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Menhinck</w:t>
            </w:r>
          </w:p>
        </w:tc>
        <w:tc>
          <w:tcPr>
            <w:tcW w:w="1701" w:type="dxa"/>
            <w:shd w:val="clear" w:color="auto" w:fill="FFFFFF"/>
          </w:tcPr>
          <w:p w14:paraId="1D31B483"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0.006 – 0.32</w:t>
            </w:r>
          </w:p>
        </w:tc>
        <w:tc>
          <w:tcPr>
            <w:tcW w:w="1842" w:type="dxa"/>
          </w:tcPr>
          <w:p w14:paraId="16E6BA0B"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0.09</w:t>
            </w:r>
          </w:p>
        </w:tc>
        <w:tc>
          <w:tcPr>
            <w:tcW w:w="1547" w:type="dxa"/>
          </w:tcPr>
          <w:p w14:paraId="2C7BF12B"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0.012 – 0.28</w:t>
            </w:r>
          </w:p>
        </w:tc>
        <w:tc>
          <w:tcPr>
            <w:tcW w:w="1714" w:type="dxa"/>
          </w:tcPr>
          <w:p w14:paraId="29DFC8CD" w14:textId="77777777" w:rsidR="00784F42" w:rsidRPr="00AA528C" w:rsidRDefault="00784F42" w:rsidP="00D97080">
            <w:pPr>
              <w:contextualSpacing/>
              <w:rPr>
                <w:rFonts w:eastAsia="Times New Roman"/>
                <w:sz w:val="20"/>
                <w:szCs w:val="20"/>
                <w:lang w:val="en-GB"/>
              </w:rPr>
            </w:pPr>
            <w:r w:rsidRPr="00AA528C">
              <w:rPr>
                <w:rFonts w:eastAsia="Times New Roman"/>
                <w:sz w:val="20"/>
                <w:szCs w:val="20"/>
                <w:lang w:val="en-GB"/>
              </w:rPr>
              <w:t>0.09</w:t>
            </w:r>
          </w:p>
        </w:tc>
      </w:tr>
    </w:tbl>
    <w:p w14:paraId="3FF22C60" w14:textId="77777777" w:rsidR="00784F42" w:rsidRPr="00AA528C" w:rsidRDefault="00784F42" w:rsidP="00784F42">
      <w:pPr>
        <w:spacing w:after="0"/>
        <w:contextualSpacing/>
        <w:rPr>
          <w:lang w:val="en-GB"/>
        </w:rPr>
      </w:pPr>
    </w:p>
    <w:p w14:paraId="489D2B87" w14:textId="77777777" w:rsidR="00784F42" w:rsidRPr="00AA528C" w:rsidRDefault="00784F42" w:rsidP="00784F42">
      <w:pPr>
        <w:contextualSpacing/>
        <w:rPr>
          <w:lang w:val="en-GB"/>
        </w:rPr>
      </w:pPr>
      <w:r w:rsidRPr="00AA528C">
        <w:rPr>
          <w:lang w:val="en-GB"/>
        </w:rPr>
        <w:t xml:space="preserve">Kriterijumi koji se odnose na biomasu fitoplanktona (na osnovu koncentracije hlorofila </w:t>
      </w:r>
      <w:r w:rsidRPr="00AA528C">
        <w:rPr>
          <w:i/>
          <w:lang w:val="en-GB"/>
        </w:rPr>
        <w:t>a</w:t>
      </w:r>
      <w:r w:rsidRPr="00AA528C">
        <w:rPr>
          <w:lang w:val="en-GB"/>
        </w:rPr>
        <w:t>) i cvjetanje fitoplanktona obrađeni su kroz Deskriptor 5 i sugerišu sledeći zaključak:</w:t>
      </w:r>
    </w:p>
    <w:p w14:paraId="21211408" w14:textId="12483C24" w:rsidR="00417D2F" w:rsidRDefault="00784F42" w:rsidP="00E24841">
      <w:pPr>
        <w:contextualSpacing/>
        <w:rPr>
          <w:lang w:val="en-GB"/>
        </w:rPr>
      </w:pPr>
      <w:r w:rsidRPr="00AA528C">
        <w:rPr>
          <w:lang w:val="en-GB"/>
        </w:rPr>
        <w:t xml:space="preserve">Pritisci izazvani čovjekovim uticajem na fitoplanktonske organizme procjenjen kroz Deskriptor 5, kriterijum D5C1 (koncentracija hranljivih materija), D5C2 (koncentracije hlorofila </w:t>
      </w:r>
      <w:r w:rsidRPr="00AA528C">
        <w:rPr>
          <w:i/>
          <w:lang w:val="en-GB"/>
        </w:rPr>
        <w:t>a</w:t>
      </w:r>
      <w:r w:rsidRPr="00AA528C">
        <w:rPr>
          <w:lang w:val="en-GB"/>
        </w:rPr>
        <w:t>) i D5C3 (cvjetanje algi) ukazuje da antropogeni pritisci nisu negativno uticali na populaciju vrste ili njen biodiverzitet, pa preovlađujući hidrografski uslovi će vjerovatno biti pokretač ovih promjena.</w:t>
      </w:r>
    </w:p>
    <w:p w14:paraId="7837F6FC" w14:textId="77777777" w:rsidR="00E24841" w:rsidRPr="00E24841" w:rsidRDefault="00E24841" w:rsidP="00E24841">
      <w:pPr>
        <w:contextualSpacing/>
        <w:rPr>
          <w:lang w:val="en-GB"/>
        </w:rPr>
      </w:pPr>
    </w:p>
    <w:p w14:paraId="630F6AF3" w14:textId="77777777" w:rsidR="00784F42" w:rsidRPr="00AA528C" w:rsidRDefault="00784F42" w:rsidP="006B75DD">
      <w:pPr>
        <w:spacing w:after="120"/>
        <w:rPr>
          <w:rFonts w:eastAsia="Calibri"/>
          <w:b/>
          <w:u w:val="single"/>
          <w:lang w:val="en-GB"/>
        </w:rPr>
      </w:pPr>
      <w:r w:rsidRPr="00AA528C">
        <w:rPr>
          <w:rFonts w:eastAsia="Calibri"/>
          <w:b/>
          <w:u w:val="single"/>
          <w:lang w:val="en-GB"/>
        </w:rPr>
        <w:t xml:space="preserve">Stanje zooplanktona </w:t>
      </w:r>
    </w:p>
    <w:p w14:paraId="6186DB18" w14:textId="31BB853B" w:rsidR="00784F42" w:rsidRPr="00AA528C" w:rsidRDefault="00784F42" w:rsidP="00AC0DCF">
      <w:pPr>
        <w:spacing w:before="0" w:after="120"/>
        <w:rPr>
          <w:rFonts w:eastAsia="Calibri"/>
          <w:lang w:val="en-GB"/>
        </w:rPr>
      </w:pPr>
      <w:r w:rsidRPr="00AA528C">
        <w:rPr>
          <w:rFonts w:eastAsia="Calibri"/>
          <w:lang w:val="en-GB"/>
        </w:rPr>
        <w:t xml:space="preserve">Procjena </w:t>
      </w:r>
      <w:r w:rsidR="009E227E">
        <w:rPr>
          <w:rFonts w:eastAsia="Calibri"/>
          <w:lang w:val="en-GB"/>
        </w:rPr>
        <w:t>G</w:t>
      </w:r>
      <w:r w:rsidRPr="00AA528C">
        <w:rPr>
          <w:rFonts w:eastAsia="Calibri"/>
          <w:lang w:val="en-GB"/>
        </w:rPr>
        <w:t>ES-a za mezozooplankton zasniva se na podacima o ukupnoj brojnosti mezozooplanktona, relativnoj brojnosti grupa mezozooplanktona, sastavu vrsta i indeksima biodiverziteta grupe kopepoda (detaljno opisano u poglavlju 2.2.1.2 Početne procjene).</w:t>
      </w:r>
    </w:p>
    <w:p w14:paraId="0D901A5D" w14:textId="5339D619" w:rsidR="00784F42" w:rsidRPr="00AA528C" w:rsidRDefault="00784F42" w:rsidP="00AC0DCF">
      <w:pPr>
        <w:spacing w:before="0" w:after="120"/>
        <w:rPr>
          <w:rFonts w:eastAsia="Calibri" w:cs="Calibri"/>
          <w:lang w:val="en-GB"/>
        </w:rPr>
      </w:pPr>
      <w:r w:rsidRPr="00AA528C">
        <w:rPr>
          <w:rFonts w:eastAsia="Calibri" w:cs="Calibri"/>
          <w:lang w:val="en-GB"/>
        </w:rPr>
        <w:t>Srednja brojnost mrežnog zooplanktona u zalivu kretala se od 2769 ind /m</w:t>
      </w:r>
      <w:r w:rsidRPr="00AA528C">
        <w:rPr>
          <w:rFonts w:eastAsia="Calibri" w:cs="Calibri"/>
          <w:vertAlign w:val="superscript"/>
          <w:lang w:val="en-GB"/>
        </w:rPr>
        <w:t>3</w:t>
      </w:r>
      <w:r w:rsidRPr="00AA528C">
        <w:rPr>
          <w:rFonts w:eastAsia="Calibri" w:cs="Calibri"/>
          <w:lang w:val="en-GB"/>
        </w:rPr>
        <w:t xml:space="preserve"> do 8062 ind /m</w:t>
      </w:r>
      <w:r w:rsidRPr="00AA528C">
        <w:rPr>
          <w:rFonts w:eastAsia="Calibri" w:cs="Calibri"/>
          <w:vertAlign w:val="superscript"/>
          <w:lang w:val="en-GB"/>
        </w:rPr>
        <w:t>3</w:t>
      </w:r>
      <w:r w:rsidRPr="00AA528C">
        <w:rPr>
          <w:rFonts w:eastAsia="Calibri" w:cs="Calibri"/>
          <w:lang w:val="en-GB"/>
        </w:rPr>
        <w:t xml:space="preserve">. Srednja brojnost </w:t>
      </w:r>
      <w:r w:rsidR="00C87B62" w:rsidRPr="00AA528C">
        <w:rPr>
          <w:rFonts w:eastAsia="Calibri" w:cs="Calibri"/>
          <w:lang w:val="en-GB"/>
        </w:rPr>
        <w:t>mrežnog zooplanktona</w:t>
      </w:r>
      <w:r w:rsidRPr="00AA528C">
        <w:rPr>
          <w:rFonts w:eastAsia="Calibri" w:cs="Calibri"/>
          <w:lang w:val="en-GB"/>
        </w:rPr>
        <w:t xml:space="preserve"> na proučavanim priobalnim lokacijama otvorenog mora bila je znatno niža u poređenju sa zalivom i kretala se od 1569 ind /m</w:t>
      </w:r>
      <w:r w:rsidRPr="00AA528C">
        <w:rPr>
          <w:rFonts w:eastAsia="Calibri" w:cs="Calibri"/>
          <w:vertAlign w:val="superscript"/>
          <w:lang w:val="en-GB"/>
        </w:rPr>
        <w:t>3</w:t>
      </w:r>
      <w:r w:rsidRPr="00AA528C">
        <w:rPr>
          <w:rFonts w:eastAsia="Calibri" w:cs="Calibri"/>
          <w:lang w:val="en-GB"/>
        </w:rPr>
        <w:t xml:space="preserve"> do 6280 ind / m</w:t>
      </w:r>
      <w:r w:rsidRPr="00AA528C">
        <w:rPr>
          <w:rFonts w:eastAsia="Calibri" w:cs="Calibri"/>
          <w:vertAlign w:val="superscript"/>
          <w:lang w:val="en-GB"/>
        </w:rPr>
        <w:t>3</w:t>
      </w:r>
      <w:r w:rsidRPr="00AA528C">
        <w:rPr>
          <w:rFonts w:eastAsia="Calibri" w:cs="Calibri"/>
          <w:lang w:val="en-GB"/>
        </w:rPr>
        <w:t>.</w:t>
      </w:r>
    </w:p>
    <w:p w14:paraId="56C842F6" w14:textId="160B0D72" w:rsidR="00784F42" w:rsidRPr="00E24841" w:rsidRDefault="00784F42" w:rsidP="00AC0DCF">
      <w:pPr>
        <w:spacing w:before="0" w:after="120"/>
        <w:rPr>
          <w:rFonts w:eastAsia="Calibri" w:cs="Calibri"/>
          <w:lang w:val="en-GB"/>
        </w:rPr>
      </w:pPr>
      <w:r w:rsidRPr="00AA528C">
        <w:rPr>
          <w:rFonts w:eastAsia="Calibri" w:cs="Calibri"/>
          <w:lang w:val="en-GB"/>
        </w:rPr>
        <w:t>Kopepodi čine najveći udio u ukupnom zooplanktonu, preko 75% na svim lokacijama, a zatim slijede kladocere, koje su brojnije tokom ljetnjih mjeseci. Ostale grupe učestvuju sa ukupno 10% udjela u ukupnom zooplanktonu. Meroplanktonski organizmi bili su prisutni sa &lt;5% (tabela 3.18). Sličan nalaz pronađen je za čitav Jadran i Mediteran (Mazzochi i sar., 2011; Vidjak i sar., 2012; Miloslavić i sar., 2012).</w:t>
      </w:r>
      <w:r w:rsidRPr="00AA528C">
        <w:rPr>
          <w:rFonts w:eastAsia="Calibri"/>
          <w:b/>
          <w:lang w:val="en-GB"/>
        </w:rPr>
        <w:t xml:space="preserve"> </w:t>
      </w:r>
    </w:p>
    <w:p w14:paraId="6A296B22" w14:textId="7082ACB1" w:rsidR="00784F42" w:rsidRDefault="002D1379" w:rsidP="002D1379">
      <w:pPr>
        <w:spacing w:before="0" w:after="160" w:line="259" w:lineRule="auto"/>
        <w:jc w:val="left"/>
        <w:rPr>
          <w:rFonts w:eastAsia="Calibri"/>
          <w:b/>
          <w:lang w:val="en-GB"/>
        </w:rPr>
      </w:pPr>
      <w:bookmarkStart w:id="363" w:name="_Toc83643215"/>
      <w:r w:rsidRPr="001C6CCA">
        <w:rPr>
          <w:rFonts w:eastAsia="Calibri"/>
          <w:b/>
          <w:szCs w:val="22"/>
          <w:lang w:val="en-GB" w:eastAsia="en-US"/>
        </w:rPr>
        <w:t>Tab</w:t>
      </w:r>
      <w:r w:rsidR="00784F42">
        <w:rPr>
          <w:rFonts w:eastAsia="Calibri"/>
          <w:b/>
          <w:szCs w:val="22"/>
          <w:lang w:val="en-GB" w:eastAsia="en-US"/>
        </w:rPr>
        <w:t>ela</w:t>
      </w:r>
      <w:r w:rsidRPr="001C6CCA">
        <w:rPr>
          <w:rFonts w:eastAsia="Calibri"/>
          <w:b/>
          <w:szCs w:val="22"/>
          <w:lang w:val="en-GB" w:eastAsia="en-US"/>
        </w:rPr>
        <w:t xml:space="preserve"> </w:t>
      </w:r>
      <w:r w:rsidRPr="00D932B6">
        <w:rPr>
          <w:b/>
          <w:szCs w:val="22"/>
        </w:rPr>
        <w:fldChar w:fldCharType="begin"/>
      </w:r>
      <w:r w:rsidRPr="00D932B6">
        <w:rPr>
          <w:b/>
          <w:szCs w:val="22"/>
        </w:rPr>
        <w:instrText xml:space="preserve"> STYLEREF 1 \s </w:instrText>
      </w:r>
      <w:r w:rsidRPr="00D932B6">
        <w:rPr>
          <w:b/>
          <w:szCs w:val="22"/>
        </w:rPr>
        <w:fldChar w:fldCharType="separate"/>
      </w:r>
      <w:r w:rsidR="000D1E20">
        <w:rPr>
          <w:b/>
          <w:noProof/>
          <w:szCs w:val="22"/>
        </w:rPr>
        <w:t>3</w:t>
      </w:r>
      <w:r w:rsidRPr="00D932B6">
        <w:rPr>
          <w:b/>
          <w:szCs w:val="22"/>
        </w:rPr>
        <w:fldChar w:fldCharType="end"/>
      </w:r>
      <w:r w:rsidRPr="00D932B6">
        <w:rPr>
          <w:b/>
          <w:szCs w:val="22"/>
        </w:rPr>
        <w:t>.</w:t>
      </w:r>
      <w:r w:rsidRPr="00D932B6">
        <w:rPr>
          <w:b/>
          <w:szCs w:val="22"/>
        </w:rPr>
        <w:fldChar w:fldCharType="begin"/>
      </w:r>
      <w:r w:rsidRPr="00D932B6">
        <w:rPr>
          <w:b/>
          <w:szCs w:val="22"/>
        </w:rPr>
        <w:instrText xml:space="preserve"> SEQ Table \* ARABIC \s 1 </w:instrText>
      </w:r>
      <w:r w:rsidRPr="00D932B6">
        <w:rPr>
          <w:b/>
          <w:szCs w:val="22"/>
        </w:rPr>
        <w:fldChar w:fldCharType="separate"/>
      </w:r>
      <w:r w:rsidR="000D1E20">
        <w:rPr>
          <w:b/>
          <w:noProof/>
          <w:szCs w:val="22"/>
        </w:rPr>
        <w:t>19</w:t>
      </w:r>
      <w:r w:rsidRPr="00D932B6">
        <w:rPr>
          <w:b/>
          <w:szCs w:val="22"/>
        </w:rPr>
        <w:fldChar w:fldCharType="end"/>
      </w:r>
      <w:r>
        <w:rPr>
          <w:b/>
          <w:szCs w:val="22"/>
        </w:rPr>
        <w:t>.</w:t>
      </w:r>
      <w:r w:rsidRPr="001C6CCA">
        <w:rPr>
          <w:rFonts w:eastAsia="Calibri" w:cs="Calibri"/>
          <w:b/>
          <w:szCs w:val="22"/>
          <w:lang w:val="en-GB" w:eastAsia="en-US"/>
        </w:rPr>
        <w:t xml:space="preserve"> </w:t>
      </w:r>
      <w:r w:rsidR="00784F42" w:rsidRPr="00AA528C">
        <w:rPr>
          <w:rFonts w:eastAsia="Calibri"/>
          <w:b/>
          <w:lang w:val="en-GB"/>
        </w:rPr>
        <w:t>Procentualni udio najzastupljenijih grupa mezozooplanktona</w:t>
      </w:r>
      <w:bookmarkEnd w:id="363"/>
    </w:p>
    <w:tbl>
      <w:tblPr>
        <w:tblStyle w:val="TableGrid24"/>
        <w:tblW w:w="5000" w:type="pct"/>
        <w:tblLook w:val="04A0" w:firstRow="1" w:lastRow="0" w:firstColumn="1" w:lastColumn="0" w:noHBand="0" w:noVBand="1"/>
      </w:tblPr>
      <w:tblGrid>
        <w:gridCol w:w="1858"/>
        <w:gridCol w:w="1718"/>
        <w:gridCol w:w="1577"/>
        <w:gridCol w:w="1860"/>
        <w:gridCol w:w="2008"/>
      </w:tblGrid>
      <w:tr w:rsidR="00784F42" w:rsidRPr="00AA528C" w14:paraId="24473212" w14:textId="77777777" w:rsidTr="00C87B62">
        <w:trPr>
          <w:trHeight w:val="380"/>
        </w:trPr>
        <w:tc>
          <w:tcPr>
            <w:tcW w:w="1030" w:type="pct"/>
            <w:tcBorders>
              <w:top w:val="single" w:sz="4" w:space="0" w:color="auto"/>
              <w:left w:val="single" w:sz="4" w:space="0" w:color="auto"/>
              <w:bottom w:val="single" w:sz="4" w:space="0" w:color="FFFFFF" w:themeColor="background1"/>
              <w:right w:val="single" w:sz="4" w:space="0" w:color="FFFFFF" w:themeColor="background1"/>
            </w:tcBorders>
            <w:shd w:val="clear" w:color="auto" w:fill="1F497D" w:themeFill="text2"/>
          </w:tcPr>
          <w:p w14:paraId="7224C871" w14:textId="77777777" w:rsidR="00784F42" w:rsidRPr="000310E7" w:rsidRDefault="00784F42" w:rsidP="00D97080">
            <w:pPr>
              <w:rPr>
                <w:rFonts w:eastAsia="Times New Roman"/>
                <w:color w:val="FFFFFF" w:themeColor="background1"/>
                <w:lang w:val="en-GB"/>
              </w:rPr>
            </w:pPr>
          </w:p>
        </w:tc>
        <w:tc>
          <w:tcPr>
            <w:tcW w:w="1826" w:type="pct"/>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082A917D" w14:textId="77777777" w:rsidR="00784F42" w:rsidRPr="000310E7" w:rsidRDefault="00784F42" w:rsidP="00D97080">
            <w:pPr>
              <w:jc w:val="center"/>
              <w:rPr>
                <w:rFonts w:eastAsia="Times New Roman"/>
                <w:color w:val="FFFFFF" w:themeColor="background1"/>
                <w:lang w:val="en-GB"/>
              </w:rPr>
            </w:pPr>
            <w:r w:rsidRPr="000310E7">
              <w:rPr>
                <w:rFonts w:eastAsia="Times New Roman"/>
                <w:b/>
                <w:color w:val="FFFFFF" w:themeColor="background1"/>
                <w:lang w:val="en-GB"/>
              </w:rPr>
              <w:t>Bokokotorski zaliv</w:t>
            </w:r>
          </w:p>
        </w:tc>
        <w:tc>
          <w:tcPr>
            <w:tcW w:w="2144" w:type="pct"/>
            <w:gridSpan w:val="2"/>
            <w:tcBorders>
              <w:top w:val="single" w:sz="4" w:space="0" w:color="auto"/>
              <w:left w:val="single" w:sz="4" w:space="0" w:color="FFFFFF" w:themeColor="background1"/>
              <w:bottom w:val="single" w:sz="4" w:space="0" w:color="FFFFFF" w:themeColor="background1"/>
              <w:right w:val="single" w:sz="4" w:space="0" w:color="auto"/>
            </w:tcBorders>
            <w:shd w:val="clear" w:color="auto" w:fill="1F497D" w:themeFill="text2"/>
          </w:tcPr>
          <w:p w14:paraId="641C1464" w14:textId="77777777" w:rsidR="00784F42" w:rsidRPr="000310E7" w:rsidRDefault="00784F42" w:rsidP="00D97080">
            <w:pPr>
              <w:jc w:val="center"/>
              <w:rPr>
                <w:rFonts w:eastAsia="Times New Roman"/>
                <w:color w:val="FFFFFF" w:themeColor="background1"/>
                <w:lang w:val="en-GB"/>
              </w:rPr>
            </w:pPr>
            <w:r w:rsidRPr="000310E7">
              <w:rPr>
                <w:rFonts w:eastAsia="Times New Roman"/>
                <w:b/>
                <w:color w:val="FFFFFF" w:themeColor="background1"/>
                <w:lang w:val="en-GB"/>
              </w:rPr>
              <w:t>Priobalno otvoreno more</w:t>
            </w:r>
          </w:p>
        </w:tc>
      </w:tr>
      <w:tr w:rsidR="00784F42" w:rsidRPr="00AA528C" w14:paraId="3739F7CB" w14:textId="77777777" w:rsidTr="00C87B62">
        <w:trPr>
          <w:trHeight w:val="390"/>
        </w:trPr>
        <w:tc>
          <w:tcPr>
            <w:tcW w:w="1030" w:type="pct"/>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1F497D" w:themeFill="text2"/>
          </w:tcPr>
          <w:p w14:paraId="5A58AC09" w14:textId="77777777" w:rsidR="00784F42" w:rsidRPr="000310E7" w:rsidRDefault="00784F42" w:rsidP="00D97080">
            <w:pPr>
              <w:rPr>
                <w:rFonts w:eastAsia="Times New Roman"/>
                <w:color w:val="FFFFFF" w:themeColor="background1"/>
                <w:lang w:val="en-GB"/>
              </w:rPr>
            </w:pPr>
            <w:r w:rsidRPr="000310E7">
              <w:rPr>
                <w:rFonts w:eastAsia="Times New Roman"/>
                <w:b/>
                <w:color w:val="FFFFFF" w:themeColor="background1"/>
                <w:lang w:val="en-GB"/>
              </w:rPr>
              <w:t>Grupe taksona</w:t>
            </w:r>
          </w:p>
        </w:tc>
        <w:tc>
          <w:tcPr>
            <w:tcW w:w="95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16CCCAC3" w14:textId="77777777" w:rsidR="00784F42" w:rsidRPr="000310E7" w:rsidRDefault="00784F42" w:rsidP="00D97080">
            <w:pPr>
              <w:jc w:val="center"/>
              <w:rPr>
                <w:rFonts w:eastAsia="Times New Roman"/>
                <w:color w:val="FFFFFF" w:themeColor="background1"/>
                <w:lang w:val="en-GB"/>
              </w:rPr>
            </w:pPr>
            <w:r w:rsidRPr="000310E7">
              <w:rPr>
                <w:rFonts w:eastAsia="Times New Roman"/>
                <w:b/>
                <w:color w:val="FFFFFF" w:themeColor="background1"/>
                <w:lang w:val="en-GB"/>
              </w:rPr>
              <w:t>Raspon</w:t>
            </w:r>
          </w:p>
        </w:tc>
        <w:tc>
          <w:tcPr>
            <w:tcW w:w="87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498B471F" w14:textId="77777777" w:rsidR="00784F42" w:rsidRPr="000310E7" w:rsidRDefault="00784F42" w:rsidP="00D97080">
            <w:pPr>
              <w:jc w:val="center"/>
              <w:rPr>
                <w:rFonts w:eastAsia="Times New Roman"/>
                <w:color w:val="FFFFFF" w:themeColor="background1"/>
                <w:lang w:val="en-GB"/>
              </w:rPr>
            </w:pPr>
            <w:r w:rsidRPr="000310E7">
              <w:rPr>
                <w:rFonts w:eastAsia="Times New Roman"/>
                <w:b/>
                <w:color w:val="FFFFFF" w:themeColor="background1"/>
                <w:lang w:val="en-GB"/>
              </w:rPr>
              <w:t>Prosjek</w:t>
            </w:r>
            <w:r w:rsidRPr="000310E7">
              <w:rPr>
                <w:rFonts w:eastAsia="Times New Roman" w:cs="Calibri"/>
                <w:b/>
                <w:color w:val="FFFFFF" w:themeColor="background1"/>
                <w:lang w:val="en-GB"/>
              </w:rPr>
              <w:t>±</w:t>
            </w:r>
            <w:r w:rsidRPr="000310E7">
              <w:rPr>
                <w:rFonts w:eastAsia="Times New Roman"/>
                <w:b/>
                <w:color w:val="FFFFFF" w:themeColor="background1"/>
                <w:lang w:val="en-GB"/>
              </w:rPr>
              <w:t>SD</w:t>
            </w:r>
          </w:p>
        </w:tc>
        <w:tc>
          <w:tcPr>
            <w:tcW w:w="10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F345782" w14:textId="77777777" w:rsidR="00784F42" w:rsidRPr="000310E7" w:rsidRDefault="00784F42" w:rsidP="00D97080">
            <w:pPr>
              <w:jc w:val="center"/>
              <w:rPr>
                <w:rFonts w:eastAsia="Times New Roman"/>
                <w:color w:val="FFFFFF" w:themeColor="background1"/>
                <w:lang w:val="en-GB"/>
              </w:rPr>
            </w:pPr>
            <w:r w:rsidRPr="000310E7">
              <w:rPr>
                <w:rFonts w:eastAsia="Times New Roman"/>
                <w:b/>
                <w:color w:val="FFFFFF" w:themeColor="background1"/>
                <w:lang w:val="en-GB"/>
              </w:rPr>
              <w:t>Raspon</w:t>
            </w:r>
          </w:p>
        </w:tc>
        <w:tc>
          <w:tcPr>
            <w:tcW w:w="1112" w:type="pct"/>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497D" w:themeFill="text2"/>
          </w:tcPr>
          <w:p w14:paraId="160E21F9" w14:textId="77777777" w:rsidR="00784F42" w:rsidRPr="000310E7" w:rsidRDefault="00784F42" w:rsidP="00D97080">
            <w:pPr>
              <w:jc w:val="center"/>
              <w:rPr>
                <w:rFonts w:eastAsia="Times New Roman"/>
                <w:color w:val="FFFFFF" w:themeColor="background1"/>
                <w:lang w:val="en-GB"/>
              </w:rPr>
            </w:pPr>
            <w:r w:rsidRPr="000310E7">
              <w:rPr>
                <w:rFonts w:eastAsia="Times New Roman"/>
                <w:b/>
                <w:color w:val="FFFFFF" w:themeColor="background1"/>
                <w:lang w:val="en-GB"/>
              </w:rPr>
              <w:t>Prosjek</w:t>
            </w:r>
            <w:r w:rsidRPr="000310E7">
              <w:rPr>
                <w:rFonts w:eastAsia="Times New Roman" w:cs="Calibri"/>
                <w:b/>
                <w:color w:val="FFFFFF" w:themeColor="background1"/>
                <w:lang w:val="en-GB"/>
              </w:rPr>
              <w:t>±</w:t>
            </w:r>
            <w:r w:rsidRPr="000310E7">
              <w:rPr>
                <w:rFonts w:eastAsia="Times New Roman"/>
                <w:b/>
                <w:color w:val="FFFFFF" w:themeColor="background1"/>
                <w:lang w:val="en-GB"/>
              </w:rPr>
              <w:t>SD</w:t>
            </w:r>
          </w:p>
        </w:tc>
      </w:tr>
      <w:tr w:rsidR="00784F42" w:rsidRPr="00AA528C" w14:paraId="7986BCBD" w14:textId="77777777" w:rsidTr="00C87B62">
        <w:trPr>
          <w:trHeight w:val="346"/>
        </w:trPr>
        <w:tc>
          <w:tcPr>
            <w:tcW w:w="1030" w:type="pct"/>
            <w:tcBorders>
              <w:top w:val="single" w:sz="4" w:space="0" w:color="FFFFFF" w:themeColor="background1"/>
            </w:tcBorders>
          </w:tcPr>
          <w:p w14:paraId="45E3F246" w14:textId="77777777" w:rsidR="00784F42" w:rsidRPr="00AA528C" w:rsidRDefault="00784F42" w:rsidP="00D97080">
            <w:pPr>
              <w:rPr>
                <w:rFonts w:eastAsia="Times New Roman"/>
                <w:sz w:val="20"/>
                <w:szCs w:val="20"/>
                <w:lang w:val="en-GB"/>
              </w:rPr>
            </w:pPr>
            <w:r w:rsidRPr="00AA528C">
              <w:rPr>
                <w:rFonts w:eastAsia="Times New Roman"/>
                <w:sz w:val="20"/>
                <w:szCs w:val="20"/>
                <w:lang w:val="en-GB"/>
              </w:rPr>
              <w:t>Copepoda</w:t>
            </w:r>
          </w:p>
        </w:tc>
        <w:tc>
          <w:tcPr>
            <w:tcW w:w="952" w:type="pct"/>
            <w:tcBorders>
              <w:top w:val="single" w:sz="4" w:space="0" w:color="FFFFFF" w:themeColor="background1"/>
            </w:tcBorders>
          </w:tcPr>
          <w:p w14:paraId="54D244DD"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75.5-86.9</w:t>
            </w:r>
          </w:p>
        </w:tc>
        <w:tc>
          <w:tcPr>
            <w:tcW w:w="874" w:type="pct"/>
            <w:tcBorders>
              <w:top w:val="single" w:sz="4" w:space="0" w:color="FFFFFF" w:themeColor="background1"/>
            </w:tcBorders>
          </w:tcPr>
          <w:p w14:paraId="21A8BF88"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80.8+3.2</w:t>
            </w:r>
          </w:p>
        </w:tc>
        <w:tc>
          <w:tcPr>
            <w:tcW w:w="1031" w:type="pct"/>
            <w:tcBorders>
              <w:top w:val="single" w:sz="4" w:space="0" w:color="FFFFFF" w:themeColor="background1"/>
            </w:tcBorders>
          </w:tcPr>
          <w:p w14:paraId="61C897CD"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73.4-82.2</w:t>
            </w:r>
          </w:p>
        </w:tc>
        <w:tc>
          <w:tcPr>
            <w:tcW w:w="1112" w:type="pct"/>
            <w:tcBorders>
              <w:top w:val="single" w:sz="4" w:space="0" w:color="FFFFFF" w:themeColor="background1"/>
            </w:tcBorders>
          </w:tcPr>
          <w:p w14:paraId="677473AE"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76.9+3.3</w:t>
            </w:r>
          </w:p>
        </w:tc>
      </w:tr>
      <w:tr w:rsidR="00784F42" w:rsidRPr="00AA528C" w14:paraId="35B1CE0B" w14:textId="77777777" w:rsidTr="00C87B62">
        <w:trPr>
          <w:trHeight w:val="357"/>
        </w:trPr>
        <w:tc>
          <w:tcPr>
            <w:tcW w:w="1030" w:type="pct"/>
          </w:tcPr>
          <w:p w14:paraId="41039965" w14:textId="77777777" w:rsidR="00784F42" w:rsidRPr="00AA528C" w:rsidRDefault="00784F42" w:rsidP="00D97080">
            <w:pPr>
              <w:rPr>
                <w:rFonts w:eastAsia="Times New Roman"/>
                <w:sz w:val="20"/>
                <w:szCs w:val="20"/>
                <w:lang w:val="en-GB"/>
              </w:rPr>
            </w:pPr>
            <w:r w:rsidRPr="00AA528C">
              <w:rPr>
                <w:rFonts w:eastAsia="Times New Roman"/>
                <w:sz w:val="20"/>
                <w:szCs w:val="20"/>
                <w:lang w:val="en-GB"/>
              </w:rPr>
              <w:t>Cladocera</w:t>
            </w:r>
          </w:p>
        </w:tc>
        <w:tc>
          <w:tcPr>
            <w:tcW w:w="952" w:type="pct"/>
          </w:tcPr>
          <w:p w14:paraId="42207F8C"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4.1-17.2</w:t>
            </w:r>
          </w:p>
        </w:tc>
        <w:tc>
          <w:tcPr>
            <w:tcW w:w="874" w:type="pct"/>
          </w:tcPr>
          <w:p w14:paraId="73C9FF1D"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10.9+4.3</w:t>
            </w:r>
          </w:p>
        </w:tc>
        <w:tc>
          <w:tcPr>
            <w:tcW w:w="1031" w:type="pct"/>
          </w:tcPr>
          <w:p w14:paraId="274CF2E6"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7.62-19.2</w:t>
            </w:r>
          </w:p>
        </w:tc>
        <w:tc>
          <w:tcPr>
            <w:tcW w:w="1112" w:type="pct"/>
          </w:tcPr>
          <w:p w14:paraId="4E0F22AB"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12.8+4.13</w:t>
            </w:r>
          </w:p>
        </w:tc>
      </w:tr>
      <w:tr w:rsidR="00784F42" w:rsidRPr="00AA528C" w14:paraId="3107CD49" w14:textId="77777777" w:rsidTr="00C87B62">
        <w:trPr>
          <w:trHeight w:val="357"/>
        </w:trPr>
        <w:tc>
          <w:tcPr>
            <w:tcW w:w="1030" w:type="pct"/>
          </w:tcPr>
          <w:p w14:paraId="013A4043" w14:textId="77777777" w:rsidR="00784F42" w:rsidRPr="00AA528C" w:rsidRDefault="00784F42" w:rsidP="00D97080">
            <w:pPr>
              <w:rPr>
                <w:rFonts w:eastAsia="Times New Roman"/>
                <w:sz w:val="20"/>
                <w:szCs w:val="20"/>
                <w:lang w:val="en-GB"/>
              </w:rPr>
            </w:pPr>
            <w:r w:rsidRPr="00AA528C">
              <w:rPr>
                <w:rFonts w:eastAsia="Times New Roman"/>
                <w:sz w:val="20"/>
                <w:szCs w:val="20"/>
                <w:lang w:val="en-GB"/>
              </w:rPr>
              <w:t>Apendicularia</w:t>
            </w:r>
          </w:p>
        </w:tc>
        <w:tc>
          <w:tcPr>
            <w:tcW w:w="952" w:type="pct"/>
          </w:tcPr>
          <w:p w14:paraId="32BFE9A9"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0.9-2.6</w:t>
            </w:r>
          </w:p>
        </w:tc>
        <w:tc>
          <w:tcPr>
            <w:tcW w:w="874" w:type="pct"/>
          </w:tcPr>
          <w:p w14:paraId="0773CF64"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1.7+0.6</w:t>
            </w:r>
          </w:p>
        </w:tc>
        <w:tc>
          <w:tcPr>
            <w:tcW w:w="1031" w:type="pct"/>
          </w:tcPr>
          <w:p w14:paraId="00E7E9E4"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2.1-3.85</w:t>
            </w:r>
          </w:p>
        </w:tc>
        <w:tc>
          <w:tcPr>
            <w:tcW w:w="1112" w:type="pct"/>
          </w:tcPr>
          <w:p w14:paraId="5C046E49"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2.96+0.87</w:t>
            </w:r>
          </w:p>
        </w:tc>
      </w:tr>
      <w:tr w:rsidR="00784F42" w:rsidRPr="00AA528C" w14:paraId="5A782A03" w14:textId="77777777" w:rsidTr="00C87B62">
        <w:trPr>
          <w:trHeight w:val="357"/>
        </w:trPr>
        <w:tc>
          <w:tcPr>
            <w:tcW w:w="1030" w:type="pct"/>
          </w:tcPr>
          <w:p w14:paraId="135B404A" w14:textId="77777777" w:rsidR="00784F42" w:rsidRPr="00AA528C" w:rsidRDefault="00784F42" w:rsidP="00D97080">
            <w:pPr>
              <w:rPr>
                <w:rFonts w:eastAsia="Times New Roman"/>
                <w:sz w:val="20"/>
                <w:szCs w:val="20"/>
                <w:lang w:val="en-GB"/>
              </w:rPr>
            </w:pPr>
            <w:r w:rsidRPr="00AA528C">
              <w:rPr>
                <w:rFonts w:eastAsia="Times New Roman"/>
                <w:sz w:val="20"/>
                <w:szCs w:val="20"/>
                <w:lang w:val="en-GB"/>
              </w:rPr>
              <w:t>Chaetognata</w:t>
            </w:r>
          </w:p>
        </w:tc>
        <w:tc>
          <w:tcPr>
            <w:tcW w:w="952" w:type="pct"/>
          </w:tcPr>
          <w:p w14:paraId="2EBE1766"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0.3-0.8</w:t>
            </w:r>
          </w:p>
        </w:tc>
        <w:tc>
          <w:tcPr>
            <w:tcW w:w="874" w:type="pct"/>
          </w:tcPr>
          <w:p w14:paraId="4D946697"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0.5+0.2</w:t>
            </w:r>
          </w:p>
        </w:tc>
        <w:tc>
          <w:tcPr>
            <w:tcW w:w="1031" w:type="pct"/>
          </w:tcPr>
          <w:p w14:paraId="51309415"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0.53-1.12</w:t>
            </w:r>
          </w:p>
        </w:tc>
        <w:tc>
          <w:tcPr>
            <w:tcW w:w="1112" w:type="pct"/>
          </w:tcPr>
          <w:p w14:paraId="4FADD2AE"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0.81+0.22</w:t>
            </w:r>
          </w:p>
        </w:tc>
      </w:tr>
      <w:tr w:rsidR="00784F42" w:rsidRPr="00AA528C" w14:paraId="587E3192" w14:textId="77777777" w:rsidTr="00C87B62">
        <w:trPr>
          <w:trHeight w:val="357"/>
        </w:trPr>
        <w:tc>
          <w:tcPr>
            <w:tcW w:w="1030" w:type="pct"/>
          </w:tcPr>
          <w:p w14:paraId="4EF095E6" w14:textId="77777777" w:rsidR="00784F42" w:rsidRPr="00AA528C" w:rsidRDefault="00784F42" w:rsidP="00D97080">
            <w:pPr>
              <w:rPr>
                <w:rFonts w:eastAsia="Times New Roman"/>
                <w:sz w:val="20"/>
                <w:szCs w:val="20"/>
                <w:lang w:val="en-GB"/>
              </w:rPr>
            </w:pPr>
            <w:r w:rsidRPr="00AA528C">
              <w:rPr>
                <w:rFonts w:eastAsia="Times New Roman"/>
                <w:sz w:val="20"/>
                <w:szCs w:val="20"/>
                <w:lang w:val="en-GB"/>
              </w:rPr>
              <w:t>Meroplankton</w:t>
            </w:r>
          </w:p>
        </w:tc>
        <w:tc>
          <w:tcPr>
            <w:tcW w:w="952" w:type="pct"/>
          </w:tcPr>
          <w:p w14:paraId="7EB3661A"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1.45-14.3</w:t>
            </w:r>
          </w:p>
        </w:tc>
        <w:tc>
          <w:tcPr>
            <w:tcW w:w="874" w:type="pct"/>
          </w:tcPr>
          <w:p w14:paraId="4360F393"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4.8+3.7</w:t>
            </w:r>
          </w:p>
        </w:tc>
        <w:tc>
          <w:tcPr>
            <w:tcW w:w="1031" w:type="pct"/>
          </w:tcPr>
          <w:p w14:paraId="796D1941"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2.9-5.14</w:t>
            </w:r>
          </w:p>
        </w:tc>
        <w:tc>
          <w:tcPr>
            <w:tcW w:w="1112" w:type="pct"/>
          </w:tcPr>
          <w:p w14:paraId="696EBE0F" w14:textId="77777777" w:rsidR="00784F42" w:rsidRPr="00AA528C" w:rsidRDefault="00784F42" w:rsidP="00D97080">
            <w:pPr>
              <w:jc w:val="center"/>
              <w:rPr>
                <w:rFonts w:eastAsia="Times New Roman"/>
                <w:sz w:val="20"/>
                <w:szCs w:val="20"/>
                <w:lang w:val="en-GB"/>
              </w:rPr>
            </w:pPr>
            <w:r w:rsidRPr="00AA528C">
              <w:rPr>
                <w:rFonts w:eastAsia="Times New Roman"/>
                <w:sz w:val="20"/>
                <w:szCs w:val="20"/>
                <w:lang w:val="en-GB"/>
              </w:rPr>
              <w:t>4.4-0.8</w:t>
            </w:r>
          </w:p>
        </w:tc>
      </w:tr>
    </w:tbl>
    <w:p w14:paraId="7C408BFF" w14:textId="77777777" w:rsidR="00784F42" w:rsidRPr="00AA528C" w:rsidRDefault="00784F42" w:rsidP="00784F42">
      <w:pPr>
        <w:spacing w:after="0"/>
        <w:ind w:firstLine="397"/>
        <w:rPr>
          <w:rFonts w:ascii="Times New Roman" w:eastAsia="Calibri" w:hAnsi="Times New Roman"/>
          <w:b/>
          <w:sz w:val="24"/>
          <w:lang w:val="en-GB"/>
        </w:rPr>
      </w:pPr>
    </w:p>
    <w:p w14:paraId="5347AD4C" w14:textId="1E98719B" w:rsidR="00784F42" w:rsidRPr="00AA528C" w:rsidRDefault="00784F42" w:rsidP="00C87B62">
      <w:pPr>
        <w:spacing w:before="0" w:after="120"/>
        <w:contextualSpacing/>
        <w:rPr>
          <w:rFonts w:eastAsia="Calibri" w:cs="Calibri"/>
          <w:lang w:val="en-GB"/>
        </w:rPr>
      </w:pPr>
      <w:bookmarkStart w:id="364" w:name="_Hlk68816828"/>
      <w:r w:rsidRPr="00AA528C">
        <w:rPr>
          <w:rFonts w:eastAsia="Calibri" w:cs="Calibri"/>
          <w:lang w:val="en-GB"/>
        </w:rPr>
        <w:t>Analize indeksa biodiverziteta (Margalef i Shannon-Viener indeks) pokazale su relativno visoku raznolikost mezozooplanktona (</w:t>
      </w:r>
      <w:r w:rsidR="00C87B62">
        <w:rPr>
          <w:rFonts w:eastAsia="Calibri" w:cs="Calibri"/>
          <w:lang w:val="en-GB"/>
        </w:rPr>
        <w:t>S</w:t>
      </w:r>
      <w:r w:rsidRPr="00AA528C">
        <w:rPr>
          <w:rFonts w:eastAsia="Calibri" w:cs="Calibri"/>
          <w:lang w:val="en-GB"/>
        </w:rPr>
        <w:t xml:space="preserve">lika 3.2). Posmatrano u prostornom rasporedu, jasno je kako se povećava vrijednost indeksa diverziteta od Bokokotorskog zaliva </w:t>
      </w:r>
      <w:r w:rsidR="005A5740">
        <w:rPr>
          <w:rFonts w:eastAsia="Calibri" w:cs="Calibri"/>
          <w:lang w:val="en-GB"/>
        </w:rPr>
        <w:t xml:space="preserve">prema </w:t>
      </w:r>
      <w:r w:rsidRPr="00AA528C">
        <w:rPr>
          <w:rFonts w:eastAsia="Calibri" w:cs="Calibri"/>
          <w:lang w:val="en-GB"/>
        </w:rPr>
        <w:t>otvoreno</w:t>
      </w:r>
      <w:r w:rsidR="005A5740">
        <w:rPr>
          <w:rFonts w:eastAsia="Calibri" w:cs="Calibri"/>
          <w:lang w:val="en-GB"/>
        </w:rPr>
        <w:t>m</w:t>
      </w:r>
      <w:r w:rsidRPr="00AA528C">
        <w:rPr>
          <w:rFonts w:eastAsia="Calibri" w:cs="Calibri"/>
          <w:lang w:val="en-GB"/>
        </w:rPr>
        <w:t xml:space="preserve"> mor</w:t>
      </w:r>
      <w:r w:rsidR="005A5740">
        <w:rPr>
          <w:rFonts w:eastAsia="Calibri" w:cs="Calibri"/>
          <w:lang w:val="en-GB"/>
        </w:rPr>
        <w:t>u</w:t>
      </w:r>
      <w:r w:rsidRPr="00AA528C">
        <w:rPr>
          <w:rFonts w:eastAsia="Calibri" w:cs="Calibri"/>
          <w:lang w:val="en-GB"/>
        </w:rPr>
        <w:t>.</w:t>
      </w:r>
    </w:p>
    <w:bookmarkEnd w:id="364"/>
    <w:p w14:paraId="3C71F32F" w14:textId="77777777" w:rsidR="002D1379" w:rsidRPr="001C6CCA" w:rsidRDefault="002D1379" w:rsidP="002D1379">
      <w:pPr>
        <w:spacing w:before="0" w:after="120" w:line="240" w:lineRule="auto"/>
        <w:jc w:val="center"/>
        <w:rPr>
          <w:rFonts w:eastAsia="Calibri" w:cs="Calibri"/>
          <w:szCs w:val="22"/>
          <w:lang w:val="en-GB" w:eastAsia="en-US"/>
        </w:rPr>
      </w:pPr>
      <w:r w:rsidRPr="001C6CCA">
        <w:rPr>
          <w:rFonts w:ascii="Times New Roman" w:eastAsia="Calibri" w:hAnsi="Times New Roman"/>
          <w:noProof/>
          <w:sz w:val="24"/>
          <w:lang w:eastAsia="en-US"/>
        </w:rPr>
        <w:drawing>
          <wp:inline distT="0" distB="0" distL="0" distR="0" wp14:anchorId="331A1C28" wp14:editId="0084EB3B">
            <wp:extent cx="5148302" cy="2165755"/>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OC margalef shannon lokaliteti.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236841" cy="2203001"/>
                    </a:xfrm>
                    <a:prstGeom prst="rect">
                      <a:avLst/>
                    </a:prstGeom>
                  </pic:spPr>
                </pic:pic>
              </a:graphicData>
            </a:graphic>
          </wp:inline>
        </w:drawing>
      </w:r>
    </w:p>
    <w:p w14:paraId="25E29B02" w14:textId="77777777" w:rsidR="00206305" w:rsidRPr="001C6CCA" w:rsidRDefault="00206305" w:rsidP="00206305">
      <w:pPr>
        <w:spacing w:before="0" w:after="0" w:line="240" w:lineRule="auto"/>
        <w:rPr>
          <w:rFonts w:ascii="Times New Roman" w:eastAsia="Calibri" w:hAnsi="Times New Roman"/>
          <w:sz w:val="24"/>
          <w:lang w:val="en-GB" w:eastAsia="en-US"/>
        </w:rPr>
      </w:pPr>
      <w:bookmarkStart w:id="365" w:name="_Toc83636929"/>
      <w:r>
        <w:rPr>
          <w:rFonts w:eastAsia="Calibri" w:cs="Calibri"/>
          <w:b/>
          <w:szCs w:val="22"/>
          <w:lang w:val="en-GB" w:eastAsia="en-US"/>
        </w:rPr>
        <w:t>Slika</w:t>
      </w:r>
      <w:r w:rsidRPr="001C6CCA">
        <w:rPr>
          <w:rFonts w:eastAsia="Calibri" w:cs="Calibri"/>
          <w:b/>
          <w:szCs w:val="22"/>
          <w:lang w:val="en-GB" w:eastAsia="en-US"/>
        </w:rPr>
        <w:t xml:space="preserve"> </w:t>
      </w:r>
      <w:r>
        <w:rPr>
          <w:rFonts w:eastAsia="Calibri" w:cs="Calibri"/>
          <w:b/>
          <w:iCs/>
          <w:szCs w:val="22"/>
          <w:lang w:val="en-GB" w:eastAsia="en-US"/>
        </w:rPr>
        <w:fldChar w:fldCharType="begin"/>
      </w:r>
      <w:r>
        <w:rPr>
          <w:rFonts w:eastAsia="Calibri" w:cs="Calibri"/>
          <w:b/>
          <w:iCs/>
          <w:szCs w:val="22"/>
          <w:lang w:val="en-GB" w:eastAsia="en-US"/>
        </w:rPr>
        <w:instrText xml:space="preserve"> STYLEREF 1 \s </w:instrText>
      </w:r>
      <w:r>
        <w:rPr>
          <w:rFonts w:eastAsia="Calibri" w:cs="Calibri"/>
          <w:b/>
          <w:iCs/>
          <w:szCs w:val="22"/>
          <w:lang w:val="en-GB" w:eastAsia="en-US"/>
        </w:rPr>
        <w:fldChar w:fldCharType="separate"/>
      </w:r>
      <w:r w:rsidR="000D1E20">
        <w:rPr>
          <w:rFonts w:eastAsia="Calibri" w:cs="Calibri"/>
          <w:b/>
          <w:iCs/>
          <w:noProof/>
          <w:szCs w:val="22"/>
          <w:lang w:val="en-GB" w:eastAsia="en-US"/>
        </w:rPr>
        <w:t>3</w:t>
      </w:r>
      <w:r>
        <w:rPr>
          <w:rFonts w:eastAsia="Calibri" w:cs="Calibri"/>
          <w:b/>
          <w:iCs/>
          <w:szCs w:val="22"/>
          <w:lang w:val="en-GB" w:eastAsia="en-US"/>
        </w:rPr>
        <w:fldChar w:fldCharType="end"/>
      </w:r>
      <w:r>
        <w:rPr>
          <w:rFonts w:eastAsia="Calibri" w:cs="Calibri"/>
          <w:b/>
          <w:iCs/>
          <w:szCs w:val="22"/>
          <w:lang w:val="en-GB" w:eastAsia="en-US"/>
        </w:rPr>
        <w:t>.</w:t>
      </w:r>
      <w:r>
        <w:rPr>
          <w:rFonts w:eastAsia="Calibri" w:cs="Calibri"/>
          <w:b/>
          <w:iCs/>
          <w:szCs w:val="22"/>
          <w:lang w:val="en-GB" w:eastAsia="en-US"/>
        </w:rPr>
        <w:fldChar w:fldCharType="begin"/>
      </w:r>
      <w:r>
        <w:rPr>
          <w:rFonts w:eastAsia="Calibri" w:cs="Calibri"/>
          <w:b/>
          <w:iCs/>
          <w:szCs w:val="22"/>
          <w:lang w:val="en-GB" w:eastAsia="en-US"/>
        </w:rPr>
        <w:instrText xml:space="preserve"> SEQ Figure \* ARABIC \s 1 </w:instrText>
      </w:r>
      <w:r>
        <w:rPr>
          <w:rFonts w:eastAsia="Calibri" w:cs="Calibri"/>
          <w:b/>
          <w:iCs/>
          <w:szCs w:val="22"/>
          <w:lang w:val="en-GB" w:eastAsia="en-US"/>
        </w:rPr>
        <w:fldChar w:fldCharType="separate"/>
      </w:r>
      <w:r w:rsidR="000D1E20">
        <w:rPr>
          <w:rFonts w:eastAsia="Calibri" w:cs="Calibri"/>
          <w:b/>
          <w:iCs/>
          <w:noProof/>
          <w:szCs w:val="22"/>
          <w:lang w:val="en-GB" w:eastAsia="en-US"/>
        </w:rPr>
        <w:t>2</w:t>
      </w:r>
      <w:r>
        <w:rPr>
          <w:rFonts w:eastAsia="Calibri" w:cs="Calibri"/>
          <w:b/>
          <w:iCs/>
          <w:szCs w:val="22"/>
          <w:lang w:val="en-GB" w:eastAsia="en-US"/>
        </w:rPr>
        <w:fldChar w:fldCharType="end"/>
      </w:r>
      <w:r>
        <w:rPr>
          <w:szCs w:val="22"/>
        </w:rPr>
        <w:t>.</w:t>
      </w:r>
      <w:r w:rsidRPr="001C6CCA">
        <w:rPr>
          <w:rFonts w:eastAsia="Calibri" w:cs="Calibri"/>
          <w:szCs w:val="22"/>
          <w:lang w:val="en-GB" w:eastAsia="en-US"/>
        </w:rPr>
        <w:t xml:space="preserve"> </w:t>
      </w:r>
      <w:r w:rsidRPr="00AA528C">
        <w:rPr>
          <w:rFonts w:eastAsia="Calibri"/>
          <w:b/>
          <w:lang w:val="en-GB"/>
        </w:rPr>
        <w:t>Prikaz box- wiskler dijagramom prostorne varijabilnosti indeksa biodiverziteta (Margalef-ov I Shannon –Wiener-ov) lijevo- Bokokotorski zaliv; desno – priobalno otvoreno more</w:t>
      </w:r>
      <w:bookmarkEnd w:id="365"/>
    </w:p>
    <w:p w14:paraId="7A8B34FA" w14:textId="77777777" w:rsidR="002D1379" w:rsidRPr="001C6CCA" w:rsidRDefault="002D1379" w:rsidP="002D1379">
      <w:pPr>
        <w:spacing w:before="0" w:after="120" w:line="240" w:lineRule="auto"/>
        <w:rPr>
          <w:rFonts w:eastAsia="Calibri"/>
          <w:szCs w:val="22"/>
          <w:lang w:val="en-GB" w:eastAsia="en-US"/>
        </w:rPr>
      </w:pPr>
    </w:p>
    <w:p w14:paraId="46735ACA" w14:textId="5295F1F6" w:rsidR="00784F42" w:rsidRPr="00AA528C" w:rsidRDefault="00784F42" w:rsidP="00784F42">
      <w:pPr>
        <w:contextualSpacing/>
        <w:rPr>
          <w:rFonts w:eastAsia="Calibri" w:cs="Calibri"/>
          <w:lang w:val="en-GB"/>
        </w:rPr>
      </w:pPr>
      <w:r w:rsidRPr="00AA528C">
        <w:rPr>
          <w:rFonts w:eastAsia="Calibri" w:cs="Calibri"/>
          <w:lang w:val="en-GB"/>
        </w:rPr>
        <w:t>Vrijednosti dobijenih indeksa raznolikosti za crnogorski dio Jadranskog mora u skladu su sa podacima za čitav Jadran, koji se prema tim podacima odlikuje dobrim statusom (Ažurirani document morske strategije u Hrvatskoj, 2019).</w:t>
      </w:r>
    </w:p>
    <w:p w14:paraId="526EC6A8" w14:textId="77777777" w:rsidR="00784F42" w:rsidRDefault="00784F42" w:rsidP="00784F42"/>
    <w:p w14:paraId="48361E33" w14:textId="5488B768" w:rsidR="006612D6" w:rsidRPr="006612D6" w:rsidRDefault="006612D6" w:rsidP="006612D6">
      <w:pPr>
        <w:spacing w:before="0" w:after="0"/>
        <w:rPr>
          <w:b/>
          <w:szCs w:val="22"/>
          <w:lang w:val="sr-Latn-RS" w:eastAsia="en-US"/>
        </w:rPr>
      </w:pPr>
      <w:r w:rsidRPr="006612D6">
        <w:rPr>
          <w:b/>
          <w:szCs w:val="22"/>
          <w:lang w:val="sr-Latn-RS" w:eastAsia="en-US"/>
        </w:rPr>
        <w:t>Stanje ukupnog ihtioplanktona</w:t>
      </w:r>
    </w:p>
    <w:p w14:paraId="5F3177B2" w14:textId="77777777" w:rsidR="006612D6" w:rsidRPr="006612D6" w:rsidRDefault="006612D6" w:rsidP="006612D6">
      <w:pPr>
        <w:spacing w:before="0" w:after="0"/>
        <w:rPr>
          <w:b/>
          <w:szCs w:val="22"/>
          <w:lang w:val="sr-Latn-RS" w:eastAsia="en-US"/>
        </w:rPr>
      </w:pPr>
    </w:p>
    <w:p w14:paraId="07C9DA75" w14:textId="77777777" w:rsidR="006612D6" w:rsidRPr="006612D6" w:rsidRDefault="006612D6" w:rsidP="00AC0DCF">
      <w:pPr>
        <w:spacing w:before="0" w:after="120"/>
        <w:rPr>
          <w:bCs/>
          <w:szCs w:val="22"/>
          <w:lang w:val="sr-Latn-RS" w:eastAsia="en-US"/>
        </w:rPr>
      </w:pPr>
      <w:r w:rsidRPr="006612D6">
        <w:rPr>
          <w:bCs/>
          <w:szCs w:val="22"/>
          <w:lang w:val="sr-Latn-RS" w:eastAsia="en-US"/>
        </w:rPr>
        <w:t>Status kvalitativnog i kvantitativnog sastava ukupnog ihtioplanktona na otvorenom moru analiziran je u smislu prostorne distribucije i abundance, kao i indeksa diverziteta, kao matematičkog izraza odnosa između kvalitativnog i kvantitativnog sastava zajednica. Odvojena je analiza za rane razvojne stadijume inćuna (</w:t>
      </w:r>
      <w:r w:rsidRPr="006612D6">
        <w:rPr>
          <w:bCs/>
          <w:i/>
          <w:iCs/>
          <w:szCs w:val="22"/>
          <w:lang w:val="sr-Latn-RS" w:eastAsia="en-US"/>
        </w:rPr>
        <w:t>Engraulis encrasicolus</w:t>
      </w:r>
      <w:r w:rsidRPr="006612D6">
        <w:rPr>
          <w:bCs/>
          <w:szCs w:val="22"/>
          <w:lang w:val="sr-Latn-RS" w:eastAsia="en-US"/>
        </w:rPr>
        <w:t>) u skladu sa Deskriptorom 3 - Kriterijumom 2 (D3C2 - biomasa reproduktivno zrelog dijela populacije) koji nastoji zadržati populaciju komercijalno eksploatisanih vrsta iznad nivoa biomase koja dopušta maksimalno održivi prinos.</w:t>
      </w:r>
    </w:p>
    <w:p w14:paraId="3CF075C0" w14:textId="176E232D" w:rsidR="006612D6" w:rsidRPr="006612D6" w:rsidRDefault="006612D6" w:rsidP="00AC0DCF">
      <w:pPr>
        <w:spacing w:before="0" w:after="120"/>
        <w:rPr>
          <w:bCs/>
          <w:szCs w:val="22"/>
          <w:lang w:val="sr-Latn-RS" w:eastAsia="en-US"/>
        </w:rPr>
      </w:pPr>
      <w:r w:rsidRPr="006612D6">
        <w:rPr>
          <w:bCs/>
          <w:szCs w:val="22"/>
          <w:lang w:val="sr-Latn-RS" w:eastAsia="en-US"/>
        </w:rPr>
        <w:t>Iako ne postoje dugoročni nizovi podataka na osnovu kojih bi se identifikovao trend, postojeći podaci koji su detaljno predstavljeni u „Početnoj procjeni stanja morskog ekosistema u crnogorskim vodama“ (poglavlje 2.2.1.3.) ukazuju da je stanje diverziteta i abundance ukupnog ihtioplanktona na stabilnom nivou tokom dvije istraživačke godine (2018. i 2019.), dok istraživanja sprovedena tokom 2020. godine ukazuju na trend opadanja i diverziteta i abundance vrsta. Naime, analize su pokazale da se tokom ljetnih mjeseci 2018., 2019. i 2020. godine mrijestilo ukupno 26, 22 i 27 različitih vrsta riba, respektivno. Važno je napomenuti da je tokom 2020. godine analiziran veći broj pozicija i obuhvaćeno je znatno veće područje istraživanja u odnosu na 2018. i 2019. godinu.</w:t>
      </w:r>
    </w:p>
    <w:p w14:paraId="6FE21EA3" w14:textId="77777777" w:rsidR="006612D6" w:rsidRPr="006612D6" w:rsidRDefault="006612D6" w:rsidP="00AC0DCF">
      <w:pPr>
        <w:spacing w:before="0" w:after="120"/>
        <w:rPr>
          <w:bCs/>
          <w:szCs w:val="22"/>
          <w:lang w:val="sr-Latn-RS" w:eastAsia="en-US"/>
        </w:rPr>
      </w:pPr>
      <w:r w:rsidRPr="006612D6">
        <w:rPr>
          <w:bCs/>
          <w:szCs w:val="22"/>
          <w:lang w:val="sr-Latn-RS" w:eastAsia="en-US"/>
        </w:rPr>
        <w:t>Rezultati pokazuju da postoje dva područja srednjeg intenziteta mriješćenja komercijalnih vrsta riba (među kojima je i inćun) - jedno ispred Platamuna (prema Budvi) i drugo područje na potezu od Bara do Ulcinja, odnosno u batimetrijskim zonama od 30 do 100 metara dubine. U dubljim batimetrijskim slojevima prevladava mrijest dubokomorskih vrsta riba (batimetrijska zona&gt; 180 m dubine).</w:t>
      </w:r>
    </w:p>
    <w:p w14:paraId="30F1DD47" w14:textId="03070512" w:rsidR="006612D6" w:rsidRPr="006612D6" w:rsidRDefault="006612D6" w:rsidP="00C87B62">
      <w:pPr>
        <w:spacing w:before="0" w:after="120"/>
        <w:rPr>
          <w:bCs/>
          <w:szCs w:val="22"/>
          <w:lang w:val="sr-Latn-RS" w:eastAsia="en-US"/>
        </w:rPr>
      </w:pPr>
      <w:r w:rsidRPr="006612D6">
        <w:rPr>
          <w:bCs/>
          <w:szCs w:val="22"/>
          <w:lang w:val="sr-Latn-RS" w:eastAsia="en-US"/>
        </w:rPr>
        <w:t>Treba naglasiti da se postojeći podaci odnose samo na istraživanja sprovedena toom ljeta, jer su ona rađena posebno u svrhu procjene biomase inćuna, a značajan nedostatak podataka je nedostatak barem sezonskih istraživanja koja bi ukazala na realno stanje ranih razvojn</w:t>
      </w:r>
      <w:r w:rsidR="00C87B62">
        <w:rPr>
          <w:bCs/>
          <w:szCs w:val="22"/>
          <w:lang w:val="sr-Latn-RS" w:eastAsia="en-US"/>
        </w:rPr>
        <w:t>ih stadijuma ribljih zajednica.</w:t>
      </w:r>
    </w:p>
    <w:p w14:paraId="49C2B147" w14:textId="77777777" w:rsidR="006612D6" w:rsidRPr="006612D6" w:rsidRDefault="006612D6" w:rsidP="00AC0DCF">
      <w:pPr>
        <w:spacing w:before="0" w:after="120"/>
        <w:rPr>
          <w:bCs/>
          <w:szCs w:val="22"/>
          <w:lang w:val="sr-Latn-RS" w:eastAsia="en-US"/>
        </w:rPr>
      </w:pPr>
      <w:r w:rsidRPr="006612D6">
        <w:rPr>
          <w:bCs/>
          <w:szCs w:val="22"/>
          <w:lang w:val="sr-Latn-RS" w:eastAsia="en-US"/>
        </w:rPr>
        <w:t xml:space="preserve">Kada je riječ o području Bokokotorskog zaliva, rezultati trogodišnjih istraživanja koja su rađena sezonskom dinamikom pokazala su prisutnost 35 različitih vrsta ihtioplanktona, svrstanih u 28 rodova i 18 porodica. Kad se posmatra cijeli period istraživanja, može se zaključiti da su tokom ljetne sezone dominirali </w:t>
      </w:r>
      <w:r w:rsidRPr="006612D6">
        <w:rPr>
          <w:bCs/>
          <w:i/>
          <w:iCs/>
          <w:szCs w:val="22"/>
          <w:lang w:val="sr-Latn-RS" w:eastAsia="en-US"/>
        </w:rPr>
        <w:t>Engraulis encrasicolus, Coris julis, Diplodus annularis, Diplodus sargus i Diplodus puntazzo</w:t>
      </w:r>
      <w:r w:rsidRPr="006612D6">
        <w:rPr>
          <w:bCs/>
          <w:szCs w:val="22"/>
          <w:lang w:val="sr-Latn-RS" w:eastAsia="en-US"/>
        </w:rPr>
        <w:t xml:space="preserve">. Tokom zime dominantne vrste bile su </w:t>
      </w:r>
      <w:r w:rsidRPr="006612D6">
        <w:rPr>
          <w:bCs/>
          <w:i/>
          <w:iCs/>
          <w:szCs w:val="22"/>
          <w:lang w:val="sr-Latn-RS" w:eastAsia="en-US"/>
        </w:rPr>
        <w:t>Sardina pilchardus</w:t>
      </w:r>
      <w:r w:rsidRPr="006612D6">
        <w:rPr>
          <w:bCs/>
          <w:szCs w:val="22"/>
          <w:lang w:val="sr-Latn-RS" w:eastAsia="en-US"/>
        </w:rPr>
        <w:t xml:space="preserve"> i </w:t>
      </w:r>
      <w:r w:rsidRPr="006612D6">
        <w:rPr>
          <w:bCs/>
          <w:i/>
          <w:iCs/>
          <w:szCs w:val="22"/>
          <w:lang w:val="sr-Latn-RS" w:eastAsia="en-US"/>
        </w:rPr>
        <w:t>Scomber scombrus</w:t>
      </w:r>
      <w:r w:rsidRPr="006612D6">
        <w:rPr>
          <w:bCs/>
          <w:szCs w:val="22"/>
          <w:lang w:val="sr-Latn-RS" w:eastAsia="en-US"/>
        </w:rPr>
        <w:t xml:space="preserve">. Tokom proljećnog perioda dominantne vrste bile su </w:t>
      </w:r>
      <w:r w:rsidRPr="006612D6">
        <w:rPr>
          <w:bCs/>
          <w:i/>
          <w:iCs/>
          <w:szCs w:val="22"/>
          <w:lang w:val="sr-Latn-RS" w:eastAsia="en-US"/>
        </w:rPr>
        <w:t>E. encrasicolus, D. annularis</w:t>
      </w:r>
      <w:r w:rsidRPr="006612D6">
        <w:rPr>
          <w:bCs/>
          <w:szCs w:val="22"/>
          <w:lang w:val="sr-Latn-RS" w:eastAsia="en-US"/>
        </w:rPr>
        <w:t xml:space="preserve"> i </w:t>
      </w:r>
      <w:r w:rsidRPr="006612D6">
        <w:rPr>
          <w:bCs/>
          <w:i/>
          <w:iCs/>
          <w:szCs w:val="22"/>
          <w:lang w:val="sr-Latn-RS" w:eastAsia="en-US"/>
        </w:rPr>
        <w:t>D. sargus</w:t>
      </w:r>
      <w:r w:rsidRPr="006612D6">
        <w:rPr>
          <w:bCs/>
          <w:szCs w:val="22"/>
          <w:lang w:val="sr-Latn-RS" w:eastAsia="en-US"/>
        </w:rPr>
        <w:t>. Budući da su iste vrste dominirale tokom istih sezona, ta činjenica navodi na zaključak da Bokokotorski zaliv predstavlja vrlo važno mrijestilište i hranlište ovih vrsta. Međutim, to se ne može primijeniti na srdelu, jer su planktonski stadijumi ove vrste i u obilju tek u decembru 2006. godine. Najveće vrijednosti diverzieta pronađene su tokom ljeta, što ukazuje na činjenicu da s enajveći broj riba mrijesti u tom periodu godine. Takođe je utvrđeno da je najveći stepen diverziteta vrsta pronađen na pozicijama gdje su morske struje jače (tjesnaci Kumbor i Verige), kao i izražen uticaj otvorenog mora (ulaz u zaliv).</w:t>
      </w:r>
    </w:p>
    <w:p w14:paraId="4D17CB61" w14:textId="77777777" w:rsidR="006612D6" w:rsidRPr="006612D6" w:rsidRDefault="006612D6" w:rsidP="00AC0DCF">
      <w:pPr>
        <w:spacing w:before="0" w:after="120"/>
        <w:rPr>
          <w:bCs/>
          <w:szCs w:val="22"/>
          <w:lang w:val="sr-Latn-RS" w:eastAsia="en-US"/>
        </w:rPr>
      </w:pPr>
      <w:r w:rsidRPr="006612D6">
        <w:rPr>
          <w:bCs/>
          <w:szCs w:val="22"/>
          <w:lang w:val="sr-Latn-RS" w:eastAsia="en-US"/>
        </w:rPr>
        <w:t>Rezultati istraživanja sprovedenog tokom ljeta 2020. ukazuju na trend opadanja diverziteta i abundance vrsta.</w:t>
      </w:r>
    </w:p>
    <w:p w14:paraId="24E2393B" w14:textId="77777777" w:rsidR="006612D6" w:rsidRPr="006612D6" w:rsidRDefault="006612D6" w:rsidP="00AC0DCF">
      <w:pPr>
        <w:spacing w:before="0" w:after="120"/>
        <w:rPr>
          <w:bCs/>
          <w:szCs w:val="22"/>
          <w:lang w:val="sr-Latn-RS" w:eastAsia="en-US"/>
        </w:rPr>
      </w:pPr>
      <w:r w:rsidRPr="006612D6">
        <w:rPr>
          <w:bCs/>
          <w:szCs w:val="22"/>
          <w:lang w:val="sr-Latn-RS" w:eastAsia="en-US"/>
        </w:rPr>
        <w:t>Izračunate vrijednosti Shannon-ovog (H ’) indeksa diverziteta varirale su od 0,34 do 1,84 tokom 2018. i od 0,5 do 1,67 tokom istraživanja sprovedenog 2019. godine (oba istraživanja sprovedena su tokom ljetnjeg perioda). Tokom istraživanja ihtioplanktona sprovedenog u ljeto 2020., Shannon-ov indeks diverziteta varirao je od 0 do 1,75.</w:t>
      </w:r>
    </w:p>
    <w:p w14:paraId="15BA62FB" w14:textId="77777777" w:rsidR="006612D6" w:rsidRPr="006612D6" w:rsidRDefault="006612D6" w:rsidP="00AC0DCF">
      <w:pPr>
        <w:spacing w:before="0" w:after="120"/>
        <w:rPr>
          <w:bCs/>
          <w:szCs w:val="22"/>
          <w:lang w:val="sr-Latn-RS" w:eastAsia="en-US"/>
        </w:rPr>
      </w:pPr>
      <w:r w:rsidRPr="006612D6">
        <w:rPr>
          <w:bCs/>
          <w:szCs w:val="22"/>
          <w:lang w:val="sr-Latn-RS" w:eastAsia="en-US"/>
        </w:rPr>
        <w:t>Na području Bokokotorskog zaliva (2006-2009) istraživanja koja su sprovedena sezonskom dinamikom pokazala su da su vrijednosti Shannon-Wiener-ovog indeksa u opsegu od 0-1,99 (sa maksimalnom vrijednošću od 2,35 tokom ljetnjeg perioda). Tokom istraživanja sprovedenog na istim lokacijama tokom ljeta 2020., Shannon-ov indeks diverziteta varirao je u opsegu od 0 do 1,68, što ukazuje na trend opadanja diverziteta, tj. na porast brojnosti dominantnih vrsta.</w:t>
      </w:r>
    </w:p>
    <w:p w14:paraId="2A73E2CB" w14:textId="77777777" w:rsidR="006612D6" w:rsidRPr="006612D6" w:rsidRDefault="006612D6" w:rsidP="006612D6">
      <w:pPr>
        <w:spacing w:before="0" w:after="0"/>
        <w:rPr>
          <w:rFonts w:eastAsia="Calibri"/>
          <w:b/>
          <w:szCs w:val="22"/>
          <w:lang w:val="sr-Latn-RS" w:eastAsia="en-US"/>
        </w:rPr>
      </w:pPr>
    </w:p>
    <w:p w14:paraId="654C220B" w14:textId="64AC73A4" w:rsidR="006612D6" w:rsidRPr="00B100D2" w:rsidRDefault="006612D6" w:rsidP="00B100D2">
      <w:pPr>
        <w:tabs>
          <w:tab w:val="left" w:pos="6202"/>
        </w:tabs>
        <w:spacing w:before="0" w:after="160"/>
        <w:rPr>
          <w:b/>
          <w:bCs/>
          <w:lang w:val="sr-Latn-RS" w:eastAsia="en-US"/>
        </w:rPr>
      </w:pPr>
      <w:r w:rsidRPr="006612D6">
        <w:rPr>
          <w:rFonts w:eastAsia="Calibri"/>
          <w:b/>
          <w:bCs/>
          <w:szCs w:val="22"/>
          <w:lang w:val="sr-Latn-RS" w:eastAsia="en-US"/>
        </w:rPr>
        <w:t>Stanje ranih razvojnih stadijuma inćuna (</w:t>
      </w:r>
      <w:r w:rsidRPr="006612D6">
        <w:rPr>
          <w:b/>
          <w:bCs/>
          <w:i/>
          <w:iCs/>
          <w:lang w:val="sr-Latn-RS" w:eastAsia="en-US"/>
        </w:rPr>
        <w:t>Engraulis encrasicolus</w:t>
      </w:r>
      <w:r w:rsidRPr="006612D6">
        <w:rPr>
          <w:b/>
          <w:bCs/>
          <w:lang w:val="sr-Latn-RS" w:eastAsia="en-US"/>
        </w:rPr>
        <w:t>)</w:t>
      </w:r>
      <w:r w:rsidRPr="006612D6">
        <w:rPr>
          <w:b/>
          <w:bCs/>
          <w:lang w:val="sr-Latn-RS" w:eastAsia="en-US"/>
        </w:rPr>
        <w:tab/>
      </w:r>
      <w:r w:rsidRPr="006612D6">
        <w:rPr>
          <w:rFonts w:eastAsia="Calibri"/>
          <w:b/>
          <w:bCs/>
          <w:szCs w:val="22"/>
          <w:lang w:val="sr-Latn-RS" w:eastAsia="en-US"/>
        </w:rPr>
        <w:tab/>
      </w:r>
    </w:p>
    <w:p w14:paraId="34C2F39D" w14:textId="77777777" w:rsidR="006612D6" w:rsidRPr="006612D6" w:rsidRDefault="006612D6" w:rsidP="006612D6">
      <w:pPr>
        <w:tabs>
          <w:tab w:val="left" w:pos="2310"/>
        </w:tabs>
        <w:spacing w:before="0" w:after="160"/>
        <w:rPr>
          <w:rFonts w:eastAsia="Calibri"/>
          <w:szCs w:val="22"/>
          <w:lang w:val="sr-Latn-RS" w:eastAsia="en-US"/>
        </w:rPr>
      </w:pPr>
      <w:r w:rsidRPr="006612D6">
        <w:rPr>
          <w:rFonts w:eastAsia="Calibri"/>
          <w:szCs w:val="22"/>
          <w:lang w:val="sr-Latn-RS" w:eastAsia="en-US"/>
        </w:rPr>
        <w:t>Analize svih raspoloživih podataka o prostornoj distribuciji i abundanci ranih razvojnih stadijuma inćuna na otvorenom moru Crne Gore pokazale su da je status ranih stadijuma inćuna na stabilnom nivou. Rezultati istraživanja sprovedenog u julu 2020. godine, kada su inćuni pronađeni na samo 5 (od 25) istraživanih pozicija, zabrinjavajući su i treba ih uzimati sa oprezom. Značajne promjene u abundanci planktona signal su za neophodnost daljih istraživanja kako bi se ustanovili uzroci i utvrdile veze između pokretača sredine i antropogenih pritisaka (ribolov, nutrijenti, zagađenje i mikroplastika).</w:t>
      </w:r>
    </w:p>
    <w:p w14:paraId="36088BED" w14:textId="77777777" w:rsidR="006612D6" w:rsidRPr="006612D6" w:rsidRDefault="006612D6" w:rsidP="006612D6">
      <w:pPr>
        <w:tabs>
          <w:tab w:val="left" w:pos="2310"/>
        </w:tabs>
        <w:spacing w:before="0" w:after="160"/>
        <w:rPr>
          <w:rFonts w:eastAsia="Calibri"/>
          <w:szCs w:val="22"/>
          <w:lang w:val="sr-Latn-RS" w:eastAsia="en-US"/>
        </w:rPr>
      </w:pPr>
      <w:r w:rsidRPr="006612D6">
        <w:rPr>
          <w:rFonts w:eastAsia="Calibri"/>
          <w:szCs w:val="22"/>
          <w:lang w:val="sr-Latn-RS" w:eastAsia="en-US"/>
        </w:rPr>
        <w:t>Detaljna analiza svih prikazanih podataka koji pokazuju prostornu distribuciju ukazuje na postojanje dvije zone mrijesta inćuna u otvorenim vodama crnogorskog primorja. Prva, manja zona nalazi se na potezu od uvale Bigova do Budvanskog zaliva, dok je druga, veća i najvažnija zona na potezu od Crnog rta do granice sa Albanijom. U obje zone uočava se raspodjela ranih stadijuma inćuna sa relativno malih dubina (gotovo od obalne linije) do izobate od oko 100 metara, tj. područja kontinentalnog šelfa.</w:t>
      </w:r>
    </w:p>
    <w:p w14:paraId="1A187289" w14:textId="783A6265" w:rsidR="006612D6" w:rsidRPr="000D7E1E" w:rsidRDefault="006612D6" w:rsidP="000D7E1E">
      <w:pPr>
        <w:tabs>
          <w:tab w:val="left" w:pos="2310"/>
        </w:tabs>
        <w:spacing w:before="0" w:after="160"/>
        <w:rPr>
          <w:rFonts w:eastAsia="Calibri"/>
          <w:szCs w:val="22"/>
          <w:lang w:val="sr-Latn-RS" w:eastAsia="en-US"/>
        </w:rPr>
      </w:pPr>
      <w:r w:rsidRPr="006612D6">
        <w:rPr>
          <w:rFonts w:eastAsia="Calibri"/>
          <w:szCs w:val="22"/>
          <w:lang w:val="sr-Latn-RS" w:eastAsia="en-US"/>
        </w:rPr>
        <w:t>Abundanca i mriješćenje inćuna na području Bokokotorskog zaliva bilo je na vrlo dobrom i stabilnom nivou tokom perioda 2006-2008. Da bi se sačuvali postojeći resursi, potrebno je unaprijediti i učiniti operativnim nacionalni program monitoringa, posebno zbog činjenice da je Bokokotorski zaliv hranilište i mrijestište nekoliko pelagičnih vrsta riba. Rezultati abundance i diverziteta ihtioplanktona sprovedenog u sklopu projekta "Podrška sprovođenju i praćenju upravljanja vodama u Crnoj Gori" na području Bokokotorskog zaliva, pokazali su trend smanjenja abundance inćuna (u upoređenju sa istorijskim podacima).</w:t>
      </w:r>
    </w:p>
    <w:p w14:paraId="7C96BB70" w14:textId="3E40A35C" w:rsidR="006612D6" w:rsidRPr="00B100D2" w:rsidRDefault="006612D6" w:rsidP="00B100D2">
      <w:pPr>
        <w:pStyle w:val="Heading3"/>
        <w:rPr>
          <w:rFonts w:eastAsia="Calibri"/>
          <w:lang w:val="en-GB" w:eastAsia="en-US"/>
        </w:rPr>
      </w:pPr>
      <w:bookmarkStart w:id="366" w:name="_Toc83630979"/>
      <w:r w:rsidRPr="00CF7E4B">
        <w:rPr>
          <w:rFonts w:eastAsia="Calibri"/>
          <w:lang w:val="en-GB" w:eastAsia="en-US"/>
        </w:rPr>
        <w:t>Pristup procjeni GES-a</w:t>
      </w:r>
      <w:bookmarkEnd w:id="366"/>
    </w:p>
    <w:p w14:paraId="3DA19F64" w14:textId="62CD8B7D" w:rsidR="006612D6" w:rsidRPr="006612D6" w:rsidRDefault="006612D6" w:rsidP="006612D6">
      <w:pPr>
        <w:spacing w:before="0" w:after="0"/>
        <w:rPr>
          <w:rFonts w:eastAsia="Calibri"/>
          <w:szCs w:val="22"/>
          <w:lang w:val="sr-Latn-RS" w:eastAsia="en-US"/>
        </w:rPr>
      </w:pPr>
      <w:r w:rsidRPr="006612D6">
        <w:rPr>
          <w:rFonts w:eastAsia="Calibri"/>
          <w:szCs w:val="22"/>
          <w:lang w:val="sr-Latn-RS" w:eastAsia="en-US"/>
        </w:rPr>
        <w:t xml:space="preserve">Budući da granične vrijednosti za Jadransko more ili Sredozemlje nisu zvanično utvrđene, pristup procjeni GES-a bazira se na ekspertskoj procjeni u odnosu na dostupne podatke (Tabela 3.19.), koja je </w:t>
      </w:r>
      <w:r w:rsidR="00B100D2">
        <w:rPr>
          <w:rFonts w:eastAsia="Calibri"/>
          <w:szCs w:val="22"/>
          <w:lang w:val="sr-Latn-RS" w:eastAsia="en-US"/>
        </w:rPr>
        <w:t xml:space="preserve">bazirana </w:t>
      </w:r>
      <w:r w:rsidRPr="006612D6">
        <w:rPr>
          <w:rFonts w:eastAsia="Calibri"/>
          <w:szCs w:val="22"/>
          <w:lang w:val="sr-Latn-RS" w:eastAsia="en-US"/>
        </w:rPr>
        <w:t>na komparacij</w:t>
      </w:r>
      <w:r w:rsidR="00B100D2">
        <w:rPr>
          <w:rFonts w:eastAsia="Calibri"/>
          <w:szCs w:val="22"/>
          <w:lang w:val="sr-Latn-RS" w:eastAsia="en-US"/>
        </w:rPr>
        <w:t>i</w:t>
      </w:r>
      <w:r w:rsidRPr="006612D6">
        <w:rPr>
          <w:rFonts w:eastAsia="Calibri"/>
          <w:szCs w:val="22"/>
          <w:lang w:val="sr-Latn-RS" w:eastAsia="en-US"/>
        </w:rPr>
        <w:t xml:space="preserve"> podataka za crnogorski dio Jadrana u odnosu na podatke za cijelo Jadransko i Sredozemno more, uzimajući u obzir naučne radove i izvještaje EU projek</w:t>
      </w:r>
      <w:r w:rsidR="00B100D2">
        <w:rPr>
          <w:rFonts w:eastAsia="Calibri"/>
          <w:szCs w:val="22"/>
          <w:lang w:val="sr-Latn-RS" w:eastAsia="en-US"/>
        </w:rPr>
        <w:t>ata</w:t>
      </w:r>
      <w:r w:rsidRPr="006612D6">
        <w:rPr>
          <w:rFonts w:eastAsia="Calibri"/>
          <w:szCs w:val="22"/>
          <w:lang w:val="sr-Latn-RS" w:eastAsia="en-US"/>
        </w:rPr>
        <w:t xml:space="preserve"> koji se bave razvojem pokazatelja biodiverziteta pelagičnih staništa (MEDCIS</w:t>
      </w:r>
      <w:r w:rsidRPr="006612D6">
        <w:rPr>
          <w:vertAlign w:val="superscript"/>
        </w:rPr>
        <w:footnoteReference w:id="70"/>
      </w:r>
      <w:r w:rsidRPr="006612D6">
        <w:rPr>
          <w:rFonts w:eastAsia="Calibri"/>
          <w:szCs w:val="22"/>
          <w:lang w:val="sr-Latn-RS" w:eastAsia="en-US"/>
        </w:rPr>
        <w:t>, MEDREGION</w:t>
      </w:r>
      <w:r w:rsidRPr="006612D6">
        <w:rPr>
          <w:vertAlign w:val="superscript"/>
        </w:rPr>
        <w:footnoteReference w:id="71"/>
      </w:r>
      <w:r w:rsidRPr="006612D6">
        <w:rPr>
          <w:rFonts w:eastAsia="Calibri"/>
          <w:szCs w:val="22"/>
          <w:lang w:val="sr-Latn-RS" w:eastAsia="en-US"/>
        </w:rPr>
        <w:t xml:space="preserve">). </w:t>
      </w:r>
    </w:p>
    <w:p w14:paraId="4BB75449" w14:textId="77777777" w:rsidR="006F740E" w:rsidRDefault="006F740E" w:rsidP="006612D6">
      <w:pPr>
        <w:tabs>
          <w:tab w:val="left" w:pos="284"/>
        </w:tabs>
        <w:spacing w:before="0" w:after="0" w:line="240" w:lineRule="auto"/>
        <w:rPr>
          <w:rFonts w:eastAsia="Calibri"/>
          <w:b/>
          <w:szCs w:val="22"/>
          <w:lang w:val="sr-Latn-RS" w:eastAsia="en-US"/>
        </w:rPr>
      </w:pPr>
    </w:p>
    <w:p w14:paraId="7187DE69" w14:textId="77777777" w:rsidR="006F740E" w:rsidRDefault="006F740E" w:rsidP="006612D6">
      <w:pPr>
        <w:tabs>
          <w:tab w:val="left" w:pos="284"/>
        </w:tabs>
        <w:spacing w:before="0" w:after="0" w:line="240" w:lineRule="auto"/>
        <w:rPr>
          <w:rFonts w:eastAsia="Calibri"/>
          <w:b/>
          <w:szCs w:val="22"/>
          <w:lang w:val="sr-Latn-RS" w:eastAsia="en-US"/>
        </w:rPr>
      </w:pPr>
    </w:p>
    <w:p w14:paraId="69BC00A4" w14:textId="532946A4" w:rsidR="006612D6" w:rsidRPr="006612D6" w:rsidRDefault="006612D6" w:rsidP="006612D6">
      <w:pPr>
        <w:tabs>
          <w:tab w:val="left" w:pos="284"/>
        </w:tabs>
        <w:spacing w:before="0" w:after="0" w:line="240" w:lineRule="auto"/>
        <w:rPr>
          <w:rFonts w:eastAsia="Calibri"/>
          <w:b/>
          <w:szCs w:val="22"/>
          <w:lang w:val="sr-Latn-RS" w:eastAsia="en-US"/>
        </w:rPr>
      </w:pPr>
      <w:bookmarkStart w:id="367" w:name="_Toc83643216"/>
      <w:r w:rsidRPr="006612D6">
        <w:rPr>
          <w:rFonts w:eastAsia="Calibri"/>
          <w:b/>
          <w:szCs w:val="22"/>
          <w:lang w:val="sr-Latn-RS" w:eastAsia="en-US"/>
        </w:rPr>
        <w:t xml:space="preserve">Tabela </w:t>
      </w:r>
      <w:r w:rsidRPr="006612D6">
        <w:fldChar w:fldCharType="begin"/>
      </w:r>
      <w:r w:rsidRPr="006612D6">
        <w:rPr>
          <w:b/>
          <w:szCs w:val="22"/>
          <w:lang w:val="sr-Latn-RS"/>
        </w:rPr>
        <w:instrText xml:space="preserve"> STYLEREF 1 \s </w:instrText>
      </w:r>
      <w:r w:rsidRPr="006612D6">
        <w:fldChar w:fldCharType="separate"/>
      </w:r>
      <w:r w:rsidR="000D1E20">
        <w:rPr>
          <w:b/>
          <w:noProof/>
          <w:szCs w:val="22"/>
          <w:lang w:val="sr-Latn-RS"/>
        </w:rPr>
        <w:t>3</w:t>
      </w:r>
      <w:r w:rsidRPr="006612D6">
        <w:fldChar w:fldCharType="end"/>
      </w:r>
      <w:r w:rsidRPr="006612D6">
        <w:rPr>
          <w:b/>
          <w:szCs w:val="22"/>
          <w:lang w:val="sr-Latn-RS"/>
        </w:rPr>
        <w:t>.</w:t>
      </w:r>
      <w:r w:rsidRPr="006612D6">
        <w:fldChar w:fldCharType="begin"/>
      </w:r>
      <w:r w:rsidRPr="006612D6">
        <w:rPr>
          <w:b/>
          <w:szCs w:val="22"/>
          <w:lang w:val="sr-Latn-RS"/>
        </w:rPr>
        <w:instrText xml:space="preserve"> SEQ Table \* ARABIC \s 1 </w:instrText>
      </w:r>
      <w:r w:rsidRPr="006612D6">
        <w:fldChar w:fldCharType="separate"/>
      </w:r>
      <w:r w:rsidR="000D1E20">
        <w:rPr>
          <w:b/>
          <w:noProof/>
          <w:szCs w:val="22"/>
          <w:lang w:val="sr-Latn-RS"/>
        </w:rPr>
        <w:t>20</w:t>
      </w:r>
      <w:r w:rsidRPr="006612D6">
        <w:fldChar w:fldCharType="end"/>
      </w:r>
      <w:r w:rsidRPr="006612D6">
        <w:rPr>
          <w:b/>
          <w:szCs w:val="22"/>
          <w:lang w:val="sr-Latn-RS"/>
        </w:rPr>
        <w:t>.</w:t>
      </w:r>
      <w:r w:rsidRPr="006612D6">
        <w:rPr>
          <w:rFonts w:eastAsia="Calibri" w:cs="Calibri"/>
          <w:b/>
          <w:szCs w:val="22"/>
          <w:lang w:val="sr-Latn-RS" w:eastAsia="en-US"/>
        </w:rPr>
        <w:t xml:space="preserve"> </w:t>
      </w:r>
      <w:r w:rsidRPr="006612D6">
        <w:rPr>
          <w:rFonts w:eastAsia="Calibri"/>
          <w:b/>
          <w:szCs w:val="22"/>
          <w:lang w:val="sr-Latn-RS" w:eastAsia="en-US"/>
        </w:rPr>
        <w:t>Elementi, indikatori i preporučene vrijednosti praga za procjenu GES-a za pelagična staništa, u skladu sa D1.</w:t>
      </w:r>
      <w:bookmarkEnd w:id="367"/>
    </w:p>
    <w:tbl>
      <w:tblPr>
        <w:tblStyle w:val="TableGrid12"/>
        <w:tblpPr w:leftFromText="180" w:rightFromText="180" w:vertAnchor="text" w:horzAnchor="margin" w:tblpX="-10" w:tblpY="102"/>
        <w:tblOverlap w:val="never"/>
        <w:tblW w:w="906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5"/>
        <w:gridCol w:w="1419"/>
        <w:gridCol w:w="2689"/>
        <w:gridCol w:w="3257"/>
      </w:tblGrid>
      <w:tr w:rsidR="006612D6" w:rsidRPr="006612D6" w14:paraId="26ED28E3" w14:textId="77777777" w:rsidTr="00B52DD2">
        <w:tc>
          <w:tcPr>
            <w:tcW w:w="1695" w:type="dxa"/>
            <w:tcBorders>
              <w:top w:val="single" w:sz="4" w:space="0" w:color="FFFFFF"/>
              <w:left w:val="single" w:sz="4" w:space="0" w:color="FFFFFF"/>
              <w:bottom w:val="single" w:sz="4" w:space="0" w:color="FFFFFF"/>
              <w:right w:val="single" w:sz="4" w:space="0" w:color="FFFFFF"/>
            </w:tcBorders>
            <w:shd w:val="clear" w:color="auto" w:fill="1F497D" w:themeFill="text2"/>
            <w:hideMark/>
          </w:tcPr>
          <w:p w14:paraId="6C7180E5" w14:textId="77777777" w:rsidR="006612D6" w:rsidRPr="00332A46" w:rsidRDefault="006612D6" w:rsidP="006612D6">
            <w:pPr>
              <w:autoSpaceDE w:val="0"/>
              <w:autoSpaceDN w:val="0"/>
              <w:adjustRightInd w:val="0"/>
              <w:spacing w:before="0" w:after="0" w:line="240" w:lineRule="auto"/>
              <w:jc w:val="left"/>
              <w:rPr>
                <w:rFonts w:eastAsia="Times New Roman" w:cs="Calibri"/>
                <w:b/>
                <w:color w:val="FFFFFF" w:themeColor="background1"/>
                <w:sz w:val="20"/>
                <w:szCs w:val="20"/>
                <w:lang w:val="sr-Latn-RS" w:eastAsia="en-US"/>
              </w:rPr>
            </w:pPr>
            <w:r w:rsidRPr="00332A46">
              <w:rPr>
                <w:rFonts w:cs="Calibri"/>
                <w:b/>
                <w:color w:val="FFFFFF" w:themeColor="background1"/>
                <w:sz w:val="20"/>
                <w:szCs w:val="20"/>
                <w:lang w:val="sr-Latn-RS" w:eastAsia="en-US"/>
              </w:rPr>
              <w:t>Kriterijumi</w:t>
            </w:r>
          </w:p>
        </w:tc>
        <w:tc>
          <w:tcPr>
            <w:tcW w:w="1419" w:type="dxa"/>
            <w:tcBorders>
              <w:top w:val="single" w:sz="4" w:space="0" w:color="FFFFFF"/>
              <w:left w:val="single" w:sz="4" w:space="0" w:color="FFFFFF"/>
              <w:bottom w:val="single" w:sz="4" w:space="0" w:color="FFFFFF"/>
              <w:right w:val="single" w:sz="4" w:space="0" w:color="FFFFFF"/>
            </w:tcBorders>
            <w:shd w:val="clear" w:color="auto" w:fill="1F497D" w:themeFill="text2"/>
            <w:hideMark/>
          </w:tcPr>
          <w:p w14:paraId="596AD1EB" w14:textId="77777777" w:rsidR="006612D6" w:rsidRPr="00332A46" w:rsidRDefault="006612D6" w:rsidP="006612D6">
            <w:pPr>
              <w:autoSpaceDE w:val="0"/>
              <w:autoSpaceDN w:val="0"/>
              <w:adjustRightInd w:val="0"/>
              <w:spacing w:before="0" w:after="0" w:line="240" w:lineRule="auto"/>
              <w:jc w:val="left"/>
              <w:rPr>
                <w:rFonts w:cs="Calibri"/>
                <w:b/>
                <w:color w:val="FFFFFF" w:themeColor="background1"/>
                <w:sz w:val="20"/>
                <w:szCs w:val="20"/>
                <w:lang w:val="sr-Latn-RS" w:eastAsia="en-US"/>
              </w:rPr>
            </w:pPr>
            <w:r w:rsidRPr="00332A46">
              <w:rPr>
                <w:rFonts w:cs="Calibri"/>
                <w:b/>
                <w:color w:val="FFFFFF" w:themeColor="background1"/>
                <w:sz w:val="20"/>
                <w:szCs w:val="20"/>
                <w:lang w:val="sr-Latn-RS" w:eastAsia="en-US"/>
              </w:rPr>
              <w:t>Elementi</w:t>
            </w:r>
          </w:p>
        </w:tc>
        <w:tc>
          <w:tcPr>
            <w:tcW w:w="2689" w:type="dxa"/>
            <w:tcBorders>
              <w:top w:val="single" w:sz="4" w:space="0" w:color="FFFFFF"/>
              <w:left w:val="single" w:sz="4" w:space="0" w:color="FFFFFF"/>
              <w:bottom w:val="single" w:sz="4" w:space="0" w:color="FFFFFF"/>
              <w:right w:val="single" w:sz="4" w:space="0" w:color="FFFFFF"/>
            </w:tcBorders>
            <w:shd w:val="clear" w:color="auto" w:fill="1F497D" w:themeFill="text2"/>
            <w:hideMark/>
          </w:tcPr>
          <w:p w14:paraId="7204009B" w14:textId="77777777" w:rsidR="006612D6" w:rsidRPr="00332A46" w:rsidRDefault="006612D6" w:rsidP="006612D6">
            <w:pPr>
              <w:autoSpaceDE w:val="0"/>
              <w:autoSpaceDN w:val="0"/>
              <w:adjustRightInd w:val="0"/>
              <w:spacing w:before="0" w:after="0" w:line="240" w:lineRule="auto"/>
              <w:jc w:val="left"/>
              <w:rPr>
                <w:rFonts w:cs="Calibri"/>
                <w:b/>
                <w:color w:val="FFFFFF" w:themeColor="background1"/>
                <w:sz w:val="20"/>
                <w:szCs w:val="20"/>
                <w:lang w:val="sr-Latn-RS" w:eastAsia="en-US"/>
              </w:rPr>
            </w:pPr>
            <w:r w:rsidRPr="00332A46">
              <w:rPr>
                <w:rFonts w:cs="Calibri"/>
                <w:b/>
                <w:color w:val="FFFFFF" w:themeColor="background1"/>
                <w:sz w:val="20"/>
                <w:szCs w:val="20"/>
                <w:lang w:val="sr-Latn-RS" w:eastAsia="en-US"/>
              </w:rPr>
              <w:t>Indikatori</w:t>
            </w:r>
          </w:p>
        </w:tc>
        <w:tc>
          <w:tcPr>
            <w:tcW w:w="3257" w:type="dxa"/>
            <w:tcBorders>
              <w:top w:val="single" w:sz="4" w:space="0" w:color="FFFFFF"/>
              <w:left w:val="single" w:sz="4" w:space="0" w:color="FFFFFF"/>
              <w:bottom w:val="single" w:sz="4" w:space="0" w:color="FFFFFF"/>
              <w:right w:val="single" w:sz="4" w:space="0" w:color="FFFFFF"/>
            </w:tcBorders>
            <w:shd w:val="clear" w:color="auto" w:fill="1F497D" w:themeFill="text2"/>
          </w:tcPr>
          <w:p w14:paraId="1E982B27" w14:textId="77777777" w:rsidR="006612D6" w:rsidRPr="00332A46" w:rsidRDefault="006612D6" w:rsidP="006612D6">
            <w:pPr>
              <w:autoSpaceDE w:val="0"/>
              <w:autoSpaceDN w:val="0"/>
              <w:adjustRightInd w:val="0"/>
              <w:spacing w:before="0" w:after="0" w:line="240" w:lineRule="auto"/>
              <w:rPr>
                <w:rFonts w:cs="Calibri"/>
                <w:b/>
                <w:color w:val="FFFFFF" w:themeColor="background1"/>
                <w:sz w:val="20"/>
                <w:szCs w:val="20"/>
                <w:lang w:val="sr-Latn-RS" w:eastAsia="en-US"/>
              </w:rPr>
            </w:pPr>
            <w:r w:rsidRPr="00332A46">
              <w:rPr>
                <w:rFonts w:cs="Calibri"/>
                <w:b/>
                <w:color w:val="FFFFFF" w:themeColor="background1"/>
                <w:sz w:val="20"/>
                <w:szCs w:val="20"/>
                <w:lang w:val="sr-Latn-RS" w:eastAsia="en-US"/>
              </w:rPr>
              <w:t>Vrijednosti praga</w:t>
            </w:r>
          </w:p>
          <w:p w14:paraId="4EBC3FEC" w14:textId="77777777" w:rsidR="006612D6" w:rsidRPr="00332A46" w:rsidRDefault="006612D6" w:rsidP="006612D6">
            <w:pPr>
              <w:autoSpaceDE w:val="0"/>
              <w:autoSpaceDN w:val="0"/>
              <w:adjustRightInd w:val="0"/>
              <w:spacing w:before="0" w:after="0" w:line="240" w:lineRule="auto"/>
              <w:rPr>
                <w:rFonts w:cs="Calibri"/>
                <w:b/>
                <w:color w:val="FFFFFF" w:themeColor="background1"/>
                <w:sz w:val="20"/>
                <w:szCs w:val="20"/>
                <w:lang w:val="sr-Latn-RS" w:eastAsia="en-US"/>
              </w:rPr>
            </w:pPr>
          </w:p>
        </w:tc>
      </w:tr>
      <w:tr w:rsidR="006612D6" w:rsidRPr="006612D6" w14:paraId="7E1532A8" w14:textId="77777777" w:rsidTr="00B52DD2">
        <w:tc>
          <w:tcPr>
            <w:tcW w:w="1695" w:type="dxa"/>
            <w:vMerge w:val="restart"/>
            <w:tcBorders>
              <w:top w:val="single" w:sz="4" w:space="0" w:color="FFFFFF"/>
              <w:left w:val="single" w:sz="4" w:space="0" w:color="0070C0"/>
              <w:bottom w:val="single" w:sz="4" w:space="0" w:color="0070C0"/>
              <w:right w:val="single" w:sz="4" w:space="0" w:color="0070C0"/>
            </w:tcBorders>
          </w:tcPr>
          <w:p w14:paraId="7346525F" w14:textId="77777777" w:rsidR="006612D6" w:rsidRPr="006612D6" w:rsidRDefault="006612D6" w:rsidP="006612D6">
            <w:pPr>
              <w:autoSpaceDE w:val="0"/>
              <w:autoSpaceDN w:val="0"/>
              <w:adjustRightInd w:val="0"/>
              <w:spacing w:before="0" w:after="0" w:line="240" w:lineRule="auto"/>
              <w:jc w:val="left"/>
              <w:rPr>
                <w:rFonts w:cs="Calibri"/>
                <w:b/>
                <w:color w:val="000000"/>
                <w:sz w:val="20"/>
                <w:szCs w:val="20"/>
                <w:lang w:val="sr-Latn-RS" w:eastAsia="en-US"/>
              </w:rPr>
            </w:pPr>
            <w:r w:rsidRPr="006612D6">
              <w:rPr>
                <w:rFonts w:cs="Calibri"/>
                <w:b/>
                <w:color w:val="000000"/>
                <w:sz w:val="20"/>
                <w:szCs w:val="20"/>
                <w:lang w:val="sr-Latn-RS" w:eastAsia="en-US"/>
              </w:rPr>
              <w:t>D1C6 - Primarni</w:t>
            </w:r>
          </w:p>
          <w:p w14:paraId="6BD2F268" w14:textId="77777777" w:rsidR="006612D6" w:rsidRPr="006612D6" w:rsidRDefault="006612D6" w:rsidP="006612D6">
            <w:pPr>
              <w:autoSpaceDE w:val="0"/>
              <w:autoSpaceDN w:val="0"/>
              <w:adjustRightInd w:val="0"/>
              <w:spacing w:before="0" w:after="0" w:line="240" w:lineRule="auto"/>
              <w:jc w:val="left"/>
              <w:rPr>
                <w:rFonts w:cs="Calibri"/>
                <w:b/>
                <w:color w:val="000000"/>
                <w:sz w:val="20"/>
                <w:szCs w:val="20"/>
                <w:lang w:val="sr-Latn-RS" w:eastAsia="en-US"/>
              </w:rPr>
            </w:pPr>
          </w:p>
          <w:p w14:paraId="16AA6F34" w14:textId="77777777" w:rsidR="006612D6" w:rsidRPr="006612D6" w:rsidRDefault="006612D6" w:rsidP="006612D6">
            <w:pPr>
              <w:spacing w:before="0" w:after="0"/>
              <w:rPr>
                <w:lang w:val="sr-Latn-RS" w:eastAsia="en-US"/>
              </w:rPr>
            </w:pPr>
            <w:r w:rsidRPr="006612D6">
              <w:rPr>
                <w:sz w:val="19"/>
                <w:szCs w:val="19"/>
                <w:lang w:val="sr-Latn-RS"/>
              </w:rPr>
              <w:t>Stanje tipa staništa, uključujući njegovu biotičku i abiotičku strukturu i njegove funkcije (npr. tipični sastav vrsta i njihova relativna brojnost, odsustvo posebno osjetljivih vrsta ili vrsta koje imaju ključnu funkciju, struktura vrste prema veličini), nije pogoršano zbog antropogenih pritisaka.</w:t>
            </w:r>
          </w:p>
          <w:p w14:paraId="2378D544" w14:textId="77777777" w:rsidR="006612D6" w:rsidRPr="006612D6" w:rsidRDefault="006612D6" w:rsidP="006612D6">
            <w:pPr>
              <w:spacing w:before="0" w:after="0"/>
              <w:rPr>
                <w:sz w:val="20"/>
                <w:szCs w:val="20"/>
                <w:lang w:val="sr-Latn-RS" w:eastAsia="en-US"/>
              </w:rPr>
            </w:pPr>
          </w:p>
          <w:p w14:paraId="6D9A4E18" w14:textId="77777777" w:rsidR="006612D6" w:rsidRPr="006612D6" w:rsidRDefault="006612D6" w:rsidP="006612D6">
            <w:pPr>
              <w:autoSpaceDE w:val="0"/>
              <w:autoSpaceDN w:val="0"/>
              <w:adjustRightInd w:val="0"/>
              <w:spacing w:before="0" w:after="0" w:line="240" w:lineRule="auto"/>
              <w:jc w:val="left"/>
              <w:rPr>
                <w:rFonts w:eastAsia="Times New Roman" w:cs="Calibri"/>
                <w:b/>
                <w:color w:val="000000"/>
                <w:sz w:val="20"/>
                <w:szCs w:val="20"/>
                <w:lang w:val="sr-Latn-RS" w:eastAsia="en-US"/>
              </w:rPr>
            </w:pPr>
          </w:p>
        </w:tc>
        <w:tc>
          <w:tcPr>
            <w:tcW w:w="1419" w:type="dxa"/>
            <w:vMerge w:val="restart"/>
            <w:tcBorders>
              <w:top w:val="single" w:sz="4" w:space="0" w:color="FFFFFF"/>
              <w:left w:val="single" w:sz="4" w:space="0" w:color="0070C0"/>
              <w:bottom w:val="single" w:sz="4" w:space="0" w:color="0070C0"/>
              <w:right w:val="single" w:sz="4" w:space="0" w:color="0070C0"/>
            </w:tcBorders>
            <w:hideMark/>
          </w:tcPr>
          <w:p w14:paraId="53B2D7FE"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Fitoplankton</w:t>
            </w:r>
          </w:p>
        </w:tc>
        <w:tc>
          <w:tcPr>
            <w:tcW w:w="2689" w:type="dxa"/>
            <w:tcBorders>
              <w:top w:val="single" w:sz="4" w:space="0" w:color="FFFFFF"/>
              <w:left w:val="single" w:sz="4" w:space="0" w:color="0070C0"/>
              <w:bottom w:val="single" w:sz="4" w:space="0" w:color="0070C0"/>
              <w:right w:val="single" w:sz="4" w:space="0" w:color="0070C0"/>
            </w:tcBorders>
            <w:hideMark/>
          </w:tcPr>
          <w:p w14:paraId="0F150D0F" w14:textId="4FADAE3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sz w:val="20"/>
                <w:szCs w:val="20"/>
                <w:lang w:val="sr-Latn-RS" w:eastAsia="en-US"/>
              </w:rPr>
              <w:t xml:space="preserve">Ukupna </w:t>
            </w:r>
            <w:r w:rsidR="00B100D2">
              <w:rPr>
                <w:rFonts w:cs="Calibri"/>
                <w:sz w:val="20"/>
                <w:szCs w:val="20"/>
                <w:lang w:val="sr-Latn-RS" w:eastAsia="en-US"/>
              </w:rPr>
              <w:t>brojnost</w:t>
            </w:r>
            <w:r w:rsidRPr="006612D6">
              <w:rPr>
                <w:rFonts w:cs="Calibri"/>
                <w:sz w:val="20"/>
                <w:szCs w:val="20"/>
                <w:lang w:val="sr-Latn-RS" w:eastAsia="en-US"/>
              </w:rPr>
              <w:t xml:space="preserve"> (ćelija/L)</w:t>
            </w:r>
          </w:p>
        </w:tc>
        <w:tc>
          <w:tcPr>
            <w:tcW w:w="3257" w:type="dxa"/>
            <w:vMerge w:val="restart"/>
            <w:tcBorders>
              <w:top w:val="single" w:sz="4" w:space="0" w:color="FFFFFF"/>
              <w:left w:val="single" w:sz="4" w:space="0" w:color="0070C0"/>
              <w:bottom w:val="single" w:sz="4" w:space="0" w:color="0070C0"/>
              <w:right w:val="single" w:sz="4" w:space="0" w:color="0070C0"/>
            </w:tcBorders>
            <w:hideMark/>
          </w:tcPr>
          <w:p w14:paraId="35A2AD80" w14:textId="2C6F7D5D"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 xml:space="preserve">Vrijednosti u okviru opsega višegodišnjih vrijednosti </w:t>
            </w:r>
            <w:r w:rsidR="00E429D2">
              <w:rPr>
                <w:rFonts w:cs="Calibri"/>
                <w:color w:val="000000"/>
                <w:sz w:val="20"/>
                <w:szCs w:val="20"/>
                <w:lang w:val="sr-Latn-RS" w:eastAsia="en-US"/>
              </w:rPr>
              <w:t xml:space="preserve"> (unutar</w:t>
            </w:r>
            <w:r w:rsidR="00E429D2" w:rsidRPr="00E429D2">
              <w:rPr>
                <w:rFonts w:asciiTheme="minorHAnsi" w:hAnsiTheme="minorHAnsi" w:cstheme="minorHAnsi"/>
                <w:i/>
                <w:iCs/>
                <w:sz w:val="20"/>
                <w:szCs w:val="20"/>
              </w:rPr>
              <w:t xml:space="preserve"> </w:t>
            </w:r>
            <w:r w:rsidR="00E429D2" w:rsidRPr="00E429D2">
              <w:rPr>
                <w:rFonts w:asciiTheme="minorHAnsi" w:hAnsiTheme="minorHAnsi" w:cstheme="minorHAnsi"/>
                <w:iCs/>
                <w:sz w:val="20"/>
                <w:szCs w:val="20"/>
              </w:rPr>
              <w:t>prirodnog raspona</w:t>
            </w:r>
            <w:r w:rsidR="00C14654">
              <w:rPr>
                <w:rStyle w:val="FootnoteReference"/>
                <w:rFonts w:asciiTheme="minorHAnsi" w:hAnsiTheme="minorHAnsi"/>
                <w:iCs/>
                <w:sz w:val="20"/>
                <w:szCs w:val="20"/>
              </w:rPr>
              <w:footnoteReference w:id="72"/>
            </w:r>
            <w:r w:rsidR="00E429D2">
              <w:rPr>
                <w:rFonts w:asciiTheme="minorHAnsi" w:hAnsiTheme="minorHAnsi" w:cstheme="minorHAnsi"/>
                <w:iCs/>
                <w:sz w:val="20"/>
                <w:szCs w:val="20"/>
              </w:rPr>
              <w:t>).</w:t>
            </w:r>
          </w:p>
          <w:p w14:paraId="3CE6D20E"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Trend tokom godina</w:t>
            </w:r>
            <w:r w:rsidRPr="006612D6">
              <w:rPr>
                <w:rFonts w:cs="Calibri"/>
                <w:color w:val="000000"/>
                <w:sz w:val="20"/>
                <w:szCs w:val="20"/>
                <w:vertAlign w:val="superscript"/>
                <w:lang w:val="sr-Latn-RS" w:eastAsia="en-US"/>
              </w:rPr>
              <w:footnoteReference w:id="73"/>
            </w:r>
          </w:p>
        </w:tc>
      </w:tr>
      <w:tr w:rsidR="006612D6" w:rsidRPr="006612D6" w14:paraId="0A6BEA84" w14:textId="77777777" w:rsidTr="00B52DD2">
        <w:tc>
          <w:tcPr>
            <w:tcW w:w="1695" w:type="dxa"/>
            <w:vMerge/>
            <w:tcBorders>
              <w:top w:val="single" w:sz="4" w:space="0" w:color="FFFFFF"/>
              <w:left w:val="single" w:sz="4" w:space="0" w:color="0070C0"/>
              <w:bottom w:val="single" w:sz="4" w:space="0" w:color="0070C0"/>
              <w:right w:val="single" w:sz="4" w:space="0" w:color="0070C0"/>
            </w:tcBorders>
            <w:vAlign w:val="center"/>
            <w:hideMark/>
          </w:tcPr>
          <w:p w14:paraId="0E45537E" w14:textId="77777777" w:rsidR="006612D6" w:rsidRPr="006612D6" w:rsidRDefault="006612D6" w:rsidP="006612D6">
            <w:pPr>
              <w:spacing w:before="0" w:after="0" w:line="240" w:lineRule="auto"/>
              <w:jc w:val="left"/>
              <w:rPr>
                <w:rFonts w:eastAsia="Times New Roman" w:cs="Calibri"/>
                <w:b/>
                <w:color w:val="000000"/>
                <w:sz w:val="20"/>
                <w:szCs w:val="20"/>
                <w:lang w:val="sr-Latn-RS" w:eastAsia="en-US"/>
              </w:rPr>
            </w:pPr>
          </w:p>
        </w:tc>
        <w:tc>
          <w:tcPr>
            <w:tcW w:w="1419" w:type="dxa"/>
            <w:vMerge/>
            <w:tcBorders>
              <w:top w:val="single" w:sz="4" w:space="0" w:color="FFFFFF"/>
              <w:left w:val="single" w:sz="4" w:space="0" w:color="0070C0"/>
              <w:bottom w:val="single" w:sz="4" w:space="0" w:color="0070C0"/>
              <w:right w:val="single" w:sz="4" w:space="0" w:color="0070C0"/>
            </w:tcBorders>
            <w:vAlign w:val="center"/>
            <w:hideMark/>
          </w:tcPr>
          <w:p w14:paraId="14A0B103" w14:textId="77777777" w:rsidR="006612D6" w:rsidRPr="006612D6" w:rsidRDefault="006612D6" w:rsidP="006612D6">
            <w:pPr>
              <w:spacing w:before="0" w:after="0" w:line="240" w:lineRule="auto"/>
              <w:jc w:val="left"/>
              <w:rPr>
                <w:rFonts w:eastAsia="Times New Roman" w:cs="Calibri"/>
                <w:color w:val="000000"/>
                <w:sz w:val="20"/>
                <w:szCs w:val="20"/>
                <w:lang w:val="sr-Latn-RS" w:eastAsia="en-US"/>
              </w:rPr>
            </w:pPr>
          </w:p>
        </w:tc>
        <w:tc>
          <w:tcPr>
            <w:tcW w:w="2689" w:type="dxa"/>
            <w:tcBorders>
              <w:top w:val="single" w:sz="4" w:space="0" w:color="0070C0"/>
              <w:left w:val="single" w:sz="4" w:space="0" w:color="0070C0"/>
              <w:bottom w:val="single" w:sz="4" w:space="0" w:color="0070C0"/>
              <w:right w:val="single" w:sz="4" w:space="0" w:color="0070C0"/>
            </w:tcBorders>
            <w:hideMark/>
          </w:tcPr>
          <w:p w14:paraId="73B38851" w14:textId="77777777" w:rsidR="006612D6" w:rsidRPr="006612D6" w:rsidRDefault="006612D6" w:rsidP="006612D6">
            <w:pPr>
              <w:autoSpaceDE w:val="0"/>
              <w:autoSpaceDN w:val="0"/>
              <w:adjustRightInd w:val="0"/>
              <w:spacing w:before="0" w:after="0" w:line="240" w:lineRule="auto"/>
              <w:jc w:val="left"/>
              <w:rPr>
                <w:rFonts w:cs="Calibri"/>
                <w:sz w:val="20"/>
                <w:szCs w:val="20"/>
                <w:lang w:val="sr-Latn-RS" w:eastAsia="en-US"/>
              </w:rPr>
            </w:pPr>
            <w:r w:rsidRPr="006612D6">
              <w:rPr>
                <w:rFonts w:cs="Calibri"/>
                <w:sz w:val="20"/>
                <w:szCs w:val="20"/>
                <w:lang w:val="sr-Latn-RS" w:eastAsia="en-US"/>
              </w:rPr>
              <w:t xml:space="preserve">Distribucija (prostorna, sezonska) </w:t>
            </w:r>
          </w:p>
        </w:tc>
        <w:tc>
          <w:tcPr>
            <w:tcW w:w="3257" w:type="dxa"/>
            <w:vMerge/>
            <w:tcBorders>
              <w:top w:val="single" w:sz="4" w:space="0" w:color="FFFFFF"/>
              <w:left w:val="single" w:sz="4" w:space="0" w:color="0070C0"/>
              <w:bottom w:val="single" w:sz="4" w:space="0" w:color="0070C0"/>
              <w:right w:val="single" w:sz="4" w:space="0" w:color="0070C0"/>
            </w:tcBorders>
            <w:vAlign w:val="center"/>
            <w:hideMark/>
          </w:tcPr>
          <w:p w14:paraId="49818F86" w14:textId="77777777" w:rsidR="006612D6" w:rsidRPr="006612D6" w:rsidRDefault="006612D6" w:rsidP="006612D6">
            <w:pPr>
              <w:spacing w:before="0" w:after="0" w:line="240" w:lineRule="auto"/>
              <w:jc w:val="left"/>
              <w:rPr>
                <w:rFonts w:eastAsia="Times New Roman" w:cs="Calibri"/>
                <w:color w:val="000000"/>
                <w:sz w:val="20"/>
                <w:szCs w:val="20"/>
                <w:lang w:val="sr-Latn-RS" w:eastAsia="en-US"/>
              </w:rPr>
            </w:pPr>
          </w:p>
        </w:tc>
      </w:tr>
      <w:tr w:rsidR="006612D6" w:rsidRPr="006612D6" w14:paraId="3A2EC5FB" w14:textId="77777777" w:rsidTr="00B52DD2">
        <w:tc>
          <w:tcPr>
            <w:tcW w:w="1695" w:type="dxa"/>
            <w:vMerge/>
            <w:tcBorders>
              <w:top w:val="single" w:sz="4" w:space="0" w:color="FFFFFF"/>
              <w:left w:val="single" w:sz="4" w:space="0" w:color="0070C0"/>
              <w:bottom w:val="single" w:sz="4" w:space="0" w:color="0070C0"/>
              <w:right w:val="single" w:sz="4" w:space="0" w:color="0070C0"/>
            </w:tcBorders>
            <w:vAlign w:val="center"/>
            <w:hideMark/>
          </w:tcPr>
          <w:p w14:paraId="69106D78" w14:textId="77777777" w:rsidR="006612D6" w:rsidRPr="006612D6" w:rsidRDefault="006612D6" w:rsidP="006612D6">
            <w:pPr>
              <w:spacing w:before="0" w:after="0" w:line="240" w:lineRule="auto"/>
              <w:jc w:val="left"/>
              <w:rPr>
                <w:rFonts w:eastAsia="Times New Roman" w:cs="Calibri"/>
                <w:b/>
                <w:color w:val="000000"/>
                <w:sz w:val="20"/>
                <w:szCs w:val="20"/>
                <w:lang w:val="sr-Latn-RS" w:eastAsia="en-US"/>
              </w:rPr>
            </w:pPr>
          </w:p>
        </w:tc>
        <w:tc>
          <w:tcPr>
            <w:tcW w:w="1419" w:type="dxa"/>
            <w:vMerge/>
            <w:tcBorders>
              <w:top w:val="single" w:sz="4" w:space="0" w:color="FFFFFF"/>
              <w:left w:val="single" w:sz="4" w:space="0" w:color="0070C0"/>
              <w:bottom w:val="single" w:sz="4" w:space="0" w:color="0070C0"/>
              <w:right w:val="single" w:sz="4" w:space="0" w:color="0070C0"/>
            </w:tcBorders>
            <w:vAlign w:val="center"/>
            <w:hideMark/>
          </w:tcPr>
          <w:p w14:paraId="3644722E" w14:textId="77777777" w:rsidR="006612D6" w:rsidRPr="006612D6" w:rsidRDefault="006612D6" w:rsidP="006612D6">
            <w:pPr>
              <w:spacing w:before="0" w:after="0" w:line="240" w:lineRule="auto"/>
              <w:jc w:val="left"/>
              <w:rPr>
                <w:rFonts w:eastAsia="Times New Roman" w:cs="Calibri"/>
                <w:color w:val="000000"/>
                <w:sz w:val="20"/>
                <w:szCs w:val="20"/>
                <w:lang w:val="sr-Latn-RS" w:eastAsia="en-US"/>
              </w:rPr>
            </w:pPr>
          </w:p>
        </w:tc>
        <w:tc>
          <w:tcPr>
            <w:tcW w:w="2689" w:type="dxa"/>
            <w:tcBorders>
              <w:top w:val="single" w:sz="4" w:space="0" w:color="0070C0"/>
              <w:left w:val="single" w:sz="4" w:space="0" w:color="0070C0"/>
              <w:bottom w:val="single" w:sz="4" w:space="0" w:color="0070C0"/>
              <w:right w:val="single" w:sz="4" w:space="0" w:color="0070C0"/>
            </w:tcBorders>
            <w:hideMark/>
          </w:tcPr>
          <w:p w14:paraId="7ADD2387"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sz w:val="20"/>
                <w:szCs w:val="20"/>
                <w:lang w:val="sr-Latn-RS" w:eastAsia="en-US"/>
              </w:rPr>
              <w:t>Biomasa (određena na osnovu vrijednosti hlorofila a)</w:t>
            </w:r>
          </w:p>
        </w:tc>
        <w:tc>
          <w:tcPr>
            <w:tcW w:w="3257" w:type="dxa"/>
            <w:tcBorders>
              <w:top w:val="single" w:sz="4" w:space="0" w:color="0070C0"/>
              <w:left w:val="single" w:sz="4" w:space="0" w:color="0070C0"/>
              <w:bottom w:val="single" w:sz="4" w:space="0" w:color="0070C0"/>
              <w:right w:val="single" w:sz="4" w:space="0" w:color="0070C0"/>
            </w:tcBorders>
            <w:hideMark/>
          </w:tcPr>
          <w:p w14:paraId="10A8E390" w14:textId="77B25ECB"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Kako je propisano u okviru D5C3 (vidi D5)</w:t>
            </w:r>
            <w:r w:rsidR="00E429D2">
              <w:rPr>
                <w:rFonts w:cs="Calibri"/>
                <w:sz w:val="20"/>
                <w:szCs w:val="20"/>
                <w:lang w:val="sr-Latn-RS" w:eastAsia="en-US"/>
              </w:rPr>
              <w:t>.</w:t>
            </w:r>
          </w:p>
        </w:tc>
      </w:tr>
      <w:tr w:rsidR="006612D6" w:rsidRPr="006612D6" w14:paraId="1424B8AC" w14:textId="77777777" w:rsidTr="00B52DD2">
        <w:tc>
          <w:tcPr>
            <w:tcW w:w="1695" w:type="dxa"/>
            <w:vMerge/>
            <w:tcBorders>
              <w:top w:val="single" w:sz="4" w:space="0" w:color="FFFFFF"/>
              <w:left w:val="single" w:sz="4" w:space="0" w:color="0070C0"/>
              <w:bottom w:val="single" w:sz="4" w:space="0" w:color="0070C0"/>
              <w:right w:val="single" w:sz="4" w:space="0" w:color="0070C0"/>
            </w:tcBorders>
            <w:vAlign w:val="center"/>
            <w:hideMark/>
          </w:tcPr>
          <w:p w14:paraId="2F6E10A4" w14:textId="77777777" w:rsidR="006612D6" w:rsidRPr="006612D6" w:rsidRDefault="006612D6" w:rsidP="006612D6">
            <w:pPr>
              <w:spacing w:before="0" w:after="0" w:line="240" w:lineRule="auto"/>
              <w:jc w:val="left"/>
              <w:rPr>
                <w:rFonts w:eastAsia="Times New Roman" w:cs="Calibri"/>
                <w:b/>
                <w:color w:val="000000"/>
                <w:sz w:val="20"/>
                <w:szCs w:val="20"/>
                <w:lang w:val="sr-Latn-RS" w:eastAsia="en-US"/>
              </w:rPr>
            </w:pPr>
          </w:p>
        </w:tc>
        <w:tc>
          <w:tcPr>
            <w:tcW w:w="1419" w:type="dxa"/>
            <w:vMerge/>
            <w:tcBorders>
              <w:top w:val="single" w:sz="4" w:space="0" w:color="FFFFFF"/>
              <w:left w:val="single" w:sz="4" w:space="0" w:color="0070C0"/>
              <w:bottom w:val="single" w:sz="4" w:space="0" w:color="0070C0"/>
              <w:right w:val="single" w:sz="4" w:space="0" w:color="0070C0"/>
            </w:tcBorders>
            <w:vAlign w:val="center"/>
            <w:hideMark/>
          </w:tcPr>
          <w:p w14:paraId="2C8130FB" w14:textId="77777777" w:rsidR="006612D6" w:rsidRPr="006612D6" w:rsidRDefault="006612D6" w:rsidP="006612D6">
            <w:pPr>
              <w:spacing w:before="0" w:after="0" w:line="240" w:lineRule="auto"/>
              <w:jc w:val="left"/>
              <w:rPr>
                <w:rFonts w:eastAsia="Times New Roman" w:cs="Calibri"/>
                <w:color w:val="000000"/>
                <w:sz w:val="20"/>
                <w:szCs w:val="20"/>
                <w:lang w:val="sr-Latn-RS" w:eastAsia="en-US"/>
              </w:rPr>
            </w:pPr>
          </w:p>
        </w:tc>
        <w:tc>
          <w:tcPr>
            <w:tcW w:w="2689" w:type="dxa"/>
            <w:tcBorders>
              <w:top w:val="single" w:sz="4" w:space="0" w:color="0070C0"/>
              <w:left w:val="single" w:sz="4" w:space="0" w:color="0070C0"/>
              <w:bottom w:val="single" w:sz="4" w:space="0" w:color="0070C0"/>
              <w:right w:val="single" w:sz="4" w:space="0" w:color="0070C0"/>
            </w:tcBorders>
            <w:hideMark/>
          </w:tcPr>
          <w:p w14:paraId="7340D902"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Indeksi diverziteta</w:t>
            </w:r>
          </w:p>
        </w:tc>
        <w:tc>
          <w:tcPr>
            <w:tcW w:w="3257" w:type="dxa"/>
            <w:tcBorders>
              <w:top w:val="single" w:sz="4" w:space="0" w:color="0070C0"/>
              <w:left w:val="single" w:sz="4" w:space="0" w:color="0070C0"/>
              <w:bottom w:val="single" w:sz="4" w:space="0" w:color="0070C0"/>
              <w:right w:val="single" w:sz="4" w:space="0" w:color="0070C0"/>
            </w:tcBorders>
            <w:hideMark/>
          </w:tcPr>
          <w:p w14:paraId="19D21B0A" w14:textId="67A47A6C"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Vrijednosti u okviru opsega višegodišnjih vrijednosti (</w:t>
            </w:r>
            <w:r w:rsidR="00E429D2">
              <w:rPr>
                <w:rFonts w:cs="Calibri"/>
                <w:color w:val="000000"/>
                <w:sz w:val="20"/>
                <w:szCs w:val="20"/>
                <w:lang w:val="sr-Latn-RS" w:eastAsia="en-US"/>
              </w:rPr>
              <w:t>unutar</w:t>
            </w:r>
            <w:r w:rsidRPr="006612D6">
              <w:rPr>
                <w:rFonts w:cs="Calibri"/>
                <w:color w:val="000000"/>
                <w:sz w:val="20"/>
                <w:szCs w:val="20"/>
                <w:lang w:val="sr-Latn-RS" w:eastAsia="en-US"/>
              </w:rPr>
              <w:t xml:space="preserve"> prirodno</w:t>
            </w:r>
            <w:r w:rsidR="00E429D2">
              <w:rPr>
                <w:rFonts w:cs="Calibri"/>
                <w:color w:val="000000"/>
                <w:sz w:val="20"/>
                <w:szCs w:val="20"/>
                <w:lang w:val="sr-Latn-RS" w:eastAsia="en-US"/>
              </w:rPr>
              <w:t>g</w:t>
            </w:r>
            <w:r w:rsidRPr="006612D6">
              <w:rPr>
                <w:rFonts w:cs="Calibri"/>
                <w:color w:val="000000"/>
                <w:sz w:val="20"/>
                <w:szCs w:val="20"/>
                <w:lang w:val="sr-Latn-RS" w:eastAsia="en-US"/>
              </w:rPr>
              <w:t xml:space="preserve"> </w:t>
            </w:r>
            <w:r w:rsidR="00E429D2">
              <w:rPr>
                <w:rFonts w:cs="Calibri"/>
                <w:color w:val="000000"/>
                <w:sz w:val="20"/>
                <w:szCs w:val="20"/>
                <w:lang w:val="sr-Latn-RS" w:eastAsia="en-US"/>
              </w:rPr>
              <w:t>raspona</w:t>
            </w:r>
            <w:r w:rsidRPr="006612D6">
              <w:rPr>
                <w:rFonts w:cs="Calibri"/>
                <w:color w:val="000000"/>
                <w:sz w:val="20"/>
                <w:szCs w:val="20"/>
                <w:lang w:val="sr-Latn-RS" w:eastAsia="en-US"/>
              </w:rPr>
              <w:t>)</w:t>
            </w:r>
            <w:r w:rsidR="00E429D2">
              <w:rPr>
                <w:rFonts w:cs="Calibri"/>
                <w:color w:val="000000"/>
                <w:sz w:val="20"/>
                <w:szCs w:val="20"/>
                <w:lang w:val="sr-Latn-RS" w:eastAsia="en-US"/>
              </w:rPr>
              <w:t>.</w:t>
            </w:r>
          </w:p>
          <w:p w14:paraId="2C64051B" w14:textId="2BF9785F"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Trend tokom godina</w:t>
            </w:r>
            <w:r w:rsidR="00E429D2">
              <w:rPr>
                <w:rFonts w:cs="Calibri"/>
                <w:color w:val="000000"/>
                <w:sz w:val="20"/>
                <w:szCs w:val="20"/>
                <w:lang w:val="sr-Latn-RS" w:eastAsia="en-US"/>
              </w:rPr>
              <w:t>.</w:t>
            </w:r>
            <w:r w:rsidRPr="006612D6">
              <w:rPr>
                <w:rFonts w:cs="Calibri"/>
                <w:color w:val="000000"/>
                <w:sz w:val="20"/>
                <w:szCs w:val="20"/>
                <w:lang w:val="sr-Latn-RS" w:eastAsia="en-US"/>
              </w:rPr>
              <w:t xml:space="preserve"> </w:t>
            </w:r>
          </w:p>
        </w:tc>
      </w:tr>
      <w:tr w:rsidR="006612D6" w:rsidRPr="006612D6" w14:paraId="1F3E02A1" w14:textId="77777777" w:rsidTr="00B52DD2">
        <w:tc>
          <w:tcPr>
            <w:tcW w:w="1695" w:type="dxa"/>
            <w:vMerge/>
            <w:tcBorders>
              <w:top w:val="single" w:sz="4" w:space="0" w:color="FFFFFF"/>
              <w:left w:val="single" w:sz="4" w:space="0" w:color="0070C0"/>
              <w:bottom w:val="single" w:sz="4" w:space="0" w:color="0070C0"/>
              <w:right w:val="single" w:sz="4" w:space="0" w:color="0070C0"/>
            </w:tcBorders>
            <w:vAlign w:val="center"/>
            <w:hideMark/>
          </w:tcPr>
          <w:p w14:paraId="5FCD6C7C" w14:textId="77777777" w:rsidR="006612D6" w:rsidRPr="006612D6" w:rsidRDefault="006612D6" w:rsidP="006612D6">
            <w:pPr>
              <w:spacing w:before="0" w:after="0" w:line="240" w:lineRule="auto"/>
              <w:jc w:val="left"/>
              <w:rPr>
                <w:rFonts w:eastAsia="Times New Roman" w:cs="Calibri"/>
                <w:b/>
                <w:color w:val="000000"/>
                <w:sz w:val="20"/>
                <w:szCs w:val="20"/>
                <w:lang w:val="sr-Latn-RS" w:eastAsia="en-US"/>
              </w:rPr>
            </w:pPr>
          </w:p>
        </w:tc>
        <w:tc>
          <w:tcPr>
            <w:tcW w:w="1419" w:type="dxa"/>
            <w:vMerge/>
            <w:tcBorders>
              <w:top w:val="single" w:sz="4" w:space="0" w:color="FFFFFF"/>
              <w:left w:val="single" w:sz="4" w:space="0" w:color="0070C0"/>
              <w:bottom w:val="single" w:sz="4" w:space="0" w:color="0070C0"/>
              <w:right w:val="single" w:sz="4" w:space="0" w:color="0070C0"/>
            </w:tcBorders>
            <w:vAlign w:val="center"/>
            <w:hideMark/>
          </w:tcPr>
          <w:p w14:paraId="66C7AE41" w14:textId="77777777" w:rsidR="006612D6" w:rsidRPr="006612D6" w:rsidRDefault="006612D6" w:rsidP="006612D6">
            <w:pPr>
              <w:spacing w:before="0" w:after="0" w:line="240" w:lineRule="auto"/>
              <w:jc w:val="left"/>
              <w:rPr>
                <w:rFonts w:eastAsia="Times New Roman" w:cs="Calibri"/>
                <w:color w:val="000000"/>
                <w:sz w:val="20"/>
                <w:szCs w:val="20"/>
                <w:lang w:val="sr-Latn-RS" w:eastAsia="en-US"/>
              </w:rPr>
            </w:pPr>
          </w:p>
        </w:tc>
        <w:tc>
          <w:tcPr>
            <w:tcW w:w="2689" w:type="dxa"/>
            <w:tcBorders>
              <w:top w:val="single" w:sz="4" w:space="0" w:color="0070C0"/>
              <w:left w:val="single" w:sz="4" w:space="0" w:color="0070C0"/>
              <w:bottom w:val="single" w:sz="4" w:space="0" w:color="0070C0"/>
              <w:right w:val="single" w:sz="4" w:space="0" w:color="0070C0"/>
            </w:tcBorders>
            <w:hideMark/>
          </w:tcPr>
          <w:p w14:paraId="1574F252"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sz w:val="20"/>
                <w:szCs w:val="20"/>
                <w:lang w:val="sr-Latn-RS" w:eastAsia="en-US"/>
              </w:rPr>
              <w:t xml:space="preserve">Indeks fitoplanktona (PI):  promjene u dominantnim grupama (odnos između dijatomeja i dinoflagelata) </w:t>
            </w:r>
          </w:p>
        </w:tc>
        <w:tc>
          <w:tcPr>
            <w:tcW w:w="3257" w:type="dxa"/>
            <w:tcBorders>
              <w:top w:val="single" w:sz="4" w:space="0" w:color="0070C0"/>
              <w:left w:val="single" w:sz="4" w:space="0" w:color="0070C0"/>
              <w:bottom w:val="single" w:sz="4" w:space="0" w:color="0070C0"/>
              <w:right w:val="single" w:sz="4" w:space="0" w:color="0070C0"/>
            </w:tcBorders>
            <w:hideMark/>
          </w:tcPr>
          <w:p w14:paraId="4280ED2F" w14:textId="1C8BA703"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Vrijednosti u okviru opsega višegodišnjih vrijednosti (</w:t>
            </w:r>
            <w:r w:rsidR="00E429D2">
              <w:rPr>
                <w:rFonts w:cs="Calibri"/>
                <w:color w:val="000000"/>
                <w:sz w:val="20"/>
                <w:szCs w:val="20"/>
                <w:lang w:val="sr-Latn-RS" w:eastAsia="en-US"/>
              </w:rPr>
              <w:t>unutar prirodnog raspona</w:t>
            </w:r>
            <w:r w:rsidRPr="006612D6">
              <w:rPr>
                <w:rFonts w:cs="Calibri"/>
                <w:color w:val="000000"/>
                <w:sz w:val="20"/>
                <w:szCs w:val="20"/>
                <w:lang w:val="sr-Latn-RS" w:eastAsia="en-US"/>
              </w:rPr>
              <w:t>)</w:t>
            </w:r>
            <w:r w:rsidR="00E429D2">
              <w:rPr>
                <w:rFonts w:cs="Calibri"/>
                <w:color w:val="000000"/>
                <w:sz w:val="20"/>
                <w:szCs w:val="20"/>
                <w:lang w:val="sr-Latn-RS" w:eastAsia="en-US"/>
              </w:rPr>
              <w:t>.</w:t>
            </w:r>
          </w:p>
          <w:p w14:paraId="67180328" w14:textId="3492D10B"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Trend tokom godina</w:t>
            </w:r>
            <w:r w:rsidR="00E429D2">
              <w:rPr>
                <w:rFonts w:cs="Calibri"/>
                <w:color w:val="000000"/>
                <w:sz w:val="20"/>
                <w:szCs w:val="20"/>
                <w:lang w:val="sr-Latn-RS" w:eastAsia="en-US"/>
              </w:rPr>
              <w:t>.</w:t>
            </w:r>
            <w:r w:rsidRPr="006612D6">
              <w:rPr>
                <w:rFonts w:cs="Calibri"/>
                <w:color w:val="000000"/>
                <w:sz w:val="20"/>
                <w:szCs w:val="20"/>
                <w:lang w:val="sr-Latn-RS" w:eastAsia="en-US"/>
              </w:rPr>
              <w:t xml:space="preserve"> </w:t>
            </w:r>
          </w:p>
        </w:tc>
      </w:tr>
      <w:tr w:rsidR="006612D6" w:rsidRPr="006612D6" w14:paraId="2B8C8038" w14:textId="77777777" w:rsidTr="00B52DD2">
        <w:tc>
          <w:tcPr>
            <w:tcW w:w="1695" w:type="dxa"/>
            <w:vMerge/>
            <w:tcBorders>
              <w:top w:val="single" w:sz="4" w:space="0" w:color="FFFFFF"/>
              <w:left w:val="single" w:sz="4" w:space="0" w:color="0070C0"/>
              <w:bottom w:val="single" w:sz="4" w:space="0" w:color="0070C0"/>
              <w:right w:val="single" w:sz="4" w:space="0" w:color="0070C0"/>
            </w:tcBorders>
            <w:vAlign w:val="center"/>
            <w:hideMark/>
          </w:tcPr>
          <w:p w14:paraId="28F79FF3" w14:textId="77777777" w:rsidR="006612D6" w:rsidRPr="006612D6" w:rsidRDefault="006612D6" w:rsidP="006612D6">
            <w:pPr>
              <w:spacing w:before="0" w:after="0" w:line="240" w:lineRule="auto"/>
              <w:jc w:val="left"/>
              <w:rPr>
                <w:rFonts w:eastAsia="Times New Roman" w:cs="Calibri"/>
                <w:b/>
                <w:color w:val="000000"/>
                <w:sz w:val="20"/>
                <w:szCs w:val="20"/>
                <w:lang w:val="sr-Latn-RS" w:eastAsia="en-US"/>
              </w:rPr>
            </w:pPr>
          </w:p>
        </w:tc>
        <w:tc>
          <w:tcPr>
            <w:tcW w:w="1419" w:type="dxa"/>
            <w:vMerge/>
            <w:tcBorders>
              <w:top w:val="single" w:sz="4" w:space="0" w:color="FFFFFF"/>
              <w:left w:val="single" w:sz="4" w:space="0" w:color="0070C0"/>
              <w:bottom w:val="single" w:sz="4" w:space="0" w:color="0070C0"/>
              <w:right w:val="single" w:sz="4" w:space="0" w:color="0070C0"/>
            </w:tcBorders>
            <w:vAlign w:val="center"/>
            <w:hideMark/>
          </w:tcPr>
          <w:p w14:paraId="3EBFEF5D" w14:textId="77777777" w:rsidR="006612D6" w:rsidRPr="006612D6" w:rsidRDefault="006612D6" w:rsidP="006612D6">
            <w:pPr>
              <w:spacing w:before="0" w:after="0" w:line="240" w:lineRule="auto"/>
              <w:jc w:val="left"/>
              <w:rPr>
                <w:rFonts w:eastAsia="Times New Roman" w:cs="Calibri"/>
                <w:color w:val="000000"/>
                <w:sz w:val="20"/>
                <w:szCs w:val="20"/>
                <w:lang w:val="sr-Latn-RS" w:eastAsia="en-US"/>
              </w:rPr>
            </w:pPr>
          </w:p>
        </w:tc>
        <w:tc>
          <w:tcPr>
            <w:tcW w:w="2689" w:type="dxa"/>
            <w:tcBorders>
              <w:top w:val="single" w:sz="4" w:space="0" w:color="0070C0"/>
              <w:left w:val="single" w:sz="4" w:space="0" w:color="0070C0"/>
              <w:bottom w:val="single" w:sz="4" w:space="0" w:color="0070C0"/>
              <w:right w:val="single" w:sz="4" w:space="0" w:color="0070C0"/>
            </w:tcBorders>
          </w:tcPr>
          <w:p w14:paraId="644EA491"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Frekvencija štetnih cvjetanja algi</w:t>
            </w:r>
          </w:p>
          <w:p w14:paraId="380C2A17"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p>
        </w:tc>
        <w:tc>
          <w:tcPr>
            <w:tcW w:w="3257" w:type="dxa"/>
            <w:tcBorders>
              <w:top w:val="single" w:sz="4" w:space="0" w:color="0070C0"/>
              <w:left w:val="single" w:sz="4" w:space="0" w:color="0070C0"/>
              <w:bottom w:val="single" w:sz="4" w:space="0" w:color="0070C0"/>
              <w:right w:val="single" w:sz="4" w:space="0" w:color="0070C0"/>
            </w:tcBorders>
            <w:hideMark/>
          </w:tcPr>
          <w:p w14:paraId="45B77EE9"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Kako je propisano u okviru D5C3 (D5)</w:t>
            </w:r>
          </w:p>
        </w:tc>
      </w:tr>
      <w:tr w:rsidR="006612D6" w:rsidRPr="006612D6" w14:paraId="01627933" w14:textId="77777777" w:rsidTr="00B52DD2">
        <w:trPr>
          <w:trHeight w:val="631"/>
        </w:trPr>
        <w:tc>
          <w:tcPr>
            <w:tcW w:w="1695" w:type="dxa"/>
            <w:vMerge/>
            <w:tcBorders>
              <w:top w:val="single" w:sz="4" w:space="0" w:color="FFFFFF"/>
              <w:left w:val="single" w:sz="4" w:space="0" w:color="0070C0"/>
              <w:bottom w:val="single" w:sz="4" w:space="0" w:color="0070C0"/>
              <w:right w:val="single" w:sz="4" w:space="0" w:color="0070C0"/>
            </w:tcBorders>
            <w:vAlign w:val="center"/>
            <w:hideMark/>
          </w:tcPr>
          <w:p w14:paraId="481FBA70" w14:textId="77777777" w:rsidR="006612D6" w:rsidRPr="006612D6" w:rsidRDefault="006612D6" w:rsidP="006612D6">
            <w:pPr>
              <w:spacing w:before="0" w:after="0" w:line="240" w:lineRule="auto"/>
              <w:jc w:val="left"/>
              <w:rPr>
                <w:rFonts w:eastAsia="Times New Roman" w:cs="Calibri"/>
                <w:b/>
                <w:color w:val="000000"/>
                <w:sz w:val="20"/>
                <w:szCs w:val="20"/>
                <w:lang w:val="sr-Latn-RS" w:eastAsia="en-US"/>
              </w:rPr>
            </w:pPr>
          </w:p>
        </w:tc>
        <w:tc>
          <w:tcPr>
            <w:tcW w:w="1419" w:type="dxa"/>
            <w:vMerge w:val="restart"/>
            <w:tcBorders>
              <w:top w:val="single" w:sz="4" w:space="0" w:color="0070C0"/>
              <w:left w:val="single" w:sz="4" w:space="0" w:color="0070C0"/>
              <w:bottom w:val="single" w:sz="4" w:space="0" w:color="0070C0"/>
              <w:right w:val="single" w:sz="4" w:space="0" w:color="0070C0"/>
            </w:tcBorders>
            <w:hideMark/>
          </w:tcPr>
          <w:p w14:paraId="04402937"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Zooplankton</w:t>
            </w:r>
          </w:p>
        </w:tc>
        <w:tc>
          <w:tcPr>
            <w:tcW w:w="2689" w:type="dxa"/>
            <w:tcBorders>
              <w:top w:val="single" w:sz="4" w:space="0" w:color="0070C0"/>
              <w:left w:val="single" w:sz="4" w:space="0" w:color="0070C0"/>
              <w:bottom w:val="single" w:sz="4" w:space="0" w:color="0070C0"/>
              <w:right w:val="single" w:sz="4" w:space="0" w:color="0070C0"/>
            </w:tcBorders>
            <w:hideMark/>
          </w:tcPr>
          <w:p w14:paraId="2C79E43F" w14:textId="366C9455" w:rsidR="006612D6" w:rsidRPr="006612D6" w:rsidRDefault="006612D6" w:rsidP="006612D6">
            <w:pPr>
              <w:spacing w:before="0" w:after="0" w:line="240" w:lineRule="auto"/>
              <w:contextualSpacing/>
              <w:jc w:val="left"/>
              <w:rPr>
                <w:rFonts w:cs="Calibri"/>
                <w:i/>
                <w:sz w:val="20"/>
                <w:szCs w:val="20"/>
                <w:lang w:val="sr-Latn-RS" w:eastAsia="en-US"/>
              </w:rPr>
            </w:pPr>
            <w:r w:rsidRPr="006612D6">
              <w:rPr>
                <w:rFonts w:cs="Calibri"/>
                <w:sz w:val="20"/>
                <w:szCs w:val="20"/>
                <w:lang w:val="sr-Latn-RS" w:eastAsia="en-US"/>
              </w:rPr>
              <w:t xml:space="preserve">Ukupna </w:t>
            </w:r>
            <w:r w:rsidR="0040040B">
              <w:rPr>
                <w:rFonts w:cs="Calibri"/>
                <w:sz w:val="20"/>
                <w:szCs w:val="20"/>
                <w:lang w:val="sr-Latn-RS" w:eastAsia="en-US"/>
              </w:rPr>
              <w:t xml:space="preserve">brojnost </w:t>
            </w:r>
            <w:r w:rsidRPr="006612D6">
              <w:rPr>
                <w:rFonts w:cs="Calibri"/>
                <w:sz w:val="20"/>
                <w:szCs w:val="20"/>
                <w:lang w:val="sr-Latn-RS" w:eastAsia="en-US"/>
              </w:rPr>
              <w:t>mezozooplanktona</w:t>
            </w:r>
          </w:p>
        </w:tc>
        <w:tc>
          <w:tcPr>
            <w:tcW w:w="3257" w:type="dxa"/>
            <w:tcBorders>
              <w:top w:val="single" w:sz="4" w:space="0" w:color="0070C0"/>
              <w:left w:val="single" w:sz="4" w:space="0" w:color="0070C0"/>
              <w:bottom w:val="single" w:sz="4" w:space="0" w:color="0070C0"/>
              <w:right w:val="single" w:sz="4" w:space="0" w:color="0070C0"/>
            </w:tcBorders>
            <w:hideMark/>
          </w:tcPr>
          <w:p w14:paraId="5B360061" w14:textId="2F72BD41"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Vrijednosti u okviru opsega višegodišnjih vrijednosti (</w:t>
            </w:r>
            <w:r w:rsidR="00E429D2">
              <w:rPr>
                <w:rFonts w:cs="Calibri"/>
                <w:color w:val="000000"/>
                <w:sz w:val="20"/>
                <w:szCs w:val="20"/>
                <w:lang w:val="sr-Latn-RS" w:eastAsia="en-US"/>
              </w:rPr>
              <w:t>unutar prirodnog raspona</w:t>
            </w:r>
            <w:r w:rsidRPr="006612D6">
              <w:rPr>
                <w:rFonts w:cs="Calibri"/>
                <w:color w:val="000000"/>
                <w:sz w:val="20"/>
                <w:szCs w:val="20"/>
                <w:lang w:val="sr-Latn-RS" w:eastAsia="en-US"/>
              </w:rPr>
              <w:t>)</w:t>
            </w:r>
            <w:r w:rsidR="00E429D2">
              <w:rPr>
                <w:rFonts w:cs="Calibri"/>
                <w:color w:val="000000"/>
                <w:sz w:val="20"/>
                <w:szCs w:val="20"/>
                <w:lang w:val="sr-Latn-RS" w:eastAsia="en-US"/>
              </w:rPr>
              <w:t>.</w:t>
            </w:r>
          </w:p>
          <w:p w14:paraId="41B96B9F" w14:textId="5FD33A3B"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Trend tokom godina</w:t>
            </w:r>
            <w:r w:rsidR="00E429D2">
              <w:rPr>
                <w:rFonts w:cs="Calibri"/>
                <w:color w:val="000000"/>
                <w:sz w:val="20"/>
                <w:szCs w:val="20"/>
                <w:lang w:val="sr-Latn-RS" w:eastAsia="en-US"/>
              </w:rPr>
              <w:t>.</w:t>
            </w:r>
          </w:p>
        </w:tc>
      </w:tr>
      <w:tr w:rsidR="006612D6" w:rsidRPr="006612D6" w14:paraId="5CAE0069" w14:textId="77777777" w:rsidTr="00B52DD2">
        <w:tc>
          <w:tcPr>
            <w:tcW w:w="1695" w:type="dxa"/>
            <w:vMerge/>
            <w:tcBorders>
              <w:top w:val="single" w:sz="4" w:space="0" w:color="FFFFFF"/>
              <w:left w:val="single" w:sz="4" w:space="0" w:color="0070C0"/>
              <w:bottom w:val="single" w:sz="4" w:space="0" w:color="0070C0"/>
              <w:right w:val="single" w:sz="4" w:space="0" w:color="0070C0"/>
            </w:tcBorders>
            <w:vAlign w:val="center"/>
            <w:hideMark/>
          </w:tcPr>
          <w:p w14:paraId="39D0431D" w14:textId="77777777" w:rsidR="006612D6" w:rsidRPr="006612D6" w:rsidRDefault="006612D6" w:rsidP="006612D6">
            <w:pPr>
              <w:spacing w:before="0" w:after="0" w:line="240" w:lineRule="auto"/>
              <w:jc w:val="left"/>
              <w:rPr>
                <w:rFonts w:eastAsia="Times New Roman" w:cs="Calibri"/>
                <w:b/>
                <w:color w:val="000000"/>
                <w:sz w:val="20"/>
                <w:szCs w:val="20"/>
                <w:lang w:val="sr-Latn-RS" w:eastAsia="en-US"/>
              </w:rPr>
            </w:pP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05AB821C" w14:textId="77777777" w:rsidR="006612D6" w:rsidRPr="006612D6" w:rsidRDefault="006612D6" w:rsidP="006612D6">
            <w:pPr>
              <w:spacing w:before="0" w:after="0" w:line="240" w:lineRule="auto"/>
              <w:jc w:val="left"/>
              <w:rPr>
                <w:rFonts w:eastAsia="Times New Roman" w:cs="Calibri"/>
                <w:sz w:val="20"/>
                <w:szCs w:val="20"/>
                <w:lang w:val="sr-Latn-RS" w:eastAsia="en-US"/>
              </w:rPr>
            </w:pPr>
          </w:p>
        </w:tc>
        <w:tc>
          <w:tcPr>
            <w:tcW w:w="2689" w:type="dxa"/>
            <w:tcBorders>
              <w:top w:val="single" w:sz="4" w:space="0" w:color="0070C0"/>
              <w:left w:val="single" w:sz="4" w:space="0" w:color="0070C0"/>
              <w:bottom w:val="single" w:sz="4" w:space="0" w:color="0070C0"/>
              <w:right w:val="single" w:sz="4" w:space="0" w:color="0070C0"/>
            </w:tcBorders>
          </w:tcPr>
          <w:p w14:paraId="1FAB318F" w14:textId="77777777" w:rsidR="006612D6" w:rsidRPr="006612D6" w:rsidRDefault="006612D6" w:rsidP="006612D6">
            <w:pPr>
              <w:spacing w:before="0" w:after="0" w:line="240" w:lineRule="auto"/>
              <w:contextualSpacing/>
              <w:jc w:val="left"/>
              <w:rPr>
                <w:rFonts w:cs="Calibri"/>
                <w:sz w:val="20"/>
                <w:szCs w:val="20"/>
                <w:lang w:val="sr-Latn-RS" w:eastAsia="en-US"/>
              </w:rPr>
            </w:pPr>
            <w:r w:rsidRPr="006612D6">
              <w:rPr>
                <w:rFonts w:cs="Calibri"/>
                <w:sz w:val="20"/>
                <w:szCs w:val="20"/>
                <w:lang w:val="sr-Latn-RS" w:eastAsia="en-US"/>
              </w:rPr>
              <w:t>Ukupna brojnost kopepoda</w:t>
            </w:r>
          </w:p>
          <w:p w14:paraId="0598F612" w14:textId="77777777" w:rsidR="006612D6" w:rsidRPr="006612D6" w:rsidRDefault="006612D6" w:rsidP="006612D6">
            <w:pPr>
              <w:spacing w:before="0" w:after="0" w:line="240" w:lineRule="auto"/>
              <w:contextualSpacing/>
              <w:jc w:val="left"/>
              <w:rPr>
                <w:rFonts w:cs="Calibri"/>
                <w:sz w:val="20"/>
                <w:szCs w:val="20"/>
                <w:lang w:val="sr-Latn-RS" w:eastAsia="en-US"/>
              </w:rPr>
            </w:pPr>
          </w:p>
        </w:tc>
        <w:tc>
          <w:tcPr>
            <w:tcW w:w="3257" w:type="dxa"/>
            <w:tcBorders>
              <w:top w:val="single" w:sz="4" w:space="0" w:color="0070C0"/>
              <w:left w:val="single" w:sz="4" w:space="0" w:color="0070C0"/>
              <w:bottom w:val="single" w:sz="4" w:space="0" w:color="0070C0"/>
              <w:right w:val="single" w:sz="4" w:space="0" w:color="0070C0"/>
            </w:tcBorders>
            <w:hideMark/>
          </w:tcPr>
          <w:p w14:paraId="5824D014" w14:textId="7346A199"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Vrijednosti u okviru opsega višegodišnjih vrijednosti (</w:t>
            </w:r>
            <w:r w:rsidR="00E429D2">
              <w:rPr>
                <w:rFonts w:cs="Calibri"/>
                <w:color w:val="000000"/>
                <w:sz w:val="20"/>
                <w:szCs w:val="20"/>
                <w:lang w:val="sr-Latn-RS" w:eastAsia="en-US"/>
              </w:rPr>
              <w:t xml:space="preserve">unutar </w:t>
            </w:r>
            <w:r w:rsidRPr="006612D6">
              <w:rPr>
                <w:rFonts w:cs="Calibri"/>
                <w:color w:val="000000"/>
                <w:sz w:val="20"/>
                <w:szCs w:val="20"/>
                <w:lang w:val="sr-Latn-RS" w:eastAsia="en-US"/>
              </w:rPr>
              <w:t xml:space="preserve"> prirodno</w:t>
            </w:r>
            <w:r w:rsidR="00E429D2">
              <w:rPr>
                <w:rFonts w:cs="Calibri"/>
                <w:color w:val="000000"/>
                <w:sz w:val="20"/>
                <w:szCs w:val="20"/>
                <w:lang w:val="sr-Latn-RS" w:eastAsia="en-US"/>
              </w:rPr>
              <w:t>g raspona</w:t>
            </w:r>
            <w:r w:rsidRPr="006612D6">
              <w:rPr>
                <w:rFonts w:cs="Calibri"/>
                <w:color w:val="000000"/>
                <w:sz w:val="20"/>
                <w:szCs w:val="20"/>
                <w:lang w:val="sr-Latn-RS" w:eastAsia="en-US"/>
              </w:rPr>
              <w:t>)</w:t>
            </w:r>
            <w:r w:rsidR="00E429D2">
              <w:rPr>
                <w:rFonts w:cs="Calibri"/>
                <w:color w:val="000000"/>
                <w:sz w:val="20"/>
                <w:szCs w:val="20"/>
                <w:lang w:val="sr-Latn-RS" w:eastAsia="en-US"/>
              </w:rPr>
              <w:t>.</w:t>
            </w:r>
          </w:p>
          <w:p w14:paraId="174F6A4E" w14:textId="779D9413"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Trend tokom godina</w:t>
            </w:r>
            <w:r w:rsidR="00E429D2">
              <w:rPr>
                <w:rFonts w:cs="Calibri"/>
                <w:color w:val="000000"/>
                <w:sz w:val="20"/>
                <w:szCs w:val="20"/>
                <w:lang w:val="sr-Latn-RS" w:eastAsia="en-US"/>
              </w:rPr>
              <w:t>.</w:t>
            </w:r>
          </w:p>
        </w:tc>
      </w:tr>
      <w:tr w:rsidR="006612D6" w:rsidRPr="006612D6" w14:paraId="44A45A48" w14:textId="77777777" w:rsidTr="00B52DD2">
        <w:tc>
          <w:tcPr>
            <w:tcW w:w="1695" w:type="dxa"/>
            <w:vMerge/>
            <w:tcBorders>
              <w:top w:val="single" w:sz="4" w:space="0" w:color="FFFFFF"/>
              <w:left w:val="single" w:sz="4" w:space="0" w:color="0070C0"/>
              <w:bottom w:val="single" w:sz="4" w:space="0" w:color="0070C0"/>
              <w:right w:val="single" w:sz="4" w:space="0" w:color="0070C0"/>
            </w:tcBorders>
            <w:vAlign w:val="center"/>
            <w:hideMark/>
          </w:tcPr>
          <w:p w14:paraId="1A52A054" w14:textId="77777777" w:rsidR="006612D6" w:rsidRPr="006612D6" w:rsidRDefault="006612D6" w:rsidP="006612D6">
            <w:pPr>
              <w:spacing w:before="0" w:after="0" w:line="240" w:lineRule="auto"/>
              <w:jc w:val="left"/>
              <w:rPr>
                <w:rFonts w:eastAsia="Times New Roman" w:cs="Calibri"/>
                <w:b/>
                <w:color w:val="000000"/>
                <w:sz w:val="20"/>
                <w:szCs w:val="20"/>
                <w:lang w:val="sr-Latn-RS" w:eastAsia="en-US"/>
              </w:rPr>
            </w:pP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6EDD645F" w14:textId="77777777" w:rsidR="006612D6" w:rsidRPr="006612D6" w:rsidRDefault="006612D6" w:rsidP="006612D6">
            <w:pPr>
              <w:spacing w:before="0" w:after="0" w:line="240" w:lineRule="auto"/>
              <w:jc w:val="left"/>
              <w:rPr>
                <w:rFonts w:eastAsia="Times New Roman" w:cs="Calibri"/>
                <w:sz w:val="20"/>
                <w:szCs w:val="20"/>
                <w:lang w:val="sr-Latn-RS" w:eastAsia="en-US"/>
              </w:rPr>
            </w:pPr>
          </w:p>
        </w:tc>
        <w:tc>
          <w:tcPr>
            <w:tcW w:w="2689" w:type="dxa"/>
            <w:tcBorders>
              <w:top w:val="single" w:sz="4" w:space="0" w:color="0070C0"/>
              <w:left w:val="single" w:sz="4" w:space="0" w:color="0070C0"/>
              <w:bottom w:val="single" w:sz="4" w:space="0" w:color="0070C0"/>
              <w:right w:val="single" w:sz="4" w:space="0" w:color="0070C0"/>
            </w:tcBorders>
            <w:hideMark/>
          </w:tcPr>
          <w:p w14:paraId="3E6070A5" w14:textId="77777777" w:rsidR="006612D6" w:rsidRPr="006612D6" w:rsidRDefault="006612D6" w:rsidP="006612D6">
            <w:pPr>
              <w:spacing w:before="0" w:after="0" w:line="240" w:lineRule="auto"/>
              <w:contextualSpacing/>
              <w:jc w:val="left"/>
              <w:rPr>
                <w:rFonts w:cs="Calibri"/>
                <w:i/>
                <w:sz w:val="20"/>
                <w:szCs w:val="20"/>
                <w:lang w:val="sr-Latn-RS" w:eastAsia="en-US"/>
              </w:rPr>
            </w:pPr>
            <w:r w:rsidRPr="006612D6">
              <w:rPr>
                <w:rFonts w:cs="Calibri"/>
                <w:sz w:val="20"/>
                <w:szCs w:val="20"/>
                <w:lang w:val="sr-Latn-RS" w:eastAsia="en-US"/>
              </w:rPr>
              <w:t>Sastav vrsta i indeksi diverziteta</w:t>
            </w:r>
          </w:p>
        </w:tc>
        <w:tc>
          <w:tcPr>
            <w:tcW w:w="3257" w:type="dxa"/>
            <w:tcBorders>
              <w:top w:val="single" w:sz="4" w:space="0" w:color="0070C0"/>
              <w:left w:val="single" w:sz="4" w:space="0" w:color="0070C0"/>
              <w:bottom w:val="single" w:sz="4" w:space="0" w:color="0070C0"/>
              <w:right w:val="single" w:sz="4" w:space="0" w:color="0070C0"/>
            </w:tcBorders>
            <w:hideMark/>
          </w:tcPr>
          <w:p w14:paraId="47DF2F5E" w14:textId="77777777" w:rsidR="00E429D2" w:rsidRDefault="006612D6" w:rsidP="00E429D2">
            <w:pPr>
              <w:autoSpaceDE w:val="0"/>
              <w:autoSpaceDN w:val="0"/>
              <w:adjustRightInd w:val="0"/>
              <w:spacing w:before="0" w:after="0" w:line="240" w:lineRule="auto"/>
              <w:jc w:val="left"/>
              <w:rPr>
                <w:rFonts w:asciiTheme="minorHAnsi" w:hAnsiTheme="minorHAnsi" w:cstheme="minorHAnsi"/>
                <w:iCs/>
                <w:sz w:val="20"/>
                <w:szCs w:val="20"/>
              </w:rPr>
            </w:pPr>
            <w:r w:rsidRPr="006612D6">
              <w:rPr>
                <w:rFonts w:cs="Calibri"/>
                <w:color w:val="000000"/>
                <w:sz w:val="20"/>
                <w:szCs w:val="20"/>
                <w:lang w:val="sr-Latn-RS" w:eastAsia="en-US"/>
              </w:rPr>
              <w:t>Vrijednosti u okviru opsega višegodišnjih vrijednosti (</w:t>
            </w:r>
            <w:r w:rsidR="00E429D2">
              <w:rPr>
                <w:rFonts w:cs="Calibri"/>
                <w:color w:val="000000"/>
                <w:sz w:val="20"/>
                <w:szCs w:val="20"/>
                <w:lang w:val="sr-Latn-RS" w:eastAsia="en-US"/>
              </w:rPr>
              <w:t>unutar</w:t>
            </w:r>
            <w:r w:rsidR="00E429D2" w:rsidRPr="00E429D2">
              <w:rPr>
                <w:rFonts w:asciiTheme="minorHAnsi" w:hAnsiTheme="minorHAnsi" w:cstheme="minorHAnsi"/>
                <w:i/>
                <w:iCs/>
                <w:sz w:val="20"/>
                <w:szCs w:val="20"/>
              </w:rPr>
              <w:t xml:space="preserve"> </w:t>
            </w:r>
            <w:r w:rsidR="00E429D2" w:rsidRPr="00E429D2">
              <w:rPr>
                <w:rFonts w:asciiTheme="minorHAnsi" w:hAnsiTheme="minorHAnsi" w:cstheme="minorHAnsi"/>
                <w:iCs/>
                <w:sz w:val="20"/>
                <w:szCs w:val="20"/>
              </w:rPr>
              <w:t>prirodnog raspona</w:t>
            </w:r>
            <w:r w:rsidR="00E429D2">
              <w:rPr>
                <w:rFonts w:asciiTheme="minorHAnsi" w:hAnsiTheme="minorHAnsi" w:cstheme="minorHAnsi"/>
                <w:iCs/>
                <w:sz w:val="20"/>
                <w:szCs w:val="20"/>
              </w:rPr>
              <w:t xml:space="preserve">). </w:t>
            </w:r>
          </w:p>
          <w:p w14:paraId="48501E39" w14:textId="16B5648D" w:rsidR="006612D6" w:rsidRPr="00E429D2" w:rsidRDefault="006612D6" w:rsidP="00E429D2">
            <w:pPr>
              <w:autoSpaceDE w:val="0"/>
              <w:autoSpaceDN w:val="0"/>
              <w:adjustRightInd w:val="0"/>
              <w:spacing w:before="0" w:after="0" w:line="240" w:lineRule="auto"/>
              <w:jc w:val="left"/>
              <w:rPr>
                <w:rFonts w:asciiTheme="minorHAnsi" w:hAnsiTheme="minorHAnsi" w:cstheme="minorHAnsi"/>
                <w:iCs/>
                <w:sz w:val="20"/>
                <w:szCs w:val="20"/>
              </w:rPr>
            </w:pPr>
            <w:r w:rsidRPr="006612D6">
              <w:rPr>
                <w:rFonts w:cs="Calibri"/>
                <w:color w:val="000000"/>
                <w:sz w:val="20"/>
                <w:szCs w:val="20"/>
                <w:lang w:val="sr-Latn-RS" w:eastAsia="en-US"/>
              </w:rPr>
              <w:t>Trend tokom godina</w:t>
            </w:r>
            <w:r w:rsidR="00E429D2">
              <w:rPr>
                <w:rFonts w:cs="Calibri"/>
                <w:color w:val="000000"/>
                <w:sz w:val="20"/>
                <w:szCs w:val="20"/>
                <w:lang w:val="sr-Latn-RS" w:eastAsia="en-US"/>
              </w:rPr>
              <w:t>.</w:t>
            </w:r>
          </w:p>
        </w:tc>
      </w:tr>
      <w:tr w:rsidR="006612D6" w:rsidRPr="006612D6" w14:paraId="217E00A2" w14:textId="77777777" w:rsidTr="00B52DD2">
        <w:tc>
          <w:tcPr>
            <w:tcW w:w="1695" w:type="dxa"/>
            <w:vMerge/>
            <w:tcBorders>
              <w:top w:val="single" w:sz="4" w:space="0" w:color="FFFFFF"/>
              <w:left w:val="single" w:sz="4" w:space="0" w:color="0070C0"/>
              <w:bottom w:val="single" w:sz="4" w:space="0" w:color="0070C0"/>
              <w:right w:val="single" w:sz="4" w:space="0" w:color="0070C0"/>
            </w:tcBorders>
            <w:vAlign w:val="center"/>
            <w:hideMark/>
          </w:tcPr>
          <w:p w14:paraId="7028535F" w14:textId="77777777" w:rsidR="006612D6" w:rsidRPr="006612D6" w:rsidRDefault="006612D6" w:rsidP="006612D6">
            <w:pPr>
              <w:spacing w:before="0" w:after="0" w:line="240" w:lineRule="auto"/>
              <w:jc w:val="left"/>
              <w:rPr>
                <w:rFonts w:eastAsia="Times New Roman" w:cs="Calibri"/>
                <w:b/>
                <w:color w:val="000000"/>
                <w:sz w:val="20"/>
                <w:szCs w:val="20"/>
                <w:lang w:val="sr-Latn-RS" w:eastAsia="en-US"/>
              </w:rPr>
            </w:pPr>
          </w:p>
        </w:tc>
        <w:tc>
          <w:tcPr>
            <w:tcW w:w="1419" w:type="dxa"/>
            <w:vMerge w:val="restart"/>
            <w:tcBorders>
              <w:top w:val="single" w:sz="4" w:space="0" w:color="0070C0"/>
              <w:left w:val="single" w:sz="4" w:space="0" w:color="0070C0"/>
              <w:bottom w:val="single" w:sz="4" w:space="0" w:color="0070C0"/>
              <w:right w:val="single" w:sz="4" w:space="0" w:color="0070C0"/>
            </w:tcBorders>
            <w:hideMark/>
          </w:tcPr>
          <w:p w14:paraId="56134DD5"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Ukupan</w:t>
            </w:r>
          </w:p>
          <w:p w14:paraId="3D9DDAFE"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ihtioplankton</w:t>
            </w:r>
          </w:p>
        </w:tc>
        <w:tc>
          <w:tcPr>
            <w:tcW w:w="2689" w:type="dxa"/>
            <w:tcBorders>
              <w:top w:val="single" w:sz="4" w:space="0" w:color="0070C0"/>
              <w:left w:val="single" w:sz="4" w:space="0" w:color="0070C0"/>
              <w:bottom w:val="single" w:sz="4" w:space="0" w:color="0070C0"/>
              <w:right w:val="single" w:sz="4" w:space="0" w:color="0070C0"/>
            </w:tcBorders>
            <w:hideMark/>
          </w:tcPr>
          <w:p w14:paraId="6BE70A5A"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Abundanca (N/m</w:t>
            </w:r>
            <w:r w:rsidRPr="006612D6">
              <w:rPr>
                <w:rFonts w:cs="Calibri"/>
                <w:sz w:val="20"/>
                <w:szCs w:val="20"/>
                <w:vertAlign w:val="superscript"/>
                <w:lang w:val="sr-Latn-RS" w:eastAsia="en-US"/>
              </w:rPr>
              <w:t>2</w:t>
            </w:r>
            <w:r w:rsidRPr="006612D6">
              <w:rPr>
                <w:rFonts w:cs="Calibri"/>
                <w:sz w:val="20"/>
                <w:szCs w:val="20"/>
                <w:lang w:val="sr-Latn-RS" w:eastAsia="en-US"/>
              </w:rPr>
              <w:t xml:space="preserve"> površine mora)</w:t>
            </w:r>
          </w:p>
        </w:tc>
        <w:tc>
          <w:tcPr>
            <w:tcW w:w="3257" w:type="dxa"/>
            <w:tcBorders>
              <w:top w:val="single" w:sz="4" w:space="0" w:color="0070C0"/>
              <w:left w:val="single" w:sz="4" w:space="0" w:color="0070C0"/>
              <w:bottom w:val="single" w:sz="4" w:space="0" w:color="0070C0"/>
              <w:right w:val="single" w:sz="4" w:space="0" w:color="0070C0"/>
            </w:tcBorders>
            <w:hideMark/>
          </w:tcPr>
          <w:p w14:paraId="198514DC" w14:textId="77777777" w:rsidR="006612D6" w:rsidRPr="006612D6" w:rsidRDefault="006612D6" w:rsidP="006612D6">
            <w:pPr>
              <w:autoSpaceDE w:val="0"/>
              <w:autoSpaceDN w:val="0"/>
              <w:adjustRightInd w:val="0"/>
              <w:spacing w:before="0" w:after="0" w:line="240" w:lineRule="auto"/>
              <w:jc w:val="left"/>
              <w:rPr>
                <w:rFonts w:cs="Calibri"/>
                <w:sz w:val="20"/>
                <w:szCs w:val="20"/>
                <w:lang w:val="sr-Latn-RS" w:eastAsia="en-US"/>
              </w:rPr>
            </w:pPr>
            <w:r w:rsidRPr="006612D6">
              <w:rPr>
                <w:rFonts w:cs="Calibri"/>
                <w:sz w:val="20"/>
                <w:szCs w:val="20"/>
                <w:lang w:val="sr-Latn-RS" w:eastAsia="en-US"/>
              </w:rPr>
              <w:t>Intenzitet mriješćenja od 30 jaja/larvi po m</w:t>
            </w:r>
            <w:r w:rsidRPr="006612D6">
              <w:rPr>
                <w:rFonts w:cs="Calibri"/>
                <w:sz w:val="20"/>
                <w:szCs w:val="20"/>
                <w:vertAlign w:val="superscript"/>
                <w:lang w:val="sr-Latn-RS" w:eastAsia="en-US"/>
              </w:rPr>
              <w:t>2</w:t>
            </w:r>
            <w:r w:rsidRPr="006612D6">
              <w:rPr>
                <w:rFonts w:cs="Calibri"/>
                <w:sz w:val="20"/>
                <w:szCs w:val="20"/>
                <w:lang w:val="sr-Latn-RS" w:eastAsia="en-US"/>
              </w:rPr>
              <w:t xml:space="preserve"> morske površine</w:t>
            </w:r>
          </w:p>
        </w:tc>
      </w:tr>
      <w:tr w:rsidR="006612D6" w:rsidRPr="006612D6" w14:paraId="723C04F4" w14:textId="77777777" w:rsidTr="00B52DD2">
        <w:tc>
          <w:tcPr>
            <w:tcW w:w="1695" w:type="dxa"/>
            <w:vMerge/>
            <w:tcBorders>
              <w:top w:val="single" w:sz="4" w:space="0" w:color="FFFFFF"/>
              <w:left w:val="single" w:sz="4" w:space="0" w:color="0070C0"/>
              <w:bottom w:val="single" w:sz="4" w:space="0" w:color="0070C0"/>
              <w:right w:val="single" w:sz="4" w:space="0" w:color="0070C0"/>
            </w:tcBorders>
            <w:vAlign w:val="center"/>
            <w:hideMark/>
          </w:tcPr>
          <w:p w14:paraId="79EB0FFA" w14:textId="77777777" w:rsidR="006612D6" w:rsidRPr="006612D6" w:rsidRDefault="006612D6" w:rsidP="006612D6">
            <w:pPr>
              <w:spacing w:before="0" w:after="0" w:line="240" w:lineRule="auto"/>
              <w:jc w:val="left"/>
              <w:rPr>
                <w:rFonts w:eastAsia="Times New Roman" w:cs="Calibri"/>
                <w:b/>
                <w:color w:val="000000"/>
                <w:sz w:val="20"/>
                <w:szCs w:val="20"/>
                <w:lang w:val="sr-Latn-RS" w:eastAsia="en-US"/>
              </w:rPr>
            </w:pP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49D0F4D0" w14:textId="77777777" w:rsidR="006612D6" w:rsidRPr="006612D6" w:rsidRDefault="006612D6" w:rsidP="006612D6">
            <w:pPr>
              <w:spacing w:before="0" w:after="0" w:line="240" w:lineRule="auto"/>
              <w:jc w:val="left"/>
              <w:rPr>
                <w:rFonts w:eastAsia="Times New Roman" w:cs="Calibri"/>
                <w:sz w:val="20"/>
                <w:szCs w:val="20"/>
                <w:lang w:val="sr-Latn-RS" w:eastAsia="en-US"/>
              </w:rPr>
            </w:pPr>
          </w:p>
        </w:tc>
        <w:tc>
          <w:tcPr>
            <w:tcW w:w="2689" w:type="dxa"/>
            <w:tcBorders>
              <w:top w:val="single" w:sz="4" w:space="0" w:color="0070C0"/>
              <w:left w:val="single" w:sz="4" w:space="0" w:color="0070C0"/>
              <w:bottom w:val="single" w:sz="4" w:space="0" w:color="0070C0"/>
              <w:right w:val="single" w:sz="4" w:space="0" w:color="0070C0"/>
            </w:tcBorders>
            <w:hideMark/>
          </w:tcPr>
          <w:p w14:paraId="704CA74D"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Prostorna distribucija</w:t>
            </w:r>
          </w:p>
        </w:tc>
        <w:tc>
          <w:tcPr>
            <w:tcW w:w="3257" w:type="dxa"/>
            <w:tcBorders>
              <w:top w:val="single" w:sz="4" w:space="0" w:color="0070C0"/>
              <w:left w:val="single" w:sz="4" w:space="0" w:color="0070C0"/>
              <w:bottom w:val="single" w:sz="4" w:space="0" w:color="0070C0"/>
              <w:right w:val="single" w:sz="4" w:space="0" w:color="0070C0"/>
            </w:tcBorders>
            <w:hideMark/>
          </w:tcPr>
          <w:p w14:paraId="47BB29B6"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sz w:val="20"/>
                <w:szCs w:val="20"/>
                <w:lang w:val="sr-Latn-RS" w:eastAsia="en-US"/>
              </w:rPr>
              <w:t>Površina zone mriješćenja u odnosu na površinu istraživanog područja (u km</w:t>
            </w:r>
            <w:r w:rsidRPr="006612D6">
              <w:rPr>
                <w:rFonts w:cs="Calibri"/>
                <w:sz w:val="20"/>
                <w:szCs w:val="20"/>
                <w:vertAlign w:val="superscript"/>
                <w:lang w:val="sr-Latn-RS" w:eastAsia="en-US"/>
              </w:rPr>
              <w:t>2</w:t>
            </w:r>
            <w:r w:rsidRPr="006612D6">
              <w:rPr>
                <w:rFonts w:cs="Calibri"/>
                <w:sz w:val="20"/>
                <w:szCs w:val="20"/>
                <w:lang w:val="sr-Latn-RS" w:eastAsia="en-US"/>
              </w:rPr>
              <w:t xml:space="preserve">). </w:t>
            </w:r>
          </w:p>
        </w:tc>
      </w:tr>
      <w:tr w:rsidR="006612D6" w:rsidRPr="006612D6" w14:paraId="4CAF183A" w14:textId="77777777" w:rsidTr="00B52DD2">
        <w:tc>
          <w:tcPr>
            <w:tcW w:w="1695" w:type="dxa"/>
            <w:vMerge/>
            <w:tcBorders>
              <w:top w:val="single" w:sz="4" w:space="0" w:color="FFFFFF"/>
              <w:left w:val="single" w:sz="4" w:space="0" w:color="0070C0"/>
              <w:bottom w:val="single" w:sz="4" w:space="0" w:color="0070C0"/>
              <w:right w:val="single" w:sz="4" w:space="0" w:color="0070C0"/>
            </w:tcBorders>
            <w:vAlign w:val="center"/>
            <w:hideMark/>
          </w:tcPr>
          <w:p w14:paraId="0396FCAE" w14:textId="77777777" w:rsidR="006612D6" w:rsidRPr="006612D6" w:rsidRDefault="006612D6" w:rsidP="006612D6">
            <w:pPr>
              <w:spacing w:before="0" w:after="0" w:line="240" w:lineRule="auto"/>
              <w:jc w:val="left"/>
              <w:rPr>
                <w:rFonts w:eastAsia="Times New Roman" w:cs="Calibri"/>
                <w:b/>
                <w:color w:val="000000"/>
                <w:sz w:val="20"/>
                <w:szCs w:val="20"/>
                <w:lang w:val="sr-Latn-RS" w:eastAsia="en-US"/>
              </w:rPr>
            </w:pP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52685263" w14:textId="77777777" w:rsidR="006612D6" w:rsidRPr="006612D6" w:rsidRDefault="006612D6" w:rsidP="006612D6">
            <w:pPr>
              <w:spacing w:before="0" w:after="0" w:line="240" w:lineRule="auto"/>
              <w:jc w:val="left"/>
              <w:rPr>
                <w:rFonts w:eastAsia="Times New Roman" w:cs="Calibri"/>
                <w:sz w:val="20"/>
                <w:szCs w:val="20"/>
                <w:lang w:val="sr-Latn-RS" w:eastAsia="en-US"/>
              </w:rPr>
            </w:pPr>
          </w:p>
        </w:tc>
        <w:tc>
          <w:tcPr>
            <w:tcW w:w="2689" w:type="dxa"/>
            <w:tcBorders>
              <w:top w:val="single" w:sz="4" w:space="0" w:color="0070C0"/>
              <w:left w:val="single" w:sz="4" w:space="0" w:color="0070C0"/>
              <w:bottom w:val="single" w:sz="4" w:space="0" w:color="0070C0"/>
              <w:right w:val="single" w:sz="4" w:space="0" w:color="0070C0"/>
            </w:tcBorders>
            <w:hideMark/>
          </w:tcPr>
          <w:p w14:paraId="072D7C21"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Indeksi diverziteta</w:t>
            </w:r>
          </w:p>
        </w:tc>
        <w:tc>
          <w:tcPr>
            <w:tcW w:w="3257" w:type="dxa"/>
            <w:tcBorders>
              <w:top w:val="single" w:sz="4" w:space="0" w:color="0070C0"/>
              <w:left w:val="single" w:sz="4" w:space="0" w:color="0070C0"/>
              <w:bottom w:val="single" w:sz="4" w:space="0" w:color="0070C0"/>
              <w:right w:val="single" w:sz="4" w:space="0" w:color="0070C0"/>
            </w:tcBorders>
            <w:hideMark/>
          </w:tcPr>
          <w:p w14:paraId="76FFC17F"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sz w:val="20"/>
                <w:szCs w:val="20"/>
                <w:lang w:val="sr-Latn-RS" w:eastAsia="en-US"/>
              </w:rPr>
              <w:t>Promjene tokom godina, trend</w:t>
            </w:r>
          </w:p>
        </w:tc>
      </w:tr>
      <w:tr w:rsidR="006612D6" w:rsidRPr="006612D6" w14:paraId="14E0A31F" w14:textId="77777777" w:rsidTr="00B52DD2">
        <w:tc>
          <w:tcPr>
            <w:tcW w:w="1695" w:type="dxa"/>
            <w:vMerge/>
            <w:tcBorders>
              <w:top w:val="single" w:sz="4" w:space="0" w:color="FFFFFF"/>
              <w:left w:val="single" w:sz="4" w:space="0" w:color="0070C0"/>
              <w:bottom w:val="single" w:sz="4" w:space="0" w:color="0070C0"/>
              <w:right w:val="single" w:sz="4" w:space="0" w:color="0070C0"/>
            </w:tcBorders>
            <w:vAlign w:val="center"/>
            <w:hideMark/>
          </w:tcPr>
          <w:p w14:paraId="744142E8" w14:textId="77777777" w:rsidR="006612D6" w:rsidRPr="006612D6" w:rsidRDefault="006612D6" w:rsidP="006612D6">
            <w:pPr>
              <w:spacing w:before="0" w:after="0" w:line="240" w:lineRule="auto"/>
              <w:jc w:val="left"/>
              <w:rPr>
                <w:rFonts w:eastAsia="Times New Roman" w:cs="Calibri"/>
                <w:b/>
                <w:color w:val="000000"/>
                <w:sz w:val="20"/>
                <w:szCs w:val="20"/>
                <w:lang w:val="sr-Latn-RS" w:eastAsia="en-US"/>
              </w:rPr>
            </w:pPr>
          </w:p>
        </w:tc>
        <w:tc>
          <w:tcPr>
            <w:tcW w:w="1419" w:type="dxa"/>
            <w:vMerge w:val="restart"/>
            <w:tcBorders>
              <w:top w:val="single" w:sz="4" w:space="0" w:color="0070C0"/>
              <w:left w:val="single" w:sz="4" w:space="0" w:color="0070C0"/>
              <w:bottom w:val="single" w:sz="4" w:space="0" w:color="0070C0"/>
              <w:right w:val="single" w:sz="4" w:space="0" w:color="0070C0"/>
            </w:tcBorders>
            <w:hideMark/>
          </w:tcPr>
          <w:p w14:paraId="06B0B652"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Ihtioplankton</w:t>
            </w:r>
          </w:p>
          <w:p w14:paraId="444F1AF7"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Jaja i larve inćuna</w:t>
            </w:r>
          </w:p>
        </w:tc>
        <w:tc>
          <w:tcPr>
            <w:tcW w:w="2689" w:type="dxa"/>
            <w:tcBorders>
              <w:top w:val="single" w:sz="4" w:space="0" w:color="0070C0"/>
              <w:left w:val="single" w:sz="4" w:space="0" w:color="0070C0"/>
              <w:bottom w:val="single" w:sz="4" w:space="0" w:color="0070C0"/>
              <w:right w:val="single" w:sz="4" w:space="0" w:color="0070C0"/>
            </w:tcBorders>
            <w:hideMark/>
          </w:tcPr>
          <w:p w14:paraId="29CA51E5"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Abundanca (N/m</w:t>
            </w:r>
            <w:r w:rsidRPr="006612D6">
              <w:rPr>
                <w:rFonts w:cs="Calibri"/>
                <w:sz w:val="20"/>
                <w:szCs w:val="20"/>
                <w:vertAlign w:val="superscript"/>
                <w:lang w:val="sr-Latn-RS" w:eastAsia="en-US"/>
              </w:rPr>
              <w:t xml:space="preserve">2 </w:t>
            </w:r>
            <w:r w:rsidRPr="006612D6">
              <w:rPr>
                <w:rFonts w:cs="Calibri"/>
                <w:sz w:val="20"/>
                <w:szCs w:val="20"/>
                <w:lang w:val="sr-Latn-RS" w:eastAsia="en-US"/>
              </w:rPr>
              <w:t>površine mora)</w:t>
            </w:r>
          </w:p>
        </w:tc>
        <w:tc>
          <w:tcPr>
            <w:tcW w:w="3257" w:type="dxa"/>
            <w:tcBorders>
              <w:top w:val="single" w:sz="4" w:space="0" w:color="0070C0"/>
              <w:left w:val="single" w:sz="4" w:space="0" w:color="0070C0"/>
              <w:bottom w:val="single" w:sz="4" w:space="0" w:color="0070C0"/>
              <w:right w:val="single" w:sz="4" w:space="0" w:color="0070C0"/>
            </w:tcBorders>
            <w:hideMark/>
          </w:tcPr>
          <w:p w14:paraId="51B481B3"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Intenzitet mriješćenja od 30 jaja/larvi po m</w:t>
            </w:r>
            <w:r w:rsidRPr="006612D6">
              <w:rPr>
                <w:rFonts w:cs="Calibri"/>
                <w:sz w:val="20"/>
                <w:szCs w:val="20"/>
                <w:vertAlign w:val="superscript"/>
                <w:lang w:val="sr-Latn-RS" w:eastAsia="en-US"/>
              </w:rPr>
              <w:t>2</w:t>
            </w:r>
            <w:r w:rsidRPr="006612D6">
              <w:rPr>
                <w:rFonts w:cs="Calibri"/>
                <w:sz w:val="20"/>
                <w:szCs w:val="20"/>
                <w:lang w:val="sr-Latn-RS" w:eastAsia="en-US"/>
              </w:rPr>
              <w:t xml:space="preserve"> morske površine</w:t>
            </w:r>
          </w:p>
        </w:tc>
      </w:tr>
      <w:tr w:rsidR="006612D6" w:rsidRPr="006612D6" w14:paraId="77FCB2FF" w14:textId="77777777" w:rsidTr="00B52DD2">
        <w:tc>
          <w:tcPr>
            <w:tcW w:w="1695" w:type="dxa"/>
            <w:vMerge/>
            <w:tcBorders>
              <w:top w:val="single" w:sz="4" w:space="0" w:color="FFFFFF"/>
              <w:left w:val="single" w:sz="4" w:space="0" w:color="0070C0"/>
              <w:bottom w:val="single" w:sz="4" w:space="0" w:color="0070C0"/>
              <w:right w:val="single" w:sz="4" w:space="0" w:color="0070C0"/>
            </w:tcBorders>
            <w:vAlign w:val="center"/>
            <w:hideMark/>
          </w:tcPr>
          <w:p w14:paraId="08DE8FBE" w14:textId="77777777" w:rsidR="006612D6" w:rsidRPr="006612D6" w:rsidRDefault="006612D6" w:rsidP="006612D6">
            <w:pPr>
              <w:spacing w:before="0" w:after="0" w:line="240" w:lineRule="auto"/>
              <w:jc w:val="left"/>
              <w:rPr>
                <w:rFonts w:eastAsia="Times New Roman" w:cs="Calibri"/>
                <w:b/>
                <w:color w:val="000000"/>
                <w:sz w:val="20"/>
                <w:szCs w:val="20"/>
                <w:lang w:val="sr-Latn-RS" w:eastAsia="en-US"/>
              </w:rPr>
            </w:pP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5D3D1755" w14:textId="77777777" w:rsidR="006612D6" w:rsidRPr="006612D6" w:rsidRDefault="006612D6" w:rsidP="006612D6">
            <w:pPr>
              <w:spacing w:before="0" w:after="0" w:line="240" w:lineRule="auto"/>
              <w:jc w:val="left"/>
              <w:rPr>
                <w:rFonts w:eastAsia="Times New Roman" w:cs="Calibri"/>
                <w:sz w:val="20"/>
                <w:szCs w:val="20"/>
                <w:lang w:val="sr-Latn-RS" w:eastAsia="en-US"/>
              </w:rPr>
            </w:pPr>
          </w:p>
        </w:tc>
        <w:tc>
          <w:tcPr>
            <w:tcW w:w="2689" w:type="dxa"/>
            <w:tcBorders>
              <w:top w:val="single" w:sz="4" w:space="0" w:color="0070C0"/>
              <w:left w:val="single" w:sz="4" w:space="0" w:color="0070C0"/>
              <w:bottom w:val="single" w:sz="4" w:space="0" w:color="0070C0"/>
              <w:right w:val="single" w:sz="4" w:space="0" w:color="0070C0"/>
            </w:tcBorders>
            <w:hideMark/>
          </w:tcPr>
          <w:p w14:paraId="0BB4F146"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Prostorna distribucija</w:t>
            </w:r>
          </w:p>
        </w:tc>
        <w:tc>
          <w:tcPr>
            <w:tcW w:w="3257" w:type="dxa"/>
            <w:tcBorders>
              <w:top w:val="single" w:sz="4" w:space="0" w:color="0070C0"/>
              <w:left w:val="single" w:sz="4" w:space="0" w:color="0070C0"/>
              <w:bottom w:val="single" w:sz="4" w:space="0" w:color="0070C0"/>
              <w:right w:val="single" w:sz="4" w:space="0" w:color="0070C0"/>
            </w:tcBorders>
            <w:hideMark/>
          </w:tcPr>
          <w:p w14:paraId="3798B24B"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Intenzitet mriješćenja od 30 jaja/larvi po m</w:t>
            </w:r>
            <w:r w:rsidRPr="006612D6">
              <w:rPr>
                <w:rFonts w:cs="Calibri"/>
                <w:sz w:val="20"/>
                <w:szCs w:val="20"/>
                <w:vertAlign w:val="superscript"/>
                <w:lang w:val="sr-Latn-RS" w:eastAsia="en-US"/>
              </w:rPr>
              <w:t>2</w:t>
            </w:r>
            <w:r w:rsidRPr="006612D6">
              <w:rPr>
                <w:rFonts w:cs="Calibri"/>
                <w:sz w:val="20"/>
                <w:szCs w:val="20"/>
                <w:lang w:val="sr-Latn-RS" w:eastAsia="en-US"/>
              </w:rPr>
              <w:t xml:space="preserve"> morske površine. Trend tokom godina.</w:t>
            </w:r>
          </w:p>
        </w:tc>
      </w:tr>
    </w:tbl>
    <w:p w14:paraId="346BD2FA" w14:textId="23621365" w:rsidR="006612D6" w:rsidRPr="006A72D8" w:rsidRDefault="006A72D8" w:rsidP="006B75DD">
      <w:pPr>
        <w:spacing w:before="0" w:after="360" w:line="240" w:lineRule="auto"/>
        <w:contextualSpacing/>
        <w:rPr>
          <w:rFonts w:eastAsia="Calibri" w:cs="Calibri"/>
          <w:b/>
          <w:szCs w:val="22"/>
          <w:lang w:val="sr-Latn-RS" w:eastAsia="en-US"/>
        </w:rPr>
      </w:pPr>
      <w:r w:rsidRPr="006612D6">
        <w:rPr>
          <w:rFonts w:eastAsia="Calibri" w:cs="Calibri"/>
          <w:b/>
          <w:szCs w:val="22"/>
          <w:lang w:val="sr-Latn-RS" w:eastAsia="en-US"/>
        </w:rPr>
        <w:t xml:space="preserve">Napomena:  </w:t>
      </w:r>
      <w:r w:rsidRPr="006612D6">
        <w:rPr>
          <w:rFonts w:eastAsia="Calibri" w:cs="Calibri"/>
          <w:bCs/>
          <w:szCs w:val="22"/>
          <w:lang w:val="sr-Latn-RS" w:eastAsia="en-US"/>
        </w:rPr>
        <w:t xml:space="preserve">Procjena stanja fitoplantkona i zooplanktona odnosi se na područje Bokokotorskog zaliva i priobalnog dijela otvorenog mora, a ne cijelog otvorenog mora </w:t>
      </w:r>
      <w:r>
        <w:rPr>
          <w:rFonts w:eastAsia="Calibri" w:cs="Calibri"/>
          <w:bCs/>
          <w:szCs w:val="22"/>
          <w:lang w:val="sr-Latn-RS" w:eastAsia="en-US"/>
        </w:rPr>
        <w:t xml:space="preserve">teritorijalnih voda Crne Gore </w:t>
      </w:r>
      <w:r w:rsidRPr="006612D6">
        <w:rPr>
          <w:rFonts w:eastAsia="Calibri" w:cs="Calibri"/>
          <w:bCs/>
          <w:szCs w:val="22"/>
          <w:lang w:val="sr-Latn-RS" w:eastAsia="en-US"/>
        </w:rPr>
        <w:t>s obzirom da je na otvorenom moru sprovedeno samo jedno istraživanje.</w:t>
      </w:r>
      <w:r w:rsidRPr="006612D6">
        <w:rPr>
          <w:rFonts w:eastAsia="Calibri" w:cs="Calibri"/>
          <w:b/>
          <w:szCs w:val="22"/>
          <w:lang w:val="sr-Latn-RS" w:eastAsia="en-US"/>
        </w:rPr>
        <w:t xml:space="preserve"> </w:t>
      </w:r>
    </w:p>
    <w:p w14:paraId="475FF8CA" w14:textId="2D321EA1" w:rsidR="0040040B" w:rsidRPr="002515F7" w:rsidRDefault="006612D6" w:rsidP="00915515">
      <w:pPr>
        <w:pStyle w:val="Heading3"/>
        <w:rPr>
          <w:rFonts w:eastAsia="Calibri"/>
          <w:lang w:val="en-GB" w:eastAsia="en-US"/>
        </w:rPr>
      </w:pPr>
      <w:bookmarkStart w:id="368" w:name="_Toc83630980"/>
      <w:r w:rsidRPr="002515F7">
        <w:rPr>
          <w:rFonts w:eastAsia="Calibri"/>
          <w:lang w:val="en-GB" w:eastAsia="en-US"/>
        </w:rPr>
        <w:t>Postizanje GES-a</w:t>
      </w:r>
      <w:bookmarkEnd w:id="368"/>
      <w:r w:rsidRPr="002515F7">
        <w:rPr>
          <w:lang w:val="sr-Latn-RS"/>
        </w:rPr>
        <w:tab/>
      </w:r>
    </w:p>
    <w:p w14:paraId="4EE1FF53" w14:textId="2F17BF37" w:rsidR="0040040B" w:rsidRDefault="0040040B" w:rsidP="006612D6">
      <w:pPr>
        <w:tabs>
          <w:tab w:val="left" w:pos="2823"/>
        </w:tabs>
        <w:rPr>
          <w:lang w:val="sr-Latn-RS"/>
        </w:rPr>
      </w:pPr>
      <w:r w:rsidRPr="0040040B">
        <w:rPr>
          <w:lang w:val="sr-Latn-RS"/>
        </w:rPr>
        <w:t>Na temelju podataka za zajednicu fitoplanktona, zabilježena brojnost, prostorno-vremenska raspo</w:t>
      </w:r>
      <w:r w:rsidR="00C42757">
        <w:rPr>
          <w:lang w:val="sr-Latn-RS"/>
        </w:rPr>
        <w:t>stranjenost</w:t>
      </w:r>
      <w:r w:rsidRPr="0040040B">
        <w:rPr>
          <w:lang w:val="sr-Latn-RS"/>
        </w:rPr>
        <w:t xml:space="preserve"> kao i omjer grupa fitoplanktona procjenjuju se kao uobičajeni i u skladu s </w:t>
      </w:r>
      <w:r>
        <w:rPr>
          <w:lang w:val="sr-Latn-RS"/>
        </w:rPr>
        <w:t>uslovima sredine</w:t>
      </w:r>
      <w:r w:rsidRPr="0040040B">
        <w:rPr>
          <w:lang w:val="sr-Latn-RS"/>
        </w:rPr>
        <w:t>. Visok</w:t>
      </w:r>
      <w:r>
        <w:rPr>
          <w:lang w:val="sr-Latn-RS"/>
        </w:rPr>
        <w:t>i biodiverzitet</w:t>
      </w:r>
      <w:r w:rsidRPr="0040040B">
        <w:rPr>
          <w:lang w:val="sr-Latn-RS"/>
        </w:rPr>
        <w:t>, niska stopa pojavljivanja štetnih cv</w:t>
      </w:r>
      <w:r>
        <w:rPr>
          <w:lang w:val="sr-Latn-RS"/>
        </w:rPr>
        <w:t>atnji</w:t>
      </w:r>
      <w:r w:rsidRPr="0040040B">
        <w:rPr>
          <w:lang w:val="sr-Latn-RS"/>
        </w:rPr>
        <w:t>, kao i relativno niska koncentracija chl a (opisan</w:t>
      </w:r>
      <w:r>
        <w:rPr>
          <w:lang w:val="sr-Latn-RS"/>
        </w:rPr>
        <w:t>o</w:t>
      </w:r>
      <w:r w:rsidRPr="0040040B">
        <w:rPr>
          <w:lang w:val="sr-Latn-RS"/>
        </w:rPr>
        <w:t xml:space="preserve"> pod deskriptorom 5) ukazuju na to da antropogeni pritisci nisu </w:t>
      </w:r>
      <w:r>
        <w:rPr>
          <w:lang w:val="sr-Latn-RS"/>
        </w:rPr>
        <w:t xml:space="preserve">značajnije </w:t>
      </w:r>
      <w:r w:rsidRPr="0040040B">
        <w:rPr>
          <w:lang w:val="sr-Latn-RS"/>
        </w:rPr>
        <w:t xml:space="preserve">negativno utjecali na veličinu populacije dominantnih skupina </w:t>
      </w:r>
      <w:r w:rsidR="00C42757">
        <w:rPr>
          <w:lang w:val="sr-Latn-RS"/>
        </w:rPr>
        <w:t xml:space="preserve">fitoplanktona </w:t>
      </w:r>
      <w:r w:rsidRPr="0040040B">
        <w:rPr>
          <w:lang w:val="sr-Latn-RS"/>
        </w:rPr>
        <w:t>ili na nj</w:t>
      </w:r>
      <w:r w:rsidR="00C42757">
        <w:rPr>
          <w:lang w:val="sr-Latn-RS"/>
        </w:rPr>
        <w:t>ihov</w:t>
      </w:r>
      <w:r>
        <w:rPr>
          <w:lang w:val="sr-Latn-RS"/>
        </w:rPr>
        <w:t xml:space="preserve"> biodiverzitet</w:t>
      </w:r>
      <w:r w:rsidRPr="0040040B">
        <w:rPr>
          <w:lang w:val="sr-Latn-RS"/>
        </w:rPr>
        <w:t xml:space="preserve">, pa </w:t>
      </w:r>
      <w:r w:rsidR="00C42757">
        <w:rPr>
          <w:lang w:val="sr-Latn-RS"/>
        </w:rPr>
        <w:t>se smatra da je dobro stanje morske sredine u odnosu na fitoplankton postignuto.</w:t>
      </w:r>
    </w:p>
    <w:p w14:paraId="2C60B3F0" w14:textId="268E5369" w:rsidR="0040040B" w:rsidRDefault="00C42757" w:rsidP="006612D6">
      <w:pPr>
        <w:tabs>
          <w:tab w:val="left" w:pos="2823"/>
        </w:tabs>
        <w:rPr>
          <w:lang w:val="sr-Latn-RS"/>
        </w:rPr>
      </w:pPr>
      <w:r w:rsidRPr="00C42757">
        <w:rPr>
          <w:lang w:val="sr-Latn-RS"/>
        </w:rPr>
        <w:t xml:space="preserve">Na </w:t>
      </w:r>
      <w:r>
        <w:rPr>
          <w:lang w:val="sr-Latn-RS"/>
        </w:rPr>
        <w:t>osnovu</w:t>
      </w:r>
      <w:r w:rsidRPr="00C42757">
        <w:rPr>
          <w:lang w:val="sr-Latn-RS"/>
        </w:rPr>
        <w:t xml:space="preserve"> dostupnih podataka za zooplankton, moguće je procijeniti stanje u Bokokotorskom zal</w:t>
      </w:r>
      <w:r>
        <w:rPr>
          <w:lang w:val="sr-Latn-RS"/>
        </w:rPr>
        <w:t>ivu</w:t>
      </w:r>
      <w:r w:rsidRPr="00C42757">
        <w:rPr>
          <w:lang w:val="sr-Latn-RS"/>
        </w:rPr>
        <w:t>, ali ne i za obaln</w:t>
      </w:r>
      <w:r>
        <w:rPr>
          <w:lang w:val="sr-Latn-RS"/>
        </w:rPr>
        <w:t xml:space="preserve">i dio </w:t>
      </w:r>
      <w:r w:rsidRPr="00C42757">
        <w:rPr>
          <w:lang w:val="sr-Latn-RS"/>
        </w:rPr>
        <w:t>otvoreno</w:t>
      </w:r>
      <w:r>
        <w:rPr>
          <w:lang w:val="sr-Latn-RS"/>
        </w:rPr>
        <w:t>g</w:t>
      </w:r>
      <w:r w:rsidRPr="00C42757">
        <w:rPr>
          <w:lang w:val="sr-Latn-RS"/>
        </w:rPr>
        <w:t xml:space="preserve"> mor</w:t>
      </w:r>
      <w:r>
        <w:rPr>
          <w:lang w:val="sr-Latn-RS"/>
        </w:rPr>
        <w:t>a</w:t>
      </w:r>
      <w:r w:rsidRPr="00C42757">
        <w:rPr>
          <w:lang w:val="sr-Latn-RS"/>
        </w:rPr>
        <w:t xml:space="preserve"> zbog nedostatka podataka dugih vremenskih serija. Dostupni podaci o zooplanktonu za obalno-otvoreno more mogli bi biti dobra osnova za uspostavu dugoročnog </w:t>
      </w:r>
      <w:r>
        <w:rPr>
          <w:lang w:val="sr-Latn-RS"/>
        </w:rPr>
        <w:t xml:space="preserve">monitoring </w:t>
      </w:r>
      <w:r w:rsidRPr="00C42757">
        <w:rPr>
          <w:lang w:val="sr-Latn-RS"/>
        </w:rPr>
        <w:t xml:space="preserve">programa </w:t>
      </w:r>
      <w:r w:rsidR="00327213">
        <w:rPr>
          <w:lang w:val="sr-Latn-RS"/>
        </w:rPr>
        <w:t xml:space="preserve">i prikupljanja </w:t>
      </w:r>
      <w:r w:rsidRPr="00C42757">
        <w:rPr>
          <w:lang w:val="sr-Latn-RS"/>
        </w:rPr>
        <w:t>podataka radi pouzdanije procjene u sljedećem šestogodišnjem ciklusu procjene GES-a.</w:t>
      </w:r>
    </w:p>
    <w:p w14:paraId="3E9A5C5E" w14:textId="58ED8DAB" w:rsidR="006612D6" w:rsidRPr="006612D6" w:rsidRDefault="006612D6" w:rsidP="006612D6">
      <w:pPr>
        <w:tabs>
          <w:tab w:val="left" w:pos="2823"/>
        </w:tabs>
        <w:rPr>
          <w:lang w:val="sr-Latn-RS"/>
        </w:rPr>
      </w:pPr>
      <w:r w:rsidRPr="006612D6">
        <w:rPr>
          <w:lang w:val="sr-Latn-RS"/>
        </w:rPr>
        <w:t>Što se tiče ihtioplanktona, postojeći podaci pokazuju da je stanje diverziteta i abundance ukupnog ihtioplanktona bilo na stabilnom nivou tokom dvije istraživačke godine (2018 i 2019), dok istraživanja sprovedena tokom 2020. godine ukazuju na trend opadanja i diverziteta i abundance vrsta. Važno je napomenuti da je tokom 2020. godine analiziran veći broj pozicija i obuhvaćeno je znatno veće područje istraživanja u odnosu na 2018. i 2019. godinu. Analize svih dostupnih podataka prostorne distribucije i abundance ranih razvojnih stadijuma inćuna na otvorenom moru Crne Gore su pokazala da je status ranih stadijuma inćuna na stabilnom nivou (Tabela 3.20). Abundanca ihtioplanktona i intenzitet mriješćenja na području Bokokotorskog zaliva bili su na vrlo dobrom i stabilnom nivou tokom perioda 2006-2009. godine. Da bi se sačuvali postojeći resursi, potrebno je unaprijediti i učiniti operativnim nacionalni program praćenja, posebno zbog činjenice da je Bokokotorski zaliv hranilište i mrijestište za nekoliko pelagičnih vrsta riba.</w:t>
      </w:r>
    </w:p>
    <w:p w14:paraId="78D576AA" w14:textId="77777777" w:rsidR="00B52DD2" w:rsidRDefault="00B52DD2" w:rsidP="006612D6">
      <w:pPr>
        <w:spacing w:before="0" w:after="0" w:line="240" w:lineRule="auto"/>
        <w:contextualSpacing/>
        <w:rPr>
          <w:rFonts w:cs="Calibri"/>
          <w:b/>
          <w:szCs w:val="22"/>
          <w:lang w:val="sr-Latn-RS" w:eastAsia="en-US"/>
        </w:rPr>
      </w:pPr>
    </w:p>
    <w:p w14:paraId="03818195" w14:textId="39523512" w:rsidR="006612D6" w:rsidRPr="006612D6" w:rsidRDefault="006612D6" w:rsidP="006612D6">
      <w:pPr>
        <w:spacing w:before="0" w:after="0" w:line="240" w:lineRule="auto"/>
        <w:contextualSpacing/>
        <w:rPr>
          <w:rFonts w:cs="Calibri"/>
          <w:b/>
          <w:szCs w:val="22"/>
          <w:lang w:val="sr-Latn-RS" w:eastAsia="en-US"/>
        </w:rPr>
      </w:pPr>
      <w:bookmarkStart w:id="369" w:name="_Toc83643217"/>
      <w:r w:rsidRPr="006612D6">
        <w:rPr>
          <w:rFonts w:cs="Calibri"/>
          <w:b/>
          <w:szCs w:val="22"/>
          <w:lang w:val="sr-Latn-RS" w:eastAsia="en-US"/>
        </w:rPr>
        <w:t xml:space="preserve">Tabela </w:t>
      </w:r>
      <w:r w:rsidRPr="006612D6">
        <w:fldChar w:fldCharType="begin"/>
      </w:r>
      <w:r w:rsidRPr="006612D6">
        <w:rPr>
          <w:b/>
          <w:szCs w:val="22"/>
          <w:lang w:val="sr-Latn-RS"/>
        </w:rPr>
        <w:instrText xml:space="preserve"> STYLEREF 1 \s </w:instrText>
      </w:r>
      <w:r w:rsidRPr="006612D6">
        <w:fldChar w:fldCharType="separate"/>
      </w:r>
      <w:r w:rsidR="000D1E20">
        <w:rPr>
          <w:b/>
          <w:noProof/>
          <w:szCs w:val="22"/>
          <w:lang w:val="sr-Latn-RS"/>
        </w:rPr>
        <w:t>3</w:t>
      </w:r>
      <w:r w:rsidRPr="006612D6">
        <w:fldChar w:fldCharType="end"/>
      </w:r>
      <w:r w:rsidRPr="006612D6">
        <w:rPr>
          <w:b/>
          <w:szCs w:val="22"/>
          <w:lang w:val="sr-Latn-RS"/>
        </w:rPr>
        <w:t>.</w:t>
      </w:r>
      <w:r w:rsidRPr="006612D6">
        <w:fldChar w:fldCharType="begin"/>
      </w:r>
      <w:r w:rsidRPr="006612D6">
        <w:rPr>
          <w:b/>
          <w:szCs w:val="22"/>
          <w:lang w:val="sr-Latn-RS"/>
        </w:rPr>
        <w:instrText xml:space="preserve"> SEQ Table \* ARABIC \s 1 </w:instrText>
      </w:r>
      <w:r w:rsidRPr="006612D6">
        <w:fldChar w:fldCharType="separate"/>
      </w:r>
      <w:r w:rsidR="000D1E20">
        <w:rPr>
          <w:b/>
          <w:noProof/>
          <w:szCs w:val="22"/>
          <w:lang w:val="sr-Latn-RS"/>
        </w:rPr>
        <w:t>21</w:t>
      </w:r>
      <w:r w:rsidRPr="006612D6">
        <w:fldChar w:fldCharType="end"/>
      </w:r>
      <w:r w:rsidRPr="006612D6">
        <w:rPr>
          <w:b/>
          <w:szCs w:val="22"/>
          <w:lang w:val="sr-Latn-RS"/>
        </w:rPr>
        <w:t>.</w:t>
      </w:r>
      <w:r w:rsidRPr="006612D6">
        <w:rPr>
          <w:rFonts w:eastAsia="Calibri" w:cs="Calibri"/>
          <w:b/>
          <w:szCs w:val="22"/>
          <w:lang w:val="sr-Latn-RS" w:eastAsia="en-US"/>
        </w:rPr>
        <w:t xml:space="preserve"> Procjena GES-a za pelagična staništa po kriterijum</w:t>
      </w:r>
      <w:r w:rsidR="00496597">
        <w:rPr>
          <w:rFonts w:eastAsia="Calibri" w:cs="Calibri"/>
          <w:b/>
          <w:szCs w:val="22"/>
          <w:lang w:val="sr-Latn-RS" w:eastAsia="en-US"/>
        </w:rPr>
        <w:t>u</w:t>
      </w:r>
      <w:r w:rsidRPr="006612D6">
        <w:rPr>
          <w:rFonts w:eastAsia="Calibri" w:cs="Calibri"/>
          <w:b/>
          <w:szCs w:val="22"/>
          <w:lang w:val="sr-Latn-RS" w:eastAsia="en-US"/>
        </w:rPr>
        <w:t xml:space="preserve"> D1C6 u skladu sa Odlukom Komisije 2017/845/EU</w:t>
      </w:r>
      <w:bookmarkEnd w:id="369"/>
    </w:p>
    <w:tbl>
      <w:tblPr>
        <w:tblStyle w:val="TableGrid12"/>
        <w:tblpPr w:leftFromText="180" w:rightFromText="180" w:vertAnchor="text" w:horzAnchor="margin" w:tblpY="102"/>
        <w:tblOverlap w:val="never"/>
        <w:tblW w:w="906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413"/>
        <w:gridCol w:w="2690"/>
        <w:gridCol w:w="4957"/>
      </w:tblGrid>
      <w:tr w:rsidR="000310E7" w:rsidRPr="006612D6" w14:paraId="6A0C2F44" w14:textId="77777777" w:rsidTr="00E4149A">
        <w:trPr>
          <w:tblHeader/>
        </w:trPr>
        <w:tc>
          <w:tcPr>
            <w:tcW w:w="906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280AFDFD" w14:textId="4D535EA9" w:rsidR="000310E7" w:rsidRDefault="000310E7" w:rsidP="000310E7">
            <w:pPr>
              <w:autoSpaceDE w:val="0"/>
              <w:autoSpaceDN w:val="0"/>
              <w:adjustRightInd w:val="0"/>
              <w:spacing w:before="0" w:after="0" w:line="240" w:lineRule="auto"/>
              <w:jc w:val="center"/>
              <w:rPr>
                <w:rFonts w:cs="Calibri"/>
                <w:b/>
                <w:color w:val="FFFFFF" w:themeColor="background1"/>
                <w:lang w:val="sr-Latn-RS" w:eastAsia="en-US"/>
              </w:rPr>
            </w:pPr>
            <w:r>
              <w:rPr>
                <w:rFonts w:cs="Calibri"/>
                <w:b/>
                <w:color w:val="FFFFFF" w:themeColor="background1"/>
                <w:lang w:val="sr-Latn-RS" w:eastAsia="en-US"/>
              </w:rPr>
              <w:t xml:space="preserve">Područje procjene: nacionalni nivo – </w:t>
            </w:r>
            <w:r w:rsidR="006F740E">
              <w:rPr>
                <w:rFonts w:cs="Calibri"/>
                <w:b/>
                <w:color w:val="FFFFFF" w:themeColor="background1"/>
                <w:lang w:val="sr-Latn-RS" w:eastAsia="en-US"/>
              </w:rPr>
              <w:t>c</w:t>
            </w:r>
            <w:r>
              <w:rPr>
                <w:rFonts w:cs="Calibri"/>
                <w:b/>
                <w:color w:val="FFFFFF" w:themeColor="background1"/>
                <w:lang w:val="sr-Latn-RS" w:eastAsia="en-US"/>
              </w:rPr>
              <w:t>rnogorski dio Jadrana</w:t>
            </w:r>
          </w:p>
          <w:p w14:paraId="0924F65E" w14:textId="4498769B" w:rsidR="000310E7" w:rsidRPr="000310E7" w:rsidRDefault="000310E7" w:rsidP="000310E7">
            <w:pPr>
              <w:autoSpaceDE w:val="0"/>
              <w:autoSpaceDN w:val="0"/>
              <w:adjustRightInd w:val="0"/>
              <w:spacing w:before="0" w:after="0" w:line="240" w:lineRule="auto"/>
              <w:jc w:val="center"/>
              <w:rPr>
                <w:rFonts w:cs="Calibri"/>
                <w:b/>
                <w:color w:val="FFFFFF" w:themeColor="background1"/>
                <w:lang w:val="sr-Latn-RS" w:eastAsia="en-US"/>
              </w:rPr>
            </w:pPr>
          </w:p>
        </w:tc>
      </w:tr>
      <w:tr w:rsidR="006612D6" w:rsidRPr="006612D6" w14:paraId="05C6A73D" w14:textId="77777777" w:rsidTr="00E4149A">
        <w:trPr>
          <w:tblHeader/>
        </w:trPr>
        <w:tc>
          <w:tcPr>
            <w:tcW w:w="14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1A54DCE4" w14:textId="77777777" w:rsidR="006612D6" w:rsidRPr="00332A46" w:rsidRDefault="006612D6" w:rsidP="006612D6">
            <w:pPr>
              <w:autoSpaceDE w:val="0"/>
              <w:autoSpaceDN w:val="0"/>
              <w:adjustRightInd w:val="0"/>
              <w:spacing w:before="0" w:after="0" w:line="240" w:lineRule="auto"/>
              <w:jc w:val="left"/>
              <w:rPr>
                <w:rFonts w:cs="Calibri"/>
                <w:b/>
                <w:color w:val="FFFFFF" w:themeColor="background1"/>
                <w:lang w:val="sr-Latn-RS" w:eastAsia="en-US"/>
              </w:rPr>
            </w:pPr>
            <w:r w:rsidRPr="00332A46">
              <w:rPr>
                <w:rFonts w:cs="Calibri"/>
                <w:b/>
                <w:color w:val="FFFFFF" w:themeColor="background1"/>
                <w:lang w:val="sr-Latn-RS" w:eastAsia="en-US"/>
              </w:rPr>
              <w:t>Elementi</w:t>
            </w:r>
          </w:p>
        </w:tc>
        <w:tc>
          <w:tcPr>
            <w:tcW w:w="26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44AACD4D" w14:textId="77777777" w:rsidR="006612D6" w:rsidRPr="00332A46" w:rsidRDefault="006612D6" w:rsidP="006612D6">
            <w:pPr>
              <w:autoSpaceDE w:val="0"/>
              <w:autoSpaceDN w:val="0"/>
              <w:adjustRightInd w:val="0"/>
              <w:spacing w:before="0" w:after="0" w:line="240" w:lineRule="auto"/>
              <w:jc w:val="left"/>
              <w:rPr>
                <w:rFonts w:cs="Calibri"/>
                <w:b/>
                <w:color w:val="FFFFFF" w:themeColor="background1"/>
                <w:lang w:val="sr-Latn-RS" w:eastAsia="en-US"/>
              </w:rPr>
            </w:pPr>
            <w:r w:rsidRPr="00332A46">
              <w:rPr>
                <w:rFonts w:cs="Calibri"/>
                <w:b/>
                <w:color w:val="FFFFFF" w:themeColor="background1"/>
                <w:lang w:val="sr-Latn-RS" w:eastAsia="en-US"/>
              </w:rPr>
              <w:t>Indikatori</w:t>
            </w:r>
          </w:p>
        </w:tc>
        <w:tc>
          <w:tcPr>
            <w:tcW w:w="49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6792DED5" w14:textId="77777777" w:rsidR="006612D6" w:rsidRPr="00332A46" w:rsidRDefault="006612D6" w:rsidP="006612D6">
            <w:pPr>
              <w:autoSpaceDE w:val="0"/>
              <w:autoSpaceDN w:val="0"/>
              <w:adjustRightInd w:val="0"/>
              <w:spacing w:before="0" w:after="0" w:line="240" w:lineRule="auto"/>
              <w:rPr>
                <w:rFonts w:cs="Calibri"/>
                <w:b/>
                <w:color w:val="FFFFFF" w:themeColor="background1"/>
                <w:lang w:val="sr-Latn-RS" w:eastAsia="en-US"/>
              </w:rPr>
            </w:pPr>
            <w:r w:rsidRPr="00332A46">
              <w:rPr>
                <w:rFonts w:cs="Calibri"/>
                <w:b/>
                <w:color w:val="FFFFFF" w:themeColor="background1"/>
                <w:lang w:val="sr-Latn-RS" w:eastAsia="en-US"/>
              </w:rPr>
              <w:t>GES</w:t>
            </w:r>
          </w:p>
          <w:p w14:paraId="087B85BF" w14:textId="77777777" w:rsidR="006612D6" w:rsidRPr="00332A46" w:rsidRDefault="006612D6" w:rsidP="006612D6">
            <w:pPr>
              <w:autoSpaceDE w:val="0"/>
              <w:autoSpaceDN w:val="0"/>
              <w:adjustRightInd w:val="0"/>
              <w:spacing w:before="0" w:after="0" w:line="240" w:lineRule="auto"/>
              <w:rPr>
                <w:rFonts w:cs="Calibri"/>
                <w:b/>
                <w:color w:val="FFFFFF" w:themeColor="background1"/>
                <w:lang w:val="sr-Latn-RS" w:eastAsia="en-US"/>
              </w:rPr>
            </w:pPr>
          </w:p>
        </w:tc>
      </w:tr>
      <w:tr w:rsidR="006612D6" w:rsidRPr="006612D6" w14:paraId="0FD3DCCE" w14:textId="77777777" w:rsidTr="00E4149A">
        <w:tc>
          <w:tcPr>
            <w:tcW w:w="1413" w:type="dxa"/>
            <w:vMerge w:val="restart"/>
            <w:tcBorders>
              <w:top w:val="single" w:sz="4" w:space="0" w:color="FFFFFF" w:themeColor="background1"/>
              <w:left w:val="single" w:sz="4" w:space="0" w:color="0070C0"/>
              <w:bottom w:val="single" w:sz="4" w:space="0" w:color="0070C0"/>
              <w:right w:val="single" w:sz="4" w:space="0" w:color="0070C0"/>
            </w:tcBorders>
            <w:hideMark/>
          </w:tcPr>
          <w:p w14:paraId="310A8123"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Fitoplankton</w:t>
            </w:r>
          </w:p>
        </w:tc>
        <w:tc>
          <w:tcPr>
            <w:tcW w:w="2690" w:type="dxa"/>
            <w:tcBorders>
              <w:top w:val="single" w:sz="4" w:space="0" w:color="FFFFFF" w:themeColor="background1"/>
              <w:left w:val="single" w:sz="4" w:space="0" w:color="0070C0"/>
              <w:bottom w:val="single" w:sz="4" w:space="0" w:color="0070C0"/>
              <w:right w:val="single" w:sz="4" w:space="0" w:color="0070C0"/>
            </w:tcBorders>
            <w:hideMark/>
          </w:tcPr>
          <w:p w14:paraId="7B08FB78"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sz w:val="20"/>
                <w:szCs w:val="20"/>
                <w:lang w:val="sr-Latn-RS" w:eastAsia="en-US"/>
              </w:rPr>
              <w:t>Ukupna abundanca (ćelija/L)</w:t>
            </w:r>
          </w:p>
        </w:tc>
        <w:tc>
          <w:tcPr>
            <w:tcW w:w="4957" w:type="dxa"/>
            <w:tcBorders>
              <w:top w:val="single" w:sz="4" w:space="0" w:color="FFFFFF" w:themeColor="background1"/>
              <w:left w:val="single" w:sz="4" w:space="0" w:color="0070C0"/>
              <w:bottom w:val="single" w:sz="4" w:space="0" w:color="0070C0"/>
              <w:right w:val="single" w:sz="4" w:space="0" w:color="0070C0"/>
            </w:tcBorders>
            <w:hideMark/>
          </w:tcPr>
          <w:p w14:paraId="22A4300B" w14:textId="77777777" w:rsidR="006612D6" w:rsidRPr="006612D6" w:rsidRDefault="006612D6" w:rsidP="006612D6">
            <w:pPr>
              <w:autoSpaceDE w:val="0"/>
              <w:autoSpaceDN w:val="0"/>
              <w:adjustRightInd w:val="0"/>
              <w:spacing w:before="0" w:after="0" w:line="240" w:lineRule="auto"/>
              <w:rPr>
                <w:sz w:val="20"/>
                <w:szCs w:val="20"/>
                <w:lang w:val="sr-Latn-RS" w:eastAsia="en-US"/>
              </w:rPr>
            </w:pPr>
            <w:r w:rsidRPr="006612D6">
              <w:rPr>
                <w:sz w:val="20"/>
                <w:szCs w:val="20"/>
                <w:lang w:val="sr-Latn-RS" w:eastAsia="en-US"/>
              </w:rPr>
              <w:t xml:space="preserve">GES je postignut s obzirom da je ukupna abundanca fitoplanktona u okvirima graničnih vrijednosti koje su uobičajene za Jadransko more. </w:t>
            </w:r>
          </w:p>
        </w:tc>
      </w:tr>
      <w:tr w:rsidR="006612D6" w:rsidRPr="006612D6" w14:paraId="340486D6" w14:textId="77777777" w:rsidTr="00E4149A">
        <w:tc>
          <w:tcPr>
            <w:tcW w:w="1413" w:type="dxa"/>
            <w:vMerge/>
            <w:tcBorders>
              <w:top w:val="single" w:sz="4" w:space="0" w:color="FFFFFF"/>
              <w:left w:val="single" w:sz="4" w:space="0" w:color="0070C0"/>
              <w:bottom w:val="single" w:sz="4" w:space="0" w:color="0070C0"/>
              <w:right w:val="single" w:sz="4" w:space="0" w:color="0070C0"/>
            </w:tcBorders>
            <w:vAlign w:val="center"/>
            <w:hideMark/>
          </w:tcPr>
          <w:p w14:paraId="4DCA9743" w14:textId="77777777" w:rsidR="006612D6" w:rsidRPr="006612D6" w:rsidRDefault="006612D6" w:rsidP="006612D6">
            <w:pPr>
              <w:spacing w:before="0" w:after="0" w:line="240" w:lineRule="auto"/>
              <w:jc w:val="left"/>
              <w:rPr>
                <w:rFonts w:eastAsia="Times New Roman" w:cs="Calibri"/>
                <w:color w:val="000000"/>
                <w:sz w:val="20"/>
                <w:szCs w:val="20"/>
                <w:lang w:val="sr-Latn-RS" w:eastAsia="en-US"/>
              </w:rPr>
            </w:pPr>
          </w:p>
        </w:tc>
        <w:tc>
          <w:tcPr>
            <w:tcW w:w="2690" w:type="dxa"/>
            <w:tcBorders>
              <w:top w:val="single" w:sz="4" w:space="0" w:color="0070C0"/>
              <w:left w:val="single" w:sz="4" w:space="0" w:color="0070C0"/>
              <w:bottom w:val="single" w:sz="4" w:space="0" w:color="0070C0"/>
              <w:right w:val="single" w:sz="4" w:space="0" w:color="0070C0"/>
            </w:tcBorders>
            <w:hideMark/>
          </w:tcPr>
          <w:p w14:paraId="7019C9AB"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sz w:val="20"/>
                <w:szCs w:val="20"/>
                <w:lang w:val="sr-Latn-RS" w:eastAsia="en-US"/>
              </w:rPr>
              <w:t>Biomasa (određena na osnovu vrijednosti hlorofila a)</w:t>
            </w:r>
          </w:p>
        </w:tc>
        <w:tc>
          <w:tcPr>
            <w:tcW w:w="4957" w:type="dxa"/>
            <w:tcBorders>
              <w:top w:val="single" w:sz="4" w:space="0" w:color="0070C0"/>
              <w:left w:val="single" w:sz="4" w:space="0" w:color="0070C0"/>
              <w:bottom w:val="single" w:sz="4" w:space="0" w:color="0070C0"/>
              <w:right w:val="single" w:sz="4" w:space="0" w:color="0070C0"/>
            </w:tcBorders>
            <w:hideMark/>
          </w:tcPr>
          <w:p w14:paraId="285A8747" w14:textId="77777777" w:rsidR="006612D6" w:rsidRPr="006612D6" w:rsidRDefault="006612D6" w:rsidP="006612D6">
            <w:pPr>
              <w:spacing w:before="0" w:after="0" w:line="240" w:lineRule="auto"/>
              <w:rPr>
                <w:rFonts w:cs="Calibri"/>
                <w:sz w:val="20"/>
                <w:szCs w:val="20"/>
                <w:lang w:val="sr-Latn-RS" w:eastAsia="en-US"/>
              </w:rPr>
            </w:pPr>
            <w:r w:rsidRPr="006612D6">
              <w:rPr>
                <w:rFonts w:cs="Calibri"/>
                <w:sz w:val="20"/>
                <w:szCs w:val="20"/>
                <w:lang w:val="sr-Latn-RS" w:eastAsia="en-US"/>
              </w:rPr>
              <w:t>GES je postignut s obzirom da biomasa algi ne prelazi granične vrijednosti dobrog statusa voda u skladu sa WFD i graničnih vrijednosti hlorofila a za Sredozemne priobalne vode u skladu sa Odlukom Komisije 2018/229/EU.</w:t>
            </w:r>
          </w:p>
        </w:tc>
      </w:tr>
      <w:tr w:rsidR="006612D6" w:rsidRPr="006612D6" w14:paraId="612CD819" w14:textId="77777777" w:rsidTr="00E4149A">
        <w:tc>
          <w:tcPr>
            <w:tcW w:w="1413" w:type="dxa"/>
            <w:vMerge/>
            <w:tcBorders>
              <w:top w:val="single" w:sz="4" w:space="0" w:color="FFFFFF"/>
              <w:left w:val="single" w:sz="4" w:space="0" w:color="0070C0"/>
              <w:bottom w:val="single" w:sz="4" w:space="0" w:color="0070C0"/>
              <w:right w:val="single" w:sz="4" w:space="0" w:color="0070C0"/>
            </w:tcBorders>
            <w:vAlign w:val="center"/>
            <w:hideMark/>
          </w:tcPr>
          <w:p w14:paraId="2CB583A1" w14:textId="77777777" w:rsidR="006612D6" w:rsidRPr="006612D6" w:rsidRDefault="006612D6" w:rsidP="006612D6">
            <w:pPr>
              <w:spacing w:before="0" w:after="0" w:line="240" w:lineRule="auto"/>
              <w:jc w:val="left"/>
              <w:rPr>
                <w:rFonts w:eastAsia="Times New Roman" w:cs="Calibri"/>
                <w:color w:val="000000"/>
                <w:sz w:val="20"/>
                <w:szCs w:val="20"/>
                <w:lang w:val="sr-Latn-RS" w:eastAsia="en-US"/>
              </w:rPr>
            </w:pPr>
          </w:p>
        </w:tc>
        <w:tc>
          <w:tcPr>
            <w:tcW w:w="2690" w:type="dxa"/>
            <w:tcBorders>
              <w:top w:val="single" w:sz="4" w:space="0" w:color="0070C0"/>
              <w:left w:val="single" w:sz="4" w:space="0" w:color="0070C0"/>
              <w:bottom w:val="single" w:sz="4" w:space="0" w:color="0070C0"/>
              <w:right w:val="single" w:sz="4" w:space="0" w:color="0070C0"/>
            </w:tcBorders>
            <w:hideMark/>
          </w:tcPr>
          <w:p w14:paraId="4A8780B1" w14:textId="77777777" w:rsidR="006612D6" w:rsidRPr="006612D6" w:rsidRDefault="006612D6" w:rsidP="006612D6">
            <w:pPr>
              <w:autoSpaceDE w:val="0"/>
              <w:autoSpaceDN w:val="0"/>
              <w:adjustRightInd w:val="0"/>
              <w:spacing w:before="0" w:after="0" w:line="240" w:lineRule="auto"/>
              <w:rPr>
                <w:rFonts w:cs="Calibri"/>
                <w:color w:val="000000"/>
                <w:sz w:val="20"/>
                <w:szCs w:val="20"/>
                <w:lang w:val="sr-Latn-RS" w:eastAsia="en-US"/>
              </w:rPr>
            </w:pPr>
            <w:r w:rsidRPr="006612D6">
              <w:rPr>
                <w:rFonts w:cs="Calibri"/>
                <w:color w:val="000000"/>
                <w:sz w:val="20"/>
                <w:szCs w:val="20"/>
                <w:lang w:val="sr-Latn-RS" w:eastAsia="en-US"/>
              </w:rPr>
              <w:t>Indeksi diverziteta</w:t>
            </w:r>
          </w:p>
        </w:tc>
        <w:tc>
          <w:tcPr>
            <w:tcW w:w="4957" w:type="dxa"/>
            <w:tcBorders>
              <w:top w:val="single" w:sz="4" w:space="0" w:color="0070C0"/>
              <w:left w:val="single" w:sz="4" w:space="0" w:color="0070C0"/>
              <w:bottom w:val="single" w:sz="4" w:space="0" w:color="0070C0"/>
              <w:right w:val="single" w:sz="4" w:space="0" w:color="0070C0"/>
            </w:tcBorders>
            <w:hideMark/>
          </w:tcPr>
          <w:p w14:paraId="4B60F1E6" w14:textId="77777777" w:rsidR="006612D6" w:rsidRPr="006612D6" w:rsidRDefault="006612D6" w:rsidP="006612D6">
            <w:pPr>
              <w:autoSpaceDE w:val="0"/>
              <w:autoSpaceDN w:val="0"/>
              <w:adjustRightInd w:val="0"/>
              <w:spacing w:before="0" w:after="0" w:line="240" w:lineRule="auto"/>
              <w:rPr>
                <w:rFonts w:cs="Calibri"/>
                <w:color w:val="000000"/>
                <w:sz w:val="20"/>
                <w:szCs w:val="20"/>
                <w:lang w:val="sr-Latn-RS" w:eastAsia="en-US"/>
              </w:rPr>
            </w:pPr>
            <w:r w:rsidRPr="006612D6">
              <w:rPr>
                <w:rFonts w:cs="Calibri"/>
                <w:color w:val="000000"/>
                <w:sz w:val="20"/>
                <w:szCs w:val="20"/>
                <w:lang w:val="sr-Latn-RS" w:eastAsia="en-US"/>
              </w:rPr>
              <w:t>Relativno visok diverzitet zajednica fitoplanktona ukazuje da je GES postignut. Indeksi diverziteta su u okvirima vrijednosti karakterističnih za Sredozemno more.</w:t>
            </w:r>
          </w:p>
        </w:tc>
      </w:tr>
      <w:tr w:rsidR="006612D6" w:rsidRPr="006612D6" w14:paraId="4DC9D729" w14:textId="77777777" w:rsidTr="00E4149A">
        <w:tc>
          <w:tcPr>
            <w:tcW w:w="1413" w:type="dxa"/>
            <w:vMerge/>
            <w:tcBorders>
              <w:top w:val="single" w:sz="4" w:space="0" w:color="FFFFFF"/>
              <w:left w:val="single" w:sz="4" w:space="0" w:color="0070C0"/>
              <w:bottom w:val="single" w:sz="4" w:space="0" w:color="0070C0"/>
              <w:right w:val="single" w:sz="4" w:space="0" w:color="0070C0"/>
            </w:tcBorders>
            <w:vAlign w:val="center"/>
            <w:hideMark/>
          </w:tcPr>
          <w:p w14:paraId="106B253B" w14:textId="77777777" w:rsidR="006612D6" w:rsidRPr="006612D6" w:rsidRDefault="006612D6" w:rsidP="006612D6">
            <w:pPr>
              <w:spacing w:before="0" w:after="0" w:line="240" w:lineRule="auto"/>
              <w:jc w:val="left"/>
              <w:rPr>
                <w:rFonts w:eastAsia="Times New Roman" w:cs="Calibri"/>
                <w:color w:val="000000"/>
                <w:sz w:val="20"/>
                <w:szCs w:val="20"/>
                <w:lang w:val="sr-Latn-RS" w:eastAsia="en-US"/>
              </w:rPr>
            </w:pPr>
          </w:p>
        </w:tc>
        <w:tc>
          <w:tcPr>
            <w:tcW w:w="2690" w:type="dxa"/>
            <w:tcBorders>
              <w:top w:val="single" w:sz="4" w:space="0" w:color="0070C0"/>
              <w:left w:val="single" w:sz="4" w:space="0" w:color="0070C0"/>
              <w:bottom w:val="single" w:sz="4" w:space="0" w:color="0070C0"/>
              <w:right w:val="single" w:sz="4" w:space="0" w:color="0070C0"/>
            </w:tcBorders>
            <w:hideMark/>
          </w:tcPr>
          <w:p w14:paraId="797FFC5B"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sz w:val="20"/>
                <w:szCs w:val="20"/>
                <w:lang w:val="sr-Latn-RS" w:eastAsia="en-US"/>
              </w:rPr>
              <w:t>Indeks fitoplanktona (PI):  promjene u dominantnim grupama (odnos između dijatomeja i dinoflagelata)</w:t>
            </w:r>
          </w:p>
        </w:tc>
        <w:tc>
          <w:tcPr>
            <w:tcW w:w="4957" w:type="dxa"/>
            <w:tcBorders>
              <w:top w:val="single" w:sz="4" w:space="0" w:color="0070C0"/>
              <w:left w:val="single" w:sz="4" w:space="0" w:color="0070C0"/>
              <w:bottom w:val="single" w:sz="4" w:space="0" w:color="0070C0"/>
              <w:right w:val="single" w:sz="4" w:space="0" w:color="0070C0"/>
            </w:tcBorders>
            <w:hideMark/>
          </w:tcPr>
          <w:p w14:paraId="3E012A8A" w14:textId="77777777" w:rsidR="006612D6" w:rsidRPr="006612D6" w:rsidRDefault="006612D6" w:rsidP="006612D6">
            <w:pPr>
              <w:autoSpaceDE w:val="0"/>
              <w:autoSpaceDN w:val="0"/>
              <w:adjustRightInd w:val="0"/>
              <w:spacing w:before="0" w:after="0" w:line="240" w:lineRule="auto"/>
              <w:rPr>
                <w:rFonts w:cs="Calibri"/>
                <w:color w:val="000000"/>
                <w:sz w:val="20"/>
                <w:szCs w:val="20"/>
                <w:lang w:val="sr-Latn-RS" w:eastAsia="en-US"/>
              </w:rPr>
            </w:pPr>
            <w:r w:rsidRPr="006612D6">
              <w:rPr>
                <w:rFonts w:cs="Calibri"/>
                <w:color w:val="000000"/>
                <w:sz w:val="20"/>
                <w:szCs w:val="20"/>
                <w:lang w:val="sr-Latn-RS" w:eastAsia="en-US"/>
              </w:rPr>
              <w:t>GES je postignut s obzirom na dominantnost dijatomeja u ukupnom fitoplanktonu.</w:t>
            </w:r>
          </w:p>
        </w:tc>
      </w:tr>
      <w:tr w:rsidR="006612D6" w:rsidRPr="006612D6" w14:paraId="580ACC0E" w14:textId="77777777" w:rsidTr="00E4149A">
        <w:tc>
          <w:tcPr>
            <w:tcW w:w="1413" w:type="dxa"/>
            <w:vMerge/>
            <w:tcBorders>
              <w:top w:val="single" w:sz="4" w:space="0" w:color="FFFFFF"/>
              <w:left w:val="single" w:sz="4" w:space="0" w:color="0070C0"/>
              <w:bottom w:val="single" w:sz="4" w:space="0" w:color="0070C0"/>
              <w:right w:val="single" w:sz="4" w:space="0" w:color="0070C0"/>
            </w:tcBorders>
            <w:vAlign w:val="center"/>
            <w:hideMark/>
          </w:tcPr>
          <w:p w14:paraId="5350105E" w14:textId="77777777" w:rsidR="006612D6" w:rsidRPr="006612D6" w:rsidRDefault="006612D6" w:rsidP="006612D6">
            <w:pPr>
              <w:spacing w:before="0" w:after="0" w:line="240" w:lineRule="auto"/>
              <w:jc w:val="left"/>
              <w:rPr>
                <w:rFonts w:eastAsia="Times New Roman" w:cs="Calibri"/>
                <w:color w:val="000000"/>
                <w:sz w:val="20"/>
                <w:szCs w:val="20"/>
                <w:lang w:val="sr-Latn-RS" w:eastAsia="en-US"/>
              </w:rPr>
            </w:pPr>
          </w:p>
        </w:tc>
        <w:tc>
          <w:tcPr>
            <w:tcW w:w="2690" w:type="dxa"/>
            <w:tcBorders>
              <w:top w:val="single" w:sz="4" w:space="0" w:color="0070C0"/>
              <w:left w:val="single" w:sz="4" w:space="0" w:color="0070C0"/>
              <w:bottom w:val="single" w:sz="4" w:space="0" w:color="0070C0"/>
              <w:right w:val="single" w:sz="4" w:space="0" w:color="0070C0"/>
            </w:tcBorders>
          </w:tcPr>
          <w:p w14:paraId="4190C322"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Frekvencija štetnih cvjetanja algi</w:t>
            </w:r>
          </w:p>
          <w:p w14:paraId="699AD926" w14:textId="77777777" w:rsidR="006612D6" w:rsidRPr="006612D6" w:rsidRDefault="006612D6" w:rsidP="006612D6">
            <w:pPr>
              <w:autoSpaceDE w:val="0"/>
              <w:autoSpaceDN w:val="0"/>
              <w:adjustRightInd w:val="0"/>
              <w:spacing w:before="0" w:after="0" w:line="240" w:lineRule="auto"/>
              <w:jc w:val="left"/>
              <w:rPr>
                <w:rFonts w:cs="Calibri"/>
                <w:color w:val="000000"/>
                <w:sz w:val="20"/>
                <w:szCs w:val="20"/>
                <w:lang w:val="sr-Latn-RS" w:eastAsia="en-US"/>
              </w:rPr>
            </w:pPr>
          </w:p>
        </w:tc>
        <w:tc>
          <w:tcPr>
            <w:tcW w:w="4957" w:type="dxa"/>
            <w:tcBorders>
              <w:top w:val="single" w:sz="4" w:space="0" w:color="0070C0"/>
              <w:left w:val="single" w:sz="4" w:space="0" w:color="0070C0"/>
              <w:bottom w:val="single" w:sz="4" w:space="0" w:color="0070C0"/>
              <w:right w:val="single" w:sz="4" w:space="0" w:color="0070C0"/>
            </w:tcBorders>
            <w:hideMark/>
          </w:tcPr>
          <w:p w14:paraId="748972EC" w14:textId="77777777" w:rsidR="006612D6" w:rsidRPr="006612D6" w:rsidRDefault="006612D6" w:rsidP="006612D6">
            <w:pPr>
              <w:spacing w:before="0" w:after="0" w:line="240" w:lineRule="auto"/>
              <w:contextualSpacing/>
              <w:jc w:val="left"/>
              <w:rPr>
                <w:sz w:val="20"/>
                <w:szCs w:val="20"/>
                <w:lang w:val="sr-Latn-RS" w:eastAsia="en-US"/>
              </w:rPr>
            </w:pPr>
            <w:r w:rsidRPr="006612D6">
              <w:rPr>
                <w:sz w:val="20"/>
                <w:szCs w:val="20"/>
                <w:lang w:val="sr-Latn-RS" w:eastAsia="en-US"/>
              </w:rPr>
              <w:t>Pojava štetnih cvjetanja algi nije na nivou koji ukazuje na štetne efekte obogaćivanja nutrijentima (pogledati D5 – Tabela 2.18).</w:t>
            </w:r>
          </w:p>
        </w:tc>
      </w:tr>
      <w:tr w:rsidR="006612D6" w:rsidRPr="006612D6" w14:paraId="40B9FF69" w14:textId="77777777" w:rsidTr="00E4149A">
        <w:trPr>
          <w:trHeight w:val="631"/>
        </w:trPr>
        <w:tc>
          <w:tcPr>
            <w:tcW w:w="1413" w:type="dxa"/>
            <w:vMerge w:val="restart"/>
            <w:tcBorders>
              <w:top w:val="single" w:sz="4" w:space="0" w:color="0070C0"/>
              <w:left w:val="single" w:sz="4" w:space="0" w:color="0070C0"/>
              <w:bottom w:val="single" w:sz="4" w:space="0" w:color="0070C0"/>
              <w:right w:val="single" w:sz="4" w:space="0" w:color="0070C0"/>
            </w:tcBorders>
            <w:hideMark/>
          </w:tcPr>
          <w:p w14:paraId="31432CE6"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Zooplankton</w:t>
            </w:r>
          </w:p>
        </w:tc>
        <w:tc>
          <w:tcPr>
            <w:tcW w:w="2690" w:type="dxa"/>
            <w:tcBorders>
              <w:top w:val="single" w:sz="4" w:space="0" w:color="0070C0"/>
              <w:left w:val="single" w:sz="4" w:space="0" w:color="0070C0"/>
              <w:bottom w:val="single" w:sz="4" w:space="0" w:color="0070C0"/>
              <w:right w:val="single" w:sz="4" w:space="0" w:color="0070C0"/>
            </w:tcBorders>
            <w:hideMark/>
          </w:tcPr>
          <w:p w14:paraId="791E3809" w14:textId="77777777" w:rsidR="006612D6" w:rsidRPr="006612D6" w:rsidRDefault="006612D6" w:rsidP="006612D6">
            <w:pPr>
              <w:spacing w:before="0" w:after="0" w:line="240" w:lineRule="auto"/>
              <w:contextualSpacing/>
              <w:jc w:val="left"/>
              <w:rPr>
                <w:i/>
                <w:sz w:val="20"/>
                <w:szCs w:val="20"/>
                <w:lang w:val="sr-Latn-RS" w:eastAsia="en-US"/>
              </w:rPr>
            </w:pPr>
            <w:r w:rsidRPr="006612D6">
              <w:rPr>
                <w:rFonts w:cs="Calibri"/>
                <w:sz w:val="20"/>
                <w:szCs w:val="20"/>
                <w:lang w:val="sr-Latn-RS" w:eastAsia="en-US"/>
              </w:rPr>
              <w:t>Ukupna abundanca mezozooplanktona</w:t>
            </w:r>
          </w:p>
        </w:tc>
        <w:tc>
          <w:tcPr>
            <w:tcW w:w="4957" w:type="dxa"/>
            <w:tcBorders>
              <w:top w:val="single" w:sz="4" w:space="0" w:color="0070C0"/>
              <w:left w:val="single" w:sz="4" w:space="0" w:color="0070C0"/>
              <w:bottom w:val="single" w:sz="4" w:space="0" w:color="0070C0"/>
              <w:right w:val="single" w:sz="4" w:space="0" w:color="0070C0"/>
            </w:tcBorders>
            <w:hideMark/>
          </w:tcPr>
          <w:p w14:paraId="1758B239" w14:textId="77777777" w:rsidR="006612D6" w:rsidRPr="006612D6" w:rsidRDefault="006612D6" w:rsidP="006612D6">
            <w:pPr>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 xml:space="preserve">GES  je postignut za područje Bokokotorskog zaliva. Ne postoje dugoročne serije podataka  koje bi omogućile procjenu GES-a za priobalni dio otvorenog mora Crne Gore. </w:t>
            </w:r>
          </w:p>
        </w:tc>
      </w:tr>
      <w:tr w:rsidR="006612D6" w:rsidRPr="006612D6" w14:paraId="3AC17183" w14:textId="77777777" w:rsidTr="00E4149A">
        <w:tc>
          <w:tcPr>
            <w:tcW w:w="1413" w:type="dxa"/>
            <w:vMerge/>
            <w:tcBorders>
              <w:top w:val="single" w:sz="4" w:space="0" w:color="0070C0"/>
              <w:left w:val="single" w:sz="4" w:space="0" w:color="0070C0"/>
              <w:bottom w:val="single" w:sz="4" w:space="0" w:color="0070C0"/>
              <w:right w:val="single" w:sz="4" w:space="0" w:color="0070C0"/>
            </w:tcBorders>
            <w:vAlign w:val="center"/>
            <w:hideMark/>
          </w:tcPr>
          <w:p w14:paraId="3A883CA8" w14:textId="77777777" w:rsidR="006612D6" w:rsidRPr="006612D6" w:rsidRDefault="006612D6" w:rsidP="006612D6">
            <w:pPr>
              <w:spacing w:before="0" w:after="0" w:line="240" w:lineRule="auto"/>
              <w:jc w:val="left"/>
              <w:rPr>
                <w:rFonts w:eastAsia="Times New Roman" w:cs="Calibri"/>
                <w:sz w:val="20"/>
                <w:szCs w:val="20"/>
                <w:lang w:val="sr-Latn-RS" w:eastAsia="en-US"/>
              </w:rPr>
            </w:pPr>
          </w:p>
        </w:tc>
        <w:tc>
          <w:tcPr>
            <w:tcW w:w="2690" w:type="dxa"/>
            <w:tcBorders>
              <w:top w:val="single" w:sz="4" w:space="0" w:color="0070C0"/>
              <w:left w:val="single" w:sz="4" w:space="0" w:color="0070C0"/>
              <w:bottom w:val="single" w:sz="4" w:space="0" w:color="0070C0"/>
              <w:right w:val="single" w:sz="4" w:space="0" w:color="0070C0"/>
            </w:tcBorders>
          </w:tcPr>
          <w:p w14:paraId="178BC6E2" w14:textId="77777777" w:rsidR="006612D6" w:rsidRPr="006612D6" w:rsidRDefault="006612D6" w:rsidP="006612D6">
            <w:pPr>
              <w:spacing w:before="0" w:after="0" w:line="240" w:lineRule="auto"/>
              <w:contextualSpacing/>
              <w:jc w:val="left"/>
              <w:rPr>
                <w:rFonts w:cs="Calibri"/>
                <w:sz w:val="20"/>
                <w:szCs w:val="20"/>
                <w:lang w:val="sr-Latn-RS" w:eastAsia="en-US"/>
              </w:rPr>
            </w:pPr>
            <w:r w:rsidRPr="006612D6">
              <w:rPr>
                <w:rFonts w:cs="Calibri"/>
                <w:sz w:val="20"/>
                <w:szCs w:val="20"/>
                <w:lang w:val="sr-Latn-RS" w:eastAsia="en-US"/>
              </w:rPr>
              <w:t>Ukupna brojnost kopepoda</w:t>
            </w:r>
          </w:p>
          <w:p w14:paraId="68599B60" w14:textId="77777777" w:rsidR="006612D6" w:rsidRPr="006612D6" w:rsidRDefault="006612D6" w:rsidP="006612D6">
            <w:pPr>
              <w:spacing w:before="0" w:after="0" w:line="240" w:lineRule="auto"/>
              <w:contextualSpacing/>
              <w:jc w:val="left"/>
              <w:rPr>
                <w:sz w:val="20"/>
                <w:szCs w:val="20"/>
                <w:lang w:val="sr-Latn-RS" w:eastAsia="en-US"/>
              </w:rPr>
            </w:pPr>
          </w:p>
        </w:tc>
        <w:tc>
          <w:tcPr>
            <w:tcW w:w="4957" w:type="dxa"/>
            <w:tcBorders>
              <w:top w:val="single" w:sz="4" w:space="0" w:color="0070C0"/>
              <w:left w:val="single" w:sz="4" w:space="0" w:color="0070C0"/>
              <w:bottom w:val="single" w:sz="4" w:space="0" w:color="0070C0"/>
              <w:right w:val="single" w:sz="4" w:space="0" w:color="0070C0"/>
            </w:tcBorders>
            <w:hideMark/>
          </w:tcPr>
          <w:p w14:paraId="50AA9275" w14:textId="77777777" w:rsidR="006612D6" w:rsidRPr="006612D6" w:rsidRDefault="006612D6" w:rsidP="006612D6">
            <w:pPr>
              <w:spacing w:before="0" w:after="0" w:line="240" w:lineRule="auto"/>
              <w:jc w:val="left"/>
              <w:rPr>
                <w:rFonts w:cs="Calibri"/>
                <w:color w:val="000000"/>
                <w:sz w:val="20"/>
                <w:szCs w:val="20"/>
                <w:lang w:val="sr-Latn-RS" w:eastAsia="en-US"/>
              </w:rPr>
            </w:pPr>
            <w:r w:rsidRPr="006612D6">
              <w:rPr>
                <w:rFonts w:cs="Calibri"/>
                <w:color w:val="000000"/>
                <w:sz w:val="20"/>
                <w:szCs w:val="20"/>
                <w:lang w:val="sr-Latn-RS" w:eastAsia="en-US"/>
              </w:rPr>
              <w:t xml:space="preserve">GES je postignut za područje Bokokotorskog zaliva uslijed dominantnosti kopepoda u ukupnom mezozooplanktonu i odnosu juvenilnih i adultnih stadijuma u ukupnim kopepodama. </w:t>
            </w:r>
          </w:p>
        </w:tc>
      </w:tr>
      <w:tr w:rsidR="006612D6" w:rsidRPr="006612D6" w14:paraId="2B2F3701" w14:textId="77777777" w:rsidTr="00E4149A">
        <w:tc>
          <w:tcPr>
            <w:tcW w:w="1413" w:type="dxa"/>
            <w:vMerge/>
            <w:tcBorders>
              <w:top w:val="single" w:sz="4" w:space="0" w:color="0070C0"/>
              <w:left w:val="single" w:sz="4" w:space="0" w:color="0070C0"/>
              <w:bottom w:val="single" w:sz="4" w:space="0" w:color="0070C0"/>
              <w:right w:val="single" w:sz="4" w:space="0" w:color="0070C0"/>
            </w:tcBorders>
            <w:vAlign w:val="center"/>
            <w:hideMark/>
          </w:tcPr>
          <w:p w14:paraId="2A2C94B8" w14:textId="77777777" w:rsidR="006612D6" w:rsidRPr="006612D6" w:rsidRDefault="006612D6" w:rsidP="006612D6">
            <w:pPr>
              <w:spacing w:before="0" w:after="0" w:line="240" w:lineRule="auto"/>
              <w:jc w:val="left"/>
              <w:rPr>
                <w:rFonts w:eastAsia="Times New Roman" w:cs="Calibri"/>
                <w:sz w:val="20"/>
                <w:szCs w:val="20"/>
                <w:lang w:val="sr-Latn-RS" w:eastAsia="en-US"/>
              </w:rPr>
            </w:pPr>
          </w:p>
        </w:tc>
        <w:tc>
          <w:tcPr>
            <w:tcW w:w="2690" w:type="dxa"/>
            <w:tcBorders>
              <w:top w:val="single" w:sz="4" w:space="0" w:color="0070C0"/>
              <w:left w:val="single" w:sz="4" w:space="0" w:color="0070C0"/>
              <w:bottom w:val="single" w:sz="4" w:space="0" w:color="0070C0"/>
              <w:right w:val="single" w:sz="4" w:space="0" w:color="0070C0"/>
            </w:tcBorders>
            <w:hideMark/>
          </w:tcPr>
          <w:p w14:paraId="0B52206D" w14:textId="77777777" w:rsidR="006612D6" w:rsidRPr="006612D6" w:rsidRDefault="006612D6" w:rsidP="006612D6">
            <w:pPr>
              <w:spacing w:before="0" w:after="0" w:line="240" w:lineRule="auto"/>
              <w:contextualSpacing/>
              <w:jc w:val="left"/>
              <w:rPr>
                <w:i/>
                <w:sz w:val="20"/>
                <w:szCs w:val="20"/>
                <w:lang w:val="sr-Latn-RS" w:eastAsia="en-US"/>
              </w:rPr>
            </w:pPr>
            <w:r w:rsidRPr="006612D6">
              <w:rPr>
                <w:rFonts w:cs="Calibri"/>
                <w:sz w:val="20"/>
                <w:szCs w:val="20"/>
                <w:lang w:val="sr-Latn-RS" w:eastAsia="en-US"/>
              </w:rPr>
              <w:t>Sastav vrsta i indeksi diverziteta</w:t>
            </w:r>
          </w:p>
        </w:tc>
        <w:tc>
          <w:tcPr>
            <w:tcW w:w="4957" w:type="dxa"/>
            <w:tcBorders>
              <w:top w:val="single" w:sz="4" w:space="0" w:color="0070C0"/>
              <w:left w:val="single" w:sz="4" w:space="0" w:color="0070C0"/>
              <w:bottom w:val="single" w:sz="4" w:space="0" w:color="0070C0"/>
              <w:right w:val="single" w:sz="4" w:space="0" w:color="0070C0"/>
            </w:tcBorders>
            <w:hideMark/>
          </w:tcPr>
          <w:p w14:paraId="68B2B74F" w14:textId="77777777" w:rsidR="006612D6" w:rsidRPr="006612D6" w:rsidRDefault="006612D6" w:rsidP="006612D6">
            <w:pPr>
              <w:autoSpaceDE w:val="0"/>
              <w:autoSpaceDN w:val="0"/>
              <w:adjustRightInd w:val="0"/>
              <w:spacing w:before="0" w:after="0" w:line="240" w:lineRule="auto"/>
              <w:rPr>
                <w:rFonts w:cs="Calibri"/>
                <w:color w:val="000000"/>
                <w:sz w:val="20"/>
                <w:szCs w:val="20"/>
                <w:lang w:val="sr-Latn-RS" w:eastAsia="en-US"/>
              </w:rPr>
            </w:pPr>
            <w:r w:rsidRPr="006612D6">
              <w:rPr>
                <w:rFonts w:cs="Calibri"/>
                <w:color w:val="000000"/>
                <w:sz w:val="20"/>
                <w:szCs w:val="20"/>
                <w:lang w:val="sr-Latn-RS" w:eastAsia="en-US"/>
              </w:rPr>
              <w:t>Relativno visok diverzitet vrsta i dominantnost kopepoda koji je nađen na području Bokokotorskog zaliva ukazuje na dobar status mezozooplanktonskih zajednica.</w:t>
            </w:r>
          </w:p>
        </w:tc>
      </w:tr>
      <w:tr w:rsidR="006612D6" w:rsidRPr="006612D6" w14:paraId="3A37572C" w14:textId="77777777" w:rsidTr="00E4149A">
        <w:tc>
          <w:tcPr>
            <w:tcW w:w="1413" w:type="dxa"/>
            <w:vMerge w:val="restart"/>
            <w:tcBorders>
              <w:top w:val="single" w:sz="4" w:space="0" w:color="0070C0"/>
              <w:left w:val="single" w:sz="4" w:space="0" w:color="0070C0"/>
              <w:bottom w:val="single" w:sz="4" w:space="0" w:color="0070C0"/>
              <w:right w:val="single" w:sz="4" w:space="0" w:color="0070C0"/>
            </w:tcBorders>
          </w:tcPr>
          <w:p w14:paraId="4D5DEB04" w14:textId="77777777" w:rsidR="006612D6" w:rsidRPr="006612D6" w:rsidRDefault="006612D6" w:rsidP="006612D6">
            <w:pPr>
              <w:spacing w:before="0" w:after="0" w:line="240" w:lineRule="auto"/>
              <w:jc w:val="left"/>
              <w:rPr>
                <w:rFonts w:cs="Calibri"/>
                <w:sz w:val="20"/>
                <w:szCs w:val="20"/>
                <w:lang w:val="sr-Latn-RS" w:eastAsia="en-US"/>
              </w:rPr>
            </w:pPr>
          </w:p>
          <w:p w14:paraId="270DE780" w14:textId="77777777" w:rsidR="006612D6" w:rsidRPr="006612D6" w:rsidRDefault="006612D6" w:rsidP="006612D6">
            <w:pPr>
              <w:spacing w:before="0" w:after="0" w:line="240" w:lineRule="auto"/>
              <w:jc w:val="left"/>
              <w:rPr>
                <w:rFonts w:cs="Calibri"/>
                <w:sz w:val="20"/>
                <w:szCs w:val="20"/>
                <w:lang w:val="sr-Latn-RS" w:eastAsia="en-US"/>
              </w:rPr>
            </w:pPr>
          </w:p>
          <w:p w14:paraId="5B76D451" w14:textId="77777777" w:rsidR="006612D6" w:rsidRPr="006612D6" w:rsidRDefault="006612D6" w:rsidP="006612D6">
            <w:pPr>
              <w:spacing w:before="0" w:after="0" w:line="240" w:lineRule="auto"/>
              <w:jc w:val="left"/>
              <w:rPr>
                <w:rFonts w:cs="Calibri"/>
                <w:sz w:val="20"/>
                <w:szCs w:val="20"/>
                <w:lang w:val="sr-Latn-RS" w:eastAsia="en-US"/>
              </w:rPr>
            </w:pPr>
          </w:p>
          <w:p w14:paraId="78BC17D1" w14:textId="77777777" w:rsidR="006612D6" w:rsidRPr="006612D6" w:rsidRDefault="006612D6" w:rsidP="006612D6">
            <w:pPr>
              <w:spacing w:before="0" w:after="0" w:line="240" w:lineRule="auto"/>
              <w:jc w:val="left"/>
              <w:rPr>
                <w:rFonts w:cs="Calibri"/>
                <w:sz w:val="20"/>
                <w:szCs w:val="20"/>
                <w:lang w:val="sr-Latn-RS" w:eastAsia="en-US"/>
              </w:rPr>
            </w:pPr>
          </w:p>
          <w:p w14:paraId="62EA9872"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Ukupan ihtioplankton</w:t>
            </w:r>
          </w:p>
        </w:tc>
        <w:tc>
          <w:tcPr>
            <w:tcW w:w="2690" w:type="dxa"/>
            <w:tcBorders>
              <w:top w:val="single" w:sz="4" w:space="0" w:color="0070C0"/>
              <w:left w:val="single" w:sz="4" w:space="0" w:color="0070C0"/>
              <w:bottom w:val="single" w:sz="4" w:space="0" w:color="0070C0"/>
              <w:right w:val="single" w:sz="4" w:space="0" w:color="0070C0"/>
            </w:tcBorders>
            <w:hideMark/>
          </w:tcPr>
          <w:p w14:paraId="5CE7406D" w14:textId="77777777" w:rsidR="006612D6" w:rsidRPr="006612D6" w:rsidRDefault="006612D6" w:rsidP="006612D6">
            <w:pPr>
              <w:spacing w:before="0" w:after="0" w:line="240" w:lineRule="auto"/>
              <w:jc w:val="left"/>
              <w:rPr>
                <w:sz w:val="20"/>
                <w:szCs w:val="20"/>
                <w:lang w:val="sr-Latn-RS" w:eastAsia="en-US"/>
              </w:rPr>
            </w:pPr>
            <w:r w:rsidRPr="006612D6">
              <w:rPr>
                <w:sz w:val="20"/>
                <w:szCs w:val="20"/>
                <w:lang w:val="sr-Latn-RS" w:eastAsia="en-US"/>
              </w:rPr>
              <w:t>Prostorna distribucija</w:t>
            </w:r>
          </w:p>
        </w:tc>
        <w:tc>
          <w:tcPr>
            <w:tcW w:w="4957" w:type="dxa"/>
            <w:tcBorders>
              <w:top w:val="single" w:sz="4" w:space="0" w:color="0070C0"/>
              <w:left w:val="single" w:sz="4" w:space="0" w:color="0070C0"/>
              <w:bottom w:val="single" w:sz="4" w:space="0" w:color="0070C0"/>
              <w:right w:val="single" w:sz="4" w:space="0" w:color="0070C0"/>
            </w:tcBorders>
            <w:hideMark/>
          </w:tcPr>
          <w:p w14:paraId="2E9F8ED5" w14:textId="77777777" w:rsidR="006612D6" w:rsidRPr="006612D6" w:rsidRDefault="006612D6" w:rsidP="006612D6">
            <w:pPr>
              <w:spacing w:before="0" w:after="0" w:line="240" w:lineRule="auto"/>
              <w:jc w:val="left"/>
              <w:rPr>
                <w:sz w:val="20"/>
                <w:szCs w:val="20"/>
                <w:lang w:val="sr-Latn-RS" w:eastAsia="en-US"/>
              </w:rPr>
            </w:pPr>
            <w:r w:rsidRPr="006612D6">
              <w:rPr>
                <w:sz w:val="20"/>
                <w:szCs w:val="20"/>
                <w:lang w:val="sr-Latn-RS" w:eastAsia="en-US"/>
              </w:rPr>
              <w:t xml:space="preserve">GES je postignut za područje Bokokotorskog zaliva. Ne postoji dugoročna serija podataka koja bi omogućila procjenu GES-a za otvoreno more. </w:t>
            </w:r>
          </w:p>
        </w:tc>
      </w:tr>
      <w:tr w:rsidR="006612D6" w:rsidRPr="006612D6" w14:paraId="4A5CD4CA" w14:textId="77777777" w:rsidTr="00E4149A">
        <w:tc>
          <w:tcPr>
            <w:tcW w:w="1413" w:type="dxa"/>
            <w:vMerge/>
            <w:tcBorders>
              <w:top w:val="single" w:sz="4" w:space="0" w:color="0070C0"/>
              <w:left w:val="single" w:sz="4" w:space="0" w:color="0070C0"/>
              <w:bottom w:val="single" w:sz="4" w:space="0" w:color="0070C0"/>
              <w:right w:val="single" w:sz="4" w:space="0" w:color="0070C0"/>
            </w:tcBorders>
            <w:vAlign w:val="center"/>
            <w:hideMark/>
          </w:tcPr>
          <w:p w14:paraId="78180BFF" w14:textId="77777777" w:rsidR="006612D6" w:rsidRPr="006612D6" w:rsidRDefault="006612D6" w:rsidP="006612D6">
            <w:pPr>
              <w:spacing w:before="0" w:after="0" w:line="240" w:lineRule="auto"/>
              <w:jc w:val="left"/>
              <w:rPr>
                <w:rFonts w:eastAsia="Times New Roman" w:cs="Calibri"/>
                <w:sz w:val="20"/>
                <w:szCs w:val="20"/>
                <w:lang w:val="sr-Latn-RS" w:eastAsia="en-US"/>
              </w:rPr>
            </w:pPr>
          </w:p>
        </w:tc>
        <w:tc>
          <w:tcPr>
            <w:tcW w:w="2690" w:type="dxa"/>
            <w:tcBorders>
              <w:top w:val="single" w:sz="4" w:space="0" w:color="0070C0"/>
              <w:left w:val="single" w:sz="4" w:space="0" w:color="0070C0"/>
              <w:bottom w:val="single" w:sz="4" w:space="0" w:color="0070C0"/>
              <w:right w:val="single" w:sz="4" w:space="0" w:color="0070C0"/>
            </w:tcBorders>
            <w:hideMark/>
          </w:tcPr>
          <w:p w14:paraId="4D912DBF" w14:textId="77777777" w:rsidR="006612D6" w:rsidRPr="006612D6" w:rsidRDefault="006612D6" w:rsidP="006612D6">
            <w:pPr>
              <w:spacing w:before="0" w:after="0" w:line="240" w:lineRule="auto"/>
              <w:jc w:val="left"/>
              <w:rPr>
                <w:sz w:val="20"/>
                <w:szCs w:val="20"/>
                <w:lang w:val="sr-Latn-RS" w:eastAsia="en-US"/>
              </w:rPr>
            </w:pPr>
            <w:r w:rsidRPr="006612D6">
              <w:rPr>
                <w:rFonts w:cs="Calibri"/>
                <w:sz w:val="20"/>
                <w:szCs w:val="20"/>
                <w:lang w:val="sr-Latn-RS" w:eastAsia="en-US"/>
              </w:rPr>
              <w:t>Abundanca (N/m</w:t>
            </w:r>
            <w:r w:rsidRPr="006612D6">
              <w:rPr>
                <w:rFonts w:cs="Calibri"/>
                <w:sz w:val="20"/>
                <w:szCs w:val="20"/>
                <w:vertAlign w:val="superscript"/>
                <w:lang w:val="sr-Latn-RS" w:eastAsia="en-US"/>
              </w:rPr>
              <w:t xml:space="preserve">2 </w:t>
            </w:r>
            <w:r w:rsidRPr="006612D6">
              <w:rPr>
                <w:rFonts w:cs="Calibri"/>
                <w:sz w:val="20"/>
                <w:szCs w:val="20"/>
                <w:lang w:val="sr-Latn-RS" w:eastAsia="en-US"/>
              </w:rPr>
              <w:t>površine mora)</w:t>
            </w:r>
          </w:p>
        </w:tc>
        <w:tc>
          <w:tcPr>
            <w:tcW w:w="4957" w:type="dxa"/>
            <w:tcBorders>
              <w:top w:val="single" w:sz="4" w:space="0" w:color="0070C0"/>
              <w:left w:val="single" w:sz="4" w:space="0" w:color="0070C0"/>
              <w:bottom w:val="single" w:sz="4" w:space="0" w:color="0070C0"/>
              <w:right w:val="single" w:sz="4" w:space="0" w:color="0070C0"/>
            </w:tcBorders>
            <w:hideMark/>
          </w:tcPr>
          <w:p w14:paraId="5594D8D2" w14:textId="77777777" w:rsidR="006612D6" w:rsidRPr="006612D6" w:rsidRDefault="006612D6" w:rsidP="006612D6">
            <w:pPr>
              <w:spacing w:before="0" w:after="0" w:line="240" w:lineRule="auto"/>
              <w:jc w:val="left"/>
              <w:rPr>
                <w:sz w:val="20"/>
                <w:szCs w:val="20"/>
                <w:lang w:val="sr-Latn-RS" w:eastAsia="en-US"/>
              </w:rPr>
            </w:pPr>
            <w:r w:rsidRPr="006612D6">
              <w:rPr>
                <w:sz w:val="20"/>
                <w:szCs w:val="20"/>
                <w:lang w:val="sr-Latn-RS" w:eastAsia="en-US"/>
              </w:rPr>
              <w:t xml:space="preserve">GES je postignut za područje Bokokotorskog zaliva s obzirom da je intenzitet mriješćenja veći od 30 jaja/larvi po m2 morske površine. </w:t>
            </w:r>
          </w:p>
          <w:p w14:paraId="4A4EC15C" w14:textId="77777777" w:rsidR="006612D6" w:rsidRPr="006612D6" w:rsidRDefault="006612D6" w:rsidP="006612D6">
            <w:pPr>
              <w:autoSpaceDE w:val="0"/>
              <w:autoSpaceDN w:val="0"/>
              <w:adjustRightInd w:val="0"/>
              <w:spacing w:before="0" w:after="0" w:line="240" w:lineRule="auto"/>
              <w:rPr>
                <w:rFonts w:cs="Calibri"/>
                <w:color w:val="000000"/>
                <w:sz w:val="20"/>
                <w:szCs w:val="20"/>
                <w:lang w:val="sr-Latn-RS" w:eastAsia="en-US"/>
              </w:rPr>
            </w:pPr>
            <w:r w:rsidRPr="006612D6">
              <w:rPr>
                <w:sz w:val="20"/>
                <w:szCs w:val="20"/>
                <w:lang w:val="sr-Latn-RS" w:eastAsia="en-US"/>
              </w:rPr>
              <w:t>Ne postoji dugoročna serija podataka koja bi omogućila procjenu GES-a za otvoreno more.</w:t>
            </w:r>
          </w:p>
        </w:tc>
      </w:tr>
      <w:tr w:rsidR="006612D6" w:rsidRPr="006612D6" w14:paraId="316EBDA7" w14:textId="77777777" w:rsidTr="00E4149A">
        <w:tc>
          <w:tcPr>
            <w:tcW w:w="1413" w:type="dxa"/>
            <w:vMerge/>
            <w:tcBorders>
              <w:top w:val="single" w:sz="4" w:space="0" w:color="0070C0"/>
              <w:left w:val="single" w:sz="4" w:space="0" w:color="0070C0"/>
              <w:bottom w:val="single" w:sz="4" w:space="0" w:color="0070C0"/>
              <w:right w:val="single" w:sz="4" w:space="0" w:color="0070C0"/>
            </w:tcBorders>
            <w:vAlign w:val="center"/>
            <w:hideMark/>
          </w:tcPr>
          <w:p w14:paraId="665C3893" w14:textId="77777777" w:rsidR="006612D6" w:rsidRPr="006612D6" w:rsidRDefault="006612D6" w:rsidP="006612D6">
            <w:pPr>
              <w:spacing w:before="0" w:after="0" w:line="240" w:lineRule="auto"/>
              <w:jc w:val="left"/>
              <w:rPr>
                <w:rFonts w:eastAsia="Times New Roman" w:cs="Calibri"/>
                <w:sz w:val="20"/>
                <w:szCs w:val="20"/>
                <w:lang w:val="sr-Latn-RS" w:eastAsia="en-US"/>
              </w:rPr>
            </w:pPr>
          </w:p>
        </w:tc>
        <w:tc>
          <w:tcPr>
            <w:tcW w:w="2690" w:type="dxa"/>
            <w:tcBorders>
              <w:top w:val="single" w:sz="4" w:space="0" w:color="0070C0"/>
              <w:left w:val="single" w:sz="4" w:space="0" w:color="0070C0"/>
              <w:bottom w:val="single" w:sz="4" w:space="0" w:color="0070C0"/>
              <w:right w:val="single" w:sz="4" w:space="0" w:color="0070C0"/>
            </w:tcBorders>
            <w:hideMark/>
          </w:tcPr>
          <w:p w14:paraId="7AF34E85" w14:textId="77777777" w:rsidR="006612D6" w:rsidRPr="006612D6" w:rsidRDefault="006612D6" w:rsidP="006612D6">
            <w:pPr>
              <w:spacing w:before="0" w:after="0" w:line="240" w:lineRule="auto"/>
              <w:jc w:val="left"/>
              <w:rPr>
                <w:sz w:val="20"/>
                <w:szCs w:val="20"/>
                <w:lang w:val="sr-Latn-RS" w:eastAsia="en-US"/>
              </w:rPr>
            </w:pPr>
            <w:r w:rsidRPr="006612D6">
              <w:rPr>
                <w:sz w:val="20"/>
                <w:szCs w:val="20"/>
                <w:lang w:val="sr-Latn-RS" w:eastAsia="en-US"/>
              </w:rPr>
              <w:t>Indeksi diverziteta</w:t>
            </w:r>
          </w:p>
        </w:tc>
        <w:tc>
          <w:tcPr>
            <w:tcW w:w="4957" w:type="dxa"/>
            <w:tcBorders>
              <w:top w:val="single" w:sz="4" w:space="0" w:color="0070C0"/>
              <w:left w:val="single" w:sz="4" w:space="0" w:color="0070C0"/>
              <w:bottom w:val="single" w:sz="4" w:space="0" w:color="0070C0"/>
              <w:right w:val="single" w:sz="4" w:space="0" w:color="0070C0"/>
            </w:tcBorders>
            <w:hideMark/>
          </w:tcPr>
          <w:p w14:paraId="63182C77" w14:textId="77777777" w:rsidR="006612D6" w:rsidRPr="006612D6" w:rsidRDefault="006612D6" w:rsidP="006612D6">
            <w:pPr>
              <w:autoSpaceDE w:val="0"/>
              <w:autoSpaceDN w:val="0"/>
              <w:adjustRightInd w:val="0"/>
              <w:spacing w:before="0" w:after="0" w:line="240" w:lineRule="auto"/>
              <w:rPr>
                <w:rFonts w:cs="Calibri"/>
                <w:color w:val="000000"/>
                <w:sz w:val="20"/>
                <w:szCs w:val="20"/>
                <w:lang w:val="sr-Latn-RS" w:eastAsia="en-US"/>
              </w:rPr>
            </w:pPr>
            <w:r w:rsidRPr="006612D6">
              <w:rPr>
                <w:sz w:val="20"/>
                <w:szCs w:val="20"/>
                <w:lang w:val="sr-Latn-RS" w:eastAsia="en-US"/>
              </w:rPr>
              <w:t>GES je postignut za područje Bokokotorskog zaliva. Ne postoji dugoročna serija podataka koja bi omogućila procjenu GES-a za otvoreno more.</w:t>
            </w:r>
          </w:p>
        </w:tc>
      </w:tr>
      <w:tr w:rsidR="006612D6" w:rsidRPr="006612D6" w14:paraId="637799A6" w14:textId="77777777" w:rsidTr="00E4149A">
        <w:tc>
          <w:tcPr>
            <w:tcW w:w="1413" w:type="dxa"/>
            <w:vMerge w:val="restart"/>
            <w:tcBorders>
              <w:top w:val="single" w:sz="4" w:space="0" w:color="0070C0"/>
              <w:left w:val="single" w:sz="4" w:space="0" w:color="0070C0"/>
              <w:bottom w:val="single" w:sz="4" w:space="0" w:color="0070C0"/>
              <w:right w:val="single" w:sz="4" w:space="0" w:color="0070C0"/>
            </w:tcBorders>
            <w:hideMark/>
          </w:tcPr>
          <w:p w14:paraId="006E8324"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Ihtioplankton</w:t>
            </w:r>
          </w:p>
          <w:p w14:paraId="2AA9BCE5" w14:textId="77777777" w:rsidR="006612D6" w:rsidRPr="006612D6" w:rsidRDefault="006612D6" w:rsidP="006612D6">
            <w:pPr>
              <w:spacing w:before="0" w:after="0" w:line="240" w:lineRule="auto"/>
              <w:jc w:val="left"/>
              <w:rPr>
                <w:rFonts w:cs="Calibri"/>
                <w:sz w:val="20"/>
                <w:szCs w:val="20"/>
                <w:lang w:val="sr-Latn-RS" w:eastAsia="en-US"/>
              </w:rPr>
            </w:pPr>
            <w:r w:rsidRPr="006612D6">
              <w:rPr>
                <w:rFonts w:cs="Calibri"/>
                <w:sz w:val="20"/>
                <w:szCs w:val="20"/>
                <w:lang w:val="sr-Latn-RS" w:eastAsia="en-US"/>
              </w:rPr>
              <w:t>Jaja i larve inćuna</w:t>
            </w:r>
          </w:p>
        </w:tc>
        <w:tc>
          <w:tcPr>
            <w:tcW w:w="2690" w:type="dxa"/>
            <w:tcBorders>
              <w:top w:val="single" w:sz="4" w:space="0" w:color="0070C0"/>
              <w:left w:val="single" w:sz="4" w:space="0" w:color="0070C0"/>
              <w:bottom w:val="single" w:sz="4" w:space="0" w:color="0070C0"/>
              <w:right w:val="single" w:sz="4" w:space="0" w:color="0070C0"/>
            </w:tcBorders>
            <w:hideMark/>
          </w:tcPr>
          <w:p w14:paraId="4CC0553D" w14:textId="77777777" w:rsidR="006612D6" w:rsidRPr="006612D6" w:rsidRDefault="006612D6" w:rsidP="006612D6">
            <w:pPr>
              <w:spacing w:before="0" w:after="0" w:line="240" w:lineRule="auto"/>
              <w:jc w:val="left"/>
              <w:rPr>
                <w:sz w:val="20"/>
                <w:szCs w:val="20"/>
                <w:lang w:val="sr-Latn-RS" w:eastAsia="en-US"/>
              </w:rPr>
            </w:pPr>
            <w:r w:rsidRPr="006612D6">
              <w:rPr>
                <w:sz w:val="20"/>
                <w:szCs w:val="20"/>
                <w:lang w:val="sr-Latn-RS" w:eastAsia="en-US"/>
              </w:rPr>
              <w:t>Prostorna distribucija</w:t>
            </w:r>
          </w:p>
        </w:tc>
        <w:tc>
          <w:tcPr>
            <w:tcW w:w="4957" w:type="dxa"/>
            <w:tcBorders>
              <w:top w:val="single" w:sz="4" w:space="0" w:color="0070C0"/>
              <w:left w:val="single" w:sz="4" w:space="0" w:color="0070C0"/>
              <w:bottom w:val="single" w:sz="4" w:space="0" w:color="0070C0"/>
              <w:right w:val="single" w:sz="4" w:space="0" w:color="0070C0"/>
            </w:tcBorders>
            <w:hideMark/>
          </w:tcPr>
          <w:p w14:paraId="0992E569" w14:textId="77777777" w:rsidR="006612D6" w:rsidRPr="006612D6" w:rsidRDefault="006612D6" w:rsidP="006612D6">
            <w:pPr>
              <w:spacing w:before="0" w:after="0" w:line="240" w:lineRule="auto"/>
              <w:jc w:val="left"/>
              <w:rPr>
                <w:sz w:val="20"/>
                <w:szCs w:val="20"/>
                <w:lang w:val="sr-Latn-RS" w:eastAsia="en-US"/>
              </w:rPr>
            </w:pPr>
            <w:r w:rsidRPr="006612D6">
              <w:rPr>
                <w:sz w:val="20"/>
                <w:szCs w:val="20"/>
                <w:lang w:val="sr-Latn-RS" w:eastAsia="en-US"/>
              </w:rPr>
              <w:t>GES je postignut za područje Bokokotorskog zaliva i otvorenog mora Crne Gore.</w:t>
            </w:r>
          </w:p>
        </w:tc>
      </w:tr>
      <w:tr w:rsidR="006612D6" w:rsidRPr="006612D6" w14:paraId="59902C30" w14:textId="77777777" w:rsidTr="00E4149A">
        <w:tc>
          <w:tcPr>
            <w:tcW w:w="1413" w:type="dxa"/>
            <w:vMerge/>
            <w:tcBorders>
              <w:top w:val="single" w:sz="4" w:space="0" w:color="0070C0"/>
              <w:left w:val="single" w:sz="4" w:space="0" w:color="0070C0"/>
              <w:bottom w:val="single" w:sz="4" w:space="0" w:color="0070C0"/>
              <w:right w:val="single" w:sz="4" w:space="0" w:color="0070C0"/>
            </w:tcBorders>
            <w:vAlign w:val="center"/>
            <w:hideMark/>
          </w:tcPr>
          <w:p w14:paraId="7E4E7175" w14:textId="77777777" w:rsidR="006612D6" w:rsidRPr="006612D6" w:rsidRDefault="006612D6" w:rsidP="006612D6">
            <w:pPr>
              <w:spacing w:before="0" w:after="0" w:line="240" w:lineRule="auto"/>
              <w:jc w:val="left"/>
              <w:rPr>
                <w:rFonts w:eastAsia="Times New Roman" w:cs="Calibri"/>
                <w:sz w:val="20"/>
                <w:szCs w:val="20"/>
                <w:lang w:val="sr-Latn-RS" w:eastAsia="en-US"/>
              </w:rPr>
            </w:pPr>
          </w:p>
        </w:tc>
        <w:tc>
          <w:tcPr>
            <w:tcW w:w="2690" w:type="dxa"/>
            <w:tcBorders>
              <w:top w:val="single" w:sz="4" w:space="0" w:color="0070C0"/>
              <w:left w:val="single" w:sz="4" w:space="0" w:color="0070C0"/>
              <w:bottom w:val="single" w:sz="4" w:space="0" w:color="0070C0"/>
              <w:right w:val="single" w:sz="4" w:space="0" w:color="0070C0"/>
            </w:tcBorders>
            <w:hideMark/>
          </w:tcPr>
          <w:p w14:paraId="226394E2" w14:textId="77777777" w:rsidR="006612D6" w:rsidRPr="006612D6" w:rsidRDefault="006612D6" w:rsidP="006612D6">
            <w:pPr>
              <w:spacing w:before="0" w:after="0" w:line="240" w:lineRule="auto"/>
              <w:jc w:val="left"/>
              <w:rPr>
                <w:sz w:val="20"/>
                <w:szCs w:val="20"/>
                <w:lang w:val="sr-Latn-RS" w:eastAsia="en-US"/>
              </w:rPr>
            </w:pPr>
            <w:r w:rsidRPr="006612D6">
              <w:rPr>
                <w:rFonts w:cs="Calibri"/>
                <w:sz w:val="20"/>
                <w:szCs w:val="20"/>
                <w:lang w:val="sr-Latn-RS" w:eastAsia="en-US"/>
              </w:rPr>
              <w:t>Abundanca (N/m</w:t>
            </w:r>
            <w:r w:rsidRPr="006612D6">
              <w:rPr>
                <w:rFonts w:cs="Calibri"/>
                <w:sz w:val="20"/>
                <w:szCs w:val="20"/>
                <w:vertAlign w:val="superscript"/>
                <w:lang w:val="sr-Latn-RS" w:eastAsia="en-US"/>
              </w:rPr>
              <w:t xml:space="preserve">2 </w:t>
            </w:r>
            <w:r w:rsidRPr="006612D6">
              <w:rPr>
                <w:rFonts w:cs="Calibri"/>
                <w:sz w:val="20"/>
                <w:szCs w:val="20"/>
                <w:lang w:val="sr-Latn-RS" w:eastAsia="en-US"/>
              </w:rPr>
              <w:t>površine mora)</w:t>
            </w:r>
          </w:p>
        </w:tc>
        <w:tc>
          <w:tcPr>
            <w:tcW w:w="4957" w:type="dxa"/>
            <w:tcBorders>
              <w:top w:val="single" w:sz="4" w:space="0" w:color="0070C0"/>
              <w:left w:val="single" w:sz="4" w:space="0" w:color="0070C0"/>
              <w:bottom w:val="single" w:sz="4" w:space="0" w:color="0070C0"/>
              <w:right w:val="single" w:sz="4" w:space="0" w:color="0070C0"/>
            </w:tcBorders>
            <w:hideMark/>
          </w:tcPr>
          <w:p w14:paraId="615373D9" w14:textId="77777777" w:rsidR="006612D6" w:rsidRPr="006612D6" w:rsidRDefault="006612D6" w:rsidP="006612D6">
            <w:pPr>
              <w:spacing w:before="0" w:after="0" w:line="240" w:lineRule="auto"/>
              <w:jc w:val="left"/>
              <w:rPr>
                <w:sz w:val="20"/>
                <w:szCs w:val="20"/>
                <w:lang w:val="sr-Latn-RS" w:eastAsia="en-US"/>
              </w:rPr>
            </w:pPr>
            <w:r w:rsidRPr="006612D6">
              <w:rPr>
                <w:sz w:val="20"/>
                <w:szCs w:val="20"/>
                <w:lang w:val="sr-Latn-RS" w:eastAsia="en-US"/>
              </w:rPr>
              <w:t>GES je postignut za područje Bokokotorskog zaliva i otvorenog mora Crne Gore.</w:t>
            </w:r>
          </w:p>
        </w:tc>
      </w:tr>
    </w:tbl>
    <w:p w14:paraId="0AFC1DE9" w14:textId="7C5B21B4" w:rsidR="006612D6" w:rsidRDefault="006612D6" w:rsidP="006612D6">
      <w:pPr>
        <w:rPr>
          <w:lang w:val="sr-Latn-RS"/>
        </w:rPr>
      </w:pPr>
    </w:p>
    <w:p w14:paraId="4F28F3BF" w14:textId="77777777" w:rsidR="006A72D8" w:rsidRPr="006612D6" w:rsidRDefault="006A72D8" w:rsidP="006612D6">
      <w:pPr>
        <w:rPr>
          <w:lang w:val="sr-Latn-RS"/>
        </w:rPr>
      </w:pPr>
    </w:p>
    <w:p w14:paraId="758B4ECE" w14:textId="490C4CC9" w:rsidR="006A72D8" w:rsidRDefault="006612D6" w:rsidP="006A72D8">
      <w:pPr>
        <w:pStyle w:val="Heading3"/>
        <w:autoSpaceDE w:val="0"/>
        <w:autoSpaceDN w:val="0"/>
        <w:adjustRightInd w:val="0"/>
        <w:spacing w:before="0" w:after="0"/>
        <w:ind w:left="1134" w:hanging="708"/>
        <w:rPr>
          <w:rFonts w:eastAsia="Calibri"/>
          <w:lang w:val="en-GB" w:eastAsia="en-US"/>
        </w:rPr>
      </w:pPr>
      <w:bookmarkStart w:id="370" w:name="_Toc83630981"/>
      <w:bookmarkStart w:id="371" w:name="_Toc69678431"/>
      <w:r w:rsidRPr="00496597">
        <w:rPr>
          <w:rFonts w:eastAsia="Calibri"/>
          <w:lang w:val="en-GB" w:eastAsia="en-US"/>
        </w:rPr>
        <w:t xml:space="preserve">Pristup </w:t>
      </w:r>
      <w:r w:rsidR="00496597" w:rsidRPr="00496597">
        <w:rPr>
          <w:rFonts w:eastAsia="Calibri"/>
          <w:lang w:val="en-GB" w:eastAsia="en-US"/>
        </w:rPr>
        <w:t xml:space="preserve">definisanju ciljeva </w:t>
      </w:r>
      <w:r w:rsidR="00496597">
        <w:rPr>
          <w:rFonts w:eastAsia="Calibri"/>
          <w:lang w:val="en-GB" w:eastAsia="en-US"/>
        </w:rPr>
        <w:t>za ostvarivanje/održavan</w:t>
      </w:r>
      <w:r w:rsidR="000D7E1E">
        <w:rPr>
          <w:rFonts w:eastAsia="Calibri"/>
          <w:lang w:val="en-GB" w:eastAsia="en-US"/>
        </w:rPr>
        <w:t>j</w:t>
      </w:r>
      <w:r w:rsidR="00496597">
        <w:rPr>
          <w:rFonts w:eastAsia="Calibri"/>
          <w:lang w:val="en-GB" w:eastAsia="en-US"/>
        </w:rPr>
        <w:t>e GES- a za P</w:t>
      </w:r>
      <w:r w:rsidR="00496597" w:rsidRPr="00496597">
        <w:rPr>
          <w:rFonts w:eastAsia="Calibri"/>
          <w:lang w:val="en-GB" w:eastAsia="en-US"/>
        </w:rPr>
        <w:t>elgičn</w:t>
      </w:r>
      <w:r w:rsidR="002E74ED">
        <w:rPr>
          <w:rFonts w:eastAsia="Calibri"/>
          <w:lang w:val="en-GB" w:eastAsia="en-US"/>
        </w:rPr>
        <w:t>a</w:t>
      </w:r>
      <w:r w:rsidR="00496597" w:rsidRPr="00496597">
        <w:rPr>
          <w:rFonts w:eastAsia="Calibri"/>
          <w:lang w:val="en-GB" w:eastAsia="en-US"/>
        </w:rPr>
        <w:t xml:space="preserve"> staništa</w:t>
      </w:r>
      <w:bookmarkEnd w:id="370"/>
      <w:r w:rsidR="00496597" w:rsidRPr="00496597">
        <w:rPr>
          <w:rFonts w:eastAsia="Calibri"/>
          <w:lang w:val="en-GB" w:eastAsia="en-US"/>
        </w:rPr>
        <w:t xml:space="preserve"> </w:t>
      </w:r>
      <w:bookmarkEnd w:id="371"/>
    </w:p>
    <w:p w14:paraId="77EA8E90" w14:textId="77777777" w:rsidR="006F740E" w:rsidRPr="006F740E" w:rsidRDefault="006F740E" w:rsidP="006F740E">
      <w:pPr>
        <w:rPr>
          <w:rFonts w:eastAsia="Calibri"/>
          <w:lang w:val="en-GB" w:eastAsia="en-US"/>
        </w:rPr>
      </w:pPr>
    </w:p>
    <w:p w14:paraId="2A547539" w14:textId="172490BC" w:rsidR="006612D6" w:rsidRPr="006612D6" w:rsidRDefault="006612D6" w:rsidP="00B52DD2">
      <w:pPr>
        <w:autoSpaceDE w:val="0"/>
        <w:autoSpaceDN w:val="0"/>
        <w:adjustRightInd w:val="0"/>
        <w:spacing w:before="0" w:after="120"/>
        <w:rPr>
          <w:rFonts w:eastAsia="Calibri" w:cs="Calibri"/>
          <w:color w:val="000000"/>
          <w:szCs w:val="22"/>
          <w:lang w:val="sr-Latn-RS" w:eastAsia="en-US"/>
        </w:rPr>
      </w:pPr>
      <w:r w:rsidRPr="006612D6">
        <w:rPr>
          <w:rFonts w:eastAsia="Calibri" w:cs="Calibri"/>
          <w:color w:val="000000"/>
          <w:szCs w:val="22"/>
          <w:lang w:val="sr-Latn-RS" w:eastAsia="en-US"/>
        </w:rPr>
        <w:t xml:space="preserve">Budući da na plankton snažno utiču klimatske i prirodne promjene, ciljevi moraju omogućiti </w:t>
      </w:r>
      <w:r w:rsidR="00327213">
        <w:rPr>
          <w:rFonts w:eastAsia="Calibri" w:cs="Calibri"/>
          <w:color w:val="000000"/>
          <w:szCs w:val="22"/>
          <w:lang w:val="sr-Latn-RS" w:eastAsia="en-US"/>
        </w:rPr>
        <w:t xml:space="preserve">praćenje </w:t>
      </w:r>
      <w:r w:rsidRPr="006612D6">
        <w:rPr>
          <w:rFonts w:eastAsia="Calibri" w:cs="Calibri"/>
          <w:color w:val="000000"/>
          <w:szCs w:val="22"/>
          <w:lang w:val="sr-Latn-RS" w:eastAsia="en-US"/>
        </w:rPr>
        <w:t>promjen</w:t>
      </w:r>
      <w:r w:rsidR="00327213">
        <w:rPr>
          <w:rFonts w:eastAsia="Calibri" w:cs="Calibri"/>
          <w:color w:val="000000"/>
          <w:szCs w:val="22"/>
          <w:lang w:val="sr-Latn-RS" w:eastAsia="en-US"/>
        </w:rPr>
        <w:t>a</w:t>
      </w:r>
      <w:r w:rsidRPr="006612D6">
        <w:rPr>
          <w:rFonts w:eastAsia="Calibri" w:cs="Calibri"/>
          <w:color w:val="000000"/>
          <w:szCs w:val="22"/>
          <w:lang w:val="sr-Latn-RS" w:eastAsia="en-US"/>
        </w:rPr>
        <w:t xml:space="preserve"> u tom kontekstu (Tabela 3.21). Upoređenjem između sezonskih promjena životnih oblika koje se javljaju u obalnim vodama sa onima na otvorenom moru može pomoći da razlikujemo promjene nastale uslijed antropogenih pritisaka i promjene nastale uslijed klimatskih i prirodnih promjena. Ukoliko se pomak indikatora planktona dogodi u priobalnim vodama istovremeno sa pritiskom (obogaćivanje nutrijentima, </w:t>
      </w:r>
      <w:r w:rsidR="00327213">
        <w:rPr>
          <w:rFonts w:eastAsia="Calibri" w:cs="Calibri"/>
          <w:color w:val="000000"/>
          <w:szCs w:val="22"/>
          <w:lang w:val="sr-Latn-RS" w:eastAsia="en-US"/>
        </w:rPr>
        <w:t xml:space="preserve">pojava stranih vrsta </w:t>
      </w:r>
      <w:r w:rsidRPr="006612D6">
        <w:rPr>
          <w:rFonts w:eastAsia="Calibri" w:cs="Calibri"/>
          <w:color w:val="000000"/>
          <w:szCs w:val="22"/>
          <w:lang w:val="sr-Latn-RS" w:eastAsia="en-US"/>
        </w:rPr>
        <w:t>itd.) i ukoliko ne postoji odgovarajući pomak u drugim obalnim vremenskim serijama ili na otvorenom moru, priobalni pomak mogao bi biti odgovor na antropogeni pritisak, posebno ako postoji korelacija između trenda životnih oblika i antropogenog pritiska.</w:t>
      </w:r>
    </w:p>
    <w:p w14:paraId="0521E241" w14:textId="088D1C9D" w:rsidR="006612D6" w:rsidRPr="006612D6" w:rsidRDefault="006612D6" w:rsidP="00B52DD2">
      <w:pPr>
        <w:autoSpaceDE w:val="0"/>
        <w:autoSpaceDN w:val="0"/>
        <w:adjustRightInd w:val="0"/>
        <w:spacing w:before="0" w:after="120"/>
        <w:rPr>
          <w:rFonts w:eastAsia="Calibri" w:cs="Calibri"/>
          <w:color w:val="000000"/>
          <w:szCs w:val="22"/>
          <w:lang w:val="sr-Latn-RS" w:eastAsia="en-US"/>
        </w:rPr>
      </w:pPr>
      <w:r w:rsidRPr="006612D6">
        <w:rPr>
          <w:rFonts w:eastAsia="Calibri" w:cs="Calibri"/>
          <w:color w:val="000000"/>
          <w:szCs w:val="22"/>
          <w:lang w:val="sr-Latn-RS" w:eastAsia="en-US"/>
        </w:rPr>
        <w:t>Uz to, ciljevi predloženi u Deskriptoru 3 za pelagične vrste i Deskriptor</w:t>
      </w:r>
      <w:r w:rsidR="00327213">
        <w:rPr>
          <w:rFonts w:eastAsia="Calibri" w:cs="Calibri"/>
          <w:color w:val="000000"/>
          <w:szCs w:val="22"/>
          <w:lang w:val="sr-Latn-RS" w:eastAsia="en-US"/>
        </w:rPr>
        <w:t>u</w:t>
      </w:r>
      <w:r w:rsidRPr="006612D6">
        <w:rPr>
          <w:rFonts w:eastAsia="Calibri" w:cs="Calibri"/>
          <w:color w:val="000000"/>
          <w:szCs w:val="22"/>
          <w:lang w:val="sr-Latn-RS" w:eastAsia="en-US"/>
        </w:rPr>
        <w:t xml:space="preserve"> 5 </w:t>
      </w:r>
      <w:r w:rsidR="00327213">
        <w:rPr>
          <w:rFonts w:eastAsia="Calibri" w:cs="Calibri"/>
          <w:color w:val="000000"/>
          <w:szCs w:val="22"/>
          <w:lang w:val="sr-Latn-RS" w:eastAsia="en-US"/>
        </w:rPr>
        <w:t xml:space="preserve">za sastav fitoplanktonske zajednice i chl a, </w:t>
      </w:r>
      <w:r w:rsidRPr="006612D6">
        <w:rPr>
          <w:rFonts w:eastAsia="Calibri" w:cs="Calibri"/>
          <w:color w:val="000000"/>
          <w:szCs w:val="22"/>
          <w:lang w:val="sr-Latn-RS" w:eastAsia="en-US"/>
        </w:rPr>
        <w:t xml:space="preserve">vjerovatno će podržati postizanje GES-a </w:t>
      </w:r>
      <w:r w:rsidR="00327213">
        <w:rPr>
          <w:rFonts w:eastAsia="Calibri" w:cs="Calibri"/>
          <w:color w:val="000000"/>
          <w:szCs w:val="22"/>
          <w:lang w:val="sr-Latn-RS" w:eastAsia="en-US"/>
        </w:rPr>
        <w:t xml:space="preserve">i </w:t>
      </w:r>
      <w:r w:rsidRPr="006612D6">
        <w:rPr>
          <w:rFonts w:eastAsia="Calibri" w:cs="Calibri"/>
          <w:color w:val="000000"/>
          <w:szCs w:val="22"/>
          <w:lang w:val="sr-Latn-RS" w:eastAsia="en-US"/>
        </w:rPr>
        <w:t>za pelagična staništa.</w:t>
      </w:r>
    </w:p>
    <w:p w14:paraId="769BE6E5" w14:textId="77777777" w:rsidR="00C87B62" w:rsidRDefault="00C87B62" w:rsidP="006612D6">
      <w:pPr>
        <w:rPr>
          <w:rFonts w:eastAsia="Calibri"/>
          <w:b/>
          <w:szCs w:val="22"/>
          <w:lang w:val="sr-Latn-RS" w:eastAsia="en-US"/>
        </w:rPr>
      </w:pPr>
      <w:bookmarkStart w:id="372" w:name="_Toc83643218"/>
    </w:p>
    <w:p w14:paraId="55F5C983" w14:textId="77777777" w:rsidR="00C87B62" w:rsidRDefault="00C87B62" w:rsidP="006612D6">
      <w:pPr>
        <w:rPr>
          <w:rFonts w:eastAsia="Calibri"/>
          <w:b/>
          <w:szCs w:val="22"/>
          <w:lang w:val="sr-Latn-RS" w:eastAsia="en-US"/>
        </w:rPr>
      </w:pPr>
    </w:p>
    <w:p w14:paraId="1C724E7D" w14:textId="48BE990B" w:rsidR="006612D6" w:rsidRPr="006612D6" w:rsidRDefault="006612D6" w:rsidP="006612D6">
      <w:pPr>
        <w:rPr>
          <w:rFonts w:eastAsia="Calibri"/>
          <w:b/>
          <w:szCs w:val="22"/>
          <w:lang w:val="sr-Latn-RS" w:eastAsia="en-US"/>
        </w:rPr>
      </w:pPr>
      <w:r w:rsidRPr="006612D6">
        <w:rPr>
          <w:rFonts w:eastAsia="Calibri"/>
          <w:b/>
          <w:szCs w:val="22"/>
          <w:lang w:val="sr-Latn-RS" w:eastAsia="en-US"/>
        </w:rPr>
        <w:t xml:space="preserve">Tabela </w:t>
      </w:r>
      <w:r w:rsidRPr="006612D6">
        <w:fldChar w:fldCharType="begin"/>
      </w:r>
      <w:r w:rsidRPr="006612D6">
        <w:rPr>
          <w:b/>
          <w:szCs w:val="22"/>
          <w:lang w:val="sr-Latn-RS"/>
        </w:rPr>
        <w:instrText xml:space="preserve"> STYLEREF 1 \s </w:instrText>
      </w:r>
      <w:r w:rsidRPr="006612D6">
        <w:fldChar w:fldCharType="separate"/>
      </w:r>
      <w:r w:rsidR="000D1E20">
        <w:rPr>
          <w:b/>
          <w:noProof/>
          <w:szCs w:val="22"/>
          <w:lang w:val="sr-Latn-RS"/>
        </w:rPr>
        <w:t>3</w:t>
      </w:r>
      <w:r w:rsidRPr="006612D6">
        <w:fldChar w:fldCharType="end"/>
      </w:r>
      <w:r w:rsidRPr="006612D6">
        <w:rPr>
          <w:b/>
          <w:szCs w:val="22"/>
          <w:lang w:val="sr-Latn-RS"/>
        </w:rPr>
        <w:t>.</w:t>
      </w:r>
      <w:r w:rsidRPr="006612D6">
        <w:fldChar w:fldCharType="begin"/>
      </w:r>
      <w:r w:rsidRPr="006612D6">
        <w:rPr>
          <w:b/>
          <w:szCs w:val="22"/>
          <w:lang w:val="sr-Latn-RS"/>
        </w:rPr>
        <w:instrText xml:space="preserve"> SEQ Table \* ARABIC \s 1 </w:instrText>
      </w:r>
      <w:r w:rsidRPr="006612D6">
        <w:fldChar w:fldCharType="separate"/>
      </w:r>
      <w:r w:rsidR="000D1E20">
        <w:rPr>
          <w:b/>
          <w:noProof/>
          <w:szCs w:val="22"/>
          <w:lang w:val="sr-Latn-RS"/>
        </w:rPr>
        <w:t>22</w:t>
      </w:r>
      <w:r w:rsidRPr="006612D6">
        <w:fldChar w:fldCharType="end"/>
      </w:r>
      <w:r w:rsidRPr="006612D6">
        <w:rPr>
          <w:b/>
          <w:szCs w:val="22"/>
          <w:lang w:val="sr-Latn-RS"/>
        </w:rPr>
        <w:t>.</w:t>
      </w:r>
      <w:r w:rsidRPr="006612D6">
        <w:rPr>
          <w:rFonts w:eastAsia="Calibri" w:cs="Calibri"/>
          <w:b/>
          <w:szCs w:val="22"/>
          <w:lang w:val="sr-Latn-RS" w:eastAsia="en-US"/>
        </w:rPr>
        <w:t xml:space="preserve"> </w:t>
      </w:r>
      <w:r w:rsidRPr="006612D6">
        <w:rPr>
          <w:rFonts w:eastAsia="Calibri"/>
          <w:b/>
          <w:szCs w:val="22"/>
          <w:lang w:val="sr-Latn-RS" w:eastAsia="en-US"/>
        </w:rPr>
        <w:t xml:space="preserve"> </w:t>
      </w:r>
      <w:r w:rsidR="00496597">
        <w:rPr>
          <w:rFonts w:eastAsia="Calibri"/>
          <w:b/>
          <w:szCs w:val="22"/>
          <w:lang w:val="sr-Latn-RS" w:eastAsia="en-US"/>
        </w:rPr>
        <w:t>C</w:t>
      </w:r>
      <w:r w:rsidRPr="006612D6">
        <w:rPr>
          <w:rFonts w:eastAsia="Calibri"/>
          <w:b/>
          <w:szCs w:val="22"/>
          <w:lang w:val="sr-Latn-RS" w:eastAsia="en-US"/>
        </w:rPr>
        <w:t xml:space="preserve">iljevi </w:t>
      </w:r>
      <w:bookmarkStart w:id="373" w:name="_Hlk78661703"/>
      <w:r w:rsidRPr="006612D6">
        <w:rPr>
          <w:rFonts w:eastAsia="Calibri"/>
          <w:b/>
          <w:szCs w:val="22"/>
          <w:lang w:val="sr-Latn-RS" w:eastAsia="en-US"/>
        </w:rPr>
        <w:t xml:space="preserve">koji vode ka </w:t>
      </w:r>
      <w:r w:rsidR="00496597">
        <w:rPr>
          <w:rFonts w:eastAsia="Calibri"/>
          <w:b/>
          <w:szCs w:val="22"/>
          <w:lang w:val="sr-Latn-RS" w:eastAsia="en-US"/>
        </w:rPr>
        <w:t xml:space="preserve">napretku </w:t>
      </w:r>
      <w:r w:rsidRPr="006612D6">
        <w:rPr>
          <w:rFonts w:eastAsia="Calibri"/>
          <w:b/>
          <w:szCs w:val="22"/>
          <w:lang w:val="sr-Latn-RS" w:eastAsia="en-US"/>
        </w:rPr>
        <w:t>u postizanja GES-a za Pelagična staništa</w:t>
      </w:r>
      <w:bookmarkEnd w:id="372"/>
      <w:r w:rsidRPr="006612D6">
        <w:rPr>
          <w:rFonts w:eastAsia="Calibri"/>
          <w:b/>
          <w:szCs w:val="22"/>
          <w:lang w:val="sr-Latn-RS" w:eastAsia="en-US"/>
        </w:rPr>
        <w:t xml:space="preserve"> </w:t>
      </w:r>
      <w:bookmarkEnd w:id="373"/>
    </w:p>
    <w:tbl>
      <w:tblPr>
        <w:tblStyle w:val="GolderTable34"/>
        <w:tblW w:w="9060"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ayout w:type="fixed"/>
        <w:tblLook w:val="04A0" w:firstRow="1" w:lastRow="0" w:firstColumn="1" w:lastColumn="0" w:noHBand="0" w:noVBand="1"/>
      </w:tblPr>
      <w:tblGrid>
        <w:gridCol w:w="1412"/>
        <w:gridCol w:w="6657"/>
        <w:gridCol w:w="991"/>
      </w:tblGrid>
      <w:tr w:rsidR="006B75DD" w:rsidRPr="006612D6" w14:paraId="7108A47E" w14:textId="77777777" w:rsidTr="00B4601E">
        <w:tc>
          <w:tcPr>
            <w:tcW w:w="9060" w:type="dxa"/>
            <w:gridSpan w:val="3"/>
            <w:tcBorders>
              <w:top w:val="single" w:sz="4" w:space="0" w:color="2E74B5"/>
              <w:left w:val="single" w:sz="4" w:space="0" w:color="2E74B5"/>
              <w:bottom w:val="single" w:sz="4" w:space="0" w:color="2E74B5"/>
              <w:right w:val="single" w:sz="4" w:space="0" w:color="2E74B5"/>
            </w:tcBorders>
            <w:shd w:val="clear" w:color="auto" w:fill="1F497D" w:themeFill="text2"/>
          </w:tcPr>
          <w:p w14:paraId="73D3F85D" w14:textId="40645EE8" w:rsidR="006B75DD" w:rsidRPr="00E36DAD" w:rsidRDefault="006B75DD" w:rsidP="006B75DD">
            <w:pPr>
              <w:tabs>
                <w:tab w:val="left" w:pos="1992"/>
              </w:tabs>
              <w:spacing w:before="0" w:after="0" w:line="240" w:lineRule="auto"/>
              <w:jc w:val="center"/>
              <w:rPr>
                <w:b/>
                <w:color w:val="FFFFFF" w:themeColor="background1"/>
                <w:sz w:val="20"/>
                <w:szCs w:val="20"/>
                <w:lang w:val="en-GB" w:eastAsia="en-US"/>
              </w:rPr>
            </w:pPr>
            <w:r>
              <w:rPr>
                <w:b/>
                <w:color w:val="FFFFFF" w:themeColor="background1"/>
                <w:sz w:val="20"/>
                <w:szCs w:val="20"/>
                <w:lang w:val="en-GB" w:eastAsia="en-US"/>
              </w:rPr>
              <w:t>Područje procjene: nacionalni nivo – crnogorski dio Jadrana</w:t>
            </w:r>
          </w:p>
          <w:p w14:paraId="4CDA62AF" w14:textId="77777777" w:rsidR="006B75DD" w:rsidRPr="006A72D8" w:rsidRDefault="006B75DD" w:rsidP="006612D6">
            <w:pPr>
              <w:autoSpaceDE w:val="0"/>
              <w:autoSpaceDN w:val="0"/>
              <w:adjustRightInd w:val="0"/>
              <w:spacing w:before="0" w:after="0" w:line="240" w:lineRule="auto"/>
              <w:jc w:val="left"/>
              <w:rPr>
                <w:rFonts w:cs="Calibri"/>
                <w:b/>
                <w:color w:val="FFFFFF" w:themeColor="background1"/>
                <w:lang w:val="sr-Latn-RS" w:eastAsia="en-US"/>
              </w:rPr>
            </w:pPr>
          </w:p>
        </w:tc>
      </w:tr>
      <w:tr w:rsidR="006612D6" w:rsidRPr="006612D6" w14:paraId="22C5DCA5" w14:textId="77777777" w:rsidTr="006B75DD">
        <w:tc>
          <w:tcPr>
            <w:tcW w:w="1412" w:type="dxa"/>
            <w:tcBorders>
              <w:top w:val="single" w:sz="4" w:space="0" w:color="2E74B5"/>
              <w:left w:val="single" w:sz="4" w:space="0" w:color="2E74B5"/>
              <w:bottom w:val="single" w:sz="4" w:space="0" w:color="2E74B5"/>
              <w:right w:val="single" w:sz="4" w:space="0" w:color="2E74B5"/>
            </w:tcBorders>
            <w:shd w:val="clear" w:color="auto" w:fill="1F497D" w:themeFill="text2"/>
            <w:hideMark/>
          </w:tcPr>
          <w:p w14:paraId="6839E5B4" w14:textId="77777777" w:rsidR="006612D6" w:rsidRPr="006A72D8" w:rsidRDefault="006612D6" w:rsidP="006612D6">
            <w:pPr>
              <w:spacing w:before="0" w:after="0" w:line="240" w:lineRule="auto"/>
              <w:jc w:val="left"/>
              <w:rPr>
                <w:rFonts w:eastAsia="Times New Roman" w:cs="Calibri"/>
                <w:b/>
                <w:color w:val="FFFFFF" w:themeColor="background1"/>
                <w:lang w:val="sr-Latn-RS" w:eastAsia="en-US"/>
              </w:rPr>
            </w:pPr>
            <w:r w:rsidRPr="006A72D8">
              <w:rPr>
                <w:rFonts w:cs="Calibri"/>
                <w:b/>
                <w:color w:val="FFFFFF" w:themeColor="background1"/>
                <w:lang w:val="sr-Latn-RS" w:eastAsia="en-US"/>
              </w:rPr>
              <w:t xml:space="preserve">Kriterijum </w:t>
            </w:r>
          </w:p>
        </w:tc>
        <w:tc>
          <w:tcPr>
            <w:tcW w:w="6657" w:type="dxa"/>
            <w:tcBorders>
              <w:top w:val="single" w:sz="4" w:space="0" w:color="2E74B5"/>
              <w:left w:val="single" w:sz="4" w:space="0" w:color="2E74B5"/>
              <w:bottom w:val="single" w:sz="4" w:space="0" w:color="2E74B5"/>
              <w:right w:val="single" w:sz="4" w:space="0" w:color="auto"/>
            </w:tcBorders>
            <w:shd w:val="clear" w:color="auto" w:fill="1F497D" w:themeFill="text2"/>
          </w:tcPr>
          <w:p w14:paraId="102E117F" w14:textId="77777777" w:rsidR="006612D6" w:rsidRPr="006A72D8" w:rsidRDefault="006612D6" w:rsidP="006612D6">
            <w:pPr>
              <w:autoSpaceDE w:val="0"/>
              <w:autoSpaceDN w:val="0"/>
              <w:adjustRightInd w:val="0"/>
              <w:spacing w:before="0" w:after="0" w:line="240" w:lineRule="auto"/>
              <w:jc w:val="left"/>
              <w:rPr>
                <w:rFonts w:cs="Calibri"/>
                <w:b/>
                <w:color w:val="FFFFFF" w:themeColor="background1"/>
                <w:lang w:val="sr-Latn-RS" w:eastAsia="en-US"/>
              </w:rPr>
            </w:pPr>
            <w:r w:rsidRPr="006A72D8">
              <w:rPr>
                <w:rFonts w:cs="Calibri"/>
                <w:b/>
                <w:color w:val="FFFFFF" w:themeColor="background1"/>
                <w:lang w:val="sr-Latn-RS" w:eastAsia="en-US"/>
              </w:rPr>
              <w:t>Ciljevi</w:t>
            </w:r>
          </w:p>
          <w:p w14:paraId="5261E637" w14:textId="77777777" w:rsidR="006612D6" w:rsidRPr="006A72D8" w:rsidRDefault="006612D6" w:rsidP="006612D6">
            <w:pPr>
              <w:autoSpaceDE w:val="0"/>
              <w:autoSpaceDN w:val="0"/>
              <w:adjustRightInd w:val="0"/>
              <w:spacing w:before="0" w:after="0" w:line="240" w:lineRule="auto"/>
              <w:jc w:val="left"/>
              <w:rPr>
                <w:rFonts w:cs="Calibri"/>
                <w:b/>
                <w:color w:val="FFFFFF" w:themeColor="background1"/>
                <w:lang w:val="sr-Latn-RS" w:eastAsia="en-US"/>
              </w:rPr>
            </w:pPr>
          </w:p>
        </w:tc>
        <w:tc>
          <w:tcPr>
            <w:tcW w:w="991" w:type="dxa"/>
            <w:tcBorders>
              <w:top w:val="single" w:sz="4" w:space="0" w:color="2E74B5"/>
              <w:left w:val="single" w:sz="4" w:space="0" w:color="auto"/>
              <w:bottom w:val="single" w:sz="4" w:space="0" w:color="2E74B5"/>
              <w:right w:val="single" w:sz="4" w:space="0" w:color="2E74B5"/>
            </w:tcBorders>
            <w:shd w:val="clear" w:color="auto" w:fill="1F497D" w:themeFill="text2"/>
            <w:hideMark/>
          </w:tcPr>
          <w:p w14:paraId="10C9A4D9" w14:textId="77777777" w:rsidR="006612D6" w:rsidRPr="006A72D8" w:rsidRDefault="006612D6" w:rsidP="006612D6">
            <w:pPr>
              <w:autoSpaceDE w:val="0"/>
              <w:autoSpaceDN w:val="0"/>
              <w:adjustRightInd w:val="0"/>
              <w:spacing w:before="0" w:after="0" w:line="240" w:lineRule="auto"/>
              <w:jc w:val="left"/>
              <w:rPr>
                <w:rFonts w:cs="Calibri"/>
                <w:b/>
                <w:color w:val="FFFFFF" w:themeColor="background1"/>
                <w:lang w:val="sr-Latn-RS" w:eastAsia="en-US"/>
              </w:rPr>
            </w:pPr>
            <w:r w:rsidRPr="006A72D8">
              <w:rPr>
                <w:rFonts w:cs="Calibri"/>
                <w:b/>
                <w:color w:val="FFFFFF" w:themeColor="background1"/>
                <w:lang w:val="sr-Latn-RS" w:eastAsia="en-US"/>
              </w:rPr>
              <w:t>Ciljni kod</w:t>
            </w:r>
          </w:p>
        </w:tc>
      </w:tr>
      <w:tr w:rsidR="006612D6" w:rsidRPr="006612D6" w14:paraId="575B4AA2" w14:textId="77777777" w:rsidTr="006B75DD">
        <w:tc>
          <w:tcPr>
            <w:tcW w:w="1412" w:type="dxa"/>
            <w:tcBorders>
              <w:top w:val="single" w:sz="4" w:space="0" w:color="2E74B5"/>
              <w:left w:val="single" w:sz="4" w:space="0" w:color="2E74B5"/>
              <w:bottom w:val="single" w:sz="4" w:space="0" w:color="2E74B5"/>
              <w:right w:val="single" w:sz="4" w:space="0" w:color="2E74B5"/>
            </w:tcBorders>
            <w:hideMark/>
          </w:tcPr>
          <w:p w14:paraId="1BAE682E" w14:textId="77777777" w:rsidR="006612D6" w:rsidRPr="006612D6" w:rsidRDefault="006612D6" w:rsidP="006612D6">
            <w:pPr>
              <w:autoSpaceDE w:val="0"/>
              <w:autoSpaceDN w:val="0"/>
              <w:adjustRightInd w:val="0"/>
              <w:spacing w:before="0" w:after="0" w:line="240" w:lineRule="auto"/>
              <w:jc w:val="left"/>
              <w:rPr>
                <w:rFonts w:cs="Calibri"/>
                <w:b/>
                <w:color w:val="000000"/>
                <w:sz w:val="20"/>
                <w:szCs w:val="20"/>
                <w:lang w:val="sr-Latn-RS" w:eastAsia="en-US"/>
              </w:rPr>
            </w:pPr>
            <w:r w:rsidRPr="006612D6">
              <w:rPr>
                <w:rFonts w:cs="Calibri"/>
                <w:b/>
                <w:color w:val="000000"/>
                <w:sz w:val="20"/>
                <w:szCs w:val="20"/>
                <w:lang w:val="sr-Latn-RS" w:eastAsia="en-US"/>
              </w:rPr>
              <w:t>D1C6</w:t>
            </w:r>
          </w:p>
        </w:tc>
        <w:tc>
          <w:tcPr>
            <w:tcW w:w="6657" w:type="dxa"/>
            <w:tcBorders>
              <w:top w:val="single" w:sz="4" w:space="0" w:color="2E74B5"/>
              <w:left w:val="single" w:sz="4" w:space="0" w:color="2E74B5"/>
              <w:bottom w:val="single" w:sz="4" w:space="0" w:color="2E74B5"/>
              <w:right w:val="single" w:sz="4" w:space="0" w:color="auto"/>
            </w:tcBorders>
            <w:hideMark/>
          </w:tcPr>
          <w:p w14:paraId="0CDF7612" w14:textId="77777777" w:rsidR="006612D6" w:rsidRPr="006612D6" w:rsidRDefault="006612D6" w:rsidP="006612D6">
            <w:pPr>
              <w:autoSpaceDE w:val="0"/>
              <w:autoSpaceDN w:val="0"/>
              <w:adjustRightInd w:val="0"/>
              <w:spacing w:before="0" w:after="0"/>
              <w:rPr>
                <w:rFonts w:cs="Calibri"/>
                <w:color w:val="000000"/>
                <w:sz w:val="20"/>
                <w:szCs w:val="20"/>
                <w:lang w:val="sr-Latn-RS" w:eastAsia="en-US"/>
              </w:rPr>
            </w:pPr>
            <w:r w:rsidRPr="006612D6">
              <w:rPr>
                <w:rFonts w:cs="Calibri"/>
                <w:color w:val="000000"/>
                <w:sz w:val="20"/>
                <w:szCs w:val="20"/>
                <w:lang w:val="sr-Latn-RS" w:eastAsia="en-US"/>
              </w:rPr>
              <w:t>Struktura, funkcija, sastav i brojnost zajednica planktona nije pod značajnim negativnim uticajem  antropogenih pokretača.</w:t>
            </w:r>
          </w:p>
        </w:tc>
        <w:tc>
          <w:tcPr>
            <w:tcW w:w="991" w:type="dxa"/>
            <w:tcBorders>
              <w:top w:val="single" w:sz="4" w:space="0" w:color="2E74B5"/>
              <w:left w:val="single" w:sz="4" w:space="0" w:color="auto"/>
              <w:bottom w:val="single" w:sz="4" w:space="0" w:color="2E74B5"/>
              <w:right w:val="single" w:sz="4" w:space="0" w:color="2E74B5"/>
            </w:tcBorders>
            <w:hideMark/>
          </w:tcPr>
          <w:p w14:paraId="73C13D58" w14:textId="77777777" w:rsidR="006612D6" w:rsidRPr="006612D6" w:rsidRDefault="006612D6" w:rsidP="006612D6">
            <w:pPr>
              <w:autoSpaceDE w:val="0"/>
              <w:autoSpaceDN w:val="0"/>
              <w:adjustRightInd w:val="0"/>
              <w:spacing w:before="0" w:after="0"/>
              <w:jc w:val="left"/>
              <w:rPr>
                <w:rFonts w:cs="Calibri"/>
                <w:b/>
                <w:color w:val="000000"/>
                <w:sz w:val="20"/>
                <w:szCs w:val="20"/>
                <w:lang w:val="sr-Latn-RS" w:eastAsia="en-US"/>
              </w:rPr>
            </w:pPr>
            <w:r w:rsidRPr="006612D6">
              <w:rPr>
                <w:rFonts w:cs="Calibri"/>
                <w:b/>
                <w:color w:val="000000"/>
                <w:sz w:val="20"/>
                <w:szCs w:val="20"/>
                <w:lang w:val="sr-Latn-RS" w:eastAsia="en-US"/>
              </w:rPr>
              <w:t>D1T6</w:t>
            </w:r>
          </w:p>
        </w:tc>
      </w:tr>
      <w:tr w:rsidR="006612D6" w:rsidRPr="006612D6" w14:paraId="6655FC03" w14:textId="77777777" w:rsidTr="006B75DD">
        <w:tc>
          <w:tcPr>
            <w:tcW w:w="1412" w:type="dxa"/>
            <w:tcBorders>
              <w:top w:val="single" w:sz="4" w:space="0" w:color="2E74B5"/>
              <w:left w:val="single" w:sz="4" w:space="0" w:color="2E74B5"/>
              <w:bottom w:val="single" w:sz="4" w:space="0" w:color="2E74B5"/>
              <w:right w:val="single" w:sz="4" w:space="0" w:color="2E74B5"/>
            </w:tcBorders>
            <w:hideMark/>
          </w:tcPr>
          <w:p w14:paraId="644B17D2" w14:textId="77777777" w:rsidR="006612D6" w:rsidRPr="006612D6" w:rsidRDefault="006612D6" w:rsidP="006612D6">
            <w:pPr>
              <w:spacing w:before="0" w:after="0" w:line="240" w:lineRule="auto"/>
              <w:jc w:val="left"/>
              <w:rPr>
                <w:b/>
                <w:sz w:val="20"/>
                <w:szCs w:val="20"/>
                <w:lang w:val="sr-Latn-RS" w:eastAsia="en-US"/>
              </w:rPr>
            </w:pPr>
            <w:r w:rsidRPr="006612D6">
              <w:rPr>
                <w:b/>
                <w:sz w:val="20"/>
                <w:szCs w:val="20"/>
                <w:lang w:val="sr-Latn-RS" w:eastAsia="en-US"/>
              </w:rPr>
              <w:t>Operativni ciljevi</w:t>
            </w:r>
          </w:p>
        </w:tc>
        <w:tc>
          <w:tcPr>
            <w:tcW w:w="7648" w:type="dxa"/>
            <w:gridSpan w:val="2"/>
            <w:tcBorders>
              <w:top w:val="single" w:sz="4" w:space="0" w:color="2E74B5"/>
              <w:left w:val="single" w:sz="4" w:space="0" w:color="2E74B5"/>
              <w:bottom w:val="single" w:sz="4" w:space="0" w:color="2E74B5"/>
              <w:right w:val="single" w:sz="4" w:space="0" w:color="2E74B5"/>
            </w:tcBorders>
            <w:hideMark/>
          </w:tcPr>
          <w:p w14:paraId="2FDDAD81" w14:textId="77777777" w:rsidR="006612D6" w:rsidRPr="006612D6" w:rsidRDefault="006612D6" w:rsidP="006612D6">
            <w:pPr>
              <w:rPr>
                <w:sz w:val="20"/>
                <w:szCs w:val="20"/>
                <w:lang w:val="sr-Latn-RS"/>
              </w:rPr>
            </w:pPr>
            <w:r w:rsidRPr="006612D6">
              <w:rPr>
                <w:sz w:val="20"/>
                <w:szCs w:val="20"/>
                <w:lang w:val="sr-Latn-RS"/>
              </w:rPr>
              <w:t>Saradnja na regionalnom, a posebno na subregionalnom nivou (Jadran) u cilju postavljanja ciljeva i razmjene znanja i iskustava; akcije koordinacije i interkalibracije za utvrđivanje graničnih vrijednosti i polaznih vrijednosti; utvrđivanje zajedničke metodologije na regionalnom nivou. To je posebno važno za pelagična staništa koja značajno zavise od okeanografskih uslova i brojnih pritisaka.</w:t>
            </w:r>
          </w:p>
        </w:tc>
      </w:tr>
      <w:tr w:rsidR="006612D6" w:rsidRPr="006612D6" w14:paraId="005AF0E2" w14:textId="77777777" w:rsidTr="006B75DD">
        <w:tc>
          <w:tcPr>
            <w:tcW w:w="1412" w:type="dxa"/>
            <w:tcBorders>
              <w:top w:val="single" w:sz="4" w:space="0" w:color="2E74B5"/>
              <w:left w:val="single" w:sz="4" w:space="0" w:color="2E74B5"/>
              <w:bottom w:val="single" w:sz="4" w:space="0" w:color="2E74B5"/>
              <w:right w:val="single" w:sz="4" w:space="0" w:color="2E74B5"/>
            </w:tcBorders>
          </w:tcPr>
          <w:p w14:paraId="0BB1EA3E" w14:textId="77777777" w:rsidR="006612D6" w:rsidRPr="006612D6" w:rsidRDefault="006612D6" w:rsidP="006612D6">
            <w:pPr>
              <w:autoSpaceDE w:val="0"/>
              <w:autoSpaceDN w:val="0"/>
              <w:adjustRightInd w:val="0"/>
              <w:spacing w:before="0" w:after="0" w:line="240" w:lineRule="auto"/>
              <w:jc w:val="left"/>
              <w:rPr>
                <w:rFonts w:cs="Calibri"/>
                <w:b/>
                <w:color w:val="000000"/>
                <w:sz w:val="20"/>
                <w:szCs w:val="20"/>
                <w:lang w:val="sr-Latn-RS" w:eastAsia="en-US"/>
              </w:rPr>
            </w:pPr>
            <w:r w:rsidRPr="006612D6">
              <w:rPr>
                <w:rFonts w:cs="Calibri"/>
                <w:b/>
                <w:color w:val="000000"/>
                <w:sz w:val="20"/>
                <w:szCs w:val="20"/>
                <w:lang w:val="sr-Latn-RS" w:eastAsia="en-US"/>
              </w:rPr>
              <w:t>Indikatori koji se koriste za procjenu statusa</w:t>
            </w:r>
          </w:p>
          <w:p w14:paraId="4373F642" w14:textId="77777777" w:rsidR="006612D6" w:rsidRPr="006612D6" w:rsidRDefault="006612D6" w:rsidP="006612D6">
            <w:pPr>
              <w:autoSpaceDE w:val="0"/>
              <w:autoSpaceDN w:val="0"/>
              <w:adjustRightInd w:val="0"/>
              <w:spacing w:before="0" w:after="0" w:line="240" w:lineRule="auto"/>
              <w:jc w:val="left"/>
              <w:rPr>
                <w:rFonts w:cs="Calibri"/>
                <w:b/>
                <w:color w:val="000000"/>
                <w:sz w:val="20"/>
                <w:szCs w:val="20"/>
                <w:lang w:val="sr-Latn-RS" w:eastAsia="en-US"/>
              </w:rPr>
            </w:pPr>
          </w:p>
        </w:tc>
        <w:tc>
          <w:tcPr>
            <w:tcW w:w="7648" w:type="dxa"/>
            <w:gridSpan w:val="2"/>
            <w:tcBorders>
              <w:top w:val="single" w:sz="4" w:space="0" w:color="2E74B5"/>
              <w:left w:val="single" w:sz="4" w:space="0" w:color="2E74B5"/>
              <w:bottom w:val="single" w:sz="4" w:space="0" w:color="2E74B5"/>
              <w:right w:val="single" w:sz="4" w:space="0" w:color="2E74B5"/>
            </w:tcBorders>
            <w:hideMark/>
          </w:tcPr>
          <w:p w14:paraId="79AB26C6" w14:textId="77777777" w:rsidR="00D56ACC" w:rsidRDefault="006612D6" w:rsidP="006612D6">
            <w:pPr>
              <w:autoSpaceDE w:val="0"/>
              <w:autoSpaceDN w:val="0"/>
              <w:adjustRightInd w:val="0"/>
              <w:spacing w:before="0" w:after="0" w:line="240" w:lineRule="auto"/>
              <w:contextualSpacing/>
              <w:rPr>
                <w:sz w:val="20"/>
                <w:szCs w:val="20"/>
                <w:lang w:val="sr-Latn-RS" w:eastAsia="en-US"/>
              </w:rPr>
            </w:pPr>
            <w:r w:rsidRPr="006612D6">
              <w:rPr>
                <w:b/>
                <w:sz w:val="20"/>
                <w:szCs w:val="20"/>
                <w:lang w:val="sr-Latn-RS" w:eastAsia="en-US"/>
              </w:rPr>
              <w:t>Fitoplankton</w:t>
            </w:r>
            <w:r w:rsidRPr="006612D6">
              <w:rPr>
                <w:sz w:val="20"/>
                <w:szCs w:val="20"/>
                <w:lang w:val="sr-Latn-RS" w:eastAsia="en-US"/>
              </w:rPr>
              <w:t xml:space="preserve">: </w:t>
            </w:r>
          </w:p>
          <w:p w14:paraId="546E85D2" w14:textId="4ADABCD2" w:rsidR="00D56ACC" w:rsidRPr="00D56ACC" w:rsidRDefault="00D56ACC" w:rsidP="00D56ACC">
            <w:pPr>
              <w:autoSpaceDE w:val="0"/>
              <w:autoSpaceDN w:val="0"/>
              <w:adjustRightInd w:val="0"/>
              <w:spacing w:before="0" w:after="0" w:line="240" w:lineRule="auto"/>
              <w:contextualSpacing/>
              <w:rPr>
                <w:sz w:val="20"/>
                <w:szCs w:val="20"/>
                <w:lang w:val="sr-Latn-RS" w:eastAsia="en-US"/>
              </w:rPr>
            </w:pPr>
            <w:r w:rsidRPr="00D56ACC">
              <w:rPr>
                <w:b/>
                <w:sz w:val="20"/>
                <w:szCs w:val="20"/>
                <w:lang w:val="sr-Latn-RS" w:eastAsia="en-US"/>
              </w:rPr>
              <w:t>D1C6.1:</w:t>
            </w:r>
            <w:r w:rsidRPr="00D56ACC">
              <w:rPr>
                <w:sz w:val="20"/>
                <w:szCs w:val="20"/>
                <w:lang w:val="sr-Latn-RS" w:eastAsia="en-US"/>
              </w:rPr>
              <w:t xml:space="preserve"> </w:t>
            </w:r>
            <w:r w:rsidR="00EA7AE1">
              <w:rPr>
                <w:sz w:val="20"/>
                <w:szCs w:val="20"/>
                <w:lang w:val="sr-Latn-RS" w:eastAsia="en-US"/>
              </w:rPr>
              <w:t xml:space="preserve">Brojnost </w:t>
            </w:r>
            <w:r w:rsidRPr="00D56ACC">
              <w:rPr>
                <w:sz w:val="20"/>
                <w:szCs w:val="20"/>
                <w:lang w:val="sr-Latn-RS" w:eastAsia="en-US"/>
              </w:rPr>
              <w:t xml:space="preserve"> (</w:t>
            </w:r>
            <w:r w:rsidR="00EA7AE1">
              <w:rPr>
                <w:sz w:val="20"/>
                <w:szCs w:val="20"/>
                <w:lang w:val="sr-Latn-RS" w:eastAsia="en-US"/>
              </w:rPr>
              <w:t>stanica</w:t>
            </w:r>
            <w:r w:rsidRPr="00D56ACC">
              <w:rPr>
                <w:sz w:val="20"/>
                <w:szCs w:val="20"/>
                <w:lang w:val="sr-Latn-RS" w:eastAsia="en-US"/>
              </w:rPr>
              <w:t>/L)</w:t>
            </w:r>
          </w:p>
          <w:p w14:paraId="2F10BE1B" w14:textId="7F317116" w:rsidR="00D56ACC" w:rsidRPr="00D56ACC" w:rsidRDefault="00D56ACC" w:rsidP="00D56ACC">
            <w:pPr>
              <w:autoSpaceDE w:val="0"/>
              <w:autoSpaceDN w:val="0"/>
              <w:adjustRightInd w:val="0"/>
              <w:spacing w:before="0" w:after="0" w:line="240" w:lineRule="auto"/>
              <w:contextualSpacing/>
              <w:rPr>
                <w:sz w:val="20"/>
                <w:szCs w:val="20"/>
                <w:lang w:val="sr-Latn-RS" w:eastAsia="en-US"/>
              </w:rPr>
            </w:pPr>
            <w:r w:rsidRPr="00D56ACC">
              <w:rPr>
                <w:b/>
                <w:sz w:val="20"/>
                <w:szCs w:val="20"/>
                <w:lang w:val="sr-Latn-RS" w:eastAsia="en-US"/>
              </w:rPr>
              <w:t>D1C6.2</w:t>
            </w:r>
            <w:r w:rsidRPr="00D56ACC">
              <w:rPr>
                <w:sz w:val="20"/>
                <w:szCs w:val="20"/>
                <w:lang w:val="sr-Latn-RS" w:eastAsia="en-US"/>
              </w:rPr>
              <w:t xml:space="preserve">: </w:t>
            </w:r>
            <w:r w:rsidR="00EA7AE1">
              <w:rPr>
                <w:sz w:val="20"/>
                <w:szCs w:val="20"/>
                <w:lang w:val="sr-Latn-RS" w:eastAsia="en-US"/>
              </w:rPr>
              <w:t>Prostorna, sezonska rasprostranjenost</w:t>
            </w:r>
          </w:p>
          <w:p w14:paraId="3059CC1B" w14:textId="40A01611" w:rsidR="00D56ACC" w:rsidRPr="00D56ACC" w:rsidRDefault="00D56ACC" w:rsidP="00D56ACC">
            <w:pPr>
              <w:autoSpaceDE w:val="0"/>
              <w:autoSpaceDN w:val="0"/>
              <w:adjustRightInd w:val="0"/>
              <w:spacing w:before="0" w:after="0" w:line="240" w:lineRule="auto"/>
              <w:contextualSpacing/>
              <w:rPr>
                <w:sz w:val="20"/>
                <w:szCs w:val="20"/>
                <w:lang w:val="sr-Latn-RS" w:eastAsia="en-US"/>
              </w:rPr>
            </w:pPr>
            <w:r w:rsidRPr="00D56ACC">
              <w:rPr>
                <w:b/>
                <w:sz w:val="20"/>
                <w:szCs w:val="20"/>
                <w:lang w:val="sr-Latn-RS" w:eastAsia="en-US"/>
              </w:rPr>
              <w:t>D1C6.3</w:t>
            </w:r>
            <w:r w:rsidRPr="00D56ACC">
              <w:rPr>
                <w:sz w:val="20"/>
                <w:szCs w:val="20"/>
                <w:lang w:val="sr-Latn-RS" w:eastAsia="en-US"/>
              </w:rPr>
              <w:t xml:space="preserve">: </w:t>
            </w:r>
            <w:r w:rsidR="00EA7AE1">
              <w:rPr>
                <w:sz w:val="20"/>
                <w:szCs w:val="20"/>
                <w:lang w:val="sr-Latn-RS" w:eastAsia="en-US"/>
              </w:rPr>
              <w:t>Indeksi biodiverziteta</w:t>
            </w:r>
          </w:p>
          <w:p w14:paraId="6475FC3D" w14:textId="005F0584" w:rsidR="00D56ACC" w:rsidRPr="00D56ACC" w:rsidRDefault="00D56ACC" w:rsidP="00D56ACC">
            <w:pPr>
              <w:autoSpaceDE w:val="0"/>
              <w:autoSpaceDN w:val="0"/>
              <w:adjustRightInd w:val="0"/>
              <w:spacing w:before="0" w:after="0" w:line="240" w:lineRule="auto"/>
              <w:contextualSpacing/>
              <w:rPr>
                <w:sz w:val="20"/>
                <w:szCs w:val="20"/>
                <w:lang w:val="sr-Latn-RS" w:eastAsia="en-US"/>
              </w:rPr>
            </w:pPr>
            <w:r w:rsidRPr="00D56ACC">
              <w:rPr>
                <w:b/>
                <w:sz w:val="20"/>
                <w:szCs w:val="20"/>
                <w:lang w:val="sr-Latn-RS" w:eastAsia="en-US"/>
              </w:rPr>
              <w:t>D1C6.4:</w:t>
            </w:r>
            <w:r w:rsidRPr="00D56ACC">
              <w:rPr>
                <w:sz w:val="20"/>
                <w:szCs w:val="20"/>
                <w:lang w:val="sr-Latn-RS" w:eastAsia="en-US"/>
              </w:rPr>
              <w:t xml:space="preserve"> </w:t>
            </w:r>
            <w:r w:rsidR="00EA7AE1">
              <w:rPr>
                <w:sz w:val="20"/>
                <w:szCs w:val="20"/>
                <w:lang w:val="sr-Latn-RS" w:eastAsia="en-US"/>
              </w:rPr>
              <w:t>Fitoplanktonski indeks</w:t>
            </w:r>
            <w:r w:rsidRPr="00D56ACC">
              <w:rPr>
                <w:sz w:val="20"/>
                <w:szCs w:val="20"/>
                <w:lang w:val="sr-Latn-RS" w:eastAsia="en-US"/>
              </w:rPr>
              <w:t xml:space="preserve"> (PI): </w:t>
            </w:r>
            <w:r w:rsidR="00EA7AE1">
              <w:rPr>
                <w:sz w:val="20"/>
                <w:szCs w:val="20"/>
                <w:lang w:val="sr-Latn-RS" w:eastAsia="en-US"/>
              </w:rPr>
              <w:t xml:space="preserve">promjene u dominantnim grupama </w:t>
            </w:r>
            <w:r w:rsidRPr="00D56ACC">
              <w:rPr>
                <w:sz w:val="20"/>
                <w:szCs w:val="20"/>
                <w:lang w:val="sr-Latn-RS" w:eastAsia="en-US"/>
              </w:rPr>
              <w:t>(</w:t>
            </w:r>
            <w:r w:rsidR="00EA7AE1">
              <w:rPr>
                <w:sz w:val="20"/>
                <w:szCs w:val="20"/>
                <w:lang w:val="sr-Latn-RS" w:eastAsia="en-US"/>
              </w:rPr>
              <w:t>odnos</w:t>
            </w:r>
            <w:r w:rsidRPr="00D56ACC">
              <w:rPr>
                <w:sz w:val="20"/>
                <w:szCs w:val="20"/>
                <w:lang w:val="sr-Latn-RS" w:eastAsia="en-US"/>
              </w:rPr>
              <w:t xml:space="preserve"> di</w:t>
            </w:r>
            <w:r w:rsidR="00EA7AE1">
              <w:rPr>
                <w:sz w:val="20"/>
                <w:szCs w:val="20"/>
                <w:lang w:val="sr-Latn-RS" w:eastAsia="en-US"/>
              </w:rPr>
              <w:t>jatomeja i dinoflagelata)</w:t>
            </w:r>
          </w:p>
          <w:p w14:paraId="3BF86717" w14:textId="77777777" w:rsidR="00D56ACC" w:rsidRDefault="00D56ACC" w:rsidP="006612D6">
            <w:pPr>
              <w:autoSpaceDE w:val="0"/>
              <w:autoSpaceDN w:val="0"/>
              <w:adjustRightInd w:val="0"/>
              <w:spacing w:before="0" w:after="0" w:line="240" w:lineRule="auto"/>
              <w:contextualSpacing/>
              <w:rPr>
                <w:sz w:val="20"/>
                <w:szCs w:val="20"/>
                <w:lang w:val="sr-Latn-RS" w:eastAsia="en-US"/>
              </w:rPr>
            </w:pPr>
          </w:p>
          <w:p w14:paraId="081BB096" w14:textId="77777777" w:rsidR="00D56ACC" w:rsidRDefault="006612D6" w:rsidP="006612D6">
            <w:pPr>
              <w:autoSpaceDE w:val="0"/>
              <w:autoSpaceDN w:val="0"/>
              <w:adjustRightInd w:val="0"/>
              <w:spacing w:before="0" w:after="0" w:line="240" w:lineRule="auto"/>
              <w:contextualSpacing/>
              <w:rPr>
                <w:b/>
                <w:sz w:val="20"/>
                <w:szCs w:val="20"/>
                <w:lang w:val="sr-Latn-RS" w:eastAsia="en-US"/>
              </w:rPr>
            </w:pPr>
            <w:r w:rsidRPr="00AA6D51">
              <w:rPr>
                <w:b/>
                <w:sz w:val="20"/>
                <w:szCs w:val="20"/>
                <w:lang w:val="sr-Latn-RS" w:eastAsia="en-US"/>
              </w:rPr>
              <w:t xml:space="preserve">Zooplankton: </w:t>
            </w:r>
          </w:p>
          <w:p w14:paraId="1E392BF4" w14:textId="7CDE0C18" w:rsidR="00D56ACC" w:rsidRPr="00D56ACC" w:rsidRDefault="00D56ACC" w:rsidP="00D56ACC">
            <w:pPr>
              <w:autoSpaceDE w:val="0"/>
              <w:autoSpaceDN w:val="0"/>
              <w:adjustRightInd w:val="0"/>
              <w:spacing w:before="0" w:after="0" w:line="240" w:lineRule="auto"/>
              <w:contextualSpacing/>
              <w:rPr>
                <w:bCs/>
                <w:sz w:val="20"/>
                <w:szCs w:val="20"/>
                <w:lang w:val="sr-Latn-RS" w:eastAsia="en-US"/>
              </w:rPr>
            </w:pPr>
            <w:r w:rsidRPr="00D56ACC">
              <w:rPr>
                <w:b/>
                <w:bCs/>
                <w:sz w:val="20"/>
                <w:szCs w:val="20"/>
                <w:lang w:val="sr-Latn-RS" w:eastAsia="en-US"/>
              </w:rPr>
              <w:t>D1C6.</w:t>
            </w:r>
            <w:r w:rsidR="00FD79D4">
              <w:rPr>
                <w:b/>
                <w:bCs/>
                <w:sz w:val="20"/>
                <w:szCs w:val="20"/>
                <w:lang w:val="sr-Latn-RS" w:eastAsia="en-US"/>
              </w:rPr>
              <w:t>5</w:t>
            </w:r>
            <w:r w:rsidRPr="00D56ACC">
              <w:rPr>
                <w:b/>
                <w:bCs/>
                <w:sz w:val="20"/>
                <w:szCs w:val="20"/>
                <w:lang w:val="sr-Latn-RS" w:eastAsia="en-US"/>
              </w:rPr>
              <w:t>:</w:t>
            </w:r>
            <w:r w:rsidRPr="00D56ACC">
              <w:rPr>
                <w:bCs/>
                <w:sz w:val="20"/>
                <w:szCs w:val="20"/>
                <w:lang w:val="sr-Latn-RS" w:eastAsia="en-US"/>
              </w:rPr>
              <w:t xml:space="preserve"> </w:t>
            </w:r>
            <w:r w:rsidR="00441FF3">
              <w:rPr>
                <w:bCs/>
                <w:sz w:val="20"/>
                <w:szCs w:val="20"/>
                <w:lang w:val="sr-Latn-RS" w:eastAsia="en-US"/>
              </w:rPr>
              <w:t>Brojnost mesozooplanktona</w:t>
            </w:r>
          </w:p>
          <w:p w14:paraId="1257EE95" w14:textId="6A68EE4D" w:rsidR="00D56ACC" w:rsidRPr="00D56ACC" w:rsidRDefault="00D56ACC" w:rsidP="00D56ACC">
            <w:pPr>
              <w:autoSpaceDE w:val="0"/>
              <w:autoSpaceDN w:val="0"/>
              <w:adjustRightInd w:val="0"/>
              <w:spacing w:before="0" w:after="0" w:line="240" w:lineRule="auto"/>
              <w:contextualSpacing/>
              <w:rPr>
                <w:bCs/>
                <w:sz w:val="20"/>
                <w:szCs w:val="20"/>
                <w:lang w:val="sr-Latn-RS" w:eastAsia="en-US"/>
              </w:rPr>
            </w:pPr>
            <w:r w:rsidRPr="00D56ACC">
              <w:rPr>
                <w:b/>
                <w:bCs/>
                <w:sz w:val="20"/>
                <w:szCs w:val="20"/>
                <w:lang w:val="sr-Latn-RS" w:eastAsia="en-US"/>
              </w:rPr>
              <w:t>D1C6.</w:t>
            </w:r>
            <w:r w:rsidR="00FD79D4">
              <w:rPr>
                <w:b/>
                <w:bCs/>
                <w:sz w:val="20"/>
                <w:szCs w:val="20"/>
                <w:lang w:val="sr-Latn-RS" w:eastAsia="en-US"/>
              </w:rPr>
              <w:t>6</w:t>
            </w:r>
            <w:r w:rsidRPr="00D56ACC">
              <w:rPr>
                <w:b/>
                <w:bCs/>
                <w:sz w:val="20"/>
                <w:szCs w:val="20"/>
                <w:lang w:val="sr-Latn-RS" w:eastAsia="en-US"/>
              </w:rPr>
              <w:t>:</w:t>
            </w:r>
            <w:r w:rsidRPr="00D56ACC">
              <w:rPr>
                <w:bCs/>
                <w:sz w:val="20"/>
                <w:szCs w:val="20"/>
                <w:lang w:val="sr-Latn-RS" w:eastAsia="en-US"/>
              </w:rPr>
              <w:t xml:space="preserve"> Distribu</w:t>
            </w:r>
            <w:r w:rsidR="00441FF3">
              <w:rPr>
                <w:bCs/>
                <w:sz w:val="20"/>
                <w:szCs w:val="20"/>
                <w:lang w:val="sr-Latn-RS" w:eastAsia="en-US"/>
              </w:rPr>
              <w:t>cija (prostorna, sezonska)</w:t>
            </w:r>
          </w:p>
          <w:p w14:paraId="526893C8" w14:textId="58E0CFA3" w:rsidR="00D56ACC" w:rsidRPr="00D56ACC" w:rsidRDefault="00D56ACC" w:rsidP="00D56ACC">
            <w:pPr>
              <w:autoSpaceDE w:val="0"/>
              <w:autoSpaceDN w:val="0"/>
              <w:adjustRightInd w:val="0"/>
              <w:spacing w:before="0" w:after="0" w:line="240" w:lineRule="auto"/>
              <w:contextualSpacing/>
              <w:rPr>
                <w:bCs/>
                <w:sz w:val="20"/>
                <w:szCs w:val="20"/>
                <w:lang w:val="sr-Latn-RS" w:eastAsia="en-US"/>
              </w:rPr>
            </w:pPr>
            <w:r w:rsidRPr="00D56ACC">
              <w:rPr>
                <w:b/>
                <w:bCs/>
                <w:sz w:val="20"/>
                <w:szCs w:val="20"/>
                <w:lang w:val="sr-Latn-RS" w:eastAsia="en-US"/>
              </w:rPr>
              <w:t>D1C6.</w:t>
            </w:r>
            <w:r w:rsidR="00FD79D4">
              <w:rPr>
                <w:b/>
                <w:bCs/>
                <w:sz w:val="20"/>
                <w:szCs w:val="20"/>
                <w:lang w:val="sr-Latn-RS" w:eastAsia="en-US"/>
              </w:rPr>
              <w:t>7</w:t>
            </w:r>
            <w:r w:rsidRPr="00D56ACC">
              <w:rPr>
                <w:b/>
                <w:bCs/>
                <w:sz w:val="20"/>
                <w:szCs w:val="20"/>
                <w:lang w:val="sr-Latn-RS" w:eastAsia="en-US"/>
              </w:rPr>
              <w:t>:</w:t>
            </w:r>
            <w:r w:rsidRPr="00D56ACC">
              <w:rPr>
                <w:bCs/>
                <w:sz w:val="20"/>
                <w:szCs w:val="20"/>
                <w:lang w:val="sr-Latn-RS" w:eastAsia="en-US"/>
              </w:rPr>
              <w:t xml:space="preserve"> </w:t>
            </w:r>
            <w:r w:rsidR="00441FF3">
              <w:rPr>
                <w:bCs/>
                <w:sz w:val="20"/>
                <w:szCs w:val="20"/>
                <w:lang w:val="sr-Latn-RS" w:eastAsia="en-US"/>
              </w:rPr>
              <w:t>Brojnost kopepoda</w:t>
            </w:r>
          </w:p>
          <w:p w14:paraId="4F48D9C6" w14:textId="1F50C29E" w:rsidR="00D56ACC" w:rsidRDefault="00D56ACC" w:rsidP="00D56ACC">
            <w:pPr>
              <w:autoSpaceDE w:val="0"/>
              <w:autoSpaceDN w:val="0"/>
              <w:adjustRightInd w:val="0"/>
              <w:spacing w:before="0" w:after="0" w:line="240" w:lineRule="auto"/>
              <w:contextualSpacing/>
              <w:rPr>
                <w:bCs/>
                <w:sz w:val="20"/>
                <w:szCs w:val="20"/>
                <w:lang w:val="sr-Latn-RS" w:eastAsia="en-US"/>
              </w:rPr>
            </w:pPr>
            <w:r w:rsidRPr="00D56ACC">
              <w:rPr>
                <w:b/>
                <w:bCs/>
                <w:sz w:val="20"/>
                <w:szCs w:val="20"/>
                <w:lang w:val="sr-Latn-RS" w:eastAsia="en-US"/>
              </w:rPr>
              <w:t>D1C6.</w:t>
            </w:r>
            <w:r w:rsidR="00FD79D4">
              <w:rPr>
                <w:b/>
                <w:bCs/>
                <w:sz w:val="20"/>
                <w:szCs w:val="20"/>
                <w:lang w:val="sr-Latn-RS" w:eastAsia="en-US"/>
              </w:rPr>
              <w:t>8</w:t>
            </w:r>
            <w:r w:rsidRPr="00D56ACC">
              <w:rPr>
                <w:b/>
                <w:bCs/>
                <w:sz w:val="20"/>
                <w:szCs w:val="20"/>
                <w:lang w:val="sr-Latn-RS" w:eastAsia="en-US"/>
              </w:rPr>
              <w:t>:</w:t>
            </w:r>
            <w:r w:rsidRPr="00D56ACC">
              <w:rPr>
                <w:bCs/>
                <w:sz w:val="20"/>
                <w:szCs w:val="20"/>
                <w:lang w:val="sr-Latn-RS" w:eastAsia="en-US"/>
              </w:rPr>
              <w:t xml:space="preserve">  </w:t>
            </w:r>
            <w:r w:rsidR="00441FF3">
              <w:rPr>
                <w:bCs/>
                <w:sz w:val="20"/>
                <w:szCs w:val="20"/>
                <w:lang w:val="sr-Latn-RS" w:eastAsia="en-US"/>
              </w:rPr>
              <w:t>sastav vrsta i indeksi biodiverziteta</w:t>
            </w:r>
          </w:p>
          <w:p w14:paraId="5D92A611" w14:textId="77777777" w:rsidR="00FD79D4" w:rsidRDefault="00FD79D4" w:rsidP="006612D6">
            <w:pPr>
              <w:autoSpaceDE w:val="0"/>
              <w:autoSpaceDN w:val="0"/>
              <w:adjustRightInd w:val="0"/>
              <w:spacing w:before="0" w:after="0" w:line="240" w:lineRule="auto"/>
              <w:contextualSpacing/>
              <w:rPr>
                <w:bCs/>
                <w:sz w:val="20"/>
                <w:szCs w:val="20"/>
                <w:lang w:val="sr-Latn-RS" w:eastAsia="en-US"/>
              </w:rPr>
            </w:pPr>
          </w:p>
          <w:p w14:paraId="207FECD5" w14:textId="77777777" w:rsidR="00FD79D4" w:rsidRDefault="006612D6" w:rsidP="006612D6">
            <w:pPr>
              <w:autoSpaceDE w:val="0"/>
              <w:autoSpaceDN w:val="0"/>
              <w:adjustRightInd w:val="0"/>
              <w:spacing w:before="0" w:after="0" w:line="240" w:lineRule="auto"/>
              <w:contextualSpacing/>
              <w:rPr>
                <w:rFonts w:cs="Calibri"/>
                <w:color w:val="000000"/>
                <w:sz w:val="20"/>
                <w:szCs w:val="20"/>
                <w:lang w:val="sr-Latn-RS" w:eastAsia="en-US"/>
              </w:rPr>
            </w:pPr>
            <w:r w:rsidRPr="006612D6">
              <w:rPr>
                <w:rFonts w:cs="Calibri"/>
                <w:b/>
                <w:color w:val="000000"/>
                <w:sz w:val="20"/>
                <w:szCs w:val="20"/>
                <w:lang w:val="sr-Latn-RS" w:eastAsia="en-US"/>
              </w:rPr>
              <w:t>Ihtioplankton:</w:t>
            </w:r>
            <w:r w:rsidRPr="006612D6">
              <w:rPr>
                <w:rFonts w:cs="Calibri"/>
                <w:color w:val="000000"/>
                <w:sz w:val="20"/>
                <w:szCs w:val="20"/>
                <w:lang w:val="sr-Latn-RS" w:eastAsia="en-US"/>
              </w:rPr>
              <w:t xml:space="preserve"> </w:t>
            </w:r>
          </w:p>
          <w:p w14:paraId="232199A1" w14:textId="06AFB5D5" w:rsidR="00FD79D4" w:rsidRDefault="00FD79D4" w:rsidP="006612D6">
            <w:pPr>
              <w:autoSpaceDE w:val="0"/>
              <w:autoSpaceDN w:val="0"/>
              <w:adjustRightInd w:val="0"/>
              <w:spacing w:before="0" w:after="0" w:line="240" w:lineRule="auto"/>
              <w:contextualSpacing/>
              <w:rPr>
                <w:rFonts w:cs="Calibri"/>
                <w:color w:val="000000"/>
                <w:sz w:val="20"/>
                <w:szCs w:val="20"/>
                <w:lang w:val="sr-Latn-RS" w:eastAsia="en-US"/>
              </w:rPr>
            </w:pPr>
            <w:r w:rsidRPr="00EA7AE1">
              <w:rPr>
                <w:rFonts w:cs="Calibri"/>
                <w:b/>
                <w:color w:val="000000"/>
                <w:sz w:val="20"/>
                <w:szCs w:val="20"/>
                <w:lang w:val="sr-Latn-RS" w:eastAsia="en-US"/>
              </w:rPr>
              <w:t>D1C6.9:</w:t>
            </w:r>
            <w:r>
              <w:rPr>
                <w:rFonts w:cs="Calibri"/>
                <w:color w:val="000000"/>
                <w:sz w:val="20"/>
                <w:szCs w:val="20"/>
                <w:lang w:val="sr-Latn-RS" w:eastAsia="en-US"/>
              </w:rPr>
              <w:t xml:space="preserve"> Brojnost </w:t>
            </w:r>
            <w:r w:rsidR="00EA7AE1">
              <w:rPr>
                <w:rFonts w:cs="Calibri"/>
                <w:color w:val="000000"/>
                <w:sz w:val="20"/>
                <w:szCs w:val="20"/>
                <w:lang w:val="sr-Latn-RS" w:eastAsia="en-US"/>
              </w:rPr>
              <w:t>ukupnog</w:t>
            </w:r>
            <w:r>
              <w:rPr>
                <w:rFonts w:cs="Calibri"/>
                <w:color w:val="000000"/>
                <w:sz w:val="20"/>
                <w:szCs w:val="20"/>
                <w:lang w:val="sr-Latn-RS" w:eastAsia="en-US"/>
              </w:rPr>
              <w:t xml:space="preserve"> ihtioplanktona</w:t>
            </w:r>
          </w:p>
          <w:p w14:paraId="010990F8" w14:textId="07DCA7D7" w:rsidR="00FD79D4" w:rsidRDefault="00FD79D4" w:rsidP="006612D6">
            <w:pPr>
              <w:autoSpaceDE w:val="0"/>
              <w:autoSpaceDN w:val="0"/>
              <w:adjustRightInd w:val="0"/>
              <w:spacing w:before="0" w:after="0" w:line="240" w:lineRule="auto"/>
              <w:contextualSpacing/>
              <w:rPr>
                <w:rFonts w:cs="Calibri"/>
                <w:color w:val="000000"/>
                <w:sz w:val="20"/>
                <w:szCs w:val="20"/>
                <w:lang w:val="sr-Latn-RS" w:eastAsia="en-US"/>
              </w:rPr>
            </w:pPr>
            <w:r w:rsidRPr="00EA7AE1">
              <w:rPr>
                <w:rFonts w:cs="Calibri"/>
                <w:b/>
                <w:color w:val="000000"/>
                <w:sz w:val="20"/>
                <w:szCs w:val="20"/>
                <w:lang w:val="sr-Latn-RS" w:eastAsia="en-US"/>
              </w:rPr>
              <w:t>D1C6.10:</w:t>
            </w:r>
            <w:r>
              <w:rPr>
                <w:rFonts w:cs="Calibri"/>
                <w:color w:val="000000"/>
                <w:sz w:val="20"/>
                <w:szCs w:val="20"/>
                <w:lang w:val="sr-Latn-RS" w:eastAsia="en-US"/>
              </w:rPr>
              <w:t xml:space="preserve"> Prostorna rasprostranjenost</w:t>
            </w:r>
            <w:r w:rsidR="00EA7AE1">
              <w:rPr>
                <w:rFonts w:cs="Calibri"/>
                <w:color w:val="000000"/>
                <w:sz w:val="20"/>
                <w:szCs w:val="20"/>
                <w:lang w:val="sr-Latn-RS" w:eastAsia="en-US"/>
              </w:rPr>
              <w:t xml:space="preserve"> ukupnog ihtioplanktona</w:t>
            </w:r>
          </w:p>
          <w:p w14:paraId="371F8859" w14:textId="1550D6BE" w:rsidR="00EA7AE1" w:rsidRDefault="00EA7AE1" w:rsidP="006612D6">
            <w:pPr>
              <w:autoSpaceDE w:val="0"/>
              <w:autoSpaceDN w:val="0"/>
              <w:adjustRightInd w:val="0"/>
              <w:spacing w:before="0" w:after="0" w:line="240" w:lineRule="auto"/>
              <w:contextualSpacing/>
              <w:rPr>
                <w:rFonts w:cs="Calibri"/>
                <w:color w:val="000000"/>
                <w:sz w:val="20"/>
                <w:szCs w:val="20"/>
                <w:lang w:val="sr-Latn-RS" w:eastAsia="en-US"/>
              </w:rPr>
            </w:pPr>
            <w:r w:rsidRPr="00EA7AE1">
              <w:rPr>
                <w:rFonts w:cs="Calibri"/>
                <w:b/>
                <w:color w:val="000000"/>
                <w:sz w:val="20"/>
                <w:szCs w:val="20"/>
                <w:lang w:val="sr-Latn-RS" w:eastAsia="en-US"/>
              </w:rPr>
              <w:t>D1C6.11:</w:t>
            </w:r>
            <w:r>
              <w:rPr>
                <w:rFonts w:cs="Calibri"/>
                <w:color w:val="000000"/>
                <w:sz w:val="20"/>
                <w:szCs w:val="20"/>
                <w:lang w:val="sr-Latn-RS" w:eastAsia="en-US"/>
              </w:rPr>
              <w:t xml:space="preserve"> Indeksi diverziteta</w:t>
            </w:r>
          </w:p>
          <w:p w14:paraId="6A7E3726" w14:textId="68F9C745" w:rsidR="00FD79D4" w:rsidRDefault="00FD79D4" w:rsidP="006612D6">
            <w:pPr>
              <w:autoSpaceDE w:val="0"/>
              <w:autoSpaceDN w:val="0"/>
              <w:adjustRightInd w:val="0"/>
              <w:spacing w:before="0" w:after="0" w:line="240" w:lineRule="auto"/>
              <w:contextualSpacing/>
              <w:rPr>
                <w:rFonts w:cs="Calibri"/>
                <w:color w:val="000000"/>
                <w:sz w:val="20"/>
                <w:szCs w:val="20"/>
                <w:lang w:val="sr-Latn-RS" w:eastAsia="en-US"/>
              </w:rPr>
            </w:pPr>
            <w:r w:rsidRPr="00EA7AE1">
              <w:rPr>
                <w:rFonts w:cs="Calibri"/>
                <w:b/>
                <w:color w:val="000000"/>
                <w:sz w:val="20"/>
                <w:szCs w:val="20"/>
                <w:lang w:val="sr-Latn-RS" w:eastAsia="en-US"/>
              </w:rPr>
              <w:t>D1C6.1</w:t>
            </w:r>
            <w:r w:rsidR="00EA7AE1" w:rsidRPr="00EA7AE1">
              <w:rPr>
                <w:rFonts w:cs="Calibri"/>
                <w:b/>
                <w:color w:val="000000"/>
                <w:sz w:val="20"/>
                <w:szCs w:val="20"/>
                <w:lang w:val="sr-Latn-RS" w:eastAsia="en-US"/>
              </w:rPr>
              <w:t>2</w:t>
            </w:r>
            <w:r>
              <w:rPr>
                <w:rFonts w:cs="Calibri"/>
                <w:color w:val="000000"/>
                <w:sz w:val="20"/>
                <w:szCs w:val="20"/>
                <w:lang w:val="sr-Latn-RS" w:eastAsia="en-US"/>
              </w:rPr>
              <w:t xml:space="preserve">: </w:t>
            </w:r>
            <w:r w:rsidR="00EA7AE1">
              <w:rPr>
                <w:rFonts w:cs="Calibri"/>
                <w:color w:val="000000"/>
                <w:sz w:val="20"/>
                <w:szCs w:val="20"/>
                <w:lang w:val="sr-Latn-RS" w:eastAsia="en-US"/>
              </w:rPr>
              <w:t>Brojnost ranih razvojnih stadija inćuna i srdele</w:t>
            </w:r>
          </w:p>
          <w:p w14:paraId="16FE814A" w14:textId="77777777" w:rsidR="00EA7AE1" w:rsidRDefault="00EA7AE1" w:rsidP="00EA7AE1">
            <w:pPr>
              <w:autoSpaceDE w:val="0"/>
              <w:autoSpaceDN w:val="0"/>
              <w:adjustRightInd w:val="0"/>
              <w:spacing w:before="0" w:after="0" w:line="240" w:lineRule="auto"/>
              <w:contextualSpacing/>
              <w:rPr>
                <w:rFonts w:cs="Calibri"/>
                <w:color w:val="000000"/>
                <w:sz w:val="20"/>
                <w:szCs w:val="20"/>
                <w:lang w:val="sr-Latn-RS" w:eastAsia="en-US"/>
              </w:rPr>
            </w:pPr>
            <w:r w:rsidRPr="00EA7AE1">
              <w:rPr>
                <w:rFonts w:cs="Calibri"/>
                <w:b/>
                <w:color w:val="000000"/>
                <w:sz w:val="20"/>
                <w:szCs w:val="20"/>
                <w:lang w:val="sr-Latn-RS" w:eastAsia="en-US"/>
              </w:rPr>
              <w:t>D1C6.13:</w:t>
            </w:r>
            <w:r>
              <w:rPr>
                <w:rFonts w:cs="Calibri"/>
                <w:color w:val="000000"/>
                <w:sz w:val="20"/>
                <w:szCs w:val="20"/>
                <w:lang w:val="sr-Latn-RS" w:eastAsia="en-US"/>
              </w:rPr>
              <w:t xml:space="preserve"> Prostorna distribucija ranih razvojnih stadija inćuna i srdele</w:t>
            </w:r>
          </w:p>
          <w:p w14:paraId="1AB0813E" w14:textId="3CB2AC3B" w:rsidR="006612D6" w:rsidRPr="006612D6" w:rsidRDefault="006612D6" w:rsidP="006612D6">
            <w:pPr>
              <w:autoSpaceDE w:val="0"/>
              <w:autoSpaceDN w:val="0"/>
              <w:adjustRightInd w:val="0"/>
              <w:spacing w:before="0" w:after="0" w:line="240" w:lineRule="auto"/>
              <w:contextualSpacing/>
              <w:rPr>
                <w:rFonts w:cs="Calibri"/>
                <w:color w:val="000000"/>
                <w:sz w:val="20"/>
                <w:szCs w:val="20"/>
                <w:lang w:val="sr-Latn-RS" w:eastAsia="en-US"/>
              </w:rPr>
            </w:pPr>
          </w:p>
        </w:tc>
      </w:tr>
    </w:tbl>
    <w:p w14:paraId="3BD7BAE9" w14:textId="77777777" w:rsidR="006612D6" w:rsidRPr="006612D6" w:rsidRDefault="006612D6" w:rsidP="006612D6">
      <w:pPr>
        <w:spacing w:before="0" w:after="0" w:line="240" w:lineRule="auto"/>
        <w:jc w:val="left"/>
        <w:rPr>
          <w:b/>
          <w:sz w:val="20"/>
          <w:szCs w:val="20"/>
          <w:lang w:val="sr-Latn-RS" w:eastAsia="en-US"/>
        </w:rPr>
      </w:pPr>
    </w:p>
    <w:p w14:paraId="5E2A47F3" w14:textId="77777777" w:rsidR="006612D6" w:rsidRPr="006612D6" w:rsidRDefault="006612D6" w:rsidP="006612D6">
      <w:pPr>
        <w:rPr>
          <w:lang w:val="sr-Latn-RS"/>
        </w:rPr>
      </w:pPr>
    </w:p>
    <w:p w14:paraId="6A3BA89D" w14:textId="785B1054" w:rsidR="006612D6" w:rsidRPr="006A72D8" w:rsidRDefault="006612D6" w:rsidP="006612D6">
      <w:pPr>
        <w:pStyle w:val="Heading3"/>
        <w:rPr>
          <w:rFonts w:eastAsia="Calibri"/>
          <w:lang w:val="en-GB" w:eastAsia="en-US"/>
        </w:rPr>
      </w:pPr>
      <w:bookmarkStart w:id="374" w:name="_Toc83630982"/>
      <w:r w:rsidRPr="00CF7E4B">
        <w:rPr>
          <w:rFonts w:eastAsia="Calibri"/>
          <w:lang w:val="en-GB" w:eastAsia="en-US"/>
        </w:rPr>
        <w:t>Nedostaci i p</w:t>
      </w:r>
      <w:r w:rsidR="00CF7E4B">
        <w:rPr>
          <w:rFonts w:eastAsia="Calibri"/>
          <w:lang w:val="en-GB" w:eastAsia="en-US"/>
        </w:rPr>
        <w:t>otrebe</w:t>
      </w:r>
      <w:r w:rsidR="006B75DD">
        <w:rPr>
          <w:rFonts w:eastAsia="Calibri"/>
          <w:lang w:val="en-GB" w:eastAsia="en-US"/>
        </w:rPr>
        <w:t xml:space="preserve"> za unapređenjem</w:t>
      </w:r>
      <w:bookmarkEnd w:id="374"/>
      <w:r w:rsidR="006B75DD">
        <w:rPr>
          <w:rFonts w:eastAsia="Calibri"/>
          <w:lang w:val="en-GB" w:eastAsia="en-US"/>
        </w:rPr>
        <w:t xml:space="preserve"> </w:t>
      </w:r>
    </w:p>
    <w:p w14:paraId="4C0D0838" w14:textId="630A2BC1" w:rsidR="005A5740" w:rsidRPr="001C6CCA" w:rsidRDefault="005A5740" w:rsidP="000012CD">
      <w:pPr>
        <w:spacing w:before="0" w:after="160"/>
        <w:rPr>
          <w:rFonts w:eastAsia="Calibri"/>
          <w:szCs w:val="22"/>
          <w:lang w:val="en-GB" w:eastAsia="en-US"/>
        </w:rPr>
      </w:pPr>
      <w:r w:rsidRPr="005A5740">
        <w:rPr>
          <w:rFonts w:eastAsia="Calibri"/>
          <w:szCs w:val="22"/>
          <w:lang w:val="en-GB" w:eastAsia="en-US"/>
        </w:rPr>
        <w:t>Nedostaci s</w:t>
      </w:r>
      <w:r w:rsidR="00F32AED">
        <w:rPr>
          <w:rFonts w:eastAsia="Calibri"/>
          <w:szCs w:val="22"/>
          <w:lang w:val="en-GB" w:eastAsia="en-US"/>
        </w:rPr>
        <w:t>e</w:t>
      </w:r>
      <w:r w:rsidRPr="005A5740">
        <w:rPr>
          <w:rFonts w:eastAsia="Calibri"/>
          <w:szCs w:val="22"/>
          <w:lang w:val="en-GB" w:eastAsia="en-US"/>
        </w:rPr>
        <w:t xml:space="preserve"> uglavnom </w:t>
      </w:r>
      <w:r w:rsidR="00F32AED">
        <w:rPr>
          <w:rFonts w:eastAsia="Calibri"/>
          <w:szCs w:val="22"/>
          <w:lang w:val="en-GB" w:eastAsia="en-US"/>
        </w:rPr>
        <w:t>odnose na ne</w:t>
      </w:r>
      <w:r w:rsidR="00564B9F">
        <w:rPr>
          <w:rFonts w:eastAsia="Calibri"/>
          <w:szCs w:val="22"/>
          <w:lang w:val="en-GB" w:eastAsia="en-US"/>
        </w:rPr>
        <w:t>defini</w:t>
      </w:r>
      <w:r w:rsidR="001A5DE6">
        <w:rPr>
          <w:rFonts w:eastAsia="Calibri"/>
          <w:szCs w:val="22"/>
          <w:lang w:val="en-GB" w:eastAsia="en-US"/>
        </w:rPr>
        <w:t>sane</w:t>
      </w:r>
      <w:r w:rsidR="00F32AED">
        <w:rPr>
          <w:rFonts w:eastAsia="Calibri"/>
          <w:szCs w:val="22"/>
          <w:lang w:val="en-GB" w:eastAsia="en-US"/>
        </w:rPr>
        <w:t xml:space="preserve"> referentne</w:t>
      </w:r>
      <w:r w:rsidR="00564B9F">
        <w:rPr>
          <w:rFonts w:eastAsia="Calibri"/>
          <w:szCs w:val="22"/>
          <w:lang w:val="en-GB" w:eastAsia="en-US"/>
        </w:rPr>
        <w:t xml:space="preserve"> i </w:t>
      </w:r>
      <w:r w:rsidR="00F32AED">
        <w:rPr>
          <w:rFonts w:eastAsia="Calibri"/>
          <w:szCs w:val="22"/>
          <w:lang w:val="en-GB" w:eastAsia="en-US"/>
        </w:rPr>
        <w:t xml:space="preserve">granične </w:t>
      </w:r>
      <w:r w:rsidRPr="005A5740">
        <w:rPr>
          <w:rFonts w:eastAsia="Calibri"/>
          <w:szCs w:val="22"/>
          <w:lang w:val="en-GB" w:eastAsia="en-US"/>
        </w:rPr>
        <w:t xml:space="preserve">vrijednosti za mnoge pokazatelje </w:t>
      </w:r>
      <w:r w:rsidR="00564B9F">
        <w:rPr>
          <w:rFonts w:eastAsia="Calibri"/>
          <w:szCs w:val="22"/>
          <w:lang w:val="en-GB" w:eastAsia="en-US"/>
        </w:rPr>
        <w:t>biodiverziteta</w:t>
      </w:r>
      <w:r w:rsidR="00F458A1">
        <w:rPr>
          <w:rFonts w:eastAsia="Calibri"/>
          <w:szCs w:val="22"/>
          <w:lang w:val="en-GB" w:eastAsia="en-US"/>
        </w:rPr>
        <w:t xml:space="preserve"> planktonsk</w:t>
      </w:r>
      <w:r w:rsidR="0018618D">
        <w:rPr>
          <w:rFonts w:eastAsia="Calibri"/>
          <w:szCs w:val="22"/>
          <w:lang w:val="en-GB" w:eastAsia="en-US"/>
        </w:rPr>
        <w:t>ih</w:t>
      </w:r>
      <w:r w:rsidR="00F458A1">
        <w:rPr>
          <w:rFonts w:eastAsia="Calibri"/>
          <w:szCs w:val="22"/>
          <w:lang w:val="en-GB" w:eastAsia="en-US"/>
        </w:rPr>
        <w:t xml:space="preserve"> zajednic</w:t>
      </w:r>
      <w:r w:rsidR="0018618D">
        <w:rPr>
          <w:rFonts w:eastAsia="Calibri"/>
          <w:szCs w:val="22"/>
          <w:lang w:val="en-GB" w:eastAsia="en-US"/>
        </w:rPr>
        <w:t>a</w:t>
      </w:r>
      <w:r w:rsidR="005574CE">
        <w:rPr>
          <w:rFonts w:eastAsia="Calibri"/>
          <w:szCs w:val="22"/>
          <w:lang w:val="en-GB" w:eastAsia="en-US"/>
        </w:rPr>
        <w:t xml:space="preserve">, </w:t>
      </w:r>
      <w:r w:rsidR="005574CE" w:rsidRPr="005A5740">
        <w:rPr>
          <w:rFonts w:eastAsia="Calibri"/>
          <w:szCs w:val="22"/>
          <w:lang w:val="en-GB" w:eastAsia="en-US"/>
        </w:rPr>
        <w:t>te</w:t>
      </w:r>
      <w:r w:rsidRPr="005A5740">
        <w:rPr>
          <w:rFonts w:eastAsia="Calibri"/>
          <w:szCs w:val="22"/>
          <w:lang w:val="en-GB" w:eastAsia="en-US"/>
        </w:rPr>
        <w:t xml:space="preserve"> na nedostatak dugoročnih </w:t>
      </w:r>
      <w:r w:rsidR="00F32AED">
        <w:rPr>
          <w:rFonts w:eastAsia="Calibri"/>
          <w:szCs w:val="22"/>
          <w:lang w:val="en-GB" w:eastAsia="en-US"/>
        </w:rPr>
        <w:t xml:space="preserve">nizova </w:t>
      </w:r>
      <w:r w:rsidRPr="005A5740">
        <w:rPr>
          <w:rFonts w:eastAsia="Calibri"/>
          <w:szCs w:val="22"/>
          <w:lang w:val="en-GB" w:eastAsia="en-US"/>
        </w:rPr>
        <w:t xml:space="preserve">podataka za procjenu GES-a. Važan nedostatak je </w:t>
      </w:r>
      <w:r w:rsidR="00564B9F">
        <w:rPr>
          <w:rFonts w:eastAsia="Calibri"/>
          <w:szCs w:val="22"/>
          <w:lang w:val="en-GB" w:eastAsia="en-US"/>
        </w:rPr>
        <w:t>i</w:t>
      </w:r>
      <w:r w:rsidR="00F458A1">
        <w:rPr>
          <w:rFonts w:eastAsia="Calibri"/>
          <w:szCs w:val="22"/>
          <w:lang w:val="en-GB" w:eastAsia="en-US"/>
        </w:rPr>
        <w:t xml:space="preserve"> </w:t>
      </w:r>
      <w:r w:rsidR="005574CE">
        <w:rPr>
          <w:rFonts w:eastAsia="Calibri"/>
          <w:szCs w:val="22"/>
          <w:lang w:val="en-GB" w:eastAsia="en-US"/>
        </w:rPr>
        <w:t>ograničena sa</w:t>
      </w:r>
      <w:r w:rsidRPr="005A5740">
        <w:rPr>
          <w:rFonts w:eastAsia="Calibri"/>
          <w:szCs w:val="22"/>
          <w:lang w:val="en-GB" w:eastAsia="en-US"/>
        </w:rPr>
        <w:t>radnja na regionalnoj i subregionalnoj (jadranskoj) razini u cilju postavljanja ciljeva i razmjene znanja i iskustava</w:t>
      </w:r>
      <w:r w:rsidR="00F458A1">
        <w:rPr>
          <w:rFonts w:eastAsia="Calibri"/>
          <w:szCs w:val="22"/>
          <w:lang w:val="en-GB" w:eastAsia="en-US"/>
        </w:rPr>
        <w:t xml:space="preserve"> kroz </w:t>
      </w:r>
      <w:r w:rsidRPr="005A5740">
        <w:rPr>
          <w:rFonts w:eastAsia="Calibri"/>
          <w:szCs w:val="22"/>
          <w:lang w:val="en-GB" w:eastAsia="en-US"/>
        </w:rPr>
        <w:t xml:space="preserve">akcije koordinacije i interkalibracije za utvrđivanje graničnih </w:t>
      </w:r>
      <w:r w:rsidR="005574CE">
        <w:rPr>
          <w:rFonts w:eastAsia="Calibri"/>
          <w:szCs w:val="22"/>
          <w:lang w:val="en-GB" w:eastAsia="en-US"/>
        </w:rPr>
        <w:t>i</w:t>
      </w:r>
      <w:r w:rsidR="00F458A1">
        <w:rPr>
          <w:rFonts w:eastAsia="Calibri"/>
          <w:szCs w:val="22"/>
          <w:lang w:val="en-GB" w:eastAsia="en-US"/>
        </w:rPr>
        <w:t xml:space="preserve"> referentnih </w:t>
      </w:r>
      <w:r w:rsidRPr="005A5740">
        <w:rPr>
          <w:rFonts w:eastAsia="Calibri"/>
          <w:szCs w:val="22"/>
          <w:lang w:val="en-GB" w:eastAsia="en-US"/>
        </w:rPr>
        <w:t>vrijednosti</w:t>
      </w:r>
      <w:r w:rsidR="00F458A1">
        <w:rPr>
          <w:rFonts w:eastAsia="Calibri"/>
          <w:szCs w:val="22"/>
          <w:lang w:val="en-GB" w:eastAsia="en-US"/>
        </w:rPr>
        <w:t xml:space="preserve">, te </w:t>
      </w:r>
      <w:r w:rsidRPr="005A5740">
        <w:rPr>
          <w:rFonts w:eastAsia="Calibri"/>
          <w:szCs w:val="22"/>
          <w:lang w:val="en-GB" w:eastAsia="en-US"/>
        </w:rPr>
        <w:t xml:space="preserve"> utvrđivanje zajedničke metodologije na regionalnoj razini. To je posebno važno za pelagična s</w:t>
      </w:r>
      <w:r w:rsidR="001A5DE6">
        <w:rPr>
          <w:rFonts w:eastAsia="Calibri"/>
          <w:szCs w:val="22"/>
          <w:lang w:val="en-GB" w:eastAsia="en-US"/>
        </w:rPr>
        <w:t>taništa koja značajno zavise</w:t>
      </w:r>
      <w:r w:rsidR="005574CE">
        <w:rPr>
          <w:rFonts w:eastAsia="Calibri"/>
          <w:szCs w:val="22"/>
          <w:lang w:val="en-GB" w:eastAsia="en-US"/>
        </w:rPr>
        <w:t xml:space="preserve"> o</w:t>
      </w:r>
      <w:r w:rsidR="001A5DE6">
        <w:rPr>
          <w:rFonts w:eastAsia="Calibri"/>
          <w:szCs w:val="22"/>
          <w:lang w:val="en-GB" w:eastAsia="en-US"/>
        </w:rPr>
        <w:t>d</w:t>
      </w:r>
      <w:r w:rsidR="005574CE">
        <w:rPr>
          <w:rFonts w:eastAsia="Calibri"/>
          <w:szCs w:val="22"/>
          <w:lang w:val="en-GB" w:eastAsia="en-US"/>
        </w:rPr>
        <w:t xml:space="preserve"> ok</w:t>
      </w:r>
      <w:r w:rsidRPr="005A5740">
        <w:rPr>
          <w:rFonts w:eastAsia="Calibri"/>
          <w:szCs w:val="22"/>
          <w:lang w:val="en-GB" w:eastAsia="en-US"/>
        </w:rPr>
        <w:t>eanografski</w:t>
      </w:r>
      <w:r w:rsidR="001A5DE6">
        <w:rPr>
          <w:rFonts w:eastAsia="Calibri"/>
          <w:szCs w:val="22"/>
          <w:lang w:val="en-GB" w:eastAsia="en-US"/>
        </w:rPr>
        <w:t>h</w:t>
      </w:r>
      <w:r w:rsidRPr="005A5740">
        <w:rPr>
          <w:rFonts w:eastAsia="Calibri"/>
          <w:szCs w:val="22"/>
          <w:lang w:val="en-GB" w:eastAsia="en-US"/>
        </w:rPr>
        <w:t xml:space="preserve"> </w:t>
      </w:r>
      <w:r w:rsidR="00564B9F">
        <w:rPr>
          <w:rFonts w:eastAsia="Calibri"/>
          <w:szCs w:val="22"/>
          <w:lang w:val="en-GB" w:eastAsia="en-US"/>
        </w:rPr>
        <w:t>uslov</w:t>
      </w:r>
      <w:r w:rsidR="001A5DE6">
        <w:rPr>
          <w:rFonts w:eastAsia="Calibri"/>
          <w:szCs w:val="22"/>
          <w:lang w:val="en-GB" w:eastAsia="en-US"/>
        </w:rPr>
        <w:t>a</w:t>
      </w:r>
      <w:r w:rsidR="00564B9F">
        <w:rPr>
          <w:rFonts w:eastAsia="Calibri"/>
          <w:szCs w:val="22"/>
          <w:lang w:val="en-GB" w:eastAsia="en-US"/>
        </w:rPr>
        <w:t xml:space="preserve">, </w:t>
      </w:r>
      <w:r w:rsidR="005574CE">
        <w:rPr>
          <w:rFonts w:eastAsia="Calibri"/>
          <w:szCs w:val="22"/>
          <w:lang w:val="en-GB" w:eastAsia="en-US"/>
        </w:rPr>
        <w:t xml:space="preserve">ali </w:t>
      </w:r>
      <w:r w:rsidR="005574CE" w:rsidRPr="005A5740">
        <w:rPr>
          <w:rFonts w:eastAsia="Calibri"/>
          <w:szCs w:val="22"/>
          <w:lang w:val="en-GB" w:eastAsia="en-US"/>
        </w:rPr>
        <w:t>i</w:t>
      </w:r>
      <w:r w:rsidRPr="005A5740">
        <w:rPr>
          <w:rFonts w:eastAsia="Calibri"/>
          <w:szCs w:val="22"/>
          <w:lang w:val="en-GB" w:eastAsia="en-US"/>
        </w:rPr>
        <w:t xml:space="preserve"> brojni</w:t>
      </w:r>
      <w:r w:rsidR="001A5DE6">
        <w:rPr>
          <w:rFonts w:eastAsia="Calibri"/>
          <w:szCs w:val="22"/>
          <w:lang w:val="en-GB" w:eastAsia="en-US"/>
        </w:rPr>
        <w:t>h</w:t>
      </w:r>
      <w:r w:rsidRPr="005A5740">
        <w:rPr>
          <w:rFonts w:eastAsia="Calibri"/>
          <w:szCs w:val="22"/>
          <w:lang w:val="en-GB" w:eastAsia="en-US"/>
        </w:rPr>
        <w:t xml:space="preserve"> pritis</w:t>
      </w:r>
      <w:r w:rsidR="001A5DE6">
        <w:rPr>
          <w:rFonts w:eastAsia="Calibri"/>
          <w:szCs w:val="22"/>
          <w:lang w:val="en-GB" w:eastAsia="en-US"/>
        </w:rPr>
        <w:t>aka</w:t>
      </w:r>
      <w:r w:rsidRPr="005A5740">
        <w:rPr>
          <w:rFonts w:eastAsia="Calibri"/>
          <w:szCs w:val="22"/>
          <w:lang w:val="en-GB" w:eastAsia="en-US"/>
        </w:rPr>
        <w:t>.</w:t>
      </w:r>
    </w:p>
    <w:p w14:paraId="63ED0C2C" w14:textId="37D525F9" w:rsidR="00BE04CF" w:rsidRPr="000012CD" w:rsidRDefault="005A5740" w:rsidP="0018618D">
      <w:pPr>
        <w:autoSpaceDE w:val="0"/>
        <w:autoSpaceDN w:val="0"/>
        <w:adjustRightInd w:val="0"/>
        <w:spacing w:before="0" w:after="160"/>
        <w:rPr>
          <w:rFonts w:eastAsia="Calibri" w:cs="Calibri"/>
          <w:color w:val="000000"/>
          <w:szCs w:val="22"/>
          <w:lang w:val="en-GB" w:eastAsia="en-US"/>
        </w:rPr>
      </w:pPr>
      <w:r w:rsidRPr="005A5740">
        <w:rPr>
          <w:rFonts w:eastAsia="Calibri" w:cs="Calibri"/>
          <w:color w:val="000000"/>
          <w:szCs w:val="22"/>
          <w:lang w:val="en-GB" w:eastAsia="en-US"/>
        </w:rPr>
        <w:t xml:space="preserve">Zajednica planktona se </w:t>
      </w:r>
      <w:r w:rsidR="00F458A1">
        <w:rPr>
          <w:rFonts w:eastAsia="Calibri" w:cs="Calibri"/>
          <w:color w:val="000000"/>
          <w:szCs w:val="22"/>
          <w:lang w:val="en-GB" w:eastAsia="en-US"/>
        </w:rPr>
        <w:t xml:space="preserve">trenutno </w:t>
      </w:r>
      <w:r w:rsidRPr="005A5740">
        <w:rPr>
          <w:rFonts w:eastAsia="Calibri" w:cs="Calibri"/>
          <w:color w:val="000000"/>
          <w:szCs w:val="22"/>
          <w:lang w:val="en-GB" w:eastAsia="en-US"/>
        </w:rPr>
        <w:t>proučava na brojnim lokacijama</w:t>
      </w:r>
      <w:r w:rsidR="005574CE">
        <w:rPr>
          <w:rFonts w:eastAsia="Calibri" w:cs="Calibri"/>
          <w:color w:val="000000"/>
          <w:szCs w:val="22"/>
          <w:lang w:val="en-GB" w:eastAsia="en-US"/>
        </w:rPr>
        <w:t xml:space="preserve"> Bokokotorskog zaliva i</w:t>
      </w:r>
      <w:r w:rsidR="00BE04CF">
        <w:rPr>
          <w:rFonts w:eastAsia="Calibri" w:cs="Calibri"/>
          <w:color w:val="000000"/>
          <w:szCs w:val="22"/>
          <w:lang w:val="en-GB" w:eastAsia="en-US"/>
        </w:rPr>
        <w:t xml:space="preserve"> priobalnog dijela otvorenog mora</w:t>
      </w:r>
      <w:r w:rsidR="00FE1421">
        <w:rPr>
          <w:rFonts w:eastAsia="Calibri" w:cs="Calibri"/>
          <w:color w:val="000000"/>
          <w:szCs w:val="22"/>
          <w:lang w:val="en-GB" w:eastAsia="en-US"/>
        </w:rPr>
        <w:t>,</w:t>
      </w:r>
      <w:r w:rsidR="00F458A1">
        <w:rPr>
          <w:rFonts w:eastAsia="Calibri" w:cs="Calibri"/>
          <w:color w:val="000000"/>
          <w:szCs w:val="22"/>
          <w:lang w:val="en-GB" w:eastAsia="en-US"/>
        </w:rPr>
        <w:t xml:space="preserve"> </w:t>
      </w:r>
      <w:r w:rsidR="00FE1421">
        <w:rPr>
          <w:rFonts w:eastAsia="Calibri" w:cs="Calibri"/>
          <w:color w:val="000000"/>
          <w:szCs w:val="22"/>
          <w:lang w:val="en-GB" w:eastAsia="en-US"/>
        </w:rPr>
        <w:t xml:space="preserve">ali sa vrlo ograničenim uzorkovanjima otvorenih voda teritorijalnog mora Crne Gore. </w:t>
      </w:r>
      <w:r w:rsidRPr="005A5740">
        <w:rPr>
          <w:rFonts w:eastAsia="Calibri" w:cs="Calibri"/>
          <w:color w:val="000000"/>
          <w:szCs w:val="22"/>
          <w:lang w:val="en-GB" w:eastAsia="en-US"/>
        </w:rPr>
        <w:t xml:space="preserve"> </w:t>
      </w:r>
      <w:r w:rsidR="00FE1421">
        <w:rPr>
          <w:rFonts w:eastAsia="Calibri" w:cs="Calibri"/>
          <w:color w:val="000000"/>
          <w:szCs w:val="22"/>
          <w:lang w:val="en-GB" w:eastAsia="en-US"/>
        </w:rPr>
        <w:t xml:space="preserve">Stoga je važno uspostaviti mrežu </w:t>
      </w:r>
      <w:r w:rsidR="009C59F7">
        <w:rPr>
          <w:rFonts w:eastAsia="Calibri" w:cs="Calibri"/>
          <w:color w:val="000000"/>
          <w:szCs w:val="22"/>
          <w:lang w:val="en-GB" w:eastAsia="en-US"/>
        </w:rPr>
        <w:t>stanica</w:t>
      </w:r>
      <w:r w:rsidR="005E483C">
        <w:rPr>
          <w:rFonts w:eastAsia="Calibri" w:cs="Calibri"/>
          <w:color w:val="000000"/>
          <w:szCs w:val="22"/>
          <w:lang w:val="en-GB" w:eastAsia="en-US"/>
        </w:rPr>
        <w:t xml:space="preserve"> na cijelom teritorijalnom moru Crne Gore kako bi se mogla izvršiti procjena </w:t>
      </w:r>
      <w:r w:rsidR="00BE04CF" w:rsidRPr="00EF7672">
        <w:rPr>
          <w:rFonts w:eastAsia="Calibri" w:cs="Calibri"/>
          <w:color w:val="000000"/>
          <w:szCs w:val="22"/>
          <w:lang w:val="en-GB" w:eastAsia="en-US"/>
        </w:rPr>
        <w:t xml:space="preserve">pelagičnih staništa </w:t>
      </w:r>
      <w:r w:rsidR="0018618D" w:rsidRPr="00EF7672">
        <w:rPr>
          <w:rFonts w:eastAsia="Calibri" w:cs="Calibri"/>
          <w:color w:val="000000"/>
          <w:szCs w:val="22"/>
          <w:lang w:val="en-GB" w:eastAsia="en-US"/>
        </w:rPr>
        <w:t>s obzirom na biološku razno</w:t>
      </w:r>
      <w:r w:rsidR="009C59F7">
        <w:rPr>
          <w:rFonts w:eastAsia="Calibri" w:cs="Calibri"/>
          <w:color w:val="000000"/>
          <w:szCs w:val="22"/>
          <w:lang w:val="en-GB" w:eastAsia="en-US"/>
        </w:rPr>
        <w:t>vrsnost</w:t>
      </w:r>
      <w:r w:rsidR="0018618D" w:rsidRPr="00EF7672">
        <w:rPr>
          <w:rFonts w:eastAsia="Calibri" w:cs="Calibri"/>
          <w:color w:val="000000"/>
          <w:szCs w:val="22"/>
          <w:lang w:val="en-GB" w:eastAsia="en-US"/>
        </w:rPr>
        <w:t>, prehrambene mreže i eutrofikaciju, kao i za zajednicu planktona u cjelini</w:t>
      </w:r>
      <w:r w:rsidR="0018618D">
        <w:rPr>
          <w:rFonts w:eastAsia="Calibri" w:cs="Calibri"/>
          <w:color w:val="000000"/>
          <w:szCs w:val="22"/>
          <w:lang w:val="en-GB" w:eastAsia="en-US"/>
        </w:rPr>
        <w:t xml:space="preserve"> što bi značajno </w:t>
      </w:r>
      <w:r w:rsidR="009C59F7">
        <w:rPr>
          <w:rFonts w:eastAsia="Calibri" w:cs="Calibri"/>
          <w:color w:val="000000"/>
          <w:szCs w:val="22"/>
          <w:lang w:val="en-GB" w:eastAsia="en-US"/>
        </w:rPr>
        <w:t>doprinjelo i</w:t>
      </w:r>
      <w:r w:rsidR="0018618D">
        <w:rPr>
          <w:rFonts w:eastAsia="Calibri" w:cs="Calibri"/>
          <w:color w:val="000000"/>
          <w:szCs w:val="22"/>
          <w:lang w:val="en-GB" w:eastAsia="en-US"/>
        </w:rPr>
        <w:t xml:space="preserve"> procjeni stanja cijelog podregiona, odnosno Jadranskog mora. </w:t>
      </w:r>
    </w:p>
    <w:p w14:paraId="4E67F355" w14:textId="7C6C1874" w:rsidR="006A72D8" w:rsidRPr="006612D6" w:rsidRDefault="006612D6" w:rsidP="006612D6">
      <w:pPr>
        <w:rPr>
          <w:lang w:val="sr-Latn-RS" w:eastAsia="en-US"/>
        </w:rPr>
      </w:pPr>
      <w:r w:rsidRPr="006612D6">
        <w:rPr>
          <w:lang w:val="sr-Latn-RS" w:eastAsia="en-US"/>
        </w:rPr>
        <w:t>U slučaju ihtioplanktona, kako bi se na odgovarajući način prikupili podaci i procijenili pritisci u budućnosti, nacionalni program monitoringa bi trebao biti usklađen sa programima monitoringa fitoplanktona i zooplanktona, posebno za područje Bokokotorskog zaliva, štedeći na taj način troškove i unaprijeđujući uporedivost između skupova podataka. Takođe je potrebno unaprijediti prikupljanje podataka u ribarstvu kako bi se procijenio maksimalno održivi prinos (MSY) inćuna i buduće odgovarajuće izvještavanje u skladu s preporukama za D3C2. Da bi se definisali ciljevi na nacionalnom nivou potrebno je imati dobre i dugoročne nizove podataka. To znači da nacionalni program monitoringa ihtioplanktona mora biti u potpunosti operativan kako bi se omogućilo definisanje kvalitativnih i kvantitativnih ciljeva.</w:t>
      </w:r>
    </w:p>
    <w:p w14:paraId="6F539C02" w14:textId="00A00A8D" w:rsidR="002C0444" w:rsidRPr="006A72D8" w:rsidRDefault="002C0444" w:rsidP="006A72D8">
      <w:pPr>
        <w:pStyle w:val="Heading2"/>
        <w:rPr>
          <w:rFonts w:eastAsia="Calibri"/>
          <w:lang w:val="en-GB" w:eastAsia="en-US"/>
        </w:rPr>
      </w:pPr>
      <w:bookmarkStart w:id="375" w:name="_Toc83630983"/>
      <w:bookmarkStart w:id="376" w:name="_Toc68078564"/>
      <w:bookmarkEnd w:id="352"/>
      <w:r w:rsidRPr="002C0444">
        <w:rPr>
          <w:rFonts w:eastAsia="Calibri"/>
          <w:lang w:val="en-GB" w:eastAsia="en-US"/>
        </w:rPr>
        <w:t>BENTOSKA STANIŠTA – DESKRIPTORI 1 I 6</w:t>
      </w:r>
      <w:bookmarkEnd w:id="375"/>
    </w:p>
    <w:p w14:paraId="6E4CBDB9" w14:textId="16C16F22" w:rsidR="002C0444" w:rsidRPr="002C0444" w:rsidRDefault="002C0444" w:rsidP="006A72D8">
      <w:pPr>
        <w:spacing w:before="0"/>
        <w:ind w:firstLine="397"/>
        <w:rPr>
          <w:rFonts w:eastAsia="Calibri" w:cs="Calibri"/>
          <w:b/>
          <w:sz w:val="24"/>
          <w:lang w:val="sr-Latn-ME" w:eastAsia="en-US"/>
        </w:rPr>
      </w:pPr>
      <w:r w:rsidRPr="002C0444">
        <w:rPr>
          <w:rFonts w:eastAsia="Calibri" w:cs="Calibri"/>
          <w:b/>
          <w:sz w:val="24"/>
          <w:lang w:val="sr-Latn-ME" w:eastAsia="en-US"/>
        </w:rPr>
        <w:t>Uvod</w:t>
      </w:r>
    </w:p>
    <w:p w14:paraId="1117438B" w14:textId="51409D33" w:rsidR="002C0444" w:rsidRDefault="002C0444" w:rsidP="002C0444">
      <w:pPr>
        <w:spacing w:before="0" w:after="0"/>
        <w:rPr>
          <w:rFonts w:eastAsia="Calibri" w:cs="Calibri"/>
          <w:szCs w:val="22"/>
          <w:lang w:val="sr-Latn-ME" w:eastAsia="en-US"/>
        </w:rPr>
      </w:pPr>
      <w:r w:rsidRPr="002A4FE5">
        <w:rPr>
          <w:rFonts w:eastAsia="Calibri" w:cs="Calibri"/>
          <w:szCs w:val="22"/>
          <w:lang w:val="sr-Latn-ME" w:eastAsia="en-US"/>
        </w:rPr>
        <w:t xml:space="preserve">Tipovi staništa na morskom dnu (bentos) veoma su različiti u vodama Crne Gore, u rasponu od široko rasprostranjenih stanišnih tipova (poput plitkog sublitoralnog pijeska) do onih staništa koja imaju tendenciju da budu prostorno odvojena i ranjivija na ljudske pritiske (poput biogenog grebena). Bentoska morska staništa uključuju sve biološke zajednice povezane sa morskim dnom, kao i samu fizičku podlogu, od vrha plimske zone do dubokog mora. Mape rasprostranjenosti bentoskih staništa predstavljene su u </w:t>
      </w:r>
      <w:r w:rsidR="00564B9F">
        <w:rPr>
          <w:rFonts w:eastAsia="Calibri" w:cs="Calibri"/>
          <w:szCs w:val="22"/>
          <w:lang w:val="sr-Latn-ME" w:eastAsia="en-US"/>
        </w:rPr>
        <w:t>Početnoj</w:t>
      </w:r>
      <w:r w:rsidRPr="002A4FE5">
        <w:rPr>
          <w:rFonts w:eastAsia="Calibri" w:cs="Calibri"/>
          <w:szCs w:val="22"/>
          <w:lang w:val="sr-Latn-ME" w:eastAsia="en-US"/>
        </w:rPr>
        <w:t xml:space="preserve"> procjeni </w:t>
      </w:r>
      <w:r w:rsidR="00564B9F">
        <w:rPr>
          <w:rFonts w:eastAsia="Calibri" w:cs="Calibri"/>
          <w:szCs w:val="22"/>
          <w:lang w:val="sr-Latn-ME" w:eastAsia="en-US"/>
        </w:rPr>
        <w:t xml:space="preserve">stanja </w:t>
      </w:r>
      <w:r w:rsidRPr="002A4FE5">
        <w:rPr>
          <w:rFonts w:eastAsia="Calibri" w:cs="Calibri"/>
          <w:szCs w:val="22"/>
          <w:lang w:val="sr-Latn-ME" w:eastAsia="en-US"/>
        </w:rPr>
        <w:t>morske sredine Crne Gore (2020</w:t>
      </w:r>
      <w:r w:rsidRPr="002B0742">
        <w:rPr>
          <w:rFonts w:eastAsia="Calibri" w:cs="Calibri"/>
          <w:szCs w:val="22"/>
          <w:lang w:val="sr-Latn-ME" w:eastAsia="en-US"/>
        </w:rPr>
        <w:t>). Među njima su sl</w:t>
      </w:r>
      <w:r w:rsidR="00C87B62">
        <w:rPr>
          <w:rFonts w:eastAsia="Calibri" w:cs="Calibri"/>
          <w:szCs w:val="22"/>
          <w:lang w:val="sr-Latn-ME" w:eastAsia="en-US"/>
        </w:rPr>
        <w:t>j</w:t>
      </w:r>
      <w:r w:rsidRPr="002B0742">
        <w:rPr>
          <w:rFonts w:eastAsia="Calibri" w:cs="Calibri"/>
          <w:szCs w:val="22"/>
          <w:lang w:val="sr-Latn-ME" w:eastAsia="en-US"/>
        </w:rPr>
        <w:t>edeća</w:t>
      </w:r>
      <w:r w:rsidRPr="002A4FE5">
        <w:rPr>
          <w:rFonts w:eastAsia="Calibri" w:cs="Calibri"/>
          <w:szCs w:val="22"/>
          <w:lang w:val="sr-Latn-ME" w:eastAsia="en-US"/>
        </w:rPr>
        <w:t xml:space="preserve"> staništa izabrana kao prioritetna na subregionalnom nivou / Jadransko more:</w:t>
      </w:r>
    </w:p>
    <w:p w14:paraId="0C9293BA" w14:textId="77777777" w:rsidR="00B52DD2" w:rsidRPr="002A4FE5" w:rsidRDefault="00B52DD2" w:rsidP="002C0444">
      <w:pPr>
        <w:spacing w:before="0" w:after="0"/>
        <w:rPr>
          <w:rFonts w:eastAsia="Calibri" w:cs="Calibri"/>
          <w:szCs w:val="22"/>
          <w:lang w:val="sr-Latn-ME" w:eastAsia="en-US"/>
        </w:rPr>
      </w:pPr>
    </w:p>
    <w:p w14:paraId="4486DD2C" w14:textId="77777777" w:rsidR="002C0444" w:rsidRPr="002A4FE5" w:rsidRDefault="002C0444" w:rsidP="00C52E6F">
      <w:pPr>
        <w:numPr>
          <w:ilvl w:val="0"/>
          <w:numId w:val="64"/>
        </w:numPr>
        <w:autoSpaceDE w:val="0"/>
        <w:autoSpaceDN w:val="0"/>
        <w:adjustRightInd w:val="0"/>
        <w:spacing w:before="0" w:after="0"/>
        <w:jc w:val="left"/>
        <w:rPr>
          <w:rFonts w:eastAsia="Calibri" w:cs="Calibri"/>
          <w:i/>
          <w:color w:val="000000"/>
          <w:szCs w:val="22"/>
          <w:lang w:val="en-GB" w:eastAsia="en-US"/>
        </w:rPr>
      </w:pPr>
      <w:r w:rsidRPr="002A4FE5">
        <w:rPr>
          <w:rFonts w:eastAsia="Calibri" w:cs="Calibri"/>
          <w:color w:val="000000"/>
          <w:szCs w:val="22"/>
          <w:lang w:val="en-GB" w:eastAsia="en-US"/>
        </w:rPr>
        <w:t xml:space="preserve">Zajednice fotofilnih algi sa posebnim naglaskom na alge roda </w:t>
      </w:r>
      <w:r w:rsidRPr="002A4FE5">
        <w:rPr>
          <w:rFonts w:eastAsia="Calibri" w:cs="Calibri"/>
          <w:i/>
          <w:color w:val="000000"/>
          <w:szCs w:val="22"/>
          <w:lang w:val="en-GB" w:eastAsia="en-US"/>
        </w:rPr>
        <w:t>Cystoseira –Cystoseira amentacea</w:t>
      </w:r>
    </w:p>
    <w:p w14:paraId="04DFCB3D" w14:textId="77777777" w:rsidR="002C0444" w:rsidRPr="002A4FE5" w:rsidRDefault="002C0444" w:rsidP="00C52E6F">
      <w:pPr>
        <w:numPr>
          <w:ilvl w:val="0"/>
          <w:numId w:val="64"/>
        </w:numPr>
        <w:autoSpaceDE w:val="0"/>
        <w:autoSpaceDN w:val="0"/>
        <w:adjustRightInd w:val="0"/>
        <w:spacing w:before="0" w:after="0"/>
        <w:jc w:val="left"/>
        <w:rPr>
          <w:rFonts w:eastAsia="Calibri" w:cs="Calibri"/>
          <w:i/>
          <w:color w:val="000000"/>
          <w:szCs w:val="22"/>
          <w:lang w:val="en-GB" w:eastAsia="en-US"/>
        </w:rPr>
      </w:pPr>
      <w:r w:rsidRPr="002A4FE5">
        <w:rPr>
          <w:rFonts w:eastAsia="Calibri" w:cs="Calibri"/>
          <w:color w:val="000000"/>
          <w:szCs w:val="22"/>
          <w:lang w:val="en-GB" w:eastAsia="en-US"/>
        </w:rPr>
        <w:t>Livade posidonije</w:t>
      </w:r>
      <w:r w:rsidRPr="002A4FE5">
        <w:rPr>
          <w:rFonts w:eastAsia="Calibri" w:cs="Calibri"/>
          <w:i/>
          <w:color w:val="000000"/>
          <w:szCs w:val="22"/>
          <w:lang w:val="en-GB" w:eastAsia="en-US"/>
        </w:rPr>
        <w:t>– Posidonia oceanica</w:t>
      </w:r>
    </w:p>
    <w:p w14:paraId="18848601" w14:textId="77777777" w:rsidR="002C0444" w:rsidRPr="002A4FE5" w:rsidRDefault="002C0444" w:rsidP="00C52E6F">
      <w:pPr>
        <w:numPr>
          <w:ilvl w:val="0"/>
          <w:numId w:val="64"/>
        </w:numPr>
        <w:autoSpaceDE w:val="0"/>
        <w:autoSpaceDN w:val="0"/>
        <w:adjustRightInd w:val="0"/>
        <w:spacing w:before="0" w:after="0"/>
        <w:jc w:val="left"/>
        <w:rPr>
          <w:rFonts w:eastAsia="Calibri" w:cs="Calibri"/>
          <w:i/>
          <w:color w:val="000000"/>
          <w:szCs w:val="22"/>
          <w:lang w:val="en-GB" w:eastAsia="en-US"/>
        </w:rPr>
      </w:pPr>
      <w:r w:rsidRPr="002A4FE5">
        <w:rPr>
          <w:rFonts w:eastAsia="Calibri" w:cs="Calibri"/>
          <w:color w:val="000000"/>
          <w:szCs w:val="22"/>
          <w:lang w:val="en-GB" w:eastAsia="en-US"/>
        </w:rPr>
        <w:t xml:space="preserve">Livade Cymodocee– </w:t>
      </w:r>
      <w:r w:rsidRPr="002A4FE5">
        <w:rPr>
          <w:rFonts w:eastAsia="Calibri" w:cs="Calibri"/>
          <w:i/>
          <w:color w:val="000000"/>
          <w:szCs w:val="22"/>
          <w:lang w:val="en-GB" w:eastAsia="en-US"/>
        </w:rPr>
        <w:t>Cymodocea nodosa</w:t>
      </w:r>
    </w:p>
    <w:p w14:paraId="2F159999" w14:textId="77777777" w:rsidR="002C0444" w:rsidRPr="002A4FE5" w:rsidRDefault="002C0444" w:rsidP="00C52E6F">
      <w:pPr>
        <w:numPr>
          <w:ilvl w:val="0"/>
          <w:numId w:val="64"/>
        </w:numPr>
        <w:autoSpaceDE w:val="0"/>
        <w:autoSpaceDN w:val="0"/>
        <w:adjustRightInd w:val="0"/>
        <w:spacing w:before="0" w:after="0"/>
        <w:jc w:val="left"/>
        <w:rPr>
          <w:rFonts w:eastAsia="Calibri" w:cs="Calibri"/>
          <w:i/>
          <w:color w:val="000000"/>
          <w:szCs w:val="22"/>
          <w:lang w:val="en-GB" w:eastAsia="en-US"/>
        </w:rPr>
      </w:pPr>
      <w:r w:rsidRPr="002A4FE5">
        <w:rPr>
          <w:rFonts w:eastAsia="Calibri" w:cs="Calibri"/>
          <w:color w:val="000000"/>
          <w:szCs w:val="22"/>
          <w:lang w:val="en-GB" w:eastAsia="en-US"/>
        </w:rPr>
        <w:t>Koralne zajednice</w:t>
      </w:r>
      <w:r w:rsidRPr="002A4FE5">
        <w:rPr>
          <w:rFonts w:eastAsia="Calibri" w:cs="Calibri"/>
          <w:i/>
          <w:color w:val="000000"/>
          <w:szCs w:val="22"/>
          <w:lang w:val="en-GB" w:eastAsia="en-US"/>
        </w:rPr>
        <w:t>– Savalia savaglia</w:t>
      </w:r>
    </w:p>
    <w:p w14:paraId="6AB25620" w14:textId="77777777" w:rsidR="002C0444" w:rsidRPr="002A4FE5" w:rsidRDefault="002C0444" w:rsidP="002C0444">
      <w:pPr>
        <w:spacing w:before="0" w:after="0"/>
        <w:ind w:firstLine="397"/>
        <w:rPr>
          <w:rFonts w:eastAsia="Calibri" w:cs="Calibri"/>
          <w:szCs w:val="22"/>
          <w:lang w:val="sr-Latn-ME" w:eastAsia="en-US"/>
        </w:rPr>
      </w:pPr>
    </w:p>
    <w:p w14:paraId="569EF7C5" w14:textId="54636345" w:rsidR="002C0444" w:rsidRPr="002A4FE5" w:rsidRDefault="002C0444" w:rsidP="002C0444">
      <w:pPr>
        <w:spacing w:before="0" w:after="0"/>
        <w:rPr>
          <w:rFonts w:eastAsia="Calibri" w:cs="Calibri"/>
          <w:szCs w:val="22"/>
          <w:lang w:val="sr-Latn-ME" w:eastAsia="en-US"/>
        </w:rPr>
      </w:pPr>
      <w:r w:rsidRPr="002A4FE5">
        <w:rPr>
          <w:rFonts w:eastAsia="Calibri" w:cs="Calibri"/>
          <w:szCs w:val="22"/>
          <w:lang w:val="sr-Latn-ME" w:eastAsia="en-US"/>
        </w:rPr>
        <w:t xml:space="preserve">Bentoska staništa </w:t>
      </w:r>
      <w:r w:rsidR="00564B9F">
        <w:rPr>
          <w:rFonts w:eastAsia="Calibri" w:cs="Calibri"/>
          <w:szCs w:val="22"/>
          <w:lang w:val="sr-Latn-ME" w:eastAsia="en-US"/>
        </w:rPr>
        <w:t xml:space="preserve">su važna </w:t>
      </w:r>
      <w:r w:rsidRPr="002A4FE5">
        <w:rPr>
          <w:rFonts w:eastAsia="Calibri" w:cs="Calibri"/>
          <w:szCs w:val="22"/>
          <w:lang w:val="sr-Latn-ME" w:eastAsia="en-US"/>
        </w:rPr>
        <w:t>za dva kvalitativna deskriptora: D1 – Biodiverzitet i D6 – integritet morskog dna.</w:t>
      </w:r>
    </w:p>
    <w:p w14:paraId="2B941ADB" w14:textId="47C077B1" w:rsidR="002C0444" w:rsidRDefault="00C470F8" w:rsidP="002C0444">
      <w:pPr>
        <w:spacing w:before="0" w:after="0"/>
        <w:ind w:firstLine="397"/>
        <w:rPr>
          <w:rFonts w:eastAsia="Calibri" w:cs="Calibri"/>
          <w:sz w:val="24"/>
          <w:lang w:val="sr-Latn-ME" w:eastAsia="en-US"/>
        </w:rPr>
      </w:pPr>
      <w:r w:rsidRPr="001C6CCA">
        <w:rPr>
          <w:rFonts w:cs="Stag Sans Semibold"/>
          <w:b/>
          <w:bCs/>
          <w:noProof/>
          <w:color w:val="000000"/>
          <w:sz w:val="20"/>
          <w:szCs w:val="20"/>
          <w:lang w:eastAsia="en-US"/>
        </w:rPr>
        <mc:AlternateContent>
          <mc:Choice Requires="wps">
            <w:drawing>
              <wp:anchor distT="0" distB="0" distL="114300" distR="114300" simplePos="0" relativeHeight="251831296" behindDoc="0" locked="0" layoutInCell="1" allowOverlap="1" wp14:anchorId="731F9928" wp14:editId="0A3DEF4A">
                <wp:simplePos x="0" y="0"/>
                <wp:positionH relativeFrom="column">
                  <wp:posOffset>22860</wp:posOffset>
                </wp:positionH>
                <wp:positionV relativeFrom="paragraph">
                  <wp:posOffset>60960</wp:posOffset>
                </wp:positionV>
                <wp:extent cx="5775960" cy="1165860"/>
                <wp:effectExtent l="0" t="0" r="0" b="0"/>
                <wp:wrapNone/>
                <wp:docPr id="4" name="Rectangle: Rounded Corners 4"/>
                <wp:cNvGraphicFramePr/>
                <a:graphic xmlns:a="http://schemas.openxmlformats.org/drawingml/2006/main">
                  <a:graphicData uri="http://schemas.microsoft.com/office/word/2010/wordprocessingShape">
                    <wps:wsp>
                      <wps:cNvSpPr/>
                      <wps:spPr>
                        <a:xfrm>
                          <a:off x="0" y="0"/>
                          <a:ext cx="5775960" cy="1165860"/>
                        </a:xfrm>
                        <a:prstGeom prst="roundRect">
                          <a:avLst/>
                        </a:prstGeom>
                        <a:solidFill>
                          <a:srgbClr val="4F81BD">
                            <a:lumMod val="20000"/>
                            <a:lumOff val="80000"/>
                            <a:alpha val="84000"/>
                          </a:srgbClr>
                        </a:solidFill>
                        <a:ln w="25400" cap="flat" cmpd="sng" algn="ctr">
                          <a:noFill/>
                          <a:prstDash val="solid"/>
                        </a:ln>
                        <a:effectLst/>
                      </wps:spPr>
                      <wps:txbx>
                        <w:txbxContent>
                          <w:p w14:paraId="720DF6D2" w14:textId="77777777" w:rsidR="00515997" w:rsidRPr="002A4FE5" w:rsidRDefault="00515997" w:rsidP="006A72D8">
                            <w:pPr>
                              <w:shd w:val="clear" w:color="auto" w:fill="DBE5F1" w:themeFill="accent1" w:themeFillTint="33"/>
                              <w:spacing w:before="0" w:after="0"/>
                              <w:rPr>
                                <w:rFonts w:eastAsia="Calibri" w:cs="Calibri"/>
                                <w:szCs w:val="22"/>
                                <w:lang w:val="sr-Latn-ME" w:eastAsia="en-US"/>
                              </w:rPr>
                            </w:pPr>
                            <w:r w:rsidRPr="002A4FE5">
                              <w:rPr>
                                <w:rFonts w:eastAsia="Calibri" w:cs="Calibri"/>
                                <w:b/>
                                <w:szCs w:val="22"/>
                                <w:lang w:val="sr-Latn-ME" w:eastAsia="en-US"/>
                              </w:rPr>
                              <w:t xml:space="preserve">Definicija </w:t>
                            </w:r>
                            <w:r>
                              <w:rPr>
                                <w:rFonts w:eastAsia="Calibri" w:cs="Calibri"/>
                                <w:b/>
                                <w:szCs w:val="22"/>
                                <w:lang w:val="sr-Latn-ME" w:eastAsia="en-US"/>
                              </w:rPr>
                              <w:t>GES</w:t>
                            </w:r>
                            <w:r w:rsidRPr="002A4FE5">
                              <w:rPr>
                                <w:rFonts w:eastAsia="Calibri" w:cs="Calibri"/>
                                <w:b/>
                                <w:szCs w:val="22"/>
                                <w:lang w:val="sr-Latn-ME" w:eastAsia="en-US"/>
                              </w:rPr>
                              <w:t xml:space="preserve"> za Deskriptor 1</w:t>
                            </w:r>
                            <w:r w:rsidRPr="002A4FE5">
                              <w:rPr>
                                <w:rFonts w:eastAsia="Calibri" w:cs="Calibri"/>
                                <w:szCs w:val="22"/>
                                <w:lang w:val="sr-Latn-ME" w:eastAsia="en-US"/>
                              </w:rPr>
                              <w:t xml:space="preserve">: </w:t>
                            </w:r>
                            <w:r w:rsidRPr="00C470F8">
                              <w:rPr>
                                <w:rFonts w:eastAsia="Calibri" w:cs="Calibri"/>
                                <w:i/>
                                <w:szCs w:val="22"/>
                                <w:lang w:val="sr-Latn-ME" w:eastAsia="en-US"/>
                              </w:rPr>
                              <w:t>Biološka raznovrsnost je održana, brojnost vrsta odgovara preovlađujućim uslovima i tip staništa nije pod negativnim uticajem antropogenih uticaja.</w:t>
                            </w:r>
                          </w:p>
                          <w:p w14:paraId="1CC2B85F" w14:textId="77777777" w:rsidR="00515997" w:rsidRPr="00C470F8" w:rsidRDefault="00515997" w:rsidP="006A72D8">
                            <w:pPr>
                              <w:shd w:val="clear" w:color="auto" w:fill="DBE5F1" w:themeFill="accent1" w:themeFillTint="33"/>
                              <w:spacing w:before="0" w:after="0"/>
                              <w:rPr>
                                <w:rFonts w:eastAsia="Calibri" w:cs="Calibri"/>
                                <w:i/>
                                <w:szCs w:val="22"/>
                                <w:lang w:val="sr-Latn-ME" w:eastAsia="en-US"/>
                              </w:rPr>
                            </w:pPr>
                            <w:r w:rsidRPr="002A4FE5">
                              <w:rPr>
                                <w:rFonts w:eastAsia="Calibri" w:cs="Calibri"/>
                                <w:b/>
                                <w:szCs w:val="22"/>
                                <w:lang w:val="sr-Latn-ME" w:eastAsia="en-US"/>
                              </w:rPr>
                              <w:t xml:space="preserve">Definicija </w:t>
                            </w:r>
                            <w:r>
                              <w:rPr>
                                <w:rFonts w:eastAsia="Calibri" w:cs="Calibri"/>
                                <w:b/>
                                <w:szCs w:val="22"/>
                                <w:lang w:val="sr-Latn-ME" w:eastAsia="en-US"/>
                              </w:rPr>
                              <w:t>GES</w:t>
                            </w:r>
                            <w:r w:rsidRPr="002A4FE5">
                              <w:rPr>
                                <w:rFonts w:eastAsia="Calibri" w:cs="Calibri"/>
                                <w:b/>
                                <w:szCs w:val="22"/>
                                <w:lang w:val="sr-Latn-ME" w:eastAsia="en-US"/>
                              </w:rPr>
                              <w:t xml:space="preserve"> za Deskriptor 6</w:t>
                            </w:r>
                            <w:r w:rsidRPr="002A4FE5">
                              <w:rPr>
                                <w:rFonts w:eastAsia="Calibri" w:cs="Calibri"/>
                                <w:szCs w:val="22"/>
                                <w:lang w:val="sr-Latn-ME" w:eastAsia="en-US"/>
                              </w:rPr>
                              <w:t xml:space="preserve">: </w:t>
                            </w:r>
                            <w:r w:rsidRPr="00C470F8">
                              <w:rPr>
                                <w:rFonts w:eastAsia="Calibri" w:cs="Calibri"/>
                                <w:i/>
                                <w:szCs w:val="22"/>
                                <w:lang w:val="sr-Latn-ME" w:eastAsia="en-US"/>
                              </w:rPr>
                              <w:t>Cjelovitost morskog dna je na nivou koji omogućava da su struktura i funkcija ekosistema zaštićene kao i da bentoski ekosistemi nisu posebno zahvaćeni štetnim uticajima.</w:t>
                            </w:r>
                          </w:p>
                          <w:p w14:paraId="7527E582" w14:textId="77777777" w:rsidR="00515997" w:rsidRPr="002C0444" w:rsidRDefault="00515997" w:rsidP="00C470F8">
                            <w:pPr>
                              <w:spacing w:before="0" w:after="0"/>
                              <w:ind w:firstLine="397"/>
                              <w:rPr>
                                <w:rFonts w:eastAsia="Calibri" w:cs="Calibri"/>
                                <w:sz w:val="24"/>
                                <w:lang w:val="sr-Latn-ME" w:eastAsia="en-US"/>
                              </w:rPr>
                            </w:pPr>
                          </w:p>
                          <w:p w14:paraId="5D91849B" w14:textId="18F8D88B" w:rsidR="00515997" w:rsidRPr="00A9366B" w:rsidRDefault="00515997" w:rsidP="00C470F8">
                            <w:pPr>
                              <w:rPr>
                                <w:rFonts w:cs="Calibri"/>
                                <w:b/>
                                <w:i/>
                                <w:color w:val="000000" w:themeColor="text1"/>
                                <w:szCs w:val="22"/>
                                <w:lang w:val="hr-H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1F9928" id="Rectangle: Rounded Corners 4" o:spid="_x0000_s1064" style="position:absolute;left:0;text-align:left;margin-left:1.8pt;margin-top:4.8pt;width:454.8pt;height:91.8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" fillcolor="#dce6f2" stroked="f" strokeweight="2pt">
                <v:fill opacity="54998f"/>
                <v:textbox>
                  <w:txbxContent>
                    <w:p w14:paraId="720DF6D2" w14:textId="77777777" w:rsidR="00515997" w:rsidRPr="002A4FE5" w:rsidRDefault="00515997" w:rsidP="006A72D8">
                      <w:pPr>
                        <w:shd w:val="clear" w:color="auto" w:fill="DBE5F1" w:themeFill="accent1" w:themeFillTint="33"/>
                        <w:spacing w:before="0" w:after="0"/>
                        <w:rPr>
                          <w:rFonts w:eastAsia="Calibri" w:cs="Calibri"/>
                          <w:szCs w:val="22"/>
                          <w:lang w:val="sr-Latn-ME" w:eastAsia="en-US"/>
                        </w:rPr>
                      </w:pPr>
                      <w:r w:rsidRPr="002A4FE5">
                        <w:rPr>
                          <w:rFonts w:eastAsia="Calibri" w:cs="Calibri"/>
                          <w:b/>
                          <w:szCs w:val="22"/>
                          <w:lang w:val="sr-Latn-ME" w:eastAsia="en-US"/>
                        </w:rPr>
                        <w:t xml:space="preserve">Definicija </w:t>
                      </w:r>
                      <w:r>
                        <w:rPr>
                          <w:rFonts w:eastAsia="Calibri" w:cs="Calibri"/>
                          <w:b/>
                          <w:szCs w:val="22"/>
                          <w:lang w:val="sr-Latn-ME" w:eastAsia="en-US"/>
                        </w:rPr>
                        <w:t>GES</w:t>
                      </w:r>
                      <w:r w:rsidRPr="002A4FE5">
                        <w:rPr>
                          <w:rFonts w:eastAsia="Calibri" w:cs="Calibri"/>
                          <w:b/>
                          <w:szCs w:val="22"/>
                          <w:lang w:val="sr-Latn-ME" w:eastAsia="en-US"/>
                        </w:rPr>
                        <w:t xml:space="preserve"> za Deskriptor 1</w:t>
                      </w:r>
                      <w:r w:rsidRPr="002A4FE5">
                        <w:rPr>
                          <w:rFonts w:eastAsia="Calibri" w:cs="Calibri"/>
                          <w:szCs w:val="22"/>
                          <w:lang w:val="sr-Latn-ME" w:eastAsia="en-US"/>
                        </w:rPr>
                        <w:t xml:space="preserve">: </w:t>
                      </w:r>
                      <w:r w:rsidRPr="00C470F8">
                        <w:rPr>
                          <w:rFonts w:eastAsia="Calibri" w:cs="Calibri"/>
                          <w:i/>
                          <w:szCs w:val="22"/>
                          <w:lang w:val="sr-Latn-ME" w:eastAsia="en-US"/>
                        </w:rPr>
                        <w:t>Biološka raznovrsnost je održana, brojnost vrsta odgovara preovlađujućim uslovima i tip staništa nije pod negativnim uticajem antropogenih uticaja.</w:t>
                      </w:r>
                    </w:p>
                    <w:p w14:paraId="1CC2B85F" w14:textId="77777777" w:rsidR="00515997" w:rsidRPr="00C470F8" w:rsidRDefault="00515997" w:rsidP="006A72D8">
                      <w:pPr>
                        <w:shd w:val="clear" w:color="auto" w:fill="DBE5F1" w:themeFill="accent1" w:themeFillTint="33"/>
                        <w:spacing w:before="0" w:after="0"/>
                        <w:rPr>
                          <w:rFonts w:eastAsia="Calibri" w:cs="Calibri"/>
                          <w:i/>
                          <w:szCs w:val="22"/>
                          <w:lang w:val="sr-Latn-ME" w:eastAsia="en-US"/>
                        </w:rPr>
                      </w:pPr>
                      <w:r w:rsidRPr="002A4FE5">
                        <w:rPr>
                          <w:rFonts w:eastAsia="Calibri" w:cs="Calibri"/>
                          <w:b/>
                          <w:szCs w:val="22"/>
                          <w:lang w:val="sr-Latn-ME" w:eastAsia="en-US"/>
                        </w:rPr>
                        <w:t xml:space="preserve">Definicija </w:t>
                      </w:r>
                      <w:r>
                        <w:rPr>
                          <w:rFonts w:eastAsia="Calibri" w:cs="Calibri"/>
                          <w:b/>
                          <w:szCs w:val="22"/>
                          <w:lang w:val="sr-Latn-ME" w:eastAsia="en-US"/>
                        </w:rPr>
                        <w:t>GES</w:t>
                      </w:r>
                      <w:r w:rsidRPr="002A4FE5">
                        <w:rPr>
                          <w:rFonts w:eastAsia="Calibri" w:cs="Calibri"/>
                          <w:b/>
                          <w:szCs w:val="22"/>
                          <w:lang w:val="sr-Latn-ME" w:eastAsia="en-US"/>
                        </w:rPr>
                        <w:t xml:space="preserve"> za Deskriptor 6</w:t>
                      </w:r>
                      <w:r w:rsidRPr="002A4FE5">
                        <w:rPr>
                          <w:rFonts w:eastAsia="Calibri" w:cs="Calibri"/>
                          <w:szCs w:val="22"/>
                          <w:lang w:val="sr-Latn-ME" w:eastAsia="en-US"/>
                        </w:rPr>
                        <w:t xml:space="preserve">: </w:t>
                      </w:r>
                      <w:r w:rsidRPr="00C470F8">
                        <w:rPr>
                          <w:rFonts w:eastAsia="Calibri" w:cs="Calibri"/>
                          <w:i/>
                          <w:szCs w:val="22"/>
                          <w:lang w:val="sr-Latn-ME" w:eastAsia="en-US"/>
                        </w:rPr>
                        <w:t>Cjelovitost morskog dna je na nivou koji omogućava da su struktura i funkcija ekosistema zaštićene kao i da bentoski ekosistemi nisu posebno zahvaćeni štetnim uticajima.</w:t>
                      </w:r>
                    </w:p>
                    <w:p w14:paraId="7527E582" w14:textId="77777777" w:rsidR="00515997" w:rsidRPr="002C0444" w:rsidRDefault="00515997" w:rsidP="00C470F8">
                      <w:pPr>
                        <w:spacing w:before="0" w:after="0"/>
                        <w:ind w:firstLine="397"/>
                        <w:rPr>
                          <w:rFonts w:eastAsia="Calibri" w:cs="Calibri"/>
                          <w:sz w:val="24"/>
                          <w:lang w:val="sr-Latn-ME" w:eastAsia="en-US"/>
                        </w:rPr>
                      </w:pPr>
                    </w:p>
                    <w:p w14:paraId="5D91849B" w14:textId="18F8D88B" w:rsidR="00515997" w:rsidRPr="00A9366B" w:rsidRDefault="00515997" w:rsidP="00C470F8">
                      <w:pPr>
                        <w:rPr>
                          <w:rFonts w:cs="Calibri"/>
                          <w:b/>
                          <w:i/>
                          <w:color w:val="000000" w:themeColor="text1"/>
                          <w:szCs w:val="22"/>
                          <w:lang w:val="hr-HR"/>
                          <w14:textOutline w14:w="9525" w14:cap="rnd" w14:cmpd="sng" w14:algn="ctr">
                            <w14:noFill/>
                            <w14:prstDash w14:val="solid"/>
                            <w14:bevel/>
                          </w14:textOutline>
                        </w:rPr>
                      </w:pPr>
                    </w:p>
                  </w:txbxContent>
                </v:textbox>
              </v:roundrect>
            </w:pict>
          </mc:Fallback>
        </mc:AlternateContent>
      </w:r>
    </w:p>
    <w:p w14:paraId="1575E7DD" w14:textId="2A4C4C33" w:rsidR="00C470F8" w:rsidRDefault="00C470F8" w:rsidP="002C0444">
      <w:pPr>
        <w:spacing w:before="0" w:after="0"/>
        <w:ind w:firstLine="397"/>
        <w:rPr>
          <w:rFonts w:eastAsia="Calibri" w:cs="Calibri"/>
          <w:sz w:val="24"/>
          <w:lang w:val="sr-Latn-ME" w:eastAsia="en-US"/>
        </w:rPr>
      </w:pPr>
    </w:p>
    <w:p w14:paraId="084DFB5B" w14:textId="36787F82" w:rsidR="00C470F8" w:rsidRDefault="00C470F8" w:rsidP="002C0444">
      <w:pPr>
        <w:spacing w:before="0" w:after="0"/>
        <w:ind w:firstLine="397"/>
        <w:rPr>
          <w:rFonts w:eastAsia="Calibri" w:cs="Calibri"/>
          <w:sz w:val="24"/>
          <w:lang w:val="sr-Latn-ME" w:eastAsia="en-US"/>
        </w:rPr>
      </w:pPr>
    </w:p>
    <w:p w14:paraId="3B780DFE" w14:textId="0511908D" w:rsidR="00C470F8" w:rsidRDefault="00C470F8" w:rsidP="002C0444">
      <w:pPr>
        <w:spacing w:before="0" w:after="0"/>
        <w:ind w:firstLine="397"/>
        <w:rPr>
          <w:rFonts w:eastAsia="Calibri" w:cs="Calibri"/>
          <w:sz w:val="24"/>
          <w:lang w:val="sr-Latn-ME" w:eastAsia="en-US"/>
        </w:rPr>
      </w:pPr>
    </w:p>
    <w:p w14:paraId="0DE31A36" w14:textId="7273822C" w:rsidR="00C470F8" w:rsidRDefault="00C470F8" w:rsidP="002C0444">
      <w:pPr>
        <w:spacing w:before="0" w:after="0"/>
        <w:ind w:firstLine="397"/>
        <w:rPr>
          <w:rFonts w:eastAsia="Calibri" w:cs="Calibri"/>
          <w:sz w:val="24"/>
          <w:lang w:val="sr-Latn-ME" w:eastAsia="en-US"/>
        </w:rPr>
      </w:pPr>
    </w:p>
    <w:p w14:paraId="5455D748" w14:textId="7C30C463" w:rsidR="00C470F8" w:rsidRDefault="00C470F8" w:rsidP="002C0444">
      <w:pPr>
        <w:spacing w:before="0" w:after="0"/>
        <w:ind w:firstLine="397"/>
        <w:rPr>
          <w:rFonts w:eastAsia="Calibri" w:cs="Calibri"/>
          <w:sz w:val="24"/>
          <w:lang w:val="sr-Latn-ME" w:eastAsia="en-US"/>
        </w:rPr>
      </w:pPr>
    </w:p>
    <w:p w14:paraId="33A5A1B1" w14:textId="071E84BF" w:rsidR="002C0444" w:rsidRPr="002A4FE5" w:rsidRDefault="002C0444" w:rsidP="002C0444">
      <w:pPr>
        <w:spacing w:before="0" w:after="0"/>
        <w:rPr>
          <w:rFonts w:eastAsia="Calibri" w:cs="Calibri"/>
          <w:szCs w:val="22"/>
          <w:lang w:val="sr-Latn-ME" w:eastAsia="en-US"/>
        </w:rPr>
      </w:pPr>
      <w:r w:rsidRPr="002A4FE5">
        <w:rPr>
          <w:rFonts w:eastAsia="Calibri" w:cs="Calibri"/>
          <w:szCs w:val="22"/>
          <w:lang w:val="sr-Latn-ME" w:eastAsia="en-US"/>
        </w:rPr>
        <w:t>Važno je postaviti ciljeve i identifikovati odgovarajuće indikatore za ove prioritetne tipove staništa zbog presudne uloge koju oni igraju u ekološkom funkcionisanju morskih ekosistema Crne Gore. Morsko dno je stanište koje pruža osnovne ekološke usluge poput ciklusa hranljivih sastojaka i područja uzgajanja brojnih vrsta, poput riba i rakova na stjenovitim podlogama, ili crva na mekom morskom dnu. Morsko dno je takođe mjesto za ishranu, na prim</w:t>
      </w:r>
      <w:r w:rsidR="009C59F7">
        <w:rPr>
          <w:rFonts w:eastAsia="Calibri" w:cs="Calibri"/>
          <w:szCs w:val="22"/>
          <w:lang w:val="sr-Latn-ME" w:eastAsia="en-US"/>
        </w:rPr>
        <w:t>j</w:t>
      </w:r>
      <w:r w:rsidRPr="002A4FE5">
        <w:rPr>
          <w:rFonts w:eastAsia="Calibri" w:cs="Calibri"/>
          <w:szCs w:val="22"/>
          <w:lang w:val="sr-Latn-ME" w:eastAsia="en-US"/>
        </w:rPr>
        <w:t>er za ptice i morske sisare. Zato je integritet morskog dna važan za ukupni morski ekosistem. Postavljanje ciljeva za prioritetna staništa, kao i za posebna staništa, u skladu sa zahtevima Direktive, presudan su korak u održivoj upotrebi naših najvažnijih morskih resursa.</w:t>
      </w:r>
    </w:p>
    <w:p w14:paraId="7438C29D" w14:textId="77777777" w:rsidR="002C0444" w:rsidRPr="002C0444" w:rsidRDefault="002C0444" w:rsidP="002C0444">
      <w:pPr>
        <w:spacing w:before="0" w:after="0"/>
        <w:ind w:firstLine="397"/>
        <w:rPr>
          <w:rFonts w:eastAsia="Calibri" w:cs="Calibri"/>
          <w:sz w:val="24"/>
          <w:lang w:val="sr-Latn-ME" w:eastAsia="en-US"/>
        </w:rPr>
      </w:pPr>
    </w:p>
    <w:p w14:paraId="463B54D8" w14:textId="1F3688F9" w:rsidR="002C0444" w:rsidRPr="00C470F8" w:rsidRDefault="00496597" w:rsidP="00C470F8">
      <w:pPr>
        <w:pStyle w:val="Heading3"/>
        <w:rPr>
          <w:rFonts w:eastAsia="Calibri"/>
          <w:lang w:val="en-GB" w:eastAsia="en-US"/>
        </w:rPr>
      </w:pPr>
      <w:bookmarkStart w:id="377" w:name="_Toc83630984"/>
      <w:r>
        <w:rPr>
          <w:rFonts w:eastAsia="Calibri"/>
          <w:lang w:val="en-GB" w:eastAsia="en-US"/>
        </w:rPr>
        <w:t>Relevantni p</w:t>
      </w:r>
      <w:r w:rsidR="002C0444" w:rsidRPr="002C0444">
        <w:rPr>
          <w:rFonts w:eastAsia="Calibri"/>
          <w:lang w:val="en-GB" w:eastAsia="en-US"/>
        </w:rPr>
        <w:t>ritisci i uticaji</w:t>
      </w:r>
      <w:bookmarkEnd w:id="377"/>
    </w:p>
    <w:p w14:paraId="74B1F75D" w14:textId="016168C2" w:rsidR="006A72D8" w:rsidRPr="002A4FE5" w:rsidRDefault="002C0444" w:rsidP="002C0444">
      <w:pPr>
        <w:spacing w:before="0" w:after="0"/>
        <w:rPr>
          <w:rFonts w:eastAsia="Calibri" w:cs="Calibri"/>
          <w:szCs w:val="22"/>
          <w:lang w:val="sr-Latn-ME" w:eastAsia="en-US"/>
        </w:rPr>
      </w:pPr>
      <w:r w:rsidRPr="002A4FE5">
        <w:rPr>
          <w:rFonts w:eastAsia="Calibri" w:cs="Calibri"/>
          <w:szCs w:val="22"/>
          <w:lang w:val="sr-Latn-ME" w:eastAsia="en-US"/>
        </w:rPr>
        <w:t>Ljudske aktivnosti mogu direktno uticati na morsko dno fizičkim gubicima ili poremećajima (Tabela 3.22). Istovremeno, drugi pritisci poput ispuštanja hranljivih sastojaka i invazivnih vrsta mogu dovesti do indirektnog uticaja na morsko dno smanjenjem prodora svetlosti ili raseljavanjem autohtonih vrsta. Intertidalna i plitka staništa najverovatnije će biti pogođena pritiskom klimatskih promena. Gubitak morskog dna mogu prouzrokovati konstrukcije i instalacije kao što su luke, plaže, instalacije za naftu i gas, kao i vađenje minerala. Fizički poremećaj može biti prouzrokovan ribolovom kočama, vađenjem školjki i odbacivanjem otpada.</w:t>
      </w:r>
    </w:p>
    <w:p w14:paraId="4FD08477" w14:textId="77777777" w:rsidR="002C0444" w:rsidRPr="002A4FE5" w:rsidRDefault="002C0444" w:rsidP="002C0444">
      <w:pPr>
        <w:spacing w:before="0" w:after="0"/>
        <w:ind w:firstLine="397"/>
        <w:rPr>
          <w:rFonts w:eastAsia="Calibri" w:cs="Calibri"/>
          <w:szCs w:val="22"/>
          <w:lang w:val="sr-Latn-ME" w:eastAsia="en-US"/>
        </w:rPr>
      </w:pPr>
    </w:p>
    <w:p w14:paraId="0D769A88" w14:textId="0169BC3E" w:rsidR="002C0444" w:rsidRPr="002A4FE5" w:rsidRDefault="002C0444" w:rsidP="002C0444">
      <w:pPr>
        <w:spacing w:before="0" w:after="0" w:line="240" w:lineRule="auto"/>
        <w:rPr>
          <w:rFonts w:eastAsia="Calibri" w:cs="Calibri"/>
          <w:b/>
          <w:szCs w:val="22"/>
          <w:lang w:val="en-GB" w:eastAsia="en-US"/>
        </w:rPr>
      </w:pPr>
      <w:bookmarkStart w:id="378" w:name="_Toc83643219"/>
      <w:r w:rsidRPr="002A4FE5">
        <w:rPr>
          <w:rFonts w:eastAsia="Calibri" w:cs="Calibri"/>
          <w:b/>
          <w:szCs w:val="22"/>
          <w:lang w:val="en-GB" w:eastAsia="en-US"/>
        </w:rPr>
        <w:t xml:space="preserve">Tabela </w:t>
      </w:r>
      <w:r w:rsidRPr="002A4FE5">
        <w:rPr>
          <w:rFonts w:eastAsia="Calibri"/>
          <w:szCs w:val="22"/>
          <w:lang w:val="sr-Latn-ME" w:eastAsia="en-US"/>
        </w:rPr>
        <w:fldChar w:fldCharType="begin"/>
      </w:r>
      <w:r w:rsidRPr="002A4FE5">
        <w:rPr>
          <w:rFonts w:eastAsia="Calibri" w:cs="Calibri"/>
          <w:b/>
          <w:szCs w:val="22"/>
          <w:lang w:val="sr-Latn-ME" w:eastAsia="en-US"/>
        </w:rPr>
        <w:instrText xml:space="preserve"> STYLEREF 1 \s </w:instrText>
      </w:r>
      <w:r w:rsidRPr="002A4FE5">
        <w:rPr>
          <w:rFonts w:eastAsia="Calibri"/>
          <w:szCs w:val="22"/>
          <w:lang w:val="sr-Latn-ME" w:eastAsia="en-US"/>
        </w:rPr>
        <w:fldChar w:fldCharType="separate"/>
      </w:r>
      <w:r w:rsidR="000D1E20">
        <w:rPr>
          <w:rFonts w:eastAsia="Calibri" w:cs="Calibri"/>
          <w:b/>
          <w:noProof/>
          <w:szCs w:val="22"/>
          <w:lang w:val="sr-Latn-ME" w:eastAsia="en-US"/>
        </w:rPr>
        <w:t>3</w:t>
      </w:r>
      <w:r w:rsidRPr="002A4FE5">
        <w:rPr>
          <w:rFonts w:eastAsia="Calibri"/>
          <w:szCs w:val="22"/>
          <w:lang w:val="sr-Latn-ME" w:eastAsia="en-US"/>
        </w:rPr>
        <w:fldChar w:fldCharType="end"/>
      </w:r>
      <w:r w:rsidRPr="002A4FE5">
        <w:rPr>
          <w:rFonts w:eastAsia="Calibri" w:cs="Calibri"/>
          <w:b/>
          <w:szCs w:val="22"/>
          <w:lang w:val="sr-Latn-ME" w:eastAsia="en-US"/>
        </w:rPr>
        <w:t>.</w:t>
      </w:r>
      <w:r w:rsidRPr="002A4FE5">
        <w:rPr>
          <w:rFonts w:eastAsia="Calibri"/>
          <w:szCs w:val="22"/>
          <w:lang w:val="sr-Latn-ME" w:eastAsia="en-US"/>
        </w:rPr>
        <w:fldChar w:fldCharType="begin"/>
      </w:r>
      <w:r w:rsidRPr="002A4FE5">
        <w:rPr>
          <w:rFonts w:eastAsia="Calibri" w:cs="Calibri"/>
          <w:b/>
          <w:szCs w:val="22"/>
          <w:lang w:val="sr-Latn-ME" w:eastAsia="en-US"/>
        </w:rPr>
        <w:instrText xml:space="preserve"> SEQ Table \* ARABIC \s 1 </w:instrText>
      </w:r>
      <w:r w:rsidRPr="002A4FE5">
        <w:rPr>
          <w:rFonts w:eastAsia="Calibri"/>
          <w:szCs w:val="22"/>
          <w:lang w:val="sr-Latn-ME" w:eastAsia="en-US"/>
        </w:rPr>
        <w:fldChar w:fldCharType="separate"/>
      </w:r>
      <w:r w:rsidR="000D1E20">
        <w:rPr>
          <w:rFonts w:eastAsia="Calibri" w:cs="Calibri"/>
          <w:b/>
          <w:noProof/>
          <w:szCs w:val="22"/>
          <w:lang w:val="sr-Latn-ME" w:eastAsia="en-US"/>
        </w:rPr>
        <w:t>23</w:t>
      </w:r>
      <w:r w:rsidRPr="002A4FE5">
        <w:rPr>
          <w:rFonts w:eastAsia="Calibri"/>
          <w:szCs w:val="22"/>
          <w:lang w:val="sr-Latn-ME" w:eastAsia="en-US"/>
        </w:rPr>
        <w:fldChar w:fldCharType="end"/>
      </w:r>
      <w:r w:rsidRPr="002A4FE5">
        <w:rPr>
          <w:rFonts w:eastAsia="Calibri" w:cs="Calibri"/>
          <w:b/>
          <w:szCs w:val="22"/>
          <w:lang w:val="sr-Latn-ME" w:eastAsia="en-US"/>
        </w:rPr>
        <w:t>.</w:t>
      </w:r>
      <w:r w:rsidRPr="002A4FE5">
        <w:rPr>
          <w:rFonts w:eastAsia="Calibri" w:cs="Calibri"/>
          <w:b/>
          <w:szCs w:val="22"/>
          <w:lang w:val="en-GB" w:eastAsia="en-US"/>
        </w:rPr>
        <w:t xml:space="preserve"> Pregled najvažnijih pritisaka I aktivnosti koje utiču na bentoska staništa u crnogorskom dijelu</w:t>
      </w:r>
      <w:r w:rsidR="00F22E14">
        <w:rPr>
          <w:rFonts w:eastAsia="Calibri" w:cs="Calibri"/>
          <w:b/>
          <w:szCs w:val="22"/>
          <w:lang w:val="en-GB" w:eastAsia="en-US"/>
        </w:rPr>
        <w:t xml:space="preserve"> J</w:t>
      </w:r>
      <w:r w:rsidRPr="002A4FE5">
        <w:rPr>
          <w:rFonts w:eastAsia="Calibri" w:cs="Calibri"/>
          <w:b/>
          <w:szCs w:val="22"/>
          <w:lang w:val="en-GB" w:eastAsia="en-US"/>
        </w:rPr>
        <w:t>adranskog mora</w:t>
      </w:r>
      <w:bookmarkEnd w:id="378"/>
    </w:p>
    <w:tbl>
      <w:tblPr>
        <w:tblStyle w:val="GolderTable4"/>
        <w:tblW w:w="9067"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008"/>
        <w:gridCol w:w="3817"/>
        <w:gridCol w:w="4242"/>
      </w:tblGrid>
      <w:tr w:rsidR="002C0444" w:rsidRPr="002C0444" w14:paraId="016BC655" w14:textId="77777777" w:rsidTr="00B52DD2">
        <w:trPr>
          <w:tblHeader/>
        </w:trPr>
        <w:tc>
          <w:tcPr>
            <w:tcW w:w="988" w:type="dxa"/>
            <w:tcBorders>
              <w:top w:val="single" w:sz="4" w:space="0" w:color="2E74B5"/>
              <w:left w:val="single" w:sz="4" w:space="0" w:color="2E74B5"/>
              <w:bottom w:val="single" w:sz="4" w:space="0" w:color="2E74B5"/>
              <w:right w:val="single" w:sz="4" w:space="0" w:color="2E74B5"/>
            </w:tcBorders>
            <w:shd w:val="clear" w:color="auto" w:fill="1F497D" w:themeFill="text2"/>
            <w:hideMark/>
          </w:tcPr>
          <w:p w14:paraId="1A1309F5" w14:textId="77777777" w:rsidR="002C0444" w:rsidRPr="005827C2" w:rsidRDefault="002C0444" w:rsidP="005827C2">
            <w:pPr>
              <w:spacing w:before="0" w:after="0" w:line="240" w:lineRule="auto"/>
              <w:jc w:val="left"/>
              <w:rPr>
                <w:rFonts w:cs="Calibri"/>
                <w:b/>
                <w:color w:val="FFFFFF" w:themeColor="background1"/>
                <w:lang w:val="en-GB" w:eastAsia="en-US"/>
              </w:rPr>
            </w:pPr>
            <w:r w:rsidRPr="005827C2">
              <w:rPr>
                <w:rFonts w:cs="Calibri"/>
                <w:b/>
                <w:color w:val="FFFFFF" w:themeColor="background1"/>
                <w:lang w:val="en-GB" w:eastAsia="en-US"/>
              </w:rPr>
              <w:t>Staništa morskog dna D1/D6</w:t>
            </w:r>
          </w:p>
        </w:tc>
        <w:tc>
          <w:tcPr>
            <w:tcW w:w="3827" w:type="dxa"/>
            <w:tcBorders>
              <w:top w:val="single" w:sz="4" w:space="0" w:color="2E74B5"/>
              <w:left w:val="single" w:sz="4" w:space="0" w:color="2E74B5"/>
              <w:bottom w:val="single" w:sz="4" w:space="0" w:color="2E74B5"/>
              <w:right w:val="single" w:sz="4" w:space="0" w:color="2E74B5"/>
            </w:tcBorders>
            <w:shd w:val="clear" w:color="auto" w:fill="1F497D" w:themeFill="text2"/>
            <w:hideMark/>
          </w:tcPr>
          <w:p w14:paraId="6771B878" w14:textId="77777777" w:rsidR="002C0444" w:rsidRPr="005827C2" w:rsidRDefault="002C0444" w:rsidP="005827C2">
            <w:pPr>
              <w:spacing w:before="0" w:after="0" w:line="240" w:lineRule="auto"/>
              <w:jc w:val="left"/>
              <w:rPr>
                <w:rFonts w:cs="Calibri"/>
                <w:b/>
                <w:color w:val="FFFFFF" w:themeColor="background1"/>
                <w:lang w:val="en-GB" w:eastAsia="en-US"/>
              </w:rPr>
            </w:pPr>
            <w:r w:rsidRPr="005827C2">
              <w:rPr>
                <w:rFonts w:cs="Calibri"/>
                <w:b/>
                <w:color w:val="FFFFFF" w:themeColor="background1"/>
                <w:lang w:val="en-GB" w:eastAsia="en-US"/>
              </w:rPr>
              <w:t>Relevantni pritisci</w:t>
            </w:r>
          </w:p>
        </w:tc>
        <w:tc>
          <w:tcPr>
            <w:tcW w:w="4252" w:type="dxa"/>
            <w:tcBorders>
              <w:top w:val="single" w:sz="4" w:space="0" w:color="2E74B5"/>
              <w:left w:val="single" w:sz="4" w:space="0" w:color="2E74B5"/>
              <w:bottom w:val="single" w:sz="4" w:space="0" w:color="2E74B5"/>
              <w:right w:val="single" w:sz="4" w:space="0" w:color="2E74B5"/>
            </w:tcBorders>
            <w:shd w:val="clear" w:color="auto" w:fill="1F497D" w:themeFill="text2"/>
            <w:hideMark/>
          </w:tcPr>
          <w:p w14:paraId="10BEC3D7" w14:textId="77777777" w:rsidR="002C0444" w:rsidRPr="005827C2" w:rsidRDefault="002C0444" w:rsidP="005827C2">
            <w:pPr>
              <w:spacing w:before="0" w:after="0" w:line="240" w:lineRule="auto"/>
              <w:jc w:val="left"/>
              <w:rPr>
                <w:rFonts w:cs="Calibri"/>
                <w:b/>
                <w:color w:val="FFFFFF" w:themeColor="background1"/>
                <w:lang w:val="en-GB" w:eastAsia="en-US"/>
              </w:rPr>
            </w:pPr>
            <w:r w:rsidRPr="005827C2">
              <w:rPr>
                <w:rFonts w:cs="Calibri"/>
                <w:b/>
                <w:color w:val="FFFFFF" w:themeColor="background1"/>
                <w:lang w:val="en-GB" w:eastAsia="en-US"/>
              </w:rPr>
              <w:t>Upotreba/Aktivnosti odgovorne za pritiske</w:t>
            </w:r>
          </w:p>
        </w:tc>
      </w:tr>
      <w:tr w:rsidR="002C0444" w:rsidRPr="002C0444" w14:paraId="2A7C147D" w14:textId="77777777" w:rsidTr="002C0444">
        <w:tc>
          <w:tcPr>
            <w:tcW w:w="988" w:type="dxa"/>
            <w:vMerge w:val="restart"/>
            <w:tcBorders>
              <w:top w:val="single" w:sz="4" w:space="0" w:color="2E74B5"/>
              <w:left w:val="single" w:sz="4" w:space="0" w:color="2E74B5"/>
              <w:bottom w:val="single" w:sz="4" w:space="0" w:color="2E74B5"/>
              <w:right w:val="single" w:sz="4" w:space="0" w:color="2E74B5"/>
            </w:tcBorders>
          </w:tcPr>
          <w:p w14:paraId="1EA45956" w14:textId="77777777" w:rsidR="002C0444" w:rsidRPr="002C0444" w:rsidRDefault="002C0444" w:rsidP="002C0444">
            <w:pPr>
              <w:spacing w:before="0" w:after="0" w:line="240" w:lineRule="auto"/>
              <w:jc w:val="left"/>
              <w:rPr>
                <w:rFonts w:cs="Calibri"/>
                <w:sz w:val="20"/>
                <w:szCs w:val="20"/>
                <w:lang w:val="en-GB" w:eastAsia="en-US"/>
              </w:rPr>
            </w:pPr>
          </w:p>
        </w:tc>
        <w:tc>
          <w:tcPr>
            <w:tcW w:w="3827" w:type="dxa"/>
            <w:tcBorders>
              <w:top w:val="single" w:sz="4" w:space="0" w:color="2E74B5"/>
              <w:left w:val="single" w:sz="4" w:space="0" w:color="2E74B5"/>
              <w:bottom w:val="single" w:sz="4" w:space="0" w:color="2E74B5"/>
              <w:right w:val="single" w:sz="4" w:space="0" w:color="2E74B5"/>
            </w:tcBorders>
          </w:tcPr>
          <w:p w14:paraId="22040366" w14:textId="77777777" w:rsidR="002C0444" w:rsidRPr="002C0444" w:rsidRDefault="002C0444" w:rsidP="002C0444">
            <w:pPr>
              <w:spacing w:before="0" w:after="0" w:line="240" w:lineRule="auto"/>
              <w:jc w:val="left"/>
              <w:rPr>
                <w:rFonts w:cs="Calibri"/>
                <w:color w:val="000000"/>
                <w:sz w:val="20"/>
                <w:szCs w:val="20"/>
                <w:lang w:val="en-GB" w:eastAsia="en-US"/>
              </w:rPr>
            </w:pPr>
            <w:r w:rsidRPr="002C0444">
              <w:rPr>
                <w:rFonts w:cs="Calibri"/>
                <w:color w:val="000000"/>
                <w:sz w:val="20"/>
                <w:szCs w:val="20"/>
                <w:lang w:val="en-GB" w:eastAsia="en-US"/>
              </w:rPr>
              <w:t>Fizički gubici (zbog trajne promjene substrata morskog dna ili morfologije zbog vađenja substrata morskog dna)</w:t>
            </w:r>
          </w:p>
          <w:p w14:paraId="0F032627" w14:textId="77777777" w:rsidR="002C0444" w:rsidRPr="002C0444" w:rsidRDefault="002C0444" w:rsidP="002C0444">
            <w:pPr>
              <w:spacing w:before="0" w:after="0" w:line="240" w:lineRule="auto"/>
              <w:jc w:val="left"/>
              <w:rPr>
                <w:rFonts w:cs="Calibri"/>
                <w:sz w:val="20"/>
                <w:szCs w:val="20"/>
                <w:lang w:val="en-GB" w:eastAsia="en-US"/>
              </w:rPr>
            </w:pPr>
          </w:p>
        </w:tc>
        <w:tc>
          <w:tcPr>
            <w:tcW w:w="4252" w:type="dxa"/>
            <w:tcBorders>
              <w:top w:val="single" w:sz="4" w:space="0" w:color="2E74B5"/>
              <w:left w:val="single" w:sz="4" w:space="0" w:color="2E74B5"/>
              <w:bottom w:val="single" w:sz="4" w:space="0" w:color="2E74B5"/>
              <w:right w:val="single" w:sz="4" w:space="0" w:color="2E74B5"/>
            </w:tcBorders>
            <w:hideMark/>
          </w:tcPr>
          <w:p w14:paraId="06DB69F2" w14:textId="77777777" w:rsidR="002C0444" w:rsidRPr="002C0444" w:rsidRDefault="002C0444" w:rsidP="002C0444">
            <w:pPr>
              <w:spacing w:before="0" w:after="0" w:line="240" w:lineRule="auto"/>
              <w:jc w:val="left"/>
              <w:rPr>
                <w:rFonts w:cs="Calibri"/>
                <w:sz w:val="20"/>
                <w:szCs w:val="20"/>
                <w:lang w:val="en-GB" w:eastAsia="en-US"/>
              </w:rPr>
            </w:pPr>
            <w:r w:rsidRPr="002C0444">
              <w:rPr>
                <w:rFonts w:cs="Calibri"/>
                <w:sz w:val="20"/>
                <w:szCs w:val="20"/>
                <w:lang w:val="en-GB" w:eastAsia="en-US"/>
              </w:rPr>
              <w:t>Tipovi infrastrukture na obali kao što su luke, marine, turistički mkompleksi I slično, konstrukcije privezišta za manje jahte i barke, i gajilišta riba i školjki.</w:t>
            </w:r>
          </w:p>
        </w:tc>
      </w:tr>
      <w:tr w:rsidR="002C0444" w:rsidRPr="002C0444" w14:paraId="224C66D9" w14:textId="77777777" w:rsidTr="002C0444">
        <w:trPr>
          <w:trHeight w:val="388"/>
        </w:trPr>
        <w:tc>
          <w:tcPr>
            <w:tcW w:w="0" w:type="auto"/>
            <w:vMerge/>
            <w:tcBorders>
              <w:top w:val="single" w:sz="4" w:space="0" w:color="2E74B5"/>
              <w:left w:val="single" w:sz="4" w:space="0" w:color="2E74B5"/>
              <w:bottom w:val="single" w:sz="4" w:space="0" w:color="2E74B5"/>
              <w:right w:val="single" w:sz="4" w:space="0" w:color="2E74B5"/>
            </w:tcBorders>
            <w:vAlign w:val="center"/>
            <w:hideMark/>
          </w:tcPr>
          <w:p w14:paraId="752AB7A4" w14:textId="77777777" w:rsidR="002C0444" w:rsidRPr="002C0444" w:rsidRDefault="002C0444" w:rsidP="002C0444">
            <w:pPr>
              <w:spacing w:before="0" w:after="0" w:line="240" w:lineRule="auto"/>
              <w:jc w:val="left"/>
              <w:rPr>
                <w:rFonts w:cs="Calibri"/>
                <w:sz w:val="20"/>
                <w:szCs w:val="20"/>
                <w:lang w:val="en-GB" w:eastAsia="en-US"/>
              </w:rPr>
            </w:pPr>
          </w:p>
        </w:tc>
        <w:tc>
          <w:tcPr>
            <w:tcW w:w="3827" w:type="dxa"/>
            <w:tcBorders>
              <w:top w:val="single" w:sz="4" w:space="0" w:color="2E74B5"/>
              <w:left w:val="single" w:sz="4" w:space="0" w:color="2E74B5"/>
              <w:bottom w:val="single" w:sz="4" w:space="0" w:color="2E74B5"/>
              <w:right w:val="single" w:sz="4" w:space="0" w:color="2E74B5"/>
            </w:tcBorders>
            <w:hideMark/>
          </w:tcPr>
          <w:p w14:paraId="02D407EE" w14:textId="77777777" w:rsidR="002C0444" w:rsidRPr="002C0444" w:rsidRDefault="002C0444" w:rsidP="002C0444">
            <w:pPr>
              <w:spacing w:before="0" w:after="0" w:line="240" w:lineRule="auto"/>
              <w:jc w:val="left"/>
              <w:rPr>
                <w:rFonts w:cs="Calibri"/>
                <w:sz w:val="20"/>
                <w:szCs w:val="20"/>
                <w:lang w:val="en-GB" w:eastAsia="en-US"/>
              </w:rPr>
            </w:pPr>
            <w:r w:rsidRPr="002C0444">
              <w:rPr>
                <w:rFonts w:cs="Calibri"/>
                <w:sz w:val="20"/>
                <w:szCs w:val="20"/>
                <w:lang w:val="en-GB" w:eastAsia="en-US"/>
              </w:rPr>
              <w:t>Fizička remećenja morskog dna</w:t>
            </w:r>
          </w:p>
        </w:tc>
        <w:tc>
          <w:tcPr>
            <w:tcW w:w="4252" w:type="dxa"/>
            <w:tcBorders>
              <w:top w:val="single" w:sz="4" w:space="0" w:color="2E74B5"/>
              <w:left w:val="single" w:sz="4" w:space="0" w:color="2E74B5"/>
              <w:bottom w:val="single" w:sz="4" w:space="0" w:color="2E74B5"/>
              <w:right w:val="single" w:sz="4" w:space="0" w:color="2E74B5"/>
            </w:tcBorders>
            <w:hideMark/>
          </w:tcPr>
          <w:p w14:paraId="1B40DC34" w14:textId="77777777" w:rsidR="002C0444" w:rsidRPr="002C0444" w:rsidRDefault="002C0444" w:rsidP="002C0444">
            <w:pPr>
              <w:spacing w:before="0" w:after="0" w:line="240" w:lineRule="auto"/>
              <w:jc w:val="left"/>
              <w:rPr>
                <w:rFonts w:cs="Calibri"/>
                <w:sz w:val="20"/>
                <w:szCs w:val="20"/>
                <w:lang w:val="en-GB" w:eastAsia="en-US"/>
              </w:rPr>
            </w:pPr>
            <w:r w:rsidRPr="002C0444">
              <w:rPr>
                <w:rFonts w:cs="Calibri"/>
                <w:sz w:val="20"/>
                <w:szCs w:val="20"/>
                <w:lang w:val="en-GB" w:eastAsia="en-US"/>
              </w:rPr>
              <w:t>Restrukturiranje morfologije morskog dna uključujući ivađenje kao i deponovanje materijala</w:t>
            </w:r>
          </w:p>
        </w:tc>
      </w:tr>
      <w:tr w:rsidR="002C0444" w:rsidRPr="002C0444" w14:paraId="68EB8712" w14:textId="77777777" w:rsidTr="002C0444">
        <w:tc>
          <w:tcPr>
            <w:tcW w:w="0" w:type="auto"/>
            <w:vMerge/>
            <w:tcBorders>
              <w:top w:val="single" w:sz="4" w:space="0" w:color="2E74B5"/>
              <w:left w:val="single" w:sz="4" w:space="0" w:color="2E74B5"/>
              <w:bottom w:val="single" w:sz="4" w:space="0" w:color="2E74B5"/>
              <w:right w:val="single" w:sz="4" w:space="0" w:color="2E74B5"/>
            </w:tcBorders>
            <w:vAlign w:val="center"/>
            <w:hideMark/>
          </w:tcPr>
          <w:p w14:paraId="681266E6" w14:textId="77777777" w:rsidR="002C0444" w:rsidRPr="002C0444" w:rsidRDefault="002C0444" w:rsidP="002C0444">
            <w:pPr>
              <w:spacing w:before="0" w:after="0" w:line="240" w:lineRule="auto"/>
              <w:jc w:val="left"/>
              <w:rPr>
                <w:rFonts w:cs="Calibri"/>
                <w:sz w:val="20"/>
                <w:szCs w:val="20"/>
                <w:lang w:val="en-GB" w:eastAsia="en-US"/>
              </w:rPr>
            </w:pPr>
          </w:p>
        </w:tc>
        <w:tc>
          <w:tcPr>
            <w:tcW w:w="3827" w:type="dxa"/>
            <w:tcBorders>
              <w:top w:val="single" w:sz="4" w:space="0" w:color="2E74B5"/>
              <w:left w:val="single" w:sz="4" w:space="0" w:color="2E74B5"/>
              <w:bottom w:val="single" w:sz="4" w:space="0" w:color="2E74B5"/>
              <w:right w:val="single" w:sz="4" w:space="0" w:color="2E74B5"/>
            </w:tcBorders>
          </w:tcPr>
          <w:p w14:paraId="25027E1E" w14:textId="77777777" w:rsidR="002C0444" w:rsidRPr="002C0444" w:rsidRDefault="002C0444" w:rsidP="002C0444">
            <w:pPr>
              <w:spacing w:before="0" w:after="0" w:line="240" w:lineRule="auto"/>
              <w:jc w:val="left"/>
              <w:rPr>
                <w:rFonts w:cs="Calibri"/>
                <w:sz w:val="20"/>
                <w:szCs w:val="20"/>
                <w:lang w:val="en-GB" w:eastAsia="en-US"/>
              </w:rPr>
            </w:pPr>
            <w:r w:rsidRPr="002C0444">
              <w:rPr>
                <w:rFonts w:cs="Calibri"/>
                <w:sz w:val="20"/>
                <w:szCs w:val="20"/>
                <w:lang w:val="en-GB" w:eastAsia="en-US"/>
              </w:rPr>
              <w:t>Izmjena hidroloških karakteristika (posebno prozirnost)</w:t>
            </w:r>
          </w:p>
          <w:p w14:paraId="6BAD0256" w14:textId="77777777" w:rsidR="002C0444" w:rsidRPr="002C0444" w:rsidRDefault="002C0444" w:rsidP="002C0444">
            <w:pPr>
              <w:spacing w:before="0" w:after="0" w:line="240" w:lineRule="auto"/>
              <w:jc w:val="left"/>
              <w:rPr>
                <w:rFonts w:cs="Calibri"/>
                <w:sz w:val="20"/>
                <w:szCs w:val="20"/>
                <w:lang w:val="en-GB" w:eastAsia="en-US"/>
              </w:rPr>
            </w:pPr>
          </w:p>
          <w:p w14:paraId="673F9B58" w14:textId="77777777" w:rsidR="002C0444" w:rsidRPr="002C0444" w:rsidRDefault="002C0444" w:rsidP="002C0444">
            <w:pPr>
              <w:spacing w:before="0" w:after="0" w:line="240" w:lineRule="auto"/>
              <w:jc w:val="left"/>
              <w:rPr>
                <w:rFonts w:cs="Calibri"/>
                <w:sz w:val="20"/>
                <w:szCs w:val="20"/>
                <w:lang w:val="en-GB" w:eastAsia="en-US"/>
              </w:rPr>
            </w:pPr>
          </w:p>
        </w:tc>
        <w:tc>
          <w:tcPr>
            <w:tcW w:w="4252" w:type="dxa"/>
            <w:tcBorders>
              <w:top w:val="single" w:sz="4" w:space="0" w:color="2E74B5"/>
              <w:left w:val="single" w:sz="4" w:space="0" w:color="2E74B5"/>
              <w:bottom w:val="single" w:sz="4" w:space="0" w:color="2E74B5"/>
              <w:right w:val="single" w:sz="4" w:space="0" w:color="2E74B5"/>
            </w:tcBorders>
          </w:tcPr>
          <w:p w14:paraId="0E3773C9" w14:textId="77777777" w:rsidR="002C0444" w:rsidRPr="002C0444" w:rsidRDefault="002C0444" w:rsidP="002C0444">
            <w:pPr>
              <w:spacing w:before="0" w:after="0" w:line="240" w:lineRule="auto"/>
              <w:jc w:val="left"/>
              <w:rPr>
                <w:rFonts w:cs="Calibri"/>
                <w:sz w:val="20"/>
                <w:szCs w:val="20"/>
                <w:lang w:val="en-GB" w:eastAsia="en-US"/>
              </w:rPr>
            </w:pPr>
            <w:r w:rsidRPr="002C0444">
              <w:rPr>
                <w:rFonts w:cs="Calibri"/>
                <w:sz w:val="20"/>
                <w:szCs w:val="20"/>
                <w:lang w:val="en-GB" w:eastAsia="en-US"/>
              </w:rPr>
              <w:t>Restrukturiranje morfologije morskog dna uključujući ivađenje kao i deponovanje materijala</w:t>
            </w:r>
          </w:p>
          <w:p w14:paraId="0061A051" w14:textId="77777777" w:rsidR="002C0444" w:rsidRPr="002C0444" w:rsidRDefault="002C0444" w:rsidP="002C0444">
            <w:pPr>
              <w:spacing w:before="0" w:after="0" w:line="240" w:lineRule="auto"/>
              <w:jc w:val="left"/>
              <w:rPr>
                <w:rFonts w:cs="Calibri"/>
                <w:sz w:val="20"/>
                <w:szCs w:val="20"/>
                <w:lang w:val="en-GB" w:eastAsia="en-US"/>
              </w:rPr>
            </w:pPr>
          </w:p>
          <w:p w14:paraId="3C50030A" w14:textId="77777777" w:rsidR="002C0444" w:rsidRPr="002C0444" w:rsidRDefault="002C0444" w:rsidP="002C0444">
            <w:pPr>
              <w:spacing w:before="0" w:after="0" w:line="240" w:lineRule="auto"/>
              <w:jc w:val="left"/>
              <w:rPr>
                <w:rFonts w:cs="Calibri"/>
                <w:sz w:val="20"/>
                <w:szCs w:val="20"/>
                <w:lang w:val="en-GB" w:eastAsia="en-US"/>
              </w:rPr>
            </w:pPr>
            <w:r w:rsidRPr="002C0444">
              <w:rPr>
                <w:rFonts w:cs="Calibri"/>
                <w:sz w:val="20"/>
                <w:szCs w:val="20"/>
                <w:lang w:val="en-GB" w:eastAsia="en-US"/>
              </w:rPr>
              <w:t>Zaštita obale od erozije i poplava</w:t>
            </w:r>
          </w:p>
          <w:p w14:paraId="649178A3" w14:textId="77777777" w:rsidR="002C0444" w:rsidRPr="002C0444" w:rsidRDefault="002C0444" w:rsidP="002C0444">
            <w:pPr>
              <w:spacing w:before="0" w:after="0" w:line="240" w:lineRule="auto"/>
              <w:jc w:val="left"/>
              <w:rPr>
                <w:rFonts w:cs="Calibri"/>
                <w:sz w:val="20"/>
                <w:szCs w:val="20"/>
                <w:lang w:val="en-GB" w:eastAsia="en-US"/>
              </w:rPr>
            </w:pPr>
          </w:p>
          <w:p w14:paraId="3BCE03EB" w14:textId="77777777" w:rsidR="002C0444" w:rsidRPr="002C0444" w:rsidRDefault="002C0444" w:rsidP="002C0444">
            <w:pPr>
              <w:spacing w:before="0" w:after="0" w:line="240" w:lineRule="auto"/>
              <w:jc w:val="left"/>
              <w:rPr>
                <w:rFonts w:cs="Calibri"/>
                <w:sz w:val="20"/>
                <w:szCs w:val="20"/>
                <w:lang w:val="en-GB" w:eastAsia="en-US"/>
              </w:rPr>
            </w:pPr>
            <w:r w:rsidRPr="002C0444">
              <w:rPr>
                <w:rFonts w:cs="Calibri"/>
                <w:sz w:val="20"/>
                <w:szCs w:val="20"/>
                <w:lang w:val="en-GB" w:eastAsia="en-US"/>
              </w:rPr>
              <w:t>Intertidalna I plitka staništa će vjerovatno biti pod pritiskom zbog klimatskih promjena</w:t>
            </w:r>
          </w:p>
          <w:p w14:paraId="69792E21" w14:textId="77777777" w:rsidR="002C0444" w:rsidRPr="002C0444" w:rsidRDefault="002C0444" w:rsidP="002C0444">
            <w:pPr>
              <w:autoSpaceDE w:val="0"/>
              <w:autoSpaceDN w:val="0"/>
              <w:adjustRightInd w:val="0"/>
              <w:spacing w:before="0" w:after="0" w:line="240" w:lineRule="auto"/>
              <w:jc w:val="left"/>
              <w:rPr>
                <w:rFonts w:cs="Calibri"/>
                <w:sz w:val="20"/>
                <w:szCs w:val="20"/>
                <w:lang w:val="en-GB" w:eastAsia="en-US"/>
              </w:rPr>
            </w:pPr>
          </w:p>
        </w:tc>
      </w:tr>
      <w:tr w:rsidR="002C0444" w:rsidRPr="002C0444" w14:paraId="5E507C9B" w14:textId="77777777" w:rsidTr="002C0444">
        <w:tc>
          <w:tcPr>
            <w:tcW w:w="0" w:type="auto"/>
            <w:vMerge/>
            <w:tcBorders>
              <w:top w:val="single" w:sz="4" w:space="0" w:color="2E74B5"/>
              <w:left w:val="single" w:sz="4" w:space="0" w:color="2E74B5"/>
              <w:bottom w:val="single" w:sz="4" w:space="0" w:color="2E74B5"/>
              <w:right w:val="single" w:sz="4" w:space="0" w:color="2E74B5"/>
            </w:tcBorders>
            <w:vAlign w:val="center"/>
            <w:hideMark/>
          </w:tcPr>
          <w:p w14:paraId="2EA9AAA3" w14:textId="77777777" w:rsidR="002C0444" w:rsidRPr="002C0444" w:rsidRDefault="002C0444" w:rsidP="002C0444">
            <w:pPr>
              <w:spacing w:before="0" w:after="0" w:line="240" w:lineRule="auto"/>
              <w:jc w:val="left"/>
              <w:rPr>
                <w:rFonts w:cs="Calibri"/>
                <w:sz w:val="20"/>
                <w:szCs w:val="20"/>
                <w:lang w:val="en-GB" w:eastAsia="en-US"/>
              </w:rPr>
            </w:pPr>
          </w:p>
        </w:tc>
        <w:tc>
          <w:tcPr>
            <w:tcW w:w="3827" w:type="dxa"/>
            <w:tcBorders>
              <w:top w:val="single" w:sz="4" w:space="0" w:color="2E74B5"/>
              <w:left w:val="single" w:sz="4" w:space="0" w:color="2E74B5"/>
              <w:bottom w:val="single" w:sz="4" w:space="0" w:color="2E74B5"/>
              <w:right w:val="single" w:sz="4" w:space="0" w:color="2E74B5"/>
            </w:tcBorders>
            <w:hideMark/>
          </w:tcPr>
          <w:p w14:paraId="3E03F4AC" w14:textId="77777777" w:rsidR="002C0444" w:rsidRPr="002C0444" w:rsidRDefault="002C0444" w:rsidP="002C0444">
            <w:pPr>
              <w:spacing w:before="0" w:after="0" w:line="240" w:lineRule="auto"/>
              <w:jc w:val="left"/>
              <w:rPr>
                <w:rFonts w:cs="Calibri"/>
                <w:sz w:val="20"/>
                <w:szCs w:val="20"/>
                <w:lang w:val="en-GB" w:eastAsia="en-US"/>
              </w:rPr>
            </w:pPr>
            <w:r w:rsidRPr="002C0444">
              <w:rPr>
                <w:rFonts w:cs="Calibri"/>
                <w:sz w:val="20"/>
                <w:szCs w:val="20"/>
                <w:lang w:val="en-GB" w:eastAsia="en-US"/>
              </w:rPr>
              <w:t>Vađenje i/ili smrtnost/povrede vrsta koje žive u divljini</w:t>
            </w:r>
          </w:p>
        </w:tc>
        <w:tc>
          <w:tcPr>
            <w:tcW w:w="4252" w:type="dxa"/>
            <w:tcBorders>
              <w:top w:val="single" w:sz="4" w:space="0" w:color="2E74B5"/>
              <w:left w:val="single" w:sz="4" w:space="0" w:color="2E74B5"/>
              <w:bottom w:val="single" w:sz="4" w:space="0" w:color="2E74B5"/>
              <w:right w:val="single" w:sz="4" w:space="0" w:color="2E74B5"/>
            </w:tcBorders>
            <w:hideMark/>
          </w:tcPr>
          <w:p w14:paraId="38CE52EF" w14:textId="77777777" w:rsidR="002C0444" w:rsidRPr="002C0444" w:rsidRDefault="002C0444" w:rsidP="002C0444">
            <w:pPr>
              <w:spacing w:before="0" w:after="0" w:line="240" w:lineRule="auto"/>
              <w:jc w:val="left"/>
              <w:rPr>
                <w:rFonts w:cs="Calibri"/>
                <w:sz w:val="20"/>
                <w:szCs w:val="20"/>
                <w:lang w:val="en-GB" w:eastAsia="en-US"/>
              </w:rPr>
            </w:pPr>
            <w:r w:rsidRPr="002C0444">
              <w:rPr>
                <w:rFonts w:cs="Calibri"/>
                <w:sz w:val="20"/>
                <w:szCs w:val="20"/>
                <w:lang w:val="en-GB" w:eastAsia="en-US"/>
              </w:rPr>
              <w:t>Ribarenje i sakupljanje školjki (profesionalno i rekreativno)</w:t>
            </w:r>
          </w:p>
        </w:tc>
      </w:tr>
      <w:tr w:rsidR="002C0444" w:rsidRPr="002C0444" w14:paraId="17CD209A" w14:textId="77777777" w:rsidTr="002C0444">
        <w:tc>
          <w:tcPr>
            <w:tcW w:w="0" w:type="auto"/>
            <w:vMerge/>
            <w:tcBorders>
              <w:top w:val="single" w:sz="4" w:space="0" w:color="2E74B5"/>
              <w:left w:val="single" w:sz="4" w:space="0" w:color="2E74B5"/>
              <w:bottom w:val="single" w:sz="4" w:space="0" w:color="2E74B5"/>
              <w:right w:val="single" w:sz="4" w:space="0" w:color="2E74B5"/>
            </w:tcBorders>
            <w:vAlign w:val="center"/>
            <w:hideMark/>
          </w:tcPr>
          <w:p w14:paraId="50C921B8" w14:textId="77777777" w:rsidR="002C0444" w:rsidRPr="002C0444" w:rsidRDefault="002C0444" w:rsidP="002C0444">
            <w:pPr>
              <w:spacing w:before="0" w:after="0" w:line="240" w:lineRule="auto"/>
              <w:jc w:val="left"/>
              <w:rPr>
                <w:rFonts w:cs="Calibri"/>
                <w:sz w:val="20"/>
                <w:szCs w:val="20"/>
                <w:lang w:val="en-GB" w:eastAsia="en-US"/>
              </w:rPr>
            </w:pPr>
          </w:p>
        </w:tc>
        <w:tc>
          <w:tcPr>
            <w:tcW w:w="3827" w:type="dxa"/>
            <w:tcBorders>
              <w:top w:val="single" w:sz="4" w:space="0" w:color="2E74B5"/>
              <w:left w:val="single" w:sz="4" w:space="0" w:color="2E74B5"/>
              <w:bottom w:val="single" w:sz="4" w:space="0" w:color="2E74B5"/>
              <w:right w:val="single" w:sz="4" w:space="0" w:color="2E74B5"/>
            </w:tcBorders>
            <w:hideMark/>
          </w:tcPr>
          <w:p w14:paraId="4F1F80C3" w14:textId="77777777" w:rsidR="002C0444" w:rsidRPr="002C0444" w:rsidRDefault="002C0444" w:rsidP="002C0444">
            <w:pPr>
              <w:spacing w:before="0" w:after="0" w:line="240" w:lineRule="auto"/>
              <w:jc w:val="left"/>
              <w:rPr>
                <w:rFonts w:cs="Calibri"/>
                <w:sz w:val="20"/>
                <w:szCs w:val="20"/>
                <w:lang w:val="en-GB" w:eastAsia="en-US"/>
              </w:rPr>
            </w:pPr>
            <w:r w:rsidRPr="002C0444">
              <w:rPr>
                <w:rFonts w:cs="Calibri"/>
                <w:sz w:val="20"/>
                <w:szCs w:val="20"/>
                <w:lang w:val="en-GB" w:eastAsia="en-US"/>
              </w:rPr>
              <w:t>Uvođenje ili širenje alohtonih vrsta</w:t>
            </w:r>
          </w:p>
        </w:tc>
        <w:tc>
          <w:tcPr>
            <w:tcW w:w="4252" w:type="dxa"/>
            <w:tcBorders>
              <w:top w:val="single" w:sz="4" w:space="0" w:color="2E74B5"/>
              <w:left w:val="single" w:sz="4" w:space="0" w:color="2E74B5"/>
              <w:bottom w:val="single" w:sz="4" w:space="0" w:color="2E74B5"/>
              <w:right w:val="single" w:sz="4" w:space="0" w:color="2E74B5"/>
            </w:tcBorders>
            <w:hideMark/>
          </w:tcPr>
          <w:p w14:paraId="069B886B" w14:textId="77777777" w:rsidR="002C0444" w:rsidRPr="002C0444" w:rsidRDefault="002C0444" w:rsidP="002C0444">
            <w:pPr>
              <w:spacing w:before="0" w:after="0" w:line="240" w:lineRule="auto"/>
              <w:jc w:val="left"/>
              <w:rPr>
                <w:rFonts w:cs="Calibri"/>
                <w:sz w:val="20"/>
                <w:szCs w:val="20"/>
                <w:lang w:val="en-GB" w:eastAsia="en-US"/>
              </w:rPr>
            </w:pPr>
            <w:r w:rsidRPr="002C0444">
              <w:rPr>
                <w:rFonts w:cs="Calibri"/>
                <w:sz w:val="20"/>
                <w:szCs w:val="20"/>
                <w:lang w:val="en-GB" w:eastAsia="en-US"/>
              </w:rPr>
              <w:t>Transport –brodovi (balastne vode, obraštaj)</w:t>
            </w:r>
          </w:p>
        </w:tc>
      </w:tr>
      <w:tr w:rsidR="002C0444" w:rsidRPr="002C0444" w14:paraId="5CA4B9E8" w14:textId="77777777" w:rsidTr="002C0444">
        <w:tc>
          <w:tcPr>
            <w:tcW w:w="0" w:type="auto"/>
            <w:vMerge/>
            <w:tcBorders>
              <w:top w:val="single" w:sz="4" w:space="0" w:color="2E74B5"/>
              <w:left w:val="single" w:sz="4" w:space="0" w:color="2E74B5"/>
              <w:bottom w:val="single" w:sz="4" w:space="0" w:color="2E74B5"/>
              <w:right w:val="single" w:sz="4" w:space="0" w:color="2E74B5"/>
            </w:tcBorders>
            <w:vAlign w:val="center"/>
            <w:hideMark/>
          </w:tcPr>
          <w:p w14:paraId="33688279" w14:textId="77777777" w:rsidR="002C0444" w:rsidRPr="002C0444" w:rsidRDefault="002C0444" w:rsidP="002C0444">
            <w:pPr>
              <w:spacing w:before="0" w:after="0" w:line="240" w:lineRule="auto"/>
              <w:jc w:val="left"/>
              <w:rPr>
                <w:rFonts w:cs="Calibri"/>
                <w:sz w:val="20"/>
                <w:szCs w:val="20"/>
                <w:lang w:val="en-GB" w:eastAsia="en-US"/>
              </w:rPr>
            </w:pPr>
          </w:p>
        </w:tc>
        <w:tc>
          <w:tcPr>
            <w:tcW w:w="3827" w:type="dxa"/>
            <w:tcBorders>
              <w:top w:val="single" w:sz="4" w:space="0" w:color="2E74B5"/>
              <w:left w:val="single" w:sz="4" w:space="0" w:color="2E74B5"/>
              <w:bottom w:val="single" w:sz="4" w:space="0" w:color="2E74B5"/>
              <w:right w:val="single" w:sz="4" w:space="0" w:color="2E74B5"/>
            </w:tcBorders>
            <w:hideMark/>
          </w:tcPr>
          <w:p w14:paraId="4B621D38" w14:textId="77777777" w:rsidR="002C0444" w:rsidRPr="002C0444" w:rsidRDefault="002C0444" w:rsidP="002C0444">
            <w:pPr>
              <w:spacing w:before="0" w:after="0" w:line="240" w:lineRule="auto"/>
              <w:jc w:val="left"/>
              <w:rPr>
                <w:rFonts w:cs="Calibri"/>
                <w:sz w:val="20"/>
                <w:szCs w:val="20"/>
                <w:lang w:val="en-GB" w:eastAsia="en-US"/>
              </w:rPr>
            </w:pPr>
            <w:r w:rsidRPr="002C0444">
              <w:rPr>
                <w:rFonts w:cs="Calibri"/>
                <w:sz w:val="20"/>
                <w:szCs w:val="20"/>
                <w:lang w:val="en-GB" w:eastAsia="en-US"/>
              </w:rPr>
              <w:t>Uvođenje nutrijenata I organske materije (eutrofikacija)</w:t>
            </w:r>
          </w:p>
        </w:tc>
        <w:tc>
          <w:tcPr>
            <w:tcW w:w="4252" w:type="dxa"/>
            <w:tcBorders>
              <w:top w:val="single" w:sz="4" w:space="0" w:color="2E74B5"/>
              <w:left w:val="single" w:sz="4" w:space="0" w:color="2E74B5"/>
              <w:bottom w:val="single" w:sz="4" w:space="0" w:color="2E74B5"/>
              <w:right w:val="single" w:sz="4" w:space="0" w:color="2E74B5"/>
            </w:tcBorders>
            <w:hideMark/>
          </w:tcPr>
          <w:p w14:paraId="0E07CF34" w14:textId="77777777" w:rsidR="002C0444" w:rsidRPr="002C0444" w:rsidRDefault="002C0444" w:rsidP="002C0444">
            <w:pPr>
              <w:spacing w:before="0" w:after="0" w:line="240" w:lineRule="auto"/>
              <w:jc w:val="left"/>
              <w:rPr>
                <w:rFonts w:cs="Calibri"/>
                <w:sz w:val="20"/>
                <w:szCs w:val="20"/>
                <w:lang w:val="en-GB" w:eastAsia="en-US"/>
              </w:rPr>
            </w:pPr>
            <w:r w:rsidRPr="002C0444">
              <w:rPr>
                <w:rFonts w:cs="Calibri"/>
                <w:sz w:val="20"/>
                <w:szCs w:val="20"/>
                <w:lang w:val="en-GB" w:eastAsia="en-US"/>
              </w:rPr>
              <w:t>Aktivnosti na kopnu ( poljoprivreda, izlivanje komunalnih otpadnih voda)</w:t>
            </w:r>
          </w:p>
        </w:tc>
      </w:tr>
    </w:tbl>
    <w:p w14:paraId="367CE614" w14:textId="77777777" w:rsidR="002C0444" w:rsidRPr="002C0444" w:rsidRDefault="002C0444" w:rsidP="002C0444">
      <w:pPr>
        <w:spacing w:before="0" w:after="0"/>
        <w:ind w:firstLine="397"/>
        <w:rPr>
          <w:rFonts w:eastAsia="Calibri" w:cs="Calibri"/>
          <w:sz w:val="24"/>
          <w:lang w:val="sr-Latn-ME" w:eastAsia="en-US"/>
        </w:rPr>
      </w:pPr>
    </w:p>
    <w:p w14:paraId="2519A0BE" w14:textId="77777777" w:rsidR="00AA6D51" w:rsidRPr="002C0444" w:rsidRDefault="00AA6D51" w:rsidP="002C0444">
      <w:pPr>
        <w:spacing w:before="0" w:after="0"/>
        <w:ind w:firstLine="397"/>
        <w:rPr>
          <w:rFonts w:eastAsia="Calibri" w:cs="Calibri"/>
          <w:sz w:val="24"/>
          <w:lang w:val="sr-Latn-ME" w:eastAsia="en-US"/>
        </w:rPr>
      </w:pPr>
    </w:p>
    <w:p w14:paraId="606BD98D" w14:textId="446083B3" w:rsidR="002C0444" w:rsidRPr="002C0444" w:rsidRDefault="00496597" w:rsidP="006A72D8">
      <w:pPr>
        <w:pStyle w:val="Heading3"/>
        <w:ind w:left="1276" w:hanging="709"/>
        <w:rPr>
          <w:rFonts w:eastAsia="Calibri"/>
          <w:lang w:val="en-GB" w:eastAsia="en-US"/>
        </w:rPr>
      </w:pPr>
      <w:bookmarkStart w:id="379" w:name="_Toc83630985"/>
      <w:r>
        <w:rPr>
          <w:rFonts w:eastAsia="Calibri"/>
          <w:lang w:val="en-GB" w:eastAsia="en-US"/>
        </w:rPr>
        <w:t>Rezime</w:t>
      </w:r>
      <w:r w:rsidR="002C0444" w:rsidRPr="002C0444">
        <w:rPr>
          <w:rFonts w:eastAsia="Calibri"/>
          <w:lang w:val="en-GB" w:eastAsia="en-US"/>
        </w:rPr>
        <w:t xml:space="preserve"> stanja bentoskih staništa </w:t>
      </w:r>
      <w:r w:rsidR="00564B9F">
        <w:rPr>
          <w:rFonts w:eastAsia="Calibri"/>
          <w:lang w:val="en-GB" w:eastAsia="en-US"/>
        </w:rPr>
        <w:t xml:space="preserve">na osnovu </w:t>
      </w:r>
      <w:r>
        <w:rPr>
          <w:rFonts w:eastAsia="Calibri"/>
          <w:lang w:val="en-GB" w:eastAsia="en-US"/>
        </w:rPr>
        <w:t>Početne procjene</w:t>
      </w:r>
      <w:bookmarkEnd w:id="379"/>
      <w:r w:rsidR="002C0444" w:rsidRPr="002C0444">
        <w:rPr>
          <w:rFonts w:eastAsia="Calibri"/>
          <w:lang w:val="en-GB" w:eastAsia="en-US"/>
        </w:rPr>
        <w:t xml:space="preserve"> </w:t>
      </w:r>
    </w:p>
    <w:p w14:paraId="2485D6A8" w14:textId="77777777" w:rsidR="002C0444" w:rsidRPr="002C0444" w:rsidRDefault="002C0444" w:rsidP="002C0444">
      <w:pPr>
        <w:spacing w:before="0" w:after="0"/>
        <w:ind w:firstLine="397"/>
        <w:rPr>
          <w:rFonts w:eastAsia="Calibri" w:cs="Calibri"/>
          <w:b/>
          <w:sz w:val="24"/>
          <w:lang w:val="sr-Latn-ME" w:eastAsia="en-US"/>
        </w:rPr>
      </w:pPr>
      <w:r w:rsidRPr="002C0444">
        <w:rPr>
          <w:rFonts w:eastAsia="Calibri" w:cs="Calibri"/>
          <w:b/>
          <w:sz w:val="24"/>
          <w:lang w:val="sr-Latn-ME" w:eastAsia="en-US"/>
        </w:rPr>
        <w:t xml:space="preserve">Stanje fotofilnih zajednica algi i vrsta koje pripadaju rodu </w:t>
      </w:r>
      <w:r w:rsidRPr="002C0444">
        <w:rPr>
          <w:rFonts w:eastAsia="Calibri" w:cs="Calibri"/>
          <w:b/>
          <w:i/>
          <w:sz w:val="24"/>
          <w:lang w:val="sr-Latn-ME" w:eastAsia="en-US"/>
        </w:rPr>
        <w:t>Cistoseira</w:t>
      </w:r>
    </w:p>
    <w:p w14:paraId="3D88BC1B" w14:textId="77777777" w:rsidR="002C0444" w:rsidRPr="002C0444" w:rsidRDefault="002C0444" w:rsidP="002C0444">
      <w:pPr>
        <w:spacing w:before="0" w:after="0"/>
        <w:ind w:firstLine="397"/>
        <w:rPr>
          <w:rFonts w:eastAsia="Calibri" w:cs="Calibri"/>
          <w:b/>
          <w:sz w:val="24"/>
          <w:lang w:val="sr-Latn-ME" w:eastAsia="en-US"/>
        </w:rPr>
      </w:pPr>
    </w:p>
    <w:p w14:paraId="41A51FD1" w14:textId="1D3CCB7C" w:rsidR="002C0444" w:rsidRPr="002A4FE5" w:rsidRDefault="002C0444" w:rsidP="002633A5">
      <w:pPr>
        <w:spacing w:before="0" w:after="120"/>
        <w:rPr>
          <w:rFonts w:eastAsia="Calibri" w:cs="Calibri"/>
          <w:szCs w:val="22"/>
          <w:lang w:val="sr-Latn-ME" w:eastAsia="en-US"/>
        </w:rPr>
      </w:pPr>
      <w:r w:rsidRPr="002A4FE5">
        <w:rPr>
          <w:rFonts w:eastAsia="Calibri" w:cs="Calibri"/>
          <w:szCs w:val="22"/>
          <w:lang w:val="sr-Latn-ME" w:eastAsia="en-US"/>
        </w:rPr>
        <w:t xml:space="preserve">Zajednice fotofilnih algi i vrste koje pripadaju rodu </w:t>
      </w:r>
      <w:r w:rsidRPr="002A4FE5">
        <w:rPr>
          <w:rFonts w:eastAsia="Calibri" w:cs="Calibri"/>
          <w:i/>
          <w:szCs w:val="22"/>
          <w:lang w:val="sr-Latn-ME" w:eastAsia="en-US"/>
        </w:rPr>
        <w:t>Cystoseira</w:t>
      </w:r>
      <w:r w:rsidRPr="002A4FE5">
        <w:rPr>
          <w:rFonts w:eastAsia="Calibri" w:cs="Calibri"/>
          <w:szCs w:val="22"/>
          <w:lang w:val="sr-Latn-ME" w:eastAsia="en-US"/>
        </w:rPr>
        <w:t xml:space="preserve"> naseljavaju najpliće područje infralitoralno izloženih stjenovitih područja i široko su rasprostranjene u Sredozemnom i Jadranskom moru (III.6.1. Biocenoza infralitoralnih algi (gornji slojevi) RAC/SPA referentne liste tipova morskih i obalnih staništa na Mediteranu; tip staništa 1170 - Grebeni iz Aneksa I Direktive o staništima 92/43 / EEZ (UNEP/MAP, 2017).  </w:t>
      </w:r>
    </w:p>
    <w:p w14:paraId="76C25DC1" w14:textId="77777777" w:rsidR="002C0444" w:rsidRPr="002A4FE5" w:rsidRDefault="002C0444" w:rsidP="002633A5">
      <w:pPr>
        <w:spacing w:before="0" w:after="120"/>
        <w:rPr>
          <w:rFonts w:eastAsia="Calibri" w:cs="Calibri"/>
          <w:szCs w:val="22"/>
          <w:lang w:val="sr-Latn-ME" w:eastAsia="en-US"/>
        </w:rPr>
      </w:pPr>
      <w:r w:rsidRPr="002A4FE5">
        <w:rPr>
          <w:rFonts w:eastAsia="Calibri" w:cs="Calibri"/>
          <w:szCs w:val="22"/>
          <w:lang w:val="sr-Latn-ME" w:eastAsia="en-US"/>
        </w:rPr>
        <w:t xml:space="preserve">CARLIT je metoda koja omogućava brzo prikupljanje različitih podataka o stanju vrsta i zajednica na obalnim linijama i plitkim vodama. Istraživanja zasnovana na CARLIT metodologiji (Kartografija primorskih i gornjih sublitoralnih zajednica stjenovitih obala) sprovedena su u 2018, 2019. i 2020. godini (Slika 3.3), sa sličnim rezultatima. Naime, na četiri istraživane lokacije CARLIT indeks kretao se od „lošeg“ do „visokog“; ili u prosjeku „srednje“. Treba naglasiti da su na nekim određenim lokacijama, poput Petrovca, neki djelovi obale promijenjeni, kao i na nekim drugim djelovima koji nisu bili predmet monitoringa. U Herceg Novom gotovo da nema prirodne obale, ali stanje zajednica nije loše.  </w:t>
      </w:r>
    </w:p>
    <w:p w14:paraId="1993A43C" w14:textId="77777777" w:rsidR="002C0444" w:rsidRPr="002A4FE5" w:rsidRDefault="002C0444" w:rsidP="002633A5">
      <w:pPr>
        <w:spacing w:before="0" w:after="120"/>
        <w:rPr>
          <w:rFonts w:eastAsia="Calibri" w:cs="Calibri"/>
          <w:szCs w:val="22"/>
          <w:lang w:val="sr-Latn-ME" w:eastAsia="en-US"/>
        </w:rPr>
      </w:pPr>
      <w:r w:rsidRPr="002A4FE5">
        <w:rPr>
          <w:rFonts w:eastAsia="Calibri" w:cs="Calibri"/>
          <w:szCs w:val="22"/>
          <w:lang w:val="sr-Latn-ME" w:eastAsia="en-US"/>
        </w:rPr>
        <w:t xml:space="preserve">Ipak, postojeće informacije još uvijek nisu dovoljne za procjenu bilo kog trenda. Preporuka je da se CARLIT izvodi svake 3 godine u čitavom vodnom tijelu ili, alternativno, svake godine uzimajući u obzir najmanje 60% svakog vodnog tijela (Cavallo et al., 2016). Pored toga, predlaže se da se neki djelovi obale (poput Herceg Novog i Petrovca) izuzmu iz ove vrste istraživanja, zbog tipologije obale.  </w:t>
      </w:r>
    </w:p>
    <w:p w14:paraId="501053A8" w14:textId="77777777" w:rsidR="002C0444" w:rsidRPr="002A4FE5" w:rsidRDefault="002C0444" w:rsidP="002633A5">
      <w:pPr>
        <w:spacing w:before="0" w:after="120"/>
        <w:rPr>
          <w:rFonts w:eastAsia="Calibri" w:cs="Calibri"/>
          <w:b/>
          <w:bCs/>
          <w:szCs w:val="22"/>
          <w:lang w:val="en-GB" w:eastAsia="en-US"/>
        </w:rPr>
      </w:pPr>
      <w:r w:rsidRPr="002A4FE5">
        <w:rPr>
          <w:rFonts w:eastAsia="Calibri" w:cs="Calibri"/>
          <w:szCs w:val="22"/>
          <w:lang w:val="sr-Latn-ME" w:eastAsia="en-US"/>
        </w:rPr>
        <w:t>Takođe je važno napomenuti da dublji dio staništa nije predmet CARLIT metodologije. Ova vrsta staništa je u mnogim slučajevima uništena zbog ilegalnog ribolova i na gotovo svim djelovima obale uočene su ozbiljne promjena u funkcionisanju ekosistema.</w:t>
      </w:r>
      <w:r w:rsidRPr="002A4FE5">
        <w:rPr>
          <w:rFonts w:eastAsia="Calibri" w:cs="Calibri"/>
          <w:b/>
          <w:bCs/>
          <w:szCs w:val="22"/>
          <w:lang w:val="en-GB" w:eastAsia="en-US"/>
        </w:rPr>
        <w:t xml:space="preserve"> </w:t>
      </w:r>
    </w:p>
    <w:p w14:paraId="1D664746" w14:textId="77777777" w:rsidR="002C0444" w:rsidRPr="002A4FE5" w:rsidRDefault="002C0444" w:rsidP="002C0444">
      <w:pPr>
        <w:spacing w:before="0" w:after="0"/>
        <w:ind w:firstLine="397"/>
        <w:rPr>
          <w:rFonts w:eastAsia="Calibri" w:cs="Calibri"/>
          <w:b/>
          <w:bCs/>
          <w:szCs w:val="22"/>
          <w:lang w:val="en-GB" w:eastAsia="en-US"/>
        </w:rPr>
      </w:pPr>
    </w:p>
    <w:p w14:paraId="0FD381B9" w14:textId="5E0435E8" w:rsidR="00AA6D51" w:rsidRDefault="002C0444" w:rsidP="006A72D8">
      <w:pPr>
        <w:autoSpaceDE w:val="0"/>
        <w:autoSpaceDN w:val="0"/>
        <w:adjustRightInd w:val="0"/>
        <w:spacing w:before="0" w:after="0" w:line="240" w:lineRule="auto"/>
        <w:jc w:val="left"/>
        <w:rPr>
          <w:rFonts w:eastAsia="Calibri" w:cs="Calibri"/>
          <w:color w:val="000000"/>
          <w:sz w:val="20"/>
          <w:szCs w:val="20"/>
          <w:lang w:val="en-GB" w:eastAsia="en-US"/>
        </w:rPr>
      </w:pPr>
      <w:r w:rsidRPr="002C0444">
        <w:rPr>
          <w:rFonts w:eastAsia="Calibri" w:cs="Calibri"/>
          <w:noProof/>
          <w:color w:val="000000"/>
          <w:sz w:val="20"/>
          <w:szCs w:val="20"/>
          <w:lang w:eastAsia="en-US"/>
        </w:rPr>
        <w:drawing>
          <wp:inline distT="0" distB="0" distL="0" distR="0" wp14:anchorId="395E4342" wp14:editId="2C7053CD">
            <wp:extent cx="2827867" cy="2090817"/>
            <wp:effectExtent l="0" t="0" r="0" b="5080"/>
            <wp:docPr id="39"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35797" cy="2096680"/>
                    </a:xfrm>
                    <a:prstGeom prst="rect">
                      <a:avLst/>
                    </a:prstGeom>
                    <a:noFill/>
                    <a:ln>
                      <a:noFill/>
                    </a:ln>
                  </pic:spPr>
                </pic:pic>
              </a:graphicData>
            </a:graphic>
          </wp:inline>
        </w:drawing>
      </w:r>
      <w:r w:rsidRPr="002C0444">
        <w:rPr>
          <w:rFonts w:eastAsia="Calibri"/>
          <w:noProof/>
          <w:szCs w:val="22"/>
          <w:lang w:eastAsia="en-US"/>
        </w:rPr>
        <w:drawing>
          <wp:anchor distT="0" distB="0" distL="114300" distR="114300" simplePos="0" relativeHeight="251811840" behindDoc="1" locked="0" layoutInCell="1" allowOverlap="1" wp14:anchorId="6FEE1F01" wp14:editId="1D2853D7">
            <wp:simplePos x="0" y="0"/>
            <wp:positionH relativeFrom="column">
              <wp:posOffset>3025140</wp:posOffset>
            </wp:positionH>
            <wp:positionV relativeFrom="paragraph">
              <wp:posOffset>36830</wp:posOffset>
            </wp:positionV>
            <wp:extent cx="2712720" cy="2083435"/>
            <wp:effectExtent l="0" t="0" r="0" b="0"/>
            <wp:wrapNone/>
            <wp:docPr id="41"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712720" cy="2083435"/>
                    </a:xfrm>
                    <a:prstGeom prst="rect">
                      <a:avLst/>
                    </a:prstGeom>
                    <a:noFill/>
                  </pic:spPr>
                </pic:pic>
              </a:graphicData>
            </a:graphic>
            <wp14:sizeRelH relativeFrom="page">
              <wp14:pctWidth>0</wp14:pctWidth>
            </wp14:sizeRelH>
            <wp14:sizeRelV relativeFrom="page">
              <wp14:pctHeight>0</wp14:pctHeight>
            </wp14:sizeRelV>
          </wp:anchor>
        </w:drawing>
      </w:r>
      <w:r w:rsidRPr="002C0444">
        <w:rPr>
          <w:rFonts w:eastAsia="Calibri"/>
          <w:noProof/>
          <w:szCs w:val="22"/>
          <w:lang w:eastAsia="en-US"/>
        </w:rPr>
        <mc:AlternateContent>
          <mc:Choice Requires="wps">
            <w:drawing>
              <wp:anchor distT="0" distB="0" distL="114300" distR="114300" simplePos="0" relativeHeight="251815936" behindDoc="0" locked="0" layoutInCell="1" allowOverlap="1" wp14:anchorId="2F2516EE" wp14:editId="3CED684D">
                <wp:simplePos x="0" y="0"/>
                <wp:positionH relativeFrom="column">
                  <wp:posOffset>3131185</wp:posOffset>
                </wp:positionH>
                <wp:positionV relativeFrom="paragraph">
                  <wp:posOffset>1583690</wp:posOffset>
                </wp:positionV>
                <wp:extent cx="2252345" cy="281940"/>
                <wp:effectExtent l="0" t="0" r="0" b="3810"/>
                <wp:wrapNone/>
                <wp:docPr id="32" name="Text Box 32"/>
                <wp:cNvGraphicFramePr/>
                <a:graphic xmlns:a="http://schemas.openxmlformats.org/drawingml/2006/main">
                  <a:graphicData uri="http://schemas.microsoft.com/office/word/2010/wordprocessingShape">
                    <wps:wsp>
                      <wps:cNvSpPr txBox="1"/>
                      <wps:spPr>
                        <a:xfrm>
                          <a:off x="0" y="0"/>
                          <a:ext cx="2252345" cy="281940"/>
                        </a:xfrm>
                        <a:prstGeom prst="rect">
                          <a:avLst/>
                        </a:prstGeom>
                        <a:noFill/>
                        <a:ln w="6350">
                          <a:noFill/>
                        </a:ln>
                      </wps:spPr>
                      <wps:txbx>
                        <w:txbxContent>
                          <w:p w14:paraId="7352E523" w14:textId="77777777" w:rsidR="00515997" w:rsidRDefault="00515997" w:rsidP="002C0444">
                            <w:pPr>
                              <w:tabs>
                                <w:tab w:val="left" w:pos="1418"/>
                              </w:tabs>
                              <w:rPr>
                                <w:b/>
                                <w:lang w:val="hr-HR"/>
                              </w:rPr>
                            </w:pPr>
                            <w:r>
                              <w:rPr>
                                <w:b/>
                                <w:lang w:val="hr-HR"/>
                              </w:rPr>
                              <w:t>ES = 0.84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F2516EE" id="Text Box 32" o:spid="_x0000_s1065" type="#_x0000_t202" style="position:absolute;margin-left:246.55pt;margin-top:124.7pt;width:177.35pt;height:22.2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" filled="f" stroked="f" strokeweight=".5pt">
                <v:textbox>
                  <w:txbxContent>
                    <w:p w14:paraId="7352E523" w14:textId="77777777" w:rsidR="00515997" w:rsidRDefault="00515997" w:rsidP="002C0444">
                      <w:pPr>
                        <w:tabs>
                          <w:tab w:val="left" w:pos="1418"/>
                        </w:tabs>
                        <w:rPr>
                          <w:b/>
                          <w:lang w:val="hr-HR"/>
                        </w:rPr>
                      </w:pPr>
                      <w:r>
                        <w:rPr>
                          <w:b/>
                          <w:lang w:val="hr-HR"/>
                        </w:rPr>
                        <w:t>ES = 0.84</w:t>
                      </w:r>
                    </w:p>
                  </w:txbxContent>
                </v:textbox>
              </v:shape>
            </w:pict>
          </mc:Fallback>
        </mc:AlternateContent>
      </w:r>
      <w:r w:rsidRPr="002C0444">
        <w:rPr>
          <w:rFonts w:eastAsia="Calibri"/>
          <w:noProof/>
          <w:szCs w:val="22"/>
          <w:lang w:eastAsia="en-US"/>
        </w:rPr>
        <mc:AlternateContent>
          <mc:Choice Requires="wps">
            <w:drawing>
              <wp:anchor distT="0" distB="0" distL="114300" distR="114300" simplePos="0" relativeHeight="251814912" behindDoc="0" locked="0" layoutInCell="1" allowOverlap="1" wp14:anchorId="7AC72284" wp14:editId="44842C45">
                <wp:simplePos x="0" y="0"/>
                <wp:positionH relativeFrom="column">
                  <wp:posOffset>121285</wp:posOffset>
                </wp:positionH>
                <wp:positionV relativeFrom="paragraph">
                  <wp:posOffset>1583690</wp:posOffset>
                </wp:positionV>
                <wp:extent cx="2252345" cy="281940"/>
                <wp:effectExtent l="0" t="0" r="0" b="3810"/>
                <wp:wrapNone/>
                <wp:docPr id="38" name="Text Box 38"/>
                <wp:cNvGraphicFramePr/>
                <a:graphic xmlns:a="http://schemas.openxmlformats.org/drawingml/2006/main">
                  <a:graphicData uri="http://schemas.microsoft.com/office/word/2010/wordprocessingShape">
                    <wps:wsp>
                      <wps:cNvSpPr txBox="1"/>
                      <wps:spPr>
                        <a:xfrm>
                          <a:off x="0" y="0"/>
                          <a:ext cx="2252345" cy="281940"/>
                        </a:xfrm>
                        <a:prstGeom prst="rect">
                          <a:avLst/>
                        </a:prstGeom>
                        <a:noFill/>
                        <a:ln w="6350">
                          <a:noFill/>
                        </a:ln>
                      </wps:spPr>
                      <wps:txbx>
                        <w:txbxContent>
                          <w:p w14:paraId="4E2D5DC9" w14:textId="77777777" w:rsidR="00515997" w:rsidRDefault="00515997" w:rsidP="002C0444">
                            <w:pPr>
                              <w:rPr>
                                <w:b/>
                                <w:lang w:val="hr-HR"/>
                              </w:rPr>
                            </w:pPr>
                            <w:r>
                              <w:rPr>
                                <w:b/>
                                <w:lang w:val="hr-HR"/>
                              </w:rPr>
                              <w:t>ES = 0.48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AC72284" id="Text Box 38" o:spid="_x0000_s1066" type="#_x0000_t202" style="position:absolute;margin-left:9.55pt;margin-top:124.7pt;width:177.35pt;height:22.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" filled="f" stroked="f" strokeweight=".5pt">
                <v:textbox>
                  <w:txbxContent>
                    <w:p w14:paraId="4E2D5DC9" w14:textId="77777777" w:rsidR="00515997" w:rsidRDefault="00515997" w:rsidP="002C0444">
                      <w:pPr>
                        <w:rPr>
                          <w:b/>
                          <w:lang w:val="hr-HR"/>
                        </w:rPr>
                      </w:pPr>
                      <w:r>
                        <w:rPr>
                          <w:b/>
                          <w:lang w:val="hr-HR"/>
                        </w:rPr>
                        <w:t>ES = 0.48</w:t>
                      </w:r>
                    </w:p>
                  </w:txbxContent>
                </v:textbox>
              </v:shape>
            </w:pict>
          </mc:Fallback>
        </mc:AlternateContent>
      </w:r>
      <w:r w:rsidRPr="002C0444">
        <w:rPr>
          <w:rFonts w:eastAsia="Calibri" w:cs="Calibri"/>
          <w:color w:val="000000"/>
          <w:sz w:val="20"/>
          <w:szCs w:val="20"/>
          <w:lang w:val="en-GB" w:eastAsia="en-US"/>
        </w:rPr>
        <w:t xml:space="preserve"> </w:t>
      </w:r>
    </w:p>
    <w:p w14:paraId="402446C3" w14:textId="77777777" w:rsidR="00AA6D51" w:rsidRDefault="00AA6D51" w:rsidP="002C0444">
      <w:pPr>
        <w:autoSpaceDE w:val="0"/>
        <w:autoSpaceDN w:val="0"/>
        <w:adjustRightInd w:val="0"/>
        <w:spacing w:before="0" w:after="0" w:line="240" w:lineRule="auto"/>
        <w:ind w:firstLine="397"/>
        <w:jc w:val="left"/>
        <w:rPr>
          <w:rFonts w:eastAsia="Calibri" w:cs="Calibri"/>
          <w:color w:val="000000"/>
          <w:sz w:val="20"/>
          <w:szCs w:val="20"/>
          <w:lang w:val="en-GB" w:eastAsia="en-US"/>
        </w:rPr>
      </w:pPr>
    </w:p>
    <w:p w14:paraId="5DDD8DB1" w14:textId="77777777" w:rsidR="002C0444" w:rsidRPr="002C0444" w:rsidRDefault="002C0444" w:rsidP="002C0444">
      <w:pPr>
        <w:autoSpaceDE w:val="0"/>
        <w:autoSpaceDN w:val="0"/>
        <w:adjustRightInd w:val="0"/>
        <w:spacing w:before="0" w:after="0" w:line="240" w:lineRule="auto"/>
        <w:ind w:firstLine="397"/>
        <w:jc w:val="left"/>
        <w:rPr>
          <w:rFonts w:eastAsia="Calibri" w:cs="Calibri"/>
          <w:color w:val="000000"/>
          <w:sz w:val="20"/>
          <w:szCs w:val="20"/>
          <w:lang w:val="en-GB" w:eastAsia="en-US"/>
        </w:rPr>
      </w:pPr>
      <w:r w:rsidRPr="002C0444">
        <w:rPr>
          <w:rFonts w:eastAsia="Calibri"/>
          <w:noProof/>
          <w:szCs w:val="22"/>
          <w:lang w:eastAsia="en-US"/>
        </w:rPr>
        <w:drawing>
          <wp:anchor distT="0" distB="0" distL="114300" distR="114300" simplePos="0" relativeHeight="251812864" behindDoc="1" locked="0" layoutInCell="1" allowOverlap="1" wp14:anchorId="1DA338E5" wp14:editId="19CA7D43">
            <wp:simplePos x="0" y="0"/>
            <wp:positionH relativeFrom="column">
              <wp:posOffset>3024505</wp:posOffset>
            </wp:positionH>
            <wp:positionV relativeFrom="paragraph">
              <wp:posOffset>128270</wp:posOffset>
            </wp:positionV>
            <wp:extent cx="2712720" cy="2140585"/>
            <wp:effectExtent l="0" t="0" r="0" b="0"/>
            <wp:wrapNone/>
            <wp:docPr id="42"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712720" cy="2140585"/>
                    </a:xfrm>
                    <a:prstGeom prst="rect">
                      <a:avLst/>
                    </a:prstGeom>
                    <a:noFill/>
                  </pic:spPr>
                </pic:pic>
              </a:graphicData>
            </a:graphic>
            <wp14:sizeRelH relativeFrom="page">
              <wp14:pctWidth>0</wp14:pctWidth>
            </wp14:sizeRelH>
            <wp14:sizeRelV relativeFrom="page">
              <wp14:pctHeight>0</wp14:pctHeight>
            </wp14:sizeRelV>
          </wp:anchor>
        </w:drawing>
      </w:r>
      <w:r w:rsidRPr="002C0444">
        <w:rPr>
          <w:rFonts w:eastAsia="Calibri"/>
          <w:noProof/>
          <w:szCs w:val="22"/>
          <w:lang w:eastAsia="en-US"/>
        </w:rPr>
        <w:drawing>
          <wp:anchor distT="0" distB="0" distL="114300" distR="114300" simplePos="0" relativeHeight="251813888" behindDoc="0" locked="0" layoutInCell="1" allowOverlap="1" wp14:anchorId="0834458A" wp14:editId="585C7C93">
            <wp:simplePos x="0" y="0"/>
            <wp:positionH relativeFrom="column">
              <wp:posOffset>1905</wp:posOffset>
            </wp:positionH>
            <wp:positionV relativeFrom="paragraph">
              <wp:posOffset>130175</wp:posOffset>
            </wp:positionV>
            <wp:extent cx="2903220" cy="2158365"/>
            <wp:effectExtent l="0" t="0" r="0" b="0"/>
            <wp:wrapNone/>
            <wp:docPr id="43"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903220" cy="2158365"/>
                    </a:xfrm>
                    <a:prstGeom prst="rect">
                      <a:avLst/>
                    </a:prstGeom>
                    <a:noFill/>
                  </pic:spPr>
                </pic:pic>
              </a:graphicData>
            </a:graphic>
            <wp14:sizeRelH relativeFrom="page">
              <wp14:pctWidth>0</wp14:pctWidth>
            </wp14:sizeRelH>
            <wp14:sizeRelV relativeFrom="page">
              <wp14:pctHeight>0</wp14:pctHeight>
            </wp14:sizeRelV>
          </wp:anchor>
        </w:drawing>
      </w:r>
    </w:p>
    <w:p w14:paraId="1791ACEC" w14:textId="77777777" w:rsidR="002C0444" w:rsidRPr="002C0444" w:rsidRDefault="002C0444" w:rsidP="002C0444">
      <w:pPr>
        <w:autoSpaceDE w:val="0"/>
        <w:autoSpaceDN w:val="0"/>
        <w:adjustRightInd w:val="0"/>
        <w:spacing w:before="0" w:after="0" w:line="240" w:lineRule="auto"/>
        <w:ind w:firstLine="397"/>
        <w:jc w:val="left"/>
        <w:rPr>
          <w:rFonts w:eastAsia="Calibri" w:cs="Calibri"/>
          <w:color w:val="000000"/>
          <w:sz w:val="20"/>
          <w:szCs w:val="20"/>
          <w:lang w:val="en-GB" w:eastAsia="en-US"/>
        </w:rPr>
      </w:pPr>
    </w:p>
    <w:p w14:paraId="4AA3A99C" w14:textId="77777777" w:rsidR="002C0444" w:rsidRPr="002C0444" w:rsidRDefault="002C0444" w:rsidP="002C0444">
      <w:pPr>
        <w:autoSpaceDE w:val="0"/>
        <w:autoSpaceDN w:val="0"/>
        <w:adjustRightInd w:val="0"/>
        <w:spacing w:before="0" w:after="0" w:line="240" w:lineRule="auto"/>
        <w:ind w:firstLine="397"/>
        <w:jc w:val="left"/>
        <w:rPr>
          <w:rFonts w:eastAsia="Calibri" w:cs="Calibri"/>
          <w:color w:val="000000"/>
          <w:sz w:val="20"/>
          <w:szCs w:val="20"/>
          <w:lang w:val="en-GB" w:eastAsia="en-US"/>
        </w:rPr>
      </w:pPr>
      <w:r w:rsidRPr="002C0444">
        <w:rPr>
          <w:rFonts w:eastAsia="Calibri" w:cs="Calibri"/>
          <w:color w:val="000000"/>
          <w:sz w:val="20"/>
          <w:szCs w:val="20"/>
          <w:lang w:val="en-GB" w:eastAsia="en-US"/>
        </w:rPr>
        <w:t xml:space="preserve"> </w:t>
      </w:r>
    </w:p>
    <w:p w14:paraId="03AE9147" w14:textId="77777777" w:rsidR="002C0444" w:rsidRPr="002C0444" w:rsidRDefault="002C0444" w:rsidP="002C0444">
      <w:pPr>
        <w:autoSpaceDE w:val="0"/>
        <w:autoSpaceDN w:val="0"/>
        <w:adjustRightInd w:val="0"/>
        <w:spacing w:before="0" w:after="0" w:line="240" w:lineRule="auto"/>
        <w:ind w:firstLine="397"/>
        <w:jc w:val="left"/>
        <w:rPr>
          <w:rFonts w:eastAsia="Calibri" w:cs="Calibri"/>
          <w:color w:val="000000"/>
          <w:sz w:val="20"/>
          <w:szCs w:val="20"/>
          <w:lang w:val="en-GB" w:eastAsia="en-US"/>
        </w:rPr>
      </w:pPr>
    </w:p>
    <w:p w14:paraId="5B080ED5" w14:textId="77777777" w:rsidR="002C0444" w:rsidRPr="002C0444" w:rsidRDefault="002C0444" w:rsidP="002C0444">
      <w:pPr>
        <w:autoSpaceDE w:val="0"/>
        <w:autoSpaceDN w:val="0"/>
        <w:adjustRightInd w:val="0"/>
        <w:spacing w:before="0" w:after="0" w:line="240" w:lineRule="auto"/>
        <w:ind w:firstLine="397"/>
        <w:jc w:val="left"/>
        <w:rPr>
          <w:rFonts w:eastAsia="Calibri" w:cs="Calibri"/>
          <w:b/>
          <w:bCs/>
          <w:sz w:val="20"/>
          <w:szCs w:val="20"/>
          <w:lang w:val="en-GB" w:eastAsia="en-US"/>
        </w:rPr>
      </w:pPr>
    </w:p>
    <w:p w14:paraId="5F2DEA80" w14:textId="77777777" w:rsidR="002C0444" w:rsidRDefault="002C0444" w:rsidP="002C0444">
      <w:pPr>
        <w:spacing w:before="0" w:after="0"/>
        <w:ind w:firstLine="397"/>
        <w:rPr>
          <w:rFonts w:eastAsia="Calibri" w:cs="Calibri"/>
          <w:sz w:val="24"/>
          <w:lang w:val="sr-Latn-ME" w:eastAsia="en-US"/>
        </w:rPr>
      </w:pPr>
    </w:p>
    <w:p w14:paraId="4ABB754A" w14:textId="77777777" w:rsidR="00AA6D51" w:rsidRDefault="00AA6D51" w:rsidP="002C0444">
      <w:pPr>
        <w:spacing w:before="0" w:after="0"/>
        <w:ind w:firstLine="397"/>
        <w:rPr>
          <w:rFonts w:eastAsia="Calibri" w:cs="Calibri"/>
          <w:sz w:val="24"/>
          <w:lang w:val="sr-Latn-ME" w:eastAsia="en-US"/>
        </w:rPr>
      </w:pPr>
    </w:p>
    <w:p w14:paraId="148F788B" w14:textId="77777777" w:rsidR="00AA6D51" w:rsidRDefault="00AA6D51" w:rsidP="002C0444">
      <w:pPr>
        <w:spacing w:before="0" w:after="0"/>
        <w:ind w:firstLine="397"/>
        <w:rPr>
          <w:rFonts w:eastAsia="Calibri" w:cs="Calibri"/>
          <w:sz w:val="24"/>
          <w:lang w:val="sr-Latn-ME" w:eastAsia="en-US"/>
        </w:rPr>
      </w:pPr>
    </w:p>
    <w:p w14:paraId="5F102C1C" w14:textId="77777777" w:rsidR="00AA6D51" w:rsidRDefault="00AA6D51" w:rsidP="002C0444">
      <w:pPr>
        <w:spacing w:before="0" w:after="0"/>
        <w:ind w:firstLine="397"/>
        <w:rPr>
          <w:rFonts w:eastAsia="Calibri" w:cs="Calibri"/>
          <w:sz w:val="24"/>
          <w:lang w:val="sr-Latn-ME" w:eastAsia="en-US"/>
        </w:rPr>
      </w:pPr>
    </w:p>
    <w:p w14:paraId="0A79102F" w14:textId="77777777" w:rsidR="00AA6D51" w:rsidRDefault="00AA6D51" w:rsidP="002C0444">
      <w:pPr>
        <w:spacing w:before="0" w:after="0"/>
        <w:ind w:firstLine="397"/>
        <w:rPr>
          <w:rFonts w:eastAsia="Calibri" w:cs="Calibri"/>
          <w:sz w:val="24"/>
          <w:lang w:val="sr-Latn-ME" w:eastAsia="en-US"/>
        </w:rPr>
      </w:pPr>
    </w:p>
    <w:p w14:paraId="616E7EAA" w14:textId="77777777" w:rsidR="00AA6D51" w:rsidRDefault="00AA6D51" w:rsidP="002C0444">
      <w:pPr>
        <w:spacing w:before="0" w:after="0"/>
        <w:ind w:firstLine="397"/>
        <w:rPr>
          <w:rFonts w:eastAsia="Calibri" w:cs="Calibri"/>
          <w:sz w:val="24"/>
          <w:lang w:val="sr-Latn-ME" w:eastAsia="en-US"/>
        </w:rPr>
      </w:pPr>
    </w:p>
    <w:p w14:paraId="66FE244F" w14:textId="77777777" w:rsidR="00AA6D51" w:rsidRPr="002C0444" w:rsidRDefault="00AA6D51" w:rsidP="002C0444">
      <w:pPr>
        <w:spacing w:before="0" w:after="0"/>
        <w:ind w:firstLine="397"/>
        <w:rPr>
          <w:rFonts w:eastAsia="Calibri" w:cs="Calibri"/>
          <w:sz w:val="24"/>
          <w:lang w:val="sr-Latn-ME" w:eastAsia="en-US"/>
        </w:rPr>
      </w:pPr>
    </w:p>
    <w:p w14:paraId="0C566A70" w14:textId="77777777" w:rsidR="002C0444" w:rsidRPr="002C0444" w:rsidRDefault="002C0444" w:rsidP="00332A46">
      <w:pPr>
        <w:spacing w:before="0" w:after="0"/>
        <w:rPr>
          <w:rFonts w:eastAsia="Calibri" w:cs="Calibri"/>
          <w:sz w:val="24"/>
          <w:lang w:val="sr-Latn-ME" w:eastAsia="en-US"/>
        </w:rPr>
      </w:pPr>
    </w:p>
    <w:p w14:paraId="1C851703" w14:textId="6BB08CFA" w:rsidR="00206305" w:rsidRPr="005827C2" w:rsidRDefault="00206305" w:rsidP="002C0444">
      <w:pPr>
        <w:spacing w:before="0" w:after="0"/>
        <w:rPr>
          <w:rFonts w:eastAsia="Calibri" w:cs="Calibri"/>
          <w:b/>
          <w:bCs/>
          <w:szCs w:val="22"/>
          <w:lang w:val="en-GB" w:eastAsia="en-US"/>
        </w:rPr>
      </w:pPr>
      <w:r w:rsidRPr="002A4FE5">
        <w:rPr>
          <w:rFonts w:eastAsia="Calibri" w:cs="Calibri"/>
          <w:b/>
          <w:bCs/>
          <w:szCs w:val="22"/>
          <w:lang w:val="en-GB" w:eastAsia="en-US"/>
        </w:rPr>
        <w:t>Slika 3.3. Ekološki status (ES) zajednica fotofilnih algi za četiri dijela obale prema CARLIT metodologiji u 2020.</w:t>
      </w:r>
    </w:p>
    <w:p w14:paraId="35714209" w14:textId="77777777" w:rsidR="00206305" w:rsidRDefault="00206305" w:rsidP="002C0444">
      <w:pPr>
        <w:spacing w:before="0" w:after="0"/>
        <w:rPr>
          <w:rFonts w:eastAsia="Calibri" w:cs="Calibri"/>
          <w:b/>
          <w:sz w:val="20"/>
          <w:szCs w:val="20"/>
          <w:lang w:val="en-GB" w:eastAsia="en-US"/>
        </w:rPr>
      </w:pPr>
    </w:p>
    <w:p w14:paraId="66AE4A0A" w14:textId="38D09858" w:rsidR="002C0444" w:rsidRPr="002C0444" w:rsidRDefault="002C0444" w:rsidP="002C0444">
      <w:pPr>
        <w:spacing w:before="0" w:after="0"/>
        <w:rPr>
          <w:rFonts w:eastAsia="Calibri" w:cs="Calibri"/>
          <w:b/>
          <w:szCs w:val="22"/>
          <w:lang w:val="en-GB" w:eastAsia="en-US"/>
        </w:rPr>
      </w:pPr>
      <w:bookmarkStart w:id="380" w:name="_Toc83643220"/>
      <w:r w:rsidRPr="002C0444">
        <w:rPr>
          <w:rFonts w:eastAsia="Calibri" w:cs="Calibri"/>
          <w:b/>
          <w:sz w:val="20"/>
          <w:szCs w:val="20"/>
          <w:lang w:val="en-GB" w:eastAsia="en-US"/>
        </w:rPr>
        <w:t>T</w:t>
      </w:r>
      <w:r w:rsidRPr="002C0444">
        <w:rPr>
          <w:rFonts w:eastAsia="Calibri" w:cs="Calibri"/>
          <w:b/>
          <w:szCs w:val="22"/>
          <w:lang w:val="en-GB" w:eastAsia="en-US"/>
        </w:rPr>
        <w:t xml:space="preserve">abela </w:t>
      </w:r>
      <w:r w:rsidRPr="002C0444">
        <w:rPr>
          <w:rFonts w:eastAsia="Calibri"/>
          <w:szCs w:val="22"/>
          <w:lang w:val="sr-Latn-ME" w:eastAsia="en-US"/>
        </w:rPr>
        <w:fldChar w:fldCharType="begin"/>
      </w:r>
      <w:r w:rsidRPr="002C0444">
        <w:rPr>
          <w:rFonts w:eastAsia="Calibri" w:cs="Calibri"/>
          <w:b/>
          <w:szCs w:val="22"/>
          <w:lang w:val="sr-Latn-ME" w:eastAsia="en-US"/>
        </w:rPr>
        <w:instrText xml:space="preserve"> STYLEREF 1 \s </w:instrText>
      </w:r>
      <w:r w:rsidRPr="002C0444">
        <w:rPr>
          <w:rFonts w:eastAsia="Calibri"/>
          <w:szCs w:val="22"/>
          <w:lang w:val="sr-Latn-ME" w:eastAsia="en-US"/>
        </w:rPr>
        <w:fldChar w:fldCharType="separate"/>
      </w:r>
      <w:r w:rsidR="000D1E20">
        <w:rPr>
          <w:rFonts w:eastAsia="Calibri" w:cs="Calibri"/>
          <w:b/>
          <w:noProof/>
          <w:szCs w:val="22"/>
          <w:lang w:val="sr-Latn-ME" w:eastAsia="en-US"/>
        </w:rPr>
        <w:t>3</w:t>
      </w:r>
      <w:r w:rsidRPr="002C0444">
        <w:rPr>
          <w:rFonts w:eastAsia="Calibri"/>
          <w:szCs w:val="22"/>
          <w:lang w:val="sr-Latn-ME" w:eastAsia="en-US"/>
        </w:rPr>
        <w:fldChar w:fldCharType="end"/>
      </w:r>
      <w:r w:rsidRPr="002C0444">
        <w:rPr>
          <w:rFonts w:eastAsia="Calibri" w:cs="Calibri"/>
          <w:b/>
          <w:szCs w:val="22"/>
          <w:lang w:val="sr-Latn-ME" w:eastAsia="en-US"/>
        </w:rPr>
        <w:t>.</w:t>
      </w:r>
      <w:r w:rsidRPr="002C0444">
        <w:rPr>
          <w:rFonts w:eastAsia="Calibri"/>
          <w:szCs w:val="22"/>
          <w:lang w:val="sr-Latn-ME" w:eastAsia="en-US"/>
        </w:rPr>
        <w:fldChar w:fldCharType="begin"/>
      </w:r>
      <w:r w:rsidRPr="002C0444">
        <w:rPr>
          <w:rFonts w:eastAsia="Calibri" w:cs="Calibri"/>
          <w:b/>
          <w:szCs w:val="22"/>
          <w:lang w:val="sr-Latn-ME" w:eastAsia="en-US"/>
        </w:rPr>
        <w:instrText xml:space="preserve"> SEQ Table \* ARABIC \s 1 </w:instrText>
      </w:r>
      <w:r w:rsidRPr="002C0444">
        <w:rPr>
          <w:rFonts w:eastAsia="Calibri"/>
          <w:szCs w:val="22"/>
          <w:lang w:val="sr-Latn-ME" w:eastAsia="en-US"/>
        </w:rPr>
        <w:fldChar w:fldCharType="separate"/>
      </w:r>
      <w:r w:rsidR="000D1E20">
        <w:rPr>
          <w:rFonts w:eastAsia="Calibri" w:cs="Calibri"/>
          <w:b/>
          <w:noProof/>
          <w:szCs w:val="22"/>
          <w:lang w:val="sr-Latn-ME" w:eastAsia="en-US"/>
        </w:rPr>
        <w:t>24</w:t>
      </w:r>
      <w:r w:rsidRPr="002C0444">
        <w:rPr>
          <w:rFonts w:eastAsia="Calibri"/>
          <w:szCs w:val="22"/>
          <w:lang w:val="sr-Latn-ME" w:eastAsia="en-US"/>
        </w:rPr>
        <w:fldChar w:fldCharType="end"/>
      </w:r>
      <w:r w:rsidRPr="002C0444">
        <w:rPr>
          <w:rFonts w:eastAsia="Calibri" w:cs="Calibri"/>
          <w:b/>
          <w:szCs w:val="22"/>
          <w:lang w:val="sr-Latn-ME" w:eastAsia="en-US"/>
        </w:rPr>
        <w:t>.</w:t>
      </w:r>
      <w:r w:rsidRPr="002C0444">
        <w:rPr>
          <w:rFonts w:eastAsia="Calibri" w:cs="Calibri"/>
          <w:b/>
          <w:szCs w:val="22"/>
          <w:lang w:val="en-GB" w:eastAsia="en-US"/>
        </w:rPr>
        <w:t xml:space="preserve"> Ekološki status računat po CARLIT metodi </w:t>
      </w:r>
      <w:r w:rsidRPr="002C0444">
        <w:rPr>
          <w:rFonts w:eastAsia="Calibri" w:cs="Calibri"/>
          <w:i/>
          <w:sz w:val="20"/>
          <w:szCs w:val="20"/>
          <w:lang w:val="en-GB" w:eastAsia="en-US"/>
        </w:rPr>
        <w:t>(izvor podataka</w:t>
      </w:r>
      <w:r w:rsidRPr="002C0444">
        <w:rPr>
          <w:rFonts w:eastAsia="Calibri" w:cs="Calibri"/>
          <w:b/>
          <w:szCs w:val="22"/>
          <w:lang w:val="en-GB" w:eastAsia="en-US"/>
        </w:rPr>
        <w:t xml:space="preserve"> </w:t>
      </w:r>
      <w:r w:rsidRPr="002C0444">
        <w:rPr>
          <w:rFonts w:eastAsia="Calibri" w:cs="Calibri"/>
          <w:i/>
          <w:sz w:val="20"/>
          <w:szCs w:val="20"/>
          <w:lang w:val="en-GB" w:eastAsia="en-US"/>
        </w:rPr>
        <w:t>EPA: 2018, 2019, 2020, IPA: 2020)</w:t>
      </w:r>
      <w:bookmarkEnd w:id="380"/>
    </w:p>
    <w:tbl>
      <w:tblPr>
        <w:tblStyle w:val="TableGrid"/>
        <w:tblW w:w="0" w:type="auto"/>
        <w:jc w:val="center"/>
        <w:tblLook w:val="04A0" w:firstRow="1" w:lastRow="0" w:firstColumn="1" w:lastColumn="0" w:noHBand="0" w:noVBand="1"/>
      </w:tblPr>
      <w:tblGrid>
        <w:gridCol w:w="2122"/>
        <w:gridCol w:w="2126"/>
        <w:gridCol w:w="2126"/>
        <w:gridCol w:w="2126"/>
      </w:tblGrid>
      <w:tr w:rsidR="002C0444" w:rsidRPr="002C0444" w14:paraId="7CBFB1D9" w14:textId="77777777" w:rsidTr="005827C2">
        <w:trPr>
          <w:jc w:val="center"/>
        </w:trPr>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475B5DDD" w14:textId="77777777" w:rsidR="002C0444" w:rsidRPr="005827C2" w:rsidRDefault="002C0444" w:rsidP="002C0444">
            <w:pPr>
              <w:spacing w:before="0" w:after="0" w:line="360" w:lineRule="auto"/>
              <w:rPr>
                <w:rFonts w:cs="Calibri"/>
                <w:color w:val="FFFFFF" w:themeColor="background1"/>
                <w:sz w:val="20"/>
                <w:szCs w:val="20"/>
                <w:lang w:eastAsia="en-US"/>
              </w:rPr>
            </w:pPr>
            <w:r w:rsidRPr="005827C2">
              <w:rPr>
                <w:rFonts w:cs="Calibri"/>
                <w:color w:val="FFFFFF" w:themeColor="background1"/>
                <w:sz w:val="20"/>
                <w:szCs w:val="20"/>
                <w:lang w:eastAsia="en-US"/>
              </w:rPr>
              <w:t>oblast</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172CC745" w14:textId="77777777" w:rsidR="002C0444" w:rsidRPr="005827C2" w:rsidRDefault="002C0444" w:rsidP="002C0444">
            <w:pPr>
              <w:spacing w:before="0" w:after="0" w:line="360" w:lineRule="auto"/>
              <w:rPr>
                <w:rFonts w:cs="Calibri"/>
                <w:color w:val="FFFFFF" w:themeColor="background1"/>
                <w:sz w:val="20"/>
                <w:szCs w:val="20"/>
                <w:lang w:eastAsia="en-US"/>
              </w:rPr>
            </w:pPr>
            <w:r w:rsidRPr="005827C2">
              <w:rPr>
                <w:rFonts w:cs="Calibri"/>
                <w:color w:val="FFFFFF" w:themeColor="background1"/>
                <w:sz w:val="20"/>
                <w:szCs w:val="20"/>
                <w:lang w:eastAsia="en-US"/>
              </w:rPr>
              <w:t>Ekološko stanje 2018</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2BE56FB2" w14:textId="77777777" w:rsidR="002C0444" w:rsidRPr="005827C2" w:rsidRDefault="002C0444" w:rsidP="002C0444">
            <w:pPr>
              <w:spacing w:before="0" w:after="0" w:line="360" w:lineRule="auto"/>
              <w:rPr>
                <w:rFonts w:cs="Calibri"/>
                <w:color w:val="FFFFFF" w:themeColor="background1"/>
                <w:sz w:val="20"/>
                <w:szCs w:val="20"/>
                <w:lang w:eastAsia="en-US"/>
              </w:rPr>
            </w:pPr>
            <w:r w:rsidRPr="005827C2">
              <w:rPr>
                <w:rFonts w:cs="Calibri"/>
                <w:color w:val="FFFFFF" w:themeColor="background1"/>
                <w:sz w:val="20"/>
                <w:szCs w:val="20"/>
                <w:lang w:eastAsia="en-US"/>
              </w:rPr>
              <w:t>Ekološko stanje 2019</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1BFABA09" w14:textId="77777777" w:rsidR="002C0444" w:rsidRPr="005827C2" w:rsidRDefault="002C0444" w:rsidP="002C0444">
            <w:pPr>
              <w:spacing w:before="0" w:after="0" w:line="360" w:lineRule="auto"/>
              <w:rPr>
                <w:rFonts w:cs="Calibri"/>
                <w:color w:val="FFFFFF" w:themeColor="background1"/>
                <w:sz w:val="20"/>
                <w:szCs w:val="20"/>
                <w:lang w:eastAsia="en-US"/>
              </w:rPr>
            </w:pPr>
            <w:r w:rsidRPr="005827C2">
              <w:rPr>
                <w:rFonts w:cs="Calibri"/>
                <w:color w:val="FFFFFF" w:themeColor="background1"/>
                <w:sz w:val="20"/>
                <w:szCs w:val="20"/>
                <w:lang w:eastAsia="en-US"/>
              </w:rPr>
              <w:t>Ekološko stanje 2020</w:t>
            </w:r>
          </w:p>
        </w:tc>
      </w:tr>
      <w:tr w:rsidR="002C0444" w:rsidRPr="002C0444" w14:paraId="1951252D" w14:textId="77777777" w:rsidTr="005827C2">
        <w:trPr>
          <w:jc w:val="center"/>
        </w:trPr>
        <w:tc>
          <w:tcPr>
            <w:tcW w:w="2122" w:type="dxa"/>
            <w:tcBorders>
              <w:top w:val="single" w:sz="4" w:space="0" w:color="FFFFFF" w:themeColor="background1"/>
              <w:left w:val="single" w:sz="4" w:space="0" w:color="auto"/>
              <w:bottom w:val="single" w:sz="4" w:space="0" w:color="auto"/>
              <w:right w:val="single" w:sz="4" w:space="0" w:color="auto"/>
            </w:tcBorders>
            <w:hideMark/>
          </w:tcPr>
          <w:p w14:paraId="6116D614"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Stari Ulcinj</w:t>
            </w:r>
          </w:p>
        </w:tc>
        <w:tc>
          <w:tcPr>
            <w:tcW w:w="2126" w:type="dxa"/>
            <w:tcBorders>
              <w:top w:val="single" w:sz="4" w:space="0" w:color="FFFFFF" w:themeColor="background1"/>
              <w:left w:val="single" w:sz="4" w:space="0" w:color="auto"/>
              <w:bottom w:val="single" w:sz="4" w:space="0" w:color="auto"/>
              <w:right w:val="single" w:sz="4" w:space="0" w:color="auto"/>
            </w:tcBorders>
            <w:hideMark/>
          </w:tcPr>
          <w:p w14:paraId="441FAE08"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0,63 (veoma dobro)</w:t>
            </w:r>
          </w:p>
        </w:tc>
        <w:tc>
          <w:tcPr>
            <w:tcW w:w="2126" w:type="dxa"/>
            <w:tcBorders>
              <w:top w:val="single" w:sz="4" w:space="0" w:color="FFFFFF" w:themeColor="background1"/>
              <w:left w:val="single" w:sz="4" w:space="0" w:color="auto"/>
              <w:bottom w:val="single" w:sz="4" w:space="0" w:color="auto"/>
              <w:right w:val="single" w:sz="4" w:space="0" w:color="auto"/>
            </w:tcBorders>
            <w:hideMark/>
          </w:tcPr>
          <w:p w14:paraId="0E6450E9"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0,61 (dobro)</w:t>
            </w:r>
          </w:p>
        </w:tc>
        <w:tc>
          <w:tcPr>
            <w:tcW w:w="2126" w:type="dxa"/>
            <w:tcBorders>
              <w:top w:val="single" w:sz="4" w:space="0" w:color="FFFFFF" w:themeColor="background1"/>
              <w:left w:val="single" w:sz="4" w:space="0" w:color="auto"/>
              <w:bottom w:val="single" w:sz="4" w:space="0" w:color="auto"/>
              <w:right w:val="single" w:sz="4" w:space="0" w:color="auto"/>
            </w:tcBorders>
            <w:hideMark/>
          </w:tcPr>
          <w:p w14:paraId="3980B29E"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0,75-0,86 (veoma dobro)</w:t>
            </w:r>
          </w:p>
        </w:tc>
      </w:tr>
      <w:tr w:rsidR="002C0444" w:rsidRPr="002C0444" w14:paraId="59D5428A" w14:textId="77777777" w:rsidTr="002C0444">
        <w:trPr>
          <w:jc w:val="center"/>
        </w:trPr>
        <w:tc>
          <w:tcPr>
            <w:tcW w:w="2122" w:type="dxa"/>
            <w:tcBorders>
              <w:top w:val="single" w:sz="4" w:space="0" w:color="auto"/>
              <w:left w:val="single" w:sz="4" w:space="0" w:color="auto"/>
              <w:bottom w:val="single" w:sz="4" w:space="0" w:color="auto"/>
              <w:right w:val="single" w:sz="4" w:space="0" w:color="auto"/>
            </w:tcBorders>
            <w:hideMark/>
          </w:tcPr>
          <w:p w14:paraId="590BF7A7"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Petrovac</w:t>
            </w:r>
          </w:p>
        </w:tc>
        <w:tc>
          <w:tcPr>
            <w:tcW w:w="2126" w:type="dxa"/>
            <w:tcBorders>
              <w:top w:val="single" w:sz="4" w:space="0" w:color="auto"/>
              <w:left w:val="single" w:sz="4" w:space="0" w:color="auto"/>
              <w:bottom w:val="single" w:sz="4" w:space="0" w:color="auto"/>
              <w:right w:val="single" w:sz="4" w:space="0" w:color="auto"/>
            </w:tcBorders>
            <w:hideMark/>
          </w:tcPr>
          <w:p w14:paraId="3B28A65F"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0,23 (slabo)</w:t>
            </w:r>
          </w:p>
        </w:tc>
        <w:tc>
          <w:tcPr>
            <w:tcW w:w="2126" w:type="dxa"/>
            <w:tcBorders>
              <w:top w:val="single" w:sz="4" w:space="0" w:color="auto"/>
              <w:left w:val="single" w:sz="4" w:space="0" w:color="auto"/>
              <w:bottom w:val="single" w:sz="4" w:space="0" w:color="auto"/>
              <w:right w:val="single" w:sz="4" w:space="0" w:color="auto"/>
            </w:tcBorders>
            <w:hideMark/>
          </w:tcPr>
          <w:p w14:paraId="21836926"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0,37 (slabo)</w:t>
            </w:r>
          </w:p>
        </w:tc>
        <w:tc>
          <w:tcPr>
            <w:tcW w:w="2126" w:type="dxa"/>
            <w:tcBorders>
              <w:top w:val="single" w:sz="4" w:space="0" w:color="auto"/>
              <w:left w:val="single" w:sz="4" w:space="0" w:color="auto"/>
              <w:bottom w:val="single" w:sz="4" w:space="0" w:color="auto"/>
              <w:right w:val="single" w:sz="4" w:space="0" w:color="auto"/>
            </w:tcBorders>
            <w:hideMark/>
          </w:tcPr>
          <w:p w14:paraId="49659A17"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0,36 (slabo)</w:t>
            </w:r>
          </w:p>
        </w:tc>
      </w:tr>
      <w:tr w:rsidR="002C0444" w:rsidRPr="002C0444" w14:paraId="009A69DF" w14:textId="77777777" w:rsidTr="002C0444">
        <w:trPr>
          <w:jc w:val="center"/>
        </w:trPr>
        <w:tc>
          <w:tcPr>
            <w:tcW w:w="2122" w:type="dxa"/>
            <w:tcBorders>
              <w:top w:val="single" w:sz="4" w:space="0" w:color="auto"/>
              <w:left w:val="single" w:sz="4" w:space="0" w:color="auto"/>
              <w:bottom w:val="single" w:sz="4" w:space="0" w:color="auto"/>
              <w:right w:val="single" w:sz="4" w:space="0" w:color="auto"/>
            </w:tcBorders>
            <w:hideMark/>
          </w:tcPr>
          <w:p w14:paraId="65668E55"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Luštica</w:t>
            </w:r>
          </w:p>
        </w:tc>
        <w:tc>
          <w:tcPr>
            <w:tcW w:w="2126" w:type="dxa"/>
            <w:tcBorders>
              <w:top w:val="single" w:sz="4" w:space="0" w:color="auto"/>
              <w:left w:val="single" w:sz="4" w:space="0" w:color="auto"/>
              <w:bottom w:val="single" w:sz="4" w:space="0" w:color="auto"/>
              <w:right w:val="single" w:sz="4" w:space="0" w:color="auto"/>
            </w:tcBorders>
            <w:hideMark/>
          </w:tcPr>
          <w:p w14:paraId="2A6F49CB"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0,79 (veoma dobro)</w:t>
            </w:r>
          </w:p>
        </w:tc>
        <w:tc>
          <w:tcPr>
            <w:tcW w:w="2126" w:type="dxa"/>
            <w:tcBorders>
              <w:top w:val="single" w:sz="4" w:space="0" w:color="auto"/>
              <w:left w:val="single" w:sz="4" w:space="0" w:color="auto"/>
              <w:bottom w:val="single" w:sz="4" w:space="0" w:color="auto"/>
              <w:right w:val="single" w:sz="4" w:space="0" w:color="auto"/>
            </w:tcBorders>
            <w:hideMark/>
          </w:tcPr>
          <w:p w14:paraId="0A6EAE57"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0,80  (veoma dobro)</w:t>
            </w:r>
          </w:p>
        </w:tc>
        <w:tc>
          <w:tcPr>
            <w:tcW w:w="2126" w:type="dxa"/>
            <w:tcBorders>
              <w:top w:val="single" w:sz="4" w:space="0" w:color="auto"/>
              <w:left w:val="single" w:sz="4" w:space="0" w:color="auto"/>
              <w:bottom w:val="single" w:sz="4" w:space="0" w:color="auto"/>
              <w:right w:val="single" w:sz="4" w:space="0" w:color="auto"/>
            </w:tcBorders>
            <w:hideMark/>
          </w:tcPr>
          <w:p w14:paraId="5322FEEB"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0,84 (veoma dobro)</w:t>
            </w:r>
          </w:p>
        </w:tc>
      </w:tr>
      <w:tr w:rsidR="002C0444" w:rsidRPr="002C0444" w14:paraId="148AB6FA" w14:textId="77777777" w:rsidTr="002C0444">
        <w:trPr>
          <w:jc w:val="center"/>
        </w:trPr>
        <w:tc>
          <w:tcPr>
            <w:tcW w:w="2122" w:type="dxa"/>
            <w:tcBorders>
              <w:top w:val="single" w:sz="4" w:space="0" w:color="auto"/>
              <w:left w:val="single" w:sz="4" w:space="0" w:color="auto"/>
              <w:bottom w:val="single" w:sz="4" w:space="0" w:color="auto"/>
              <w:right w:val="single" w:sz="4" w:space="0" w:color="auto"/>
            </w:tcBorders>
            <w:hideMark/>
          </w:tcPr>
          <w:p w14:paraId="3EDC4416"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Herceg Novi</w:t>
            </w:r>
          </w:p>
        </w:tc>
        <w:tc>
          <w:tcPr>
            <w:tcW w:w="2126" w:type="dxa"/>
            <w:tcBorders>
              <w:top w:val="single" w:sz="4" w:space="0" w:color="auto"/>
              <w:left w:val="single" w:sz="4" w:space="0" w:color="auto"/>
              <w:bottom w:val="single" w:sz="4" w:space="0" w:color="auto"/>
              <w:right w:val="single" w:sz="4" w:space="0" w:color="auto"/>
            </w:tcBorders>
            <w:hideMark/>
          </w:tcPr>
          <w:p w14:paraId="232CE30D"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0,16 (veoma slabo)</w:t>
            </w:r>
          </w:p>
        </w:tc>
        <w:tc>
          <w:tcPr>
            <w:tcW w:w="2126" w:type="dxa"/>
            <w:tcBorders>
              <w:top w:val="single" w:sz="4" w:space="0" w:color="auto"/>
              <w:left w:val="single" w:sz="4" w:space="0" w:color="auto"/>
              <w:bottom w:val="single" w:sz="4" w:space="0" w:color="auto"/>
              <w:right w:val="single" w:sz="4" w:space="0" w:color="auto"/>
            </w:tcBorders>
            <w:hideMark/>
          </w:tcPr>
          <w:p w14:paraId="0C0F2D9C"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0,48 (srednje)</w:t>
            </w:r>
          </w:p>
        </w:tc>
        <w:tc>
          <w:tcPr>
            <w:tcW w:w="2126" w:type="dxa"/>
            <w:tcBorders>
              <w:top w:val="single" w:sz="4" w:space="0" w:color="auto"/>
              <w:left w:val="single" w:sz="4" w:space="0" w:color="auto"/>
              <w:bottom w:val="single" w:sz="4" w:space="0" w:color="auto"/>
              <w:right w:val="single" w:sz="4" w:space="0" w:color="auto"/>
            </w:tcBorders>
            <w:hideMark/>
          </w:tcPr>
          <w:p w14:paraId="3D5582E1" w14:textId="77777777" w:rsidR="002C0444" w:rsidRPr="002C0444" w:rsidRDefault="002C0444" w:rsidP="002C0444">
            <w:pPr>
              <w:spacing w:before="0" w:after="0" w:line="360" w:lineRule="auto"/>
              <w:rPr>
                <w:rFonts w:cs="Calibri"/>
                <w:sz w:val="20"/>
                <w:szCs w:val="20"/>
                <w:lang w:eastAsia="en-US"/>
              </w:rPr>
            </w:pPr>
            <w:r w:rsidRPr="002C0444">
              <w:rPr>
                <w:rFonts w:cs="Calibri"/>
                <w:sz w:val="20"/>
                <w:szCs w:val="20"/>
                <w:lang w:eastAsia="en-US"/>
              </w:rPr>
              <w:t>0,48 (srednje)</w:t>
            </w:r>
          </w:p>
        </w:tc>
      </w:tr>
    </w:tbl>
    <w:p w14:paraId="40E2E825" w14:textId="77777777" w:rsidR="002C0444" w:rsidRPr="002C0444" w:rsidRDefault="002C0444" w:rsidP="002C0444">
      <w:pPr>
        <w:spacing w:before="0" w:after="0" w:line="360" w:lineRule="auto"/>
        <w:rPr>
          <w:rFonts w:eastAsia="Calibri" w:cs="Calibri"/>
          <w:sz w:val="20"/>
          <w:szCs w:val="20"/>
          <w:lang w:val="en-GB" w:eastAsia="en-US"/>
        </w:rPr>
      </w:pPr>
    </w:p>
    <w:p w14:paraId="5BF0ADBB" w14:textId="77777777" w:rsidR="002C0444" w:rsidRPr="002633A5" w:rsidRDefault="002C0444" w:rsidP="002C0444">
      <w:pPr>
        <w:spacing w:before="0" w:after="0" w:line="360" w:lineRule="auto"/>
        <w:rPr>
          <w:rFonts w:eastAsia="Calibri" w:cs="Calibri"/>
          <w:b/>
          <w:i/>
          <w:szCs w:val="22"/>
          <w:lang w:val="en-GB" w:eastAsia="en-US"/>
        </w:rPr>
      </w:pPr>
      <w:r w:rsidRPr="002633A5">
        <w:rPr>
          <w:rFonts w:eastAsia="Calibri" w:cs="Calibri"/>
          <w:b/>
          <w:szCs w:val="22"/>
          <w:lang w:val="en-GB" w:eastAsia="en-US"/>
        </w:rPr>
        <w:t xml:space="preserve">Stanje livada posidonije – </w:t>
      </w:r>
      <w:r w:rsidRPr="002633A5">
        <w:rPr>
          <w:rFonts w:eastAsia="Calibri" w:cs="Calibri"/>
          <w:b/>
          <w:i/>
          <w:szCs w:val="22"/>
          <w:lang w:val="en-GB" w:eastAsia="en-US"/>
        </w:rPr>
        <w:t>Posidonia oceanica</w:t>
      </w:r>
    </w:p>
    <w:p w14:paraId="3B45B40E" w14:textId="77777777" w:rsidR="002C0444" w:rsidRPr="002A4FE5" w:rsidRDefault="002C0444" w:rsidP="002633A5">
      <w:pPr>
        <w:spacing w:before="0" w:after="120"/>
        <w:rPr>
          <w:rFonts w:eastAsia="Calibri" w:cs="Calibri"/>
          <w:szCs w:val="22"/>
          <w:lang w:val="sr-Latn-ME" w:eastAsia="en-US"/>
        </w:rPr>
      </w:pPr>
      <w:r w:rsidRPr="002A4FE5">
        <w:rPr>
          <w:rFonts w:eastAsia="Calibri" w:cs="Calibri"/>
          <w:szCs w:val="22"/>
          <w:lang w:val="sr-Latn-ME" w:eastAsia="en-US"/>
        </w:rPr>
        <w:t xml:space="preserve">Morska trava </w:t>
      </w:r>
      <w:r w:rsidRPr="002A4FE5">
        <w:rPr>
          <w:rFonts w:eastAsia="Calibri" w:cs="Calibri"/>
          <w:i/>
          <w:szCs w:val="22"/>
          <w:lang w:val="sr-Latn-ME" w:eastAsia="en-US"/>
        </w:rPr>
        <w:t>Posidonia oceanica</w:t>
      </w:r>
      <w:r w:rsidRPr="002A4FE5">
        <w:rPr>
          <w:rFonts w:eastAsia="Calibri" w:cs="Calibri"/>
          <w:szCs w:val="22"/>
          <w:lang w:val="sr-Latn-ME" w:eastAsia="en-US"/>
        </w:rPr>
        <w:t xml:space="preserve"> široko je rasprostranjena širom Jadrana i Sredozemnog mora i smatra se jednim od prioritetnih staništa (III.5. Infralitoralne livade </w:t>
      </w:r>
      <w:r w:rsidRPr="002A4FE5">
        <w:rPr>
          <w:rFonts w:eastAsia="Calibri" w:cs="Calibri"/>
          <w:i/>
          <w:szCs w:val="22"/>
          <w:lang w:val="sr-Latn-ME" w:eastAsia="en-US"/>
        </w:rPr>
        <w:t>Posidonia oceanica</w:t>
      </w:r>
      <w:r w:rsidRPr="002A4FE5">
        <w:rPr>
          <w:rFonts w:eastAsia="Calibri" w:cs="Calibri"/>
          <w:szCs w:val="22"/>
          <w:lang w:val="sr-Latn-ME" w:eastAsia="en-US"/>
        </w:rPr>
        <w:t xml:space="preserve"> RAC/SPA referentne liste morskih i obalnih stanišnih tipova u Mediteranu; 1120 – Livade posidonije (</w:t>
      </w:r>
      <w:r w:rsidRPr="002A4FE5">
        <w:rPr>
          <w:rFonts w:eastAsia="Calibri" w:cs="Calibri"/>
          <w:i/>
          <w:szCs w:val="22"/>
          <w:lang w:val="sr-Latn-ME" w:eastAsia="en-US"/>
        </w:rPr>
        <w:t>Posidonion oceanicae</w:t>
      </w:r>
      <w:r w:rsidRPr="002A4FE5">
        <w:rPr>
          <w:rFonts w:eastAsia="Calibri" w:cs="Calibri"/>
          <w:szCs w:val="22"/>
          <w:lang w:val="sr-Latn-ME" w:eastAsia="en-US"/>
        </w:rPr>
        <w:t xml:space="preserve">) Aneksa I Direktive o staništima 92/43 / EEZ (UNEP / MAP, 2017).  </w:t>
      </w:r>
    </w:p>
    <w:p w14:paraId="7C193DBF" w14:textId="77777777" w:rsidR="002C0444" w:rsidRPr="002A4FE5" w:rsidRDefault="002C0444" w:rsidP="002633A5">
      <w:pPr>
        <w:spacing w:before="0" w:after="120"/>
        <w:rPr>
          <w:rFonts w:eastAsia="Calibri" w:cs="Calibri"/>
          <w:szCs w:val="22"/>
          <w:lang w:val="sr-Latn-ME" w:eastAsia="en-US"/>
        </w:rPr>
      </w:pPr>
      <w:r w:rsidRPr="002A4FE5">
        <w:rPr>
          <w:rFonts w:eastAsia="Calibri" w:cs="Calibri"/>
          <w:szCs w:val="22"/>
          <w:lang w:val="sr-Latn-ME" w:eastAsia="en-US"/>
        </w:rPr>
        <w:t xml:space="preserve">Suprotno mnogim važnim karakteristikama </w:t>
      </w:r>
      <w:r w:rsidRPr="002A4FE5">
        <w:rPr>
          <w:rFonts w:eastAsia="Calibri" w:cs="Calibri"/>
          <w:b/>
          <w:szCs w:val="22"/>
          <w:lang w:val="sr-Latn-ME" w:eastAsia="en-US"/>
        </w:rPr>
        <w:t>livada posidonije</w:t>
      </w:r>
      <w:r w:rsidRPr="002A4FE5">
        <w:rPr>
          <w:rFonts w:eastAsia="Calibri" w:cs="Calibri"/>
          <w:szCs w:val="22"/>
          <w:lang w:val="sr-Latn-ME" w:eastAsia="en-US"/>
        </w:rPr>
        <w:t>, one do sada nisu dobro proučene u Crnoj Gori. Prva istraživanja sa ciljem mapiranja livada posidonije, procjene gustine livada, sezonske lepidohronologije, anatomije lišća i zagađenja teškim metalima, izvršena su za Bokokotorski zaliv (Mačić, 2001). Kasnije je izvršeno nekoliko istraživanja za mapiranje i procjenu gustine livada, posebno na otvorenom dijelu obale (Katič, Platamuni, rt Ratac, Luštica, Stari Ulcinj, itd.). Gustina livada posidonije u Bokokotorskom zalivu je manja nego na otvorenom moru, a to je u vezi sa specifičnim uslovima životne sredine i antropogenim pritiscima. Na otvorenom dijelu crnogorskog primorja livade posidonije su uglavnom u dobrom stanju, u nekim oblastima do 30 m dubine.</w:t>
      </w:r>
    </w:p>
    <w:p w14:paraId="6F62BF38" w14:textId="77777777" w:rsidR="002C0444" w:rsidRPr="002A4FE5" w:rsidRDefault="002C0444" w:rsidP="002633A5">
      <w:pPr>
        <w:spacing w:before="0" w:after="120"/>
        <w:rPr>
          <w:rFonts w:eastAsia="Calibri" w:cs="Calibri"/>
          <w:szCs w:val="22"/>
          <w:lang w:val="sr-Latn-ME" w:eastAsia="en-US"/>
        </w:rPr>
      </w:pPr>
      <w:r w:rsidRPr="002A4FE5">
        <w:rPr>
          <w:rFonts w:eastAsia="Calibri" w:cs="Calibri"/>
          <w:szCs w:val="22"/>
          <w:lang w:val="sr-Latn-ME" w:eastAsia="en-US"/>
        </w:rPr>
        <w:t xml:space="preserve">Ne postoji mogućnost procjene trendova za posidoniju, zbog nedostatka dugoročnog praćenja zasnovanog na istoj metodologiji. Imajući u vidu efikasnost POMI (Posidonia Oceanica Multivariate Index) troškova i napora, takozvana „modifikovana POMI“ metoda, koja se već primenjuje u Hrvatskoj (Guala i sar., 2014), testira se i delimično primenjuje u Crnoj Gori. Prvi rezultati na lokacijama - rt Crni, Buljarica, Đeran, Luštica i Trašte ukazuju na dobar status, ali potrebno je više podataka za potpunu procjenu stanja.  </w:t>
      </w:r>
    </w:p>
    <w:p w14:paraId="3A4ECAD8" w14:textId="77777777" w:rsidR="002C0444" w:rsidRPr="002A4FE5" w:rsidRDefault="002C0444" w:rsidP="002633A5">
      <w:pPr>
        <w:spacing w:before="0" w:after="120"/>
        <w:rPr>
          <w:rFonts w:eastAsia="Calibri" w:cs="Calibri"/>
          <w:szCs w:val="22"/>
          <w:lang w:val="sr-Latn-ME" w:eastAsia="en-US"/>
        </w:rPr>
      </w:pPr>
      <w:r w:rsidRPr="002A4FE5">
        <w:rPr>
          <w:rFonts w:eastAsia="Calibri" w:cs="Calibri"/>
          <w:szCs w:val="22"/>
          <w:lang w:val="sr-Latn-ME" w:eastAsia="en-US"/>
        </w:rPr>
        <w:t>Podaci zasnovani na gustini i donjim granicama livade na većem broju lokacija ukazuju na srednje i loše stanje, dok indeks očuvanja pokazuje vrlo dobro stanje (Guala i sar., 2017, EPA 2018, 2019, GEF Adriatic 2019, IPA 2020 ). Ovakve razlike nastaju usled različitih uslova životne sredine za područja za koja su napravljene klasifikacione kategorije (UNEP-RAC/SPA, 2011) i uslova koji preovladavaju na lokacijama istraživanja na crnogorskom primorju, odnosno u Jadranskom moru.</w:t>
      </w:r>
    </w:p>
    <w:p w14:paraId="7BC891EA" w14:textId="77777777" w:rsidR="002C0444" w:rsidRPr="002A4FE5" w:rsidRDefault="002C0444" w:rsidP="002633A5">
      <w:pPr>
        <w:spacing w:before="0" w:after="120"/>
        <w:rPr>
          <w:rFonts w:eastAsia="Calibri" w:cs="Calibri"/>
          <w:szCs w:val="22"/>
          <w:lang w:val="sr-Latn-ME" w:eastAsia="en-US"/>
        </w:rPr>
      </w:pPr>
      <w:r w:rsidRPr="002A4FE5">
        <w:rPr>
          <w:rFonts w:eastAsia="Calibri" w:cs="Calibri"/>
          <w:szCs w:val="22"/>
          <w:lang w:val="sr-Latn-ME" w:eastAsia="en-US"/>
        </w:rPr>
        <w:t xml:space="preserve">Niže vrijednosti gustine livada od očekivanih prema UNEP-RAC/SPA klasifikaciji (2011) najvjerovatnije su rezultat lokalnih ekoloških uslova, a ne antropogene aktivnosti. To je takođe vidljivo iz podataka indeksa očuvanja koji pokazuju da nema ili je minimalna smrtnost pojedinih biljaka posidonije. Zbog toga nije optimalno primenjivati kategorije tabela gustine koje pruža UNEP-RAC/SPA (2011) za procjenu stanja livade, a na takvim lokalitetima je potrebno uzeti izmjerene podatke kao osnovnu liniju i nadgledati moguće promjene u budućnosti. Neke od dobijenih vrijednosti srednjih gustina livada posidonije prikazane su u tabeli 3.24. </w:t>
      </w:r>
    </w:p>
    <w:p w14:paraId="5892A8DB" w14:textId="77777777" w:rsidR="002C0444" w:rsidRPr="002A4FE5" w:rsidRDefault="002C0444" w:rsidP="002C0444">
      <w:pPr>
        <w:spacing w:before="0" w:after="0"/>
        <w:ind w:firstLine="397"/>
        <w:rPr>
          <w:rFonts w:eastAsia="Calibri" w:cs="Calibri"/>
          <w:szCs w:val="22"/>
          <w:lang w:val="sr-Latn-ME" w:eastAsia="en-US"/>
        </w:rPr>
      </w:pPr>
    </w:p>
    <w:p w14:paraId="46F9A5E0" w14:textId="3EC3E1C3" w:rsidR="00BD6E8A" w:rsidRPr="00AA6D51" w:rsidRDefault="002C0444" w:rsidP="002C0444">
      <w:pPr>
        <w:spacing w:before="0" w:after="0"/>
        <w:rPr>
          <w:rFonts w:eastAsia="Calibri" w:cs="Calibri"/>
          <w:szCs w:val="22"/>
          <w:lang w:val="sr-Latn-ME" w:eastAsia="en-US"/>
        </w:rPr>
      </w:pPr>
      <w:r w:rsidRPr="002A4FE5">
        <w:rPr>
          <w:rFonts w:eastAsia="Calibri" w:cs="Calibri"/>
          <w:b/>
          <w:szCs w:val="22"/>
          <w:lang w:val="sr-Latn-ME" w:eastAsia="en-US"/>
        </w:rPr>
        <w:t>Tabela 3.24. Gustine livada posidonije izmjerene tokom različitih studija</w:t>
      </w:r>
      <w:r w:rsidRPr="002A4FE5">
        <w:rPr>
          <w:rFonts w:eastAsia="Calibri" w:cs="Calibri"/>
          <w:szCs w:val="22"/>
          <w:lang w:val="sr-Latn-ME" w:eastAsia="en-US"/>
        </w:rPr>
        <w:t xml:space="preserve"> (EPA: 2018, 2019, 2020, GEF Adriatic 2019, NVO Green Home 2020, IPA 2020)</w:t>
      </w:r>
    </w:p>
    <w:tbl>
      <w:tblPr>
        <w:tblStyle w:val="GridTable4-Accent54"/>
        <w:tblW w:w="7508" w:type="dxa"/>
        <w:jc w:val="center"/>
        <w:tblLayout w:type="fixed"/>
        <w:tblLook w:val="04A0" w:firstRow="1" w:lastRow="0" w:firstColumn="1" w:lastColumn="0" w:noHBand="0" w:noVBand="1"/>
      </w:tblPr>
      <w:tblGrid>
        <w:gridCol w:w="2263"/>
        <w:gridCol w:w="1748"/>
        <w:gridCol w:w="1748"/>
        <w:gridCol w:w="1749"/>
      </w:tblGrid>
      <w:tr w:rsidR="00BD6E8A" w:rsidRPr="00BD6E8A" w14:paraId="245A21D6" w14:textId="77777777" w:rsidTr="002633A5">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1F497D" w:themeFill="text2"/>
            <w:noWrap/>
            <w:hideMark/>
          </w:tcPr>
          <w:p w14:paraId="53A82405" w14:textId="77777777" w:rsidR="00BD6E8A" w:rsidRPr="005827C2" w:rsidRDefault="00BD6E8A" w:rsidP="00BD6E8A">
            <w:pPr>
              <w:spacing w:before="0" w:after="0" w:line="240" w:lineRule="auto"/>
              <w:rPr>
                <w:rFonts w:cs="Calibri"/>
                <w:color w:val="FFFFFF" w:themeColor="background1"/>
                <w:lang w:eastAsia="sr-Latn-ME"/>
              </w:rPr>
            </w:pPr>
            <w:r w:rsidRPr="005827C2">
              <w:rPr>
                <w:rFonts w:cs="Calibri"/>
                <w:color w:val="FFFFFF" w:themeColor="background1"/>
                <w:lang w:eastAsia="sr-Latn-ME"/>
              </w:rPr>
              <w:t>lokacija</w:t>
            </w:r>
          </w:p>
        </w:tc>
        <w:tc>
          <w:tcPr>
            <w:tcW w:w="1748" w:type="dxa"/>
            <w:shd w:val="clear" w:color="auto" w:fill="1F497D" w:themeFill="text2"/>
            <w:noWrap/>
            <w:hideMark/>
          </w:tcPr>
          <w:p w14:paraId="747AC029" w14:textId="77777777" w:rsidR="00BD6E8A" w:rsidRPr="005827C2" w:rsidRDefault="00BD6E8A" w:rsidP="00BD6E8A">
            <w:pPr>
              <w:spacing w:before="0" w:after="0" w:line="240" w:lineRule="auto"/>
              <w:ind w:firstLine="34"/>
              <w:jc w:val="center"/>
              <w:cnfStyle w:val="100000000000" w:firstRow="1" w:lastRow="0" w:firstColumn="0" w:lastColumn="0" w:oddVBand="0" w:evenVBand="0" w:oddHBand="0" w:evenHBand="0" w:firstRowFirstColumn="0" w:firstRowLastColumn="0" w:lastRowFirstColumn="0" w:lastRowLastColumn="0"/>
              <w:rPr>
                <w:rFonts w:cs="Calibri"/>
                <w:color w:val="FFFFFF" w:themeColor="background1"/>
                <w:lang w:eastAsia="sr-Latn-ME"/>
              </w:rPr>
            </w:pPr>
            <w:r w:rsidRPr="005827C2">
              <w:rPr>
                <w:rFonts w:cs="Calibri"/>
                <w:color w:val="FFFFFF" w:themeColor="background1"/>
                <w:lang w:eastAsia="sr-Latn-ME"/>
              </w:rPr>
              <w:t>donji limit</w:t>
            </w:r>
          </w:p>
        </w:tc>
        <w:tc>
          <w:tcPr>
            <w:tcW w:w="1748" w:type="dxa"/>
            <w:shd w:val="clear" w:color="auto" w:fill="1F497D" w:themeFill="text2"/>
            <w:noWrap/>
            <w:hideMark/>
          </w:tcPr>
          <w:p w14:paraId="242AD7C3" w14:textId="77777777" w:rsidR="00BD6E8A" w:rsidRPr="005827C2" w:rsidRDefault="00BD6E8A" w:rsidP="005827C2">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Calibri"/>
                <w:color w:val="FFFFFF" w:themeColor="background1"/>
                <w:lang w:eastAsia="sr-Latn-ME"/>
              </w:rPr>
            </w:pPr>
            <w:r w:rsidRPr="005827C2">
              <w:rPr>
                <w:rFonts w:cs="Calibri"/>
                <w:color w:val="FFFFFF" w:themeColor="background1"/>
                <w:lang w:eastAsia="sr-Latn-ME"/>
              </w:rPr>
              <w:t>sredina (15m)</w:t>
            </w:r>
          </w:p>
        </w:tc>
        <w:tc>
          <w:tcPr>
            <w:tcW w:w="1749" w:type="dxa"/>
            <w:shd w:val="clear" w:color="auto" w:fill="1F497D" w:themeFill="text2"/>
            <w:noWrap/>
            <w:hideMark/>
          </w:tcPr>
          <w:p w14:paraId="55EAFA3F" w14:textId="77777777" w:rsidR="00BD6E8A" w:rsidRDefault="00BD6E8A" w:rsidP="00BD6E8A">
            <w:pPr>
              <w:spacing w:before="0" w:after="0" w:line="240" w:lineRule="auto"/>
              <w:ind w:firstLine="82"/>
              <w:jc w:val="center"/>
              <w:cnfStyle w:val="100000000000" w:firstRow="1" w:lastRow="0" w:firstColumn="0" w:lastColumn="0" w:oddVBand="0" w:evenVBand="0" w:oddHBand="0" w:evenHBand="0" w:firstRowFirstColumn="0" w:firstRowLastColumn="0" w:lastRowFirstColumn="0" w:lastRowLastColumn="0"/>
              <w:rPr>
                <w:rFonts w:cs="Calibri"/>
                <w:b w:val="0"/>
                <w:bCs w:val="0"/>
                <w:color w:val="FFFFFF" w:themeColor="background1"/>
                <w:lang w:eastAsia="sr-Latn-ME"/>
              </w:rPr>
            </w:pPr>
            <w:r w:rsidRPr="005827C2">
              <w:rPr>
                <w:rFonts w:cs="Calibri"/>
                <w:color w:val="FFFFFF" w:themeColor="background1"/>
                <w:lang w:eastAsia="sr-Latn-ME"/>
              </w:rPr>
              <w:t>gornji limit</w:t>
            </w:r>
          </w:p>
          <w:p w14:paraId="1AA418DA" w14:textId="6F20BC76" w:rsidR="005827C2" w:rsidRPr="005827C2" w:rsidRDefault="005827C2" w:rsidP="00BD6E8A">
            <w:pPr>
              <w:spacing w:before="0" w:after="0" w:line="240" w:lineRule="auto"/>
              <w:ind w:firstLine="82"/>
              <w:jc w:val="center"/>
              <w:cnfStyle w:val="100000000000" w:firstRow="1" w:lastRow="0" w:firstColumn="0" w:lastColumn="0" w:oddVBand="0" w:evenVBand="0" w:oddHBand="0" w:evenHBand="0" w:firstRowFirstColumn="0" w:firstRowLastColumn="0" w:lastRowFirstColumn="0" w:lastRowLastColumn="0"/>
              <w:rPr>
                <w:rFonts w:cs="Calibri"/>
                <w:color w:val="FFFFFF" w:themeColor="background1"/>
                <w:lang w:eastAsia="sr-Latn-ME"/>
              </w:rPr>
            </w:pPr>
          </w:p>
        </w:tc>
      </w:tr>
      <w:tr w:rsidR="00BD6E8A" w:rsidRPr="00BD6E8A" w14:paraId="65D6334C" w14:textId="77777777" w:rsidTr="00BD6E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0D0E2E3"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hrid Đeran</w:t>
            </w:r>
          </w:p>
        </w:tc>
        <w:tc>
          <w:tcPr>
            <w:tcW w:w="1748" w:type="dxa"/>
            <w:noWrap/>
            <w:hideMark/>
          </w:tcPr>
          <w:p w14:paraId="589CF7A1"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p>
        </w:tc>
        <w:tc>
          <w:tcPr>
            <w:tcW w:w="1748" w:type="dxa"/>
            <w:noWrap/>
            <w:hideMark/>
          </w:tcPr>
          <w:p w14:paraId="18D4BB2D"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202</w:t>
            </w:r>
          </w:p>
        </w:tc>
        <w:tc>
          <w:tcPr>
            <w:tcW w:w="1749" w:type="dxa"/>
            <w:noWrap/>
            <w:hideMark/>
          </w:tcPr>
          <w:p w14:paraId="341D5F1A"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280</w:t>
            </w:r>
          </w:p>
        </w:tc>
      </w:tr>
      <w:tr w:rsidR="00BD6E8A" w:rsidRPr="00BD6E8A" w14:paraId="041EA94D" w14:textId="77777777" w:rsidTr="002B5096">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57AD60E"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Crni rt</w:t>
            </w:r>
          </w:p>
        </w:tc>
        <w:tc>
          <w:tcPr>
            <w:tcW w:w="1748" w:type="dxa"/>
            <w:noWrap/>
            <w:hideMark/>
          </w:tcPr>
          <w:p w14:paraId="3472C30F"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161-200</w:t>
            </w:r>
          </w:p>
        </w:tc>
        <w:tc>
          <w:tcPr>
            <w:tcW w:w="1748" w:type="dxa"/>
            <w:noWrap/>
            <w:hideMark/>
          </w:tcPr>
          <w:p w14:paraId="31B1E679"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217-396</w:t>
            </w:r>
          </w:p>
        </w:tc>
        <w:tc>
          <w:tcPr>
            <w:tcW w:w="1749" w:type="dxa"/>
            <w:noWrap/>
            <w:hideMark/>
          </w:tcPr>
          <w:p w14:paraId="10E38980"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253-391</w:t>
            </w:r>
          </w:p>
        </w:tc>
      </w:tr>
      <w:tr w:rsidR="00BD6E8A" w:rsidRPr="00BD6E8A" w14:paraId="6CAA3C8C" w14:textId="77777777" w:rsidTr="00BD6E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751B27C"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Buljarica</w:t>
            </w:r>
          </w:p>
        </w:tc>
        <w:tc>
          <w:tcPr>
            <w:tcW w:w="1748" w:type="dxa"/>
            <w:noWrap/>
            <w:hideMark/>
          </w:tcPr>
          <w:p w14:paraId="04390BC7"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125</w:t>
            </w:r>
          </w:p>
        </w:tc>
        <w:tc>
          <w:tcPr>
            <w:tcW w:w="1748" w:type="dxa"/>
            <w:noWrap/>
            <w:hideMark/>
          </w:tcPr>
          <w:p w14:paraId="1B8584C5"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282</w:t>
            </w:r>
          </w:p>
        </w:tc>
        <w:tc>
          <w:tcPr>
            <w:tcW w:w="1749" w:type="dxa"/>
            <w:noWrap/>
            <w:hideMark/>
          </w:tcPr>
          <w:p w14:paraId="6C434B3C"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414</w:t>
            </w:r>
          </w:p>
        </w:tc>
      </w:tr>
      <w:tr w:rsidR="00BD6E8A" w:rsidRPr="00BD6E8A" w14:paraId="494A0423" w14:textId="77777777" w:rsidTr="002B5096">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9E1BB85"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U Perazića</w:t>
            </w:r>
          </w:p>
        </w:tc>
        <w:tc>
          <w:tcPr>
            <w:tcW w:w="1748" w:type="dxa"/>
            <w:noWrap/>
            <w:hideMark/>
          </w:tcPr>
          <w:p w14:paraId="43E3D67A"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231</w:t>
            </w:r>
          </w:p>
        </w:tc>
        <w:tc>
          <w:tcPr>
            <w:tcW w:w="1748" w:type="dxa"/>
            <w:noWrap/>
            <w:hideMark/>
          </w:tcPr>
          <w:p w14:paraId="16A7D526"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381</w:t>
            </w:r>
          </w:p>
        </w:tc>
        <w:tc>
          <w:tcPr>
            <w:tcW w:w="1749" w:type="dxa"/>
            <w:noWrap/>
            <w:hideMark/>
          </w:tcPr>
          <w:p w14:paraId="3FA8C994"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503</w:t>
            </w:r>
          </w:p>
        </w:tc>
      </w:tr>
      <w:tr w:rsidR="00BD6E8A" w:rsidRPr="00BD6E8A" w14:paraId="0F61EC14" w14:textId="77777777" w:rsidTr="00BD6E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78D9698"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Pećin</w:t>
            </w:r>
          </w:p>
        </w:tc>
        <w:tc>
          <w:tcPr>
            <w:tcW w:w="1748" w:type="dxa"/>
            <w:noWrap/>
            <w:hideMark/>
          </w:tcPr>
          <w:p w14:paraId="4DD723ED"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p>
        </w:tc>
        <w:tc>
          <w:tcPr>
            <w:tcW w:w="1748" w:type="dxa"/>
            <w:noWrap/>
            <w:hideMark/>
          </w:tcPr>
          <w:p w14:paraId="518A2BB7"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326</w:t>
            </w:r>
          </w:p>
        </w:tc>
        <w:tc>
          <w:tcPr>
            <w:tcW w:w="1749" w:type="dxa"/>
            <w:noWrap/>
            <w:hideMark/>
          </w:tcPr>
          <w:p w14:paraId="3CBBE58B"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485</w:t>
            </w:r>
          </w:p>
        </w:tc>
      </w:tr>
      <w:tr w:rsidR="00BD6E8A" w:rsidRPr="00BD6E8A" w14:paraId="31574DB8" w14:textId="77777777" w:rsidTr="002B5096">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AAA61EE"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Dubovica S</w:t>
            </w:r>
          </w:p>
        </w:tc>
        <w:tc>
          <w:tcPr>
            <w:tcW w:w="1748" w:type="dxa"/>
            <w:noWrap/>
            <w:hideMark/>
          </w:tcPr>
          <w:p w14:paraId="357BB6D0"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196-235</w:t>
            </w:r>
          </w:p>
        </w:tc>
        <w:tc>
          <w:tcPr>
            <w:tcW w:w="1748" w:type="dxa"/>
            <w:noWrap/>
            <w:hideMark/>
          </w:tcPr>
          <w:p w14:paraId="66210AC0"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338-385</w:t>
            </w:r>
          </w:p>
        </w:tc>
        <w:tc>
          <w:tcPr>
            <w:tcW w:w="1749" w:type="dxa"/>
            <w:noWrap/>
            <w:hideMark/>
          </w:tcPr>
          <w:p w14:paraId="1CA642A4"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346-366</w:t>
            </w:r>
          </w:p>
        </w:tc>
      </w:tr>
      <w:tr w:rsidR="00BD6E8A" w:rsidRPr="00BD6E8A" w14:paraId="0C7C7617" w14:textId="77777777" w:rsidTr="00BD6E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D4D51E6"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Dubovica N</w:t>
            </w:r>
          </w:p>
        </w:tc>
        <w:tc>
          <w:tcPr>
            <w:tcW w:w="1748" w:type="dxa"/>
            <w:noWrap/>
            <w:hideMark/>
          </w:tcPr>
          <w:p w14:paraId="1A4BDE64"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186-387</w:t>
            </w:r>
          </w:p>
        </w:tc>
        <w:tc>
          <w:tcPr>
            <w:tcW w:w="1748" w:type="dxa"/>
            <w:noWrap/>
            <w:hideMark/>
          </w:tcPr>
          <w:p w14:paraId="6B9F634A"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343-420</w:t>
            </w:r>
          </w:p>
        </w:tc>
        <w:tc>
          <w:tcPr>
            <w:tcW w:w="1749" w:type="dxa"/>
            <w:noWrap/>
            <w:hideMark/>
          </w:tcPr>
          <w:p w14:paraId="5CB0FA3A"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383</w:t>
            </w:r>
          </w:p>
        </w:tc>
      </w:tr>
      <w:tr w:rsidR="00BD6E8A" w:rsidRPr="00BD6E8A" w14:paraId="164EE547" w14:textId="77777777" w:rsidTr="002B5096">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DCAFCDE"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Buljarica</w:t>
            </w:r>
          </w:p>
        </w:tc>
        <w:tc>
          <w:tcPr>
            <w:tcW w:w="1748" w:type="dxa"/>
            <w:noWrap/>
            <w:hideMark/>
          </w:tcPr>
          <w:p w14:paraId="0F538015"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p>
        </w:tc>
        <w:tc>
          <w:tcPr>
            <w:tcW w:w="1748" w:type="dxa"/>
            <w:noWrap/>
            <w:hideMark/>
          </w:tcPr>
          <w:p w14:paraId="11655849"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210</w:t>
            </w:r>
          </w:p>
        </w:tc>
        <w:tc>
          <w:tcPr>
            <w:tcW w:w="1749" w:type="dxa"/>
            <w:noWrap/>
            <w:hideMark/>
          </w:tcPr>
          <w:p w14:paraId="77F893E6"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331</w:t>
            </w:r>
          </w:p>
        </w:tc>
      </w:tr>
      <w:tr w:rsidR="00BD6E8A" w:rsidRPr="00BD6E8A" w14:paraId="1E61E5FD" w14:textId="77777777" w:rsidTr="00BD6E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BBE9F0B"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Rt V. Seke</w:t>
            </w:r>
          </w:p>
        </w:tc>
        <w:tc>
          <w:tcPr>
            <w:tcW w:w="1748" w:type="dxa"/>
            <w:noWrap/>
            <w:hideMark/>
          </w:tcPr>
          <w:p w14:paraId="0AE8696D"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p>
        </w:tc>
        <w:tc>
          <w:tcPr>
            <w:tcW w:w="1748" w:type="dxa"/>
            <w:noWrap/>
            <w:hideMark/>
          </w:tcPr>
          <w:p w14:paraId="11213AF7"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250</w:t>
            </w:r>
          </w:p>
        </w:tc>
        <w:tc>
          <w:tcPr>
            <w:tcW w:w="1749" w:type="dxa"/>
            <w:noWrap/>
            <w:hideMark/>
          </w:tcPr>
          <w:p w14:paraId="42DFCA55"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443</w:t>
            </w:r>
          </w:p>
        </w:tc>
      </w:tr>
      <w:tr w:rsidR="00BD6E8A" w:rsidRPr="00BD6E8A" w14:paraId="01EEC07C" w14:textId="77777777" w:rsidTr="002B5096">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CC0DCD9"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Petrovac S</w:t>
            </w:r>
          </w:p>
        </w:tc>
        <w:tc>
          <w:tcPr>
            <w:tcW w:w="1748" w:type="dxa"/>
            <w:noWrap/>
            <w:hideMark/>
          </w:tcPr>
          <w:p w14:paraId="7DE544AC"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132</w:t>
            </w:r>
          </w:p>
        </w:tc>
        <w:tc>
          <w:tcPr>
            <w:tcW w:w="1748" w:type="dxa"/>
            <w:noWrap/>
            <w:hideMark/>
          </w:tcPr>
          <w:p w14:paraId="5F888480"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176</w:t>
            </w:r>
          </w:p>
        </w:tc>
        <w:tc>
          <w:tcPr>
            <w:tcW w:w="1749" w:type="dxa"/>
            <w:noWrap/>
            <w:hideMark/>
          </w:tcPr>
          <w:p w14:paraId="135012D2"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189</w:t>
            </w:r>
          </w:p>
        </w:tc>
      </w:tr>
      <w:tr w:rsidR="00BD6E8A" w:rsidRPr="00BD6E8A" w14:paraId="739E8782" w14:textId="77777777" w:rsidTr="00BD6E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F5AFF62"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Donkova seka</w:t>
            </w:r>
          </w:p>
        </w:tc>
        <w:tc>
          <w:tcPr>
            <w:tcW w:w="1748" w:type="dxa"/>
            <w:noWrap/>
            <w:hideMark/>
          </w:tcPr>
          <w:p w14:paraId="21041E22"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156-197</w:t>
            </w:r>
          </w:p>
        </w:tc>
        <w:tc>
          <w:tcPr>
            <w:tcW w:w="1748" w:type="dxa"/>
            <w:noWrap/>
            <w:hideMark/>
          </w:tcPr>
          <w:p w14:paraId="3604CC6E"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237-268</w:t>
            </w:r>
          </w:p>
        </w:tc>
        <w:tc>
          <w:tcPr>
            <w:tcW w:w="1749" w:type="dxa"/>
            <w:noWrap/>
            <w:hideMark/>
          </w:tcPr>
          <w:p w14:paraId="712355C6"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p>
        </w:tc>
      </w:tr>
      <w:tr w:rsidR="00BD6E8A" w:rsidRPr="00BD6E8A" w14:paraId="333C4BB4" w14:textId="77777777" w:rsidTr="002B5096">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tcPr>
          <w:p w14:paraId="23C18CBA"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o. Sv. Nedjelja</w:t>
            </w:r>
          </w:p>
        </w:tc>
        <w:tc>
          <w:tcPr>
            <w:tcW w:w="1748" w:type="dxa"/>
            <w:noWrap/>
          </w:tcPr>
          <w:p w14:paraId="534070D8"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149</w:t>
            </w:r>
          </w:p>
        </w:tc>
        <w:tc>
          <w:tcPr>
            <w:tcW w:w="1748" w:type="dxa"/>
            <w:noWrap/>
          </w:tcPr>
          <w:p w14:paraId="6A35EDED"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245</w:t>
            </w:r>
          </w:p>
        </w:tc>
        <w:tc>
          <w:tcPr>
            <w:tcW w:w="1749" w:type="dxa"/>
            <w:noWrap/>
          </w:tcPr>
          <w:p w14:paraId="31F586AC"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333</w:t>
            </w:r>
          </w:p>
        </w:tc>
      </w:tr>
      <w:tr w:rsidR="00BD6E8A" w:rsidRPr="00BD6E8A" w14:paraId="7F24461E" w14:textId="77777777" w:rsidTr="00BD6E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B30FC5A"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Rt Crvena stijena</w:t>
            </w:r>
          </w:p>
        </w:tc>
        <w:tc>
          <w:tcPr>
            <w:tcW w:w="1748" w:type="dxa"/>
            <w:noWrap/>
            <w:hideMark/>
          </w:tcPr>
          <w:p w14:paraId="114DD8DF"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p>
        </w:tc>
        <w:tc>
          <w:tcPr>
            <w:tcW w:w="1748" w:type="dxa"/>
            <w:noWrap/>
            <w:hideMark/>
          </w:tcPr>
          <w:p w14:paraId="7285A41F"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260</w:t>
            </w:r>
          </w:p>
        </w:tc>
        <w:tc>
          <w:tcPr>
            <w:tcW w:w="1749" w:type="dxa"/>
            <w:noWrap/>
            <w:hideMark/>
          </w:tcPr>
          <w:p w14:paraId="0BF6338C"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337</w:t>
            </w:r>
          </w:p>
        </w:tc>
      </w:tr>
      <w:tr w:rsidR="00BD6E8A" w:rsidRPr="00BD6E8A" w14:paraId="1F93A926" w14:textId="77777777" w:rsidTr="002B5096">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DA2D8F2"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Rt Skočiđevojka</w:t>
            </w:r>
          </w:p>
        </w:tc>
        <w:tc>
          <w:tcPr>
            <w:tcW w:w="1748" w:type="dxa"/>
            <w:noWrap/>
            <w:hideMark/>
          </w:tcPr>
          <w:p w14:paraId="5B69930E"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129-127</w:t>
            </w:r>
          </w:p>
        </w:tc>
        <w:tc>
          <w:tcPr>
            <w:tcW w:w="1748" w:type="dxa"/>
            <w:noWrap/>
            <w:hideMark/>
          </w:tcPr>
          <w:p w14:paraId="7C3B6370"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251-316</w:t>
            </w:r>
          </w:p>
        </w:tc>
        <w:tc>
          <w:tcPr>
            <w:tcW w:w="1749" w:type="dxa"/>
            <w:noWrap/>
            <w:hideMark/>
          </w:tcPr>
          <w:p w14:paraId="0D62BA59"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331-323</w:t>
            </w:r>
          </w:p>
        </w:tc>
      </w:tr>
      <w:tr w:rsidR="00BD6E8A" w:rsidRPr="00BD6E8A" w14:paraId="3A8226E1" w14:textId="77777777" w:rsidTr="00BD6E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ECCCED9"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Meljine</w:t>
            </w:r>
          </w:p>
        </w:tc>
        <w:tc>
          <w:tcPr>
            <w:tcW w:w="1748" w:type="dxa"/>
            <w:noWrap/>
            <w:hideMark/>
          </w:tcPr>
          <w:p w14:paraId="122855F1"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p>
        </w:tc>
        <w:tc>
          <w:tcPr>
            <w:tcW w:w="1748" w:type="dxa"/>
            <w:noWrap/>
            <w:hideMark/>
          </w:tcPr>
          <w:p w14:paraId="3075C2D0"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140-131</w:t>
            </w:r>
          </w:p>
        </w:tc>
        <w:tc>
          <w:tcPr>
            <w:tcW w:w="1749" w:type="dxa"/>
            <w:noWrap/>
            <w:hideMark/>
          </w:tcPr>
          <w:p w14:paraId="30BF6B3F"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325-367</w:t>
            </w:r>
          </w:p>
        </w:tc>
      </w:tr>
      <w:tr w:rsidR="00BD6E8A" w:rsidRPr="00BD6E8A" w14:paraId="75BF3FC1" w14:textId="77777777" w:rsidTr="002B5096">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E1A5B28"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Žanjice</w:t>
            </w:r>
          </w:p>
        </w:tc>
        <w:tc>
          <w:tcPr>
            <w:tcW w:w="1748" w:type="dxa"/>
            <w:noWrap/>
            <w:hideMark/>
          </w:tcPr>
          <w:p w14:paraId="4427EA11"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189-225</w:t>
            </w:r>
          </w:p>
        </w:tc>
        <w:tc>
          <w:tcPr>
            <w:tcW w:w="1748" w:type="dxa"/>
            <w:noWrap/>
            <w:hideMark/>
          </w:tcPr>
          <w:p w14:paraId="4A4B7487"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322-370</w:t>
            </w:r>
          </w:p>
        </w:tc>
        <w:tc>
          <w:tcPr>
            <w:tcW w:w="1749" w:type="dxa"/>
            <w:noWrap/>
            <w:hideMark/>
          </w:tcPr>
          <w:p w14:paraId="4BC23D87"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458-484</w:t>
            </w:r>
          </w:p>
        </w:tc>
      </w:tr>
      <w:tr w:rsidR="00BD6E8A" w:rsidRPr="00BD6E8A" w14:paraId="57BF102B" w14:textId="77777777" w:rsidTr="00BD6E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tcPr>
          <w:p w14:paraId="44FDB58A"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Mirište</w:t>
            </w:r>
          </w:p>
        </w:tc>
        <w:tc>
          <w:tcPr>
            <w:tcW w:w="1748" w:type="dxa"/>
            <w:noWrap/>
          </w:tcPr>
          <w:p w14:paraId="542A54A9"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p>
        </w:tc>
        <w:tc>
          <w:tcPr>
            <w:tcW w:w="1748" w:type="dxa"/>
            <w:noWrap/>
          </w:tcPr>
          <w:p w14:paraId="76FEB5F3"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277</w:t>
            </w:r>
          </w:p>
        </w:tc>
        <w:tc>
          <w:tcPr>
            <w:tcW w:w="1749" w:type="dxa"/>
            <w:noWrap/>
          </w:tcPr>
          <w:p w14:paraId="24973453"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238</w:t>
            </w:r>
          </w:p>
        </w:tc>
      </w:tr>
      <w:tr w:rsidR="00BD6E8A" w:rsidRPr="00BD6E8A" w14:paraId="30C80C64" w14:textId="77777777" w:rsidTr="002B5096">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tcPr>
          <w:p w14:paraId="57DC2E6A"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Slovenska plaža</w:t>
            </w:r>
          </w:p>
        </w:tc>
        <w:tc>
          <w:tcPr>
            <w:tcW w:w="1748" w:type="dxa"/>
            <w:noWrap/>
          </w:tcPr>
          <w:p w14:paraId="34ED8ED2"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p>
        </w:tc>
        <w:tc>
          <w:tcPr>
            <w:tcW w:w="1748" w:type="dxa"/>
            <w:noWrap/>
          </w:tcPr>
          <w:p w14:paraId="188CE0DD"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p>
        </w:tc>
        <w:tc>
          <w:tcPr>
            <w:tcW w:w="1749" w:type="dxa"/>
            <w:noWrap/>
          </w:tcPr>
          <w:p w14:paraId="6F9B3834"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273</w:t>
            </w:r>
          </w:p>
        </w:tc>
      </w:tr>
      <w:tr w:rsidR="00BD6E8A" w:rsidRPr="00BD6E8A" w14:paraId="41B0E192" w14:textId="77777777" w:rsidTr="00BD6E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tcPr>
          <w:p w14:paraId="05902895"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Drobni pijesak</w:t>
            </w:r>
          </w:p>
        </w:tc>
        <w:tc>
          <w:tcPr>
            <w:tcW w:w="1748" w:type="dxa"/>
            <w:noWrap/>
          </w:tcPr>
          <w:p w14:paraId="06717DDA"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234</w:t>
            </w:r>
          </w:p>
        </w:tc>
        <w:tc>
          <w:tcPr>
            <w:tcW w:w="1748" w:type="dxa"/>
            <w:noWrap/>
          </w:tcPr>
          <w:p w14:paraId="4AF5BDA1"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288</w:t>
            </w:r>
          </w:p>
        </w:tc>
        <w:tc>
          <w:tcPr>
            <w:tcW w:w="1749" w:type="dxa"/>
            <w:noWrap/>
          </w:tcPr>
          <w:p w14:paraId="5078B47C"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317</w:t>
            </w:r>
          </w:p>
        </w:tc>
      </w:tr>
      <w:tr w:rsidR="00BD6E8A" w:rsidRPr="00BD6E8A" w14:paraId="70831ED1" w14:textId="77777777" w:rsidTr="002B5096">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tcPr>
          <w:p w14:paraId="39CA86CA"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Veliki pijesak</w:t>
            </w:r>
          </w:p>
        </w:tc>
        <w:tc>
          <w:tcPr>
            <w:tcW w:w="1748" w:type="dxa"/>
            <w:noWrap/>
          </w:tcPr>
          <w:p w14:paraId="29A1CAAD"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166</w:t>
            </w:r>
          </w:p>
        </w:tc>
        <w:tc>
          <w:tcPr>
            <w:tcW w:w="1748" w:type="dxa"/>
            <w:noWrap/>
          </w:tcPr>
          <w:p w14:paraId="3EE919C7"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333</w:t>
            </w:r>
          </w:p>
        </w:tc>
        <w:tc>
          <w:tcPr>
            <w:tcW w:w="1749" w:type="dxa"/>
            <w:noWrap/>
          </w:tcPr>
          <w:p w14:paraId="0F8EB359"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463</w:t>
            </w:r>
          </w:p>
        </w:tc>
      </w:tr>
      <w:tr w:rsidR="00BD6E8A" w:rsidRPr="00BD6E8A" w14:paraId="1702223E" w14:textId="77777777" w:rsidTr="00BD6E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1422EAF"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Zlatna vala</w:t>
            </w:r>
          </w:p>
        </w:tc>
        <w:tc>
          <w:tcPr>
            <w:tcW w:w="1748" w:type="dxa"/>
            <w:noWrap/>
            <w:hideMark/>
          </w:tcPr>
          <w:p w14:paraId="1305EC08"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238-253</w:t>
            </w:r>
          </w:p>
        </w:tc>
        <w:tc>
          <w:tcPr>
            <w:tcW w:w="1748" w:type="dxa"/>
            <w:noWrap/>
            <w:hideMark/>
          </w:tcPr>
          <w:p w14:paraId="653CBD81"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334-330</w:t>
            </w:r>
          </w:p>
        </w:tc>
        <w:tc>
          <w:tcPr>
            <w:tcW w:w="1749" w:type="dxa"/>
            <w:noWrap/>
            <w:hideMark/>
          </w:tcPr>
          <w:p w14:paraId="663EEC75"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452-508</w:t>
            </w:r>
          </w:p>
        </w:tc>
      </w:tr>
      <w:tr w:rsidR="00BD6E8A" w:rsidRPr="00BD6E8A" w14:paraId="6530439B" w14:textId="77777777" w:rsidTr="002B5096">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tcPr>
          <w:p w14:paraId="47E860EA"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Trašte</w:t>
            </w:r>
          </w:p>
        </w:tc>
        <w:tc>
          <w:tcPr>
            <w:tcW w:w="1748" w:type="dxa"/>
            <w:noWrap/>
          </w:tcPr>
          <w:p w14:paraId="38DADA48"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375-388</w:t>
            </w:r>
          </w:p>
        </w:tc>
        <w:tc>
          <w:tcPr>
            <w:tcW w:w="1748" w:type="dxa"/>
            <w:noWrap/>
          </w:tcPr>
          <w:p w14:paraId="3EF4DDDD"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368-438</w:t>
            </w:r>
          </w:p>
        </w:tc>
        <w:tc>
          <w:tcPr>
            <w:tcW w:w="1749" w:type="dxa"/>
            <w:noWrap/>
          </w:tcPr>
          <w:p w14:paraId="52F03BBA" w14:textId="77777777" w:rsidR="00BD6E8A" w:rsidRPr="00BD6E8A" w:rsidRDefault="00BD6E8A" w:rsidP="00332A46">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200-675</w:t>
            </w:r>
          </w:p>
        </w:tc>
      </w:tr>
      <w:tr w:rsidR="00BD6E8A" w:rsidRPr="00BD6E8A" w14:paraId="31FD5940" w14:textId="77777777" w:rsidTr="00BD6E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79E86E0" w14:textId="77777777" w:rsidR="00BD6E8A" w:rsidRPr="00BD6E8A" w:rsidRDefault="00BD6E8A" w:rsidP="00332A46">
            <w:pPr>
              <w:spacing w:before="0" w:after="0" w:line="360" w:lineRule="auto"/>
              <w:ind w:firstLine="171"/>
              <w:rPr>
                <w:rFonts w:cs="Calibri"/>
                <w:color w:val="000000"/>
                <w:sz w:val="20"/>
                <w:szCs w:val="20"/>
                <w:lang w:eastAsia="sr-Latn-ME"/>
              </w:rPr>
            </w:pPr>
            <w:r w:rsidRPr="00BD6E8A">
              <w:rPr>
                <w:rFonts w:cs="Calibri"/>
                <w:color w:val="000000"/>
                <w:sz w:val="20"/>
                <w:szCs w:val="20"/>
                <w:lang w:eastAsia="sr-Latn-ME"/>
              </w:rPr>
              <w:t>Stari Ulcinj</w:t>
            </w:r>
          </w:p>
        </w:tc>
        <w:tc>
          <w:tcPr>
            <w:tcW w:w="1748" w:type="dxa"/>
            <w:noWrap/>
            <w:hideMark/>
          </w:tcPr>
          <w:p w14:paraId="67A8F2A0"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197</w:t>
            </w:r>
          </w:p>
        </w:tc>
        <w:tc>
          <w:tcPr>
            <w:tcW w:w="1748" w:type="dxa"/>
            <w:noWrap/>
            <w:hideMark/>
          </w:tcPr>
          <w:p w14:paraId="5770C741"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173-205</w:t>
            </w:r>
          </w:p>
        </w:tc>
        <w:tc>
          <w:tcPr>
            <w:tcW w:w="1749" w:type="dxa"/>
            <w:noWrap/>
            <w:hideMark/>
          </w:tcPr>
          <w:p w14:paraId="1C98EE5E" w14:textId="77777777" w:rsidR="00BD6E8A" w:rsidRPr="00BD6E8A" w:rsidRDefault="00BD6E8A" w:rsidP="00332A46">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sr-Latn-ME"/>
              </w:rPr>
            </w:pPr>
            <w:r w:rsidRPr="00BD6E8A">
              <w:rPr>
                <w:rFonts w:cs="Calibri"/>
                <w:color w:val="000000"/>
                <w:sz w:val="20"/>
                <w:szCs w:val="20"/>
                <w:lang w:eastAsia="sr-Latn-ME"/>
              </w:rPr>
              <w:t>258-292</w:t>
            </w:r>
          </w:p>
        </w:tc>
      </w:tr>
    </w:tbl>
    <w:p w14:paraId="1A9FB1B0" w14:textId="77777777" w:rsidR="000C38ED" w:rsidRDefault="000C38ED" w:rsidP="002C0444">
      <w:pPr>
        <w:spacing w:before="0" w:after="0"/>
        <w:rPr>
          <w:rFonts w:eastAsia="Calibri" w:cs="Calibri"/>
          <w:sz w:val="24"/>
          <w:lang w:val="sr-Latn-ME" w:eastAsia="en-US"/>
        </w:rPr>
      </w:pPr>
    </w:p>
    <w:p w14:paraId="391AC8C0" w14:textId="7FE3D405" w:rsidR="002C0444" w:rsidRPr="002A4FE5" w:rsidRDefault="002C0444" w:rsidP="002633A5">
      <w:pPr>
        <w:spacing w:before="0" w:after="120"/>
        <w:rPr>
          <w:rFonts w:eastAsia="Calibri" w:cs="Calibri"/>
          <w:szCs w:val="22"/>
          <w:lang w:val="sr-Latn-ME" w:eastAsia="en-US"/>
        </w:rPr>
      </w:pPr>
      <w:r w:rsidRPr="002A4FE5">
        <w:rPr>
          <w:rFonts w:eastAsia="Calibri" w:cs="Calibri"/>
          <w:szCs w:val="22"/>
          <w:lang w:val="sr-Latn-ME" w:eastAsia="en-US"/>
        </w:rPr>
        <w:t xml:space="preserve">S obzirom na specifičnost Bokokotorskog zaliva na ovom području se javila potreba za monitoringom na osnovu vrste </w:t>
      </w:r>
      <w:r w:rsidRPr="002A4FE5">
        <w:rPr>
          <w:rFonts w:eastAsia="Calibri" w:cs="Calibri"/>
          <w:b/>
          <w:i/>
          <w:szCs w:val="22"/>
          <w:lang w:val="sr-Latn-ME" w:eastAsia="en-US"/>
        </w:rPr>
        <w:t>Cymodocea nodosa</w:t>
      </w:r>
      <w:r w:rsidRPr="002A4FE5">
        <w:rPr>
          <w:rFonts w:eastAsia="Calibri" w:cs="Calibri"/>
          <w:szCs w:val="22"/>
          <w:lang w:val="sr-Latn-ME" w:eastAsia="en-US"/>
        </w:rPr>
        <w:t>. Do 2020.g. se nisu primjenjivale postojeće metode monitoringa zajednice ove vrste ali je u toku provjera metode MediSkew koja se uspješno primjenjuje na sjeveru Jadrana (u Sloveniji) (Orlando-Bonaca et al., 2015). Prvi podaci ukazuju na dobru mogućnost primjene ove metode u Crnoj Gori.</w:t>
      </w:r>
    </w:p>
    <w:p w14:paraId="773E238C" w14:textId="588E5E53" w:rsidR="002C0444" w:rsidRPr="002A4FE5" w:rsidRDefault="002C0444" w:rsidP="002633A5">
      <w:pPr>
        <w:spacing w:before="0" w:after="120"/>
        <w:rPr>
          <w:rFonts w:eastAsia="Calibri" w:cs="Calibri"/>
          <w:szCs w:val="22"/>
          <w:lang w:val="sr-Latn-ME" w:eastAsia="en-US"/>
        </w:rPr>
      </w:pPr>
      <w:r w:rsidRPr="002A4FE5">
        <w:rPr>
          <w:rFonts w:eastAsia="Calibri" w:cs="Calibri"/>
          <w:szCs w:val="22"/>
          <w:lang w:val="sr-Latn-ME" w:eastAsia="en-US"/>
        </w:rPr>
        <w:t>Zbog najmanjeg indeksa pritisaka na lokaciji Herceg Novi ova lokacija je uzeta za referentnu mada bi u budućim istraživanjim trebalo odabrati neku lokaciju koja je pod još manjim antropogenim uticajem i koja bi realnije oslikavala referentne vrijednosti. Dobijene vrijednosti indeksa su prikazane u Tabeli 3.25. Sve vrijednosti ukazuju na dobro stanje osim na lokaciji Risan A koja pokazuje srednju vrijednost. Ovo može da bude u vezi sa ispustom komunalnih otpadnih voda koji se nalazi u neposrednoj blizini ove lokacije. Dalje analize su neohodne za ispravniju primjenu ove metode, pogotovo u smislu utvrđivanja referentne lokacije, tj. vrijednosti na lokaciji sa najmanje antropogenog uticaja, što bi možda moglo da bude ostrvo Sv. Marko.</w:t>
      </w:r>
    </w:p>
    <w:p w14:paraId="25E6A194" w14:textId="77777777" w:rsidR="002C0444" w:rsidRPr="002A4FE5" w:rsidRDefault="002C0444" w:rsidP="002C0444">
      <w:pPr>
        <w:spacing w:before="0" w:after="0"/>
        <w:ind w:firstLine="397"/>
        <w:rPr>
          <w:rFonts w:eastAsia="Calibri" w:cs="Calibri"/>
          <w:szCs w:val="22"/>
          <w:lang w:val="sr-Latn-ME" w:eastAsia="en-US"/>
        </w:rPr>
      </w:pPr>
    </w:p>
    <w:p w14:paraId="1BD17E03" w14:textId="77777777" w:rsidR="002C0444" w:rsidRPr="002A4FE5" w:rsidRDefault="002C0444" w:rsidP="00E4149A">
      <w:pPr>
        <w:spacing w:before="0" w:after="0"/>
        <w:ind w:firstLine="397"/>
        <w:rPr>
          <w:rFonts w:eastAsia="Calibri" w:cs="Calibri"/>
          <w:b/>
          <w:szCs w:val="22"/>
          <w:lang w:val="sr-Latn-ME" w:eastAsia="en-US"/>
        </w:rPr>
      </w:pPr>
      <w:r w:rsidRPr="002A4FE5">
        <w:rPr>
          <w:rFonts w:eastAsia="Calibri" w:cs="Calibri"/>
          <w:b/>
          <w:szCs w:val="22"/>
          <w:lang w:val="sr-Latn-ME" w:eastAsia="en-US"/>
        </w:rPr>
        <w:t>Tabela 3.25. Ekološki status na osnovu MediSkew indeksa</w:t>
      </w:r>
    </w:p>
    <w:tbl>
      <w:tblPr>
        <w:tblStyle w:val="GridTable4-Accent53"/>
        <w:tblW w:w="0" w:type="auto"/>
        <w:jc w:val="center"/>
        <w:tblLayout w:type="fixed"/>
        <w:tblLook w:val="04A0" w:firstRow="1" w:lastRow="0" w:firstColumn="1" w:lastColumn="0" w:noHBand="0" w:noVBand="1"/>
      </w:tblPr>
      <w:tblGrid>
        <w:gridCol w:w="1696"/>
        <w:gridCol w:w="426"/>
        <w:gridCol w:w="2126"/>
        <w:gridCol w:w="1843"/>
      </w:tblGrid>
      <w:tr w:rsidR="002C0444" w:rsidRPr="002C0444" w14:paraId="14E88CD0" w14:textId="77777777" w:rsidTr="005827C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1F497D" w:themeFill="text2"/>
            <w:hideMark/>
          </w:tcPr>
          <w:p w14:paraId="4EDC0B5C" w14:textId="77777777" w:rsidR="002C0444" w:rsidRPr="005827C2" w:rsidRDefault="002C0444" w:rsidP="002C0444">
            <w:pPr>
              <w:spacing w:before="0" w:after="0"/>
              <w:ind w:firstLine="171"/>
              <w:rPr>
                <w:rFonts w:cs="Calibri"/>
                <w:color w:val="FFFFFF" w:themeColor="background1"/>
                <w:lang w:eastAsia="en-US"/>
              </w:rPr>
            </w:pPr>
            <w:r w:rsidRPr="005827C2">
              <w:rPr>
                <w:rFonts w:cs="Calibri"/>
                <w:color w:val="FFFFFF" w:themeColor="background1"/>
                <w:lang w:eastAsia="en-US"/>
              </w:rPr>
              <w:t>lokacija</w:t>
            </w:r>
          </w:p>
        </w:tc>
        <w:tc>
          <w:tcPr>
            <w:tcW w:w="426" w:type="dxa"/>
            <w:shd w:val="clear" w:color="auto" w:fill="1F497D" w:themeFill="text2"/>
          </w:tcPr>
          <w:p w14:paraId="6AACB331" w14:textId="77777777" w:rsidR="002C0444" w:rsidRPr="005827C2" w:rsidRDefault="002C0444" w:rsidP="002C0444">
            <w:pPr>
              <w:spacing w:before="0" w:after="0"/>
              <w:cnfStyle w:val="100000000000" w:firstRow="1" w:lastRow="0" w:firstColumn="0" w:lastColumn="0" w:oddVBand="0" w:evenVBand="0" w:oddHBand="0" w:evenHBand="0" w:firstRowFirstColumn="0" w:firstRowLastColumn="0" w:lastRowFirstColumn="0" w:lastRowLastColumn="0"/>
              <w:rPr>
                <w:rFonts w:cs="Calibri"/>
                <w:color w:val="FFFFFF" w:themeColor="background1"/>
                <w:lang w:eastAsia="en-US"/>
              </w:rPr>
            </w:pPr>
          </w:p>
        </w:tc>
        <w:tc>
          <w:tcPr>
            <w:tcW w:w="2126" w:type="dxa"/>
            <w:shd w:val="clear" w:color="auto" w:fill="1F497D" w:themeFill="text2"/>
            <w:hideMark/>
          </w:tcPr>
          <w:p w14:paraId="7E6358C8" w14:textId="77777777" w:rsidR="002C0444" w:rsidRPr="005827C2" w:rsidRDefault="002C0444" w:rsidP="00332A46">
            <w:pPr>
              <w:spacing w:before="0" w:after="0"/>
              <w:ind w:firstLine="175"/>
              <w:jc w:val="center"/>
              <w:cnfStyle w:val="100000000000" w:firstRow="1" w:lastRow="0" w:firstColumn="0" w:lastColumn="0" w:oddVBand="0" w:evenVBand="0" w:oddHBand="0" w:evenHBand="0" w:firstRowFirstColumn="0" w:firstRowLastColumn="0" w:lastRowFirstColumn="0" w:lastRowLastColumn="0"/>
              <w:rPr>
                <w:rFonts w:cs="Calibri"/>
                <w:color w:val="FFFFFF" w:themeColor="background1"/>
                <w:lang w:eastAsia="en-US"/>
              </w:rPr>
            </w:pPr>
            <w:r w:rsidRPr="005827C2">
              <w:rPr>
                <w:rFonts w:cs="Calibri"/>
                <w:color w:val="FFFFFF" w:themeColor="background1"/>
                <w:lang w:eastAsia="en-US"/>
              </w:rPr>
              <w:t>MediSkew indeks</w:t>
            </w:r>
          </w:p>
        </w:tc>
        <w:tc>
          <w:tcPr>
            <w:tcW w:w="1843" w:type="dxa"/>
            <w:shd w:val="clear" w:color="auto" w:fill="1F497D" w:themeFill="text2"/>
            <w:hideMark/>
          </w:tcPr>
          <w:p w14:paraId="4451E5C5" w14:textId="77777777" w:rsidR="002C0444" w:rsidRPr="005827C2" w:rsidRDefault="002C0444" w:rsidP="00332A46">
            <w:pPr>
              <w:spacing w:before="0" w:after="0"/>
              <w:ind w:firstLine="2"/>
              <w:jc w:val="center"/>
              <w:cnfStyle w:val="100000000000" w:firstRow="1" w:lastRow="0" w:firstColumn="0" w:lastColumn="0" w:oddVBand="0" w:evenVBand="0" w:oddHBand="0" w:evenHBand="0" w:firstRowFirstColumn="0" w:firstRowLastColumn="0" w:lastRowFirstColumn="0" w:lastRowLastColumn="0"/>
              <w:rPr>
                <w:rFonts w:cs="Calibri"/>
                <w:color w:val="FFFFFF" w:themeColor="background1"/>
                <w:lang w:eastAsia="en-US"/>
              </w:rPr>
            </w:pPr>
            <w:r w:rsidRPr="005827C2">
              <w:rPr>
                <w:rFonts w:cs="Calibri"/>
                <w:color w:val="FFFFFF" w:themeColor="background1"/>
                <w:lang w:eastAsia="en-US"/>
              </w:rPr>
              <w:t>MediSkew index</w:t>
            </w:r>
          </w:p>
        </w:tc>
      </w:tr>
      <w:tr w:rsidR="002C0444" w:rsidRPr="002C0444" w14:paraId="7E3979C6" w14:textId="77777777" w:rsidTr="002C04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4" w:space="0" w:color="8EAADB"/>
              <w:left w:val="single" w:sz="4" w:space="0" w:color="8EAADB"/>
              <w:bottom w:val="single" w:sz="4" w:space="0" w:color="8EAADB"/>
              <w:right w:val="single" w:sz="4" w:space="0" w:color="8EAADB"/>
            </w:tcBorders>
            <w:hideMark/>
          </w:tcPr>
          <w:p w14:paraId="386EBDA9" w14:textId="77777777" w:rsidR="002C0444" w:rsidRPr="00332A46" w:rsidRDefault="002C0444" w:rsidP="002C0444">
            <w:pPr>
              <w:spacing w:before="0" w:after="0"/>
              <w:ind w:firstLine="171"/>
              <w:rPr>
                <w:rFonts w:cs="Calibri"/>
                <w:lang w:eastAsia="en-US"/>
              </w:rPr>
            </w:pPr>
            <w:r w:rsidRPr="00332A46">
              <w:rPr>
                <w:rFonts w:cs="Calibri"/>
                <w:lang w:eastAsia="en-US"/>
              </w:rPr>
              <w:t>Herceg Novi</w:t>
            </w:r>
          </w:p>
        </w:tc>
        <w:tc>
          <w:tcPr>
            <w:tcW w:w="426" w:type="dxa"/>
            <w:tcBorders>
              <w:top w:val="single" w:sz="4" w:space="0" w:color="8EAADB"/>
              <w:left w:val="single" w:sz="4" w:space="0" w:color="8EAADB"/>
              <w:bottom w:val="single" w:sz="4" w:space="0" w:color="8EAADB"/>
              <w:right w:val="single" w:sz="4" w:space="0" w:color="8EAADB"/>
            </w:tcBorders>
            <w:hideMark/>
          </w:tcPr>
          <w:p w14:paraId="0B6EDBC8" w14:textId="77777777" w:rsidR="002C0444" w:rsidRPr="00332A46" w:rsidRDefault="002C0444" w:rsidP="002C0444">
            <w:pPr>
              <w:spacing w:before="0" w:after="0"/>
              <w:ind w:firstLine="34"/>
              <w:cnfStyle w:val="000000100000" w:firstRow="0" w:lastRow="0" w:firstColumn="0" w:lastColumn="0" w:oddVBand="0" w:evenVBand="0" w:oddHBand="1" w:evenHBand="0" w:firstRowFirstColumn="0" w:firstRowLastColumn="0" w:lastRowFirstColumn="0" w:lastRowLastColumn="0"/>
              <w:rPr>
                <w:rFonts w:cs="Calibri"/>
                <w:lang w:eastAsia="en-US"/>
              </w:rPr>
            </w:pPr>
            <w:r w:rsidRPr="00332A46">
              <w:rPr>
                <w:rFonts w:cs="Calibri"/>
                <w:lang w:eastAsia="en-US"/>
              </w:rPr>
              <w:t>A</w:t>
            </w:r>
          </w:p>
        </w:tc>
        <w:tc>
          <w:tcPr>
            <w:tcW w:w="2126" w:type="dxa"/>
            <w:tcBorders>
              <w:top w:val="single" w:sz="4" w:space="0" w:color="8EAADB"/>
              <w:left w:val="single" w:sz="4" w:space="0" w:color="8EAADB"/>
              <w:bottom w:val="single" w:sz="4" w:space="0" w:color="8EAADB"/>
              <w:right w:val="single" w:sz="4" w:space="0" w:color="8EAADB"/>
            </w:tcBorders>
            <w:hideMark/>
          </w:tcPr>
          <w:p w14:paraId="36F243E6" w14:textId="77777777" w:rsidR="002C0444" w:rsidRPr="00332A46" w:rsidRDefault="002C0444" w:rsidP="002C0444">
            <w:pPr>
              <w:spacing w:before="0" w:after="0"/>
              <w:cnfStyle w:val="000000100000" w:firstRow="0" w:lastRow="0" w:firstColumn="0" w:lastColumn="0" w:oddVBand="0" w:evenVBand="0" w:oddHBand="1" w:evenHBand="0" w:firstRowFirstColumn="0" w:firstRowLastColumn="0" w:lastRowFirstColumn="0" w:lastRowLastColumn="0"/>
              <w:rPr>
                <w:rFonts w:cs="Calibri"/>
                <w:lang w:eastAsia="en-US"/>
              </w:rPr>
            </w:pPr>
            <w:r w:rsidRPr="00332A46">
              <w:rPr>
                <w:rFonts w:cs="Calibri"/>
                <w:lang w:eastAsia="en-US"/>
              </w:rPr>
              <w:t>0,2 (dobro)</w:t>
            </w:r>
          </w:p>
        </w:tc>
        <w:tc>
          <w:tcPr>
            <w:tcW w:w="1843" w:type="dxa"/>
            <w:vMerge w:val="restart"/>
            <w:tcBorders>
              <w:top w:val="single" w:sz="4" w:space="0" w:color="8EAADB"/>
              <w:left w:val="single" w:sz="4" w:space="0" w:color="8EAADB"/>
              <w:bottom w:val="single" w:sz="4" w:space="0" w:color="8EAADB"/>
              <w:right w:val="single" w:sz="4" w:space="0" w:color="8EAADB"/>
            </w:tcBorders>
            <w:hideMark/>
          </w:tcPr>
          <w:p w14:paraId="0723A9E5" w14:textId="77777777" w:rsidR="002C0444" w:rsidRPr="00332A46" w:rsidRDefault="002C0444" w:rsidP="002C0444">
            <w:pPr>
              <w:spacing w:before="0" w:after="0"/>
              <w:ind w:firstLine="175"/>
              <w:cnfStyle w:val="000000100000" w:firstRow="0" w:lastRow="0" w:firstColumn="0" w:lastColumn="0" w:oddVBand="0" w:evenVBand="0" w:oddHBand="1" w:evenHBand="0" w:firstRowFirstColumn="0" w:firstRowLastColumn="0" w:lastRowFirstColumn="0" w:lastRowLastColumn="0"/>
              <w:rPr>
                <w:rFonts w:cs="Calibri"/>
                <w:lang w:eastAsia="en-US"/>
              </w:rPr>
            </w:pPr>
            <w:r w:rsidRPr="00332A46">
              <w:rPr>
                <w:rFonts w:cs="Calibri"/>
                <w:lang w:eastAsia="en-US"/>
              </w:rPr>
              <w:t>0,27 (dobro)</w:t>
            </w:r>
          </w:p>
        </w:tc>
      </w:tr>
      <w:tr w:rsidR="002C0444" w:rsidRPr="002C0444" w14:paraId="5ECB474A" w14:textId="77777777" w:rsidTr="002C0444">
        <w:trPr>
          <w:jc w:val="center"/>
        </w:trPr>
        <w:tc>
          <w:tcPr>
            <w:cnfStyle w:val="001000000000" w:firstRow="0" w:lastRow="0" w:firstColumn="1" w:lastColumn="0" w:oddVBand="0" w:evenVBand="0" w:oddHBand="0" w:evenHBand="0" w:firstRowFirstColumn="0" w:firstRowLastColumn="0" w:lastRowFirstColumn="0" w:lastRowLastColumn="0"/>
            <w:tcW w:w="1696" w:type="dxa"/>
            <w:vMerge/>
            <w:tcBorders>
              <w:top w:val="single" w:sz="4" w:space="0" w:color="8EAADB"/>
              <w:left w:val="single" w:sz="4" w:space="0" w:color="8EAADB"/>
              <w:bottom w:val="single" w:sz="4" w:space="0" w:color="8EAADB"/>
              <w:right w:val="single" w:sz="4" w:space="0" w:color="8EAADB"/>
            </w:tcBorders>
            <w:vAlign w:val="center"/>
            <w:hideMark/>
          </w:tcPr>
          <w:p w14:paraId="7E019AFC" w14:textId="77777777" w:rsidR="002C0444" w:rsidRPr="00332A46" w:rsidRDefault="002C0444" w:rsidP="002C0444">
            <w:pPr>
              <w:spacing w:before="0" w:after="0" w:line="240" w:lineRule="auto"/>
              <w:rPr>
                <w:rFonts w:cs="Calibri"/>
                <w:lang w:eastAsia="en-US"/>
              </w:rPr>
            </w:pPr>
          </w:p>
        </w:tc>
        <w:tc>
          <w:tcPr>
            <w:tcW w:w="426" w:type="dxa"/>
            <w:tcBorders>
              <w:top w:val="single" w:sz="4" w:space="0" w:color="8EAADB"/>
              <w:left w:val="single" w:sz="4" w:space="0" w:color="8EAADB"/>
              <w:bottom w:val="single" w:sz="4" w:space="0" w:color="8EAADB"/>
              <w:right w:val="single" w:sz="4" w:space="0" w:color="8EAADB"/>
            </w:tcBorders>
            <w:hideMark/>
          </w:tcPr>
          <w:p w14:paraId="1EA3B1B5" w14:textId="77777777" w:rsidR="002C0444" w:rsidRPr="00332A46" w:rsidRDefault="002C0444" w:rsidP="002C0444">
            <w:pPr>
              <w:spacing w:before="0" w:after="0"/>
              <w:ind w:firstLine="34"/>
              <w:cnfStyle w:val="000000000000" w:firstRow="0" w:lastRow="0" w:firstColumn="0" w:lastColumn="0" w:oddVBand="0" w:evenVBand="0" w:oddHBand="0" w:evenHBand="0" w:firstRowFirstColumn="0" w:firstRowLastColumn="0" w:lastRowFirstColumn="0" w:lastRowLastColumn="0"/>
              <w:rPr>
                <w:rFonts w:cs="Calibri"/>
                <w:lang w:eastAsia="en-US"/>
              </w:rPr>
            </w:pPr>
            <w:r w:rsidRPr="00332A46">
              <w:rPr>
                <w:rFonts w:cs="Calibri"/>
                <w:lang w:eastAsia="en-US"/>
              </w:rPr>
              <w:t>B</w:t>
            </w:r>
          </w:p>
        </w:tc>
        <w:tc>
          <w:tcPr>
            <w:tcW w:w="2126" w:type="dxa"/>
            <w:tcBorders>
              <w:top w:val="single" w:sz="4" w:space="0" w:color="8EAADB"/>
              <w:left w:val="single" w:sz="4" w:space="0" w:color="8EAADB"/>
              <w:bottom w:val="single" w:sz="4" w:space="0" w:color="8EAADB"/>
              <w:right w:val="single" w:sz="4" w:space="0" w:color="8EAADB"/>
            </w:tcBorders>
            <w:hideMark/>
          </w:tcPr>
          <w:p w14:paraId="08E51F7C" w14:textId="77777777" w:rsidR="002C0444" w:rsidRPr="00332A46" w:rsidRDefault="002C0444" w:rsidP="002C0444">
            <w:pPr>
              <w:spacing w:before="0" w:after="0"/>
              <w:cnfStyle w:val="000000000000" w:firstRow="0" w:lastRow="0" w:firstColumn="0" w:lastColumn="0" w:oddVBand="0" w:evenVBand="0" w:oddHBand="0" w:evenHBand="0" w:firstRowFirstColumn="0" w:firstRowLastColumn="0" w:lastRowFirstColumn="0" w:lastRowLastColumn="0"/>
              <w:rPr>
                <w:rFonts w:cs="Calibri"/>
                <w:lang w:eastAsia="en-US"/>
              </w:rPr>
            </w:pPr>
            <w:r w:rsidRPr="00332A46">
              <w:rPr>
                <w:rFonts w:cs="Calibri"/>
                <w:lang w:eastAsia="en-US"/>
              </w:rPr>
              <w:t>0,34 (dobro)</w:t>
            </w:r>
          </w:p>
        </w:tc>
        <w:tc>
          <w:tcPr>
            <w:tcW w:w="1843" w:type="dxa"/>
            <w:vMerge/>
            <w:tcBorders>
              <w:top w:val="single" w:sz="4" w:space="0" w:color="8EAADB"/>
              <w:left w:val="single" w:sz="4" w:space="0" w:color="8EAADB"/>
              <w:bottom w:val="single" w:sz="4" w:space="0" w:color="8EAADB"/>
              <w:right w:val="single" w:sz="4" w:space="0" w:color="8EAADB"/>
            </w:tcBorders>
            <w:vAlign w:val="center"/>
            <w:hideMark/>
          </w:tcPr>
          <w:p w14:paraId="58F58A66" w14:textId="77777777" w:rsidR="002C0444" w:rsidRPr="00332A46" w:rsidRDefault="002C0444" w:rsidP="002C0444">
            <w:pPr>
              <w:spacing w:before="0" w:after="0" w:line="240" w:lineRule="auto"/>
              <w:cnfStyle w:val="000000000000" w:firstRow="0" w:lastRow="0" w:firstColumn="0" w:lastColumn="0" w:oddVBand="0" w:evenVBand="0" w:oddHBand="0" w:evenHBand="0" w:firstRowFirstColumn="0" w:firstRowLastColumn="0" w:lastRowFirstColumn="0" w:lastRowLastColumn="0"/>
              <w:rPr>
                <w:rFonts w:cs="Calibri"/>
                <w:lang w:eastAsia="en-US"/>
              </w:rPr>
            </w:pPr>
          </w:p>
        </w:tc>
      </w:tr>
      <w:tr w:rsidR="002C0444" w:rsidRPr="002C0444" w14:paraId="6B914616" w14:textId="77777777" w:rsidTr="002C04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4" w:space="0" w:color="8EAADB"/>
              <w:left w:val="single" w:sz="4" w:space="0" w:color="8EAADB"/>
              <w:bottom w:val="single" w:sz="4" w:space="0" w:color="8EAADB"/>
              <w:right w:val="single" w:sz="4" w:space="0" w:color="8EAADB"/>
            </w:tcBorders>
            <w:hideMark/>
          </w:tcPr>
          <w:p w14:paraId="377AD2BA" w14:textId="77777777" w:rsidR="002C0444" w:rsidRPr="00332A46" w:rsidRDefault="002C0444" w:rsidP="002C0444">
            <w:pPr>
              <w:spacing w:before="0" w:after="0"/>
              <w:ind w:firstLine="171"/>
              <w:rPr>
                <w:rFonts w:cs="Calibri"/>
                <w:lang w:eastAsia="en-US"/>
              </w:rPr>
            </w:pPr>
            <w:r w:rsidRPr="00332A46">
              <w:rPr>
                <w:rFonts w:cs="Calibri"/>
                <w:lang w:eastAsia="en-US"/>
              </w:rPr>
              <w:t>Tivat</w:t>
            </w:r>
          </w:p>
        </w:tc>
        <w:tc>
          <w:tcPr>
            <w:tcW w:w="426" w:type="dxa"/>
            <w:tcBorders>
              <w:top w:val="single" w:sz="4" w:space="0" w:color="8EAADB"/>
              <w:left w:val="single" w:sz="4" w:space="0" w:color="8EAADB"/>
              <w:bottom w:val="single" w:sz="4" w:space="0" w:color="8EAADB"/>
              <w:right w:val="single" w:sz="4" w:space="0" w:color="8EAADB"/>
            </w:tcBorders>
            <w:hideMark/>
          </w:tcPr>
          <w:p w14:paraId="7DF2F22C" w14:textId="77777777" w:rsidR="002C0444" w:rsidRPr="00332A46" w:rsidRDefault="002C0444" w:rsidP="002C0444">
            <w:pPr>
              <w:spacing w:before="0" w:after="0"/>
              <w:ind w:firstLine="34"/>
              <w:cnfStyle w:val="000000100000" w:firstRow="0" w:lastRow="0" w:firstColumn="0" w:lastColumn="0" w:oddVBand="0" w:evenVBand="0" w:oddHBand="1" w:evenHBand="0" w:firstRowFirstColumn="0" w:firstRowLastColumn="0" w:lastRowFirstColumn="0" w:lastRowLastColumn="0"/>
              <w:rPr>
                <w:rFonts w:cs="Calibri"/>
                <w:lang w:eastAsia="en-US"/>
              </w:rPr>
            </w:pPr>
            <w:r w:rsidRPr="00332A46">
              <w:rPr>
                <w:rFonts w:cs="Calibri"/>
                <w:lang w:eastAsia="en-US"/>
              </w:rPr>
              <w:t>A</w:t>
            </w:r>
          </w:p>
        </w:tc>
        <w:tc>
          <w:tcPr>
            <w:tcW w:w="2126" w:type="dxa"/>
            <w:tcBorders>
              <w:top w:val="single" w:sz="4" w:space="0" w:color="8EAADB"/>
              <w:left w:val="single" w:sz="4" w:space="0" w:color="8EAADB"/>
              <w:bottom w:val="single" w:sz="4" w:space="0" w:color="8EAADB"/>
              <w:right w:val="single" w:sz="4" w:space="0" w:color="8EAADB"/>
            </w:tcBorders>
            <w:hideMark/>
          </w:tcPr>
          <w:p w14:paraId="6C41828F" w14:textId="77777777" w:rsidR="002C0444" w:rsidRPr="00332A46" w:rsidRDefault="002C0444" w:rsidP="002C0444">
            <w:pPr>
              <w:spacing w:before="0" w:after="0"/>
              <w:cnfStyle w:val="000000100000" w:firstRow="0" w:lastRow="0" w:firstColumn="0" w:lastColumn="0" w:oddVBand="0" w:evenVBand="0" w:oddHBand="1" w:evenHBand="0" w:firstRowFirstColumn="0" w:firstRowLastColumn="0" w:lastRowFirstColumn="0" w:lastRowLastColumn="0"/>
              <w:rPr>
                <w:rFonts w:cs="Calibri"/>
                <w:lang w:eastAsia="en-US"/>
              </w:rPr>
            </w:pPr>
            <w:r w:rsidRPr="00332A46">
              <w:rPr>
                <w:rFonts w:cs="Calibri"/>
                <w:lang w:eastAsia="en-US"/>
              </w:rPr>
              <w:t>0,38 (dobro)</w:t>
            </w:r>
          </w:p>
        </w:tc>
        <w:tc>
          <w:tcPr>
            <w:tcW w:w="1843" w:type="dxa"/>
            <w:vMerge w:val="restart"/>
            <w:tcBorders>
              <w:top w:val="single" w:sz="4" w:space="0" w:color="8EAADB"/>
              <w:left w:val="single" w:sz="4" w:space="0" w:color="8EAADB"/>
              <w:bottom w:val="single" w:sz="4" w:space="0" w:color="8EAADB"/>
              <w:right w:val="single" w:sz="4" w:space="0" w:color="8EAADB"/>
            </w:tcBorders>
            <w:hideMark/>
          </w:tcPr>
          <w:p w14:paraId="283A9C77" w14:textId="77777777" w:rsidR="002C0444" w:rsidRPr="00332A46" w:rsidRDefault="002C0444" w:rsidP="002C0444">
            <w:pPr>
              <w:spacing w:before="0" w:after="0"/>
              <w:ind w:firstLine="175"/>
              <w:cnfStyle w:val="000000100000" w:firstRow="0" w:lastRow="0" w:firstColumn="0" w:lastColumn="0" w:oddVBand="0" w:evenVBand="0" w:oddHBand="1" w:evenHBand="0" w:firstRowFirstColumn="0" w:firstRowLastColumn="0" w:lastRowFirstColumn="0" w:lastRowLastColumn="0"/>
              <w:rPr>
                <w:rFonts w:cs="Calibri"/>
                <w:lang w:eastAsia="en-US"/>
              </w:rPr>
            </w:pPr>
            <w:r w:rsidRPr="00332A46">
              <w:rPr>
                <w:rFonts w:cs="Calibri"/>
                <w:lang w:eastAsia="en-US"/>
              </w:rPr>
              <w:t>0,34 (dobro)</w:t>
            </w:r>
          </w:p>
        </w:tc>
      </w:tr>
      <w:tr w:rsidR="002C0444" w:rsidRPr="002C0444" w14:paraId="00C9EF46" w14:textId="77777777" w:rsidTr="002C0444">
        <w:trPr>
          <w:jc w:val="center"/>
        </w:trPr>
        <w:tc>
          <w:tcPr>
            <w:cnfStyle w:val="001000000000" w:firstRow="0" w:lastRow="0" w:firstColumn="1" w:lastColumn="0" w:oddVBand="0" w:evenVBand="0" w:oddHBand="0" w:evenHBand="0" w:firstRowFirstColumn="0" w:firstRowLastColumn="0" w:lastRowFirstColumn="0" w:lastRowLastColumn="0"/>
            <w:tcW w:w="1696" w:type="dxa"/>
            <w:vMerge/>
            <w:tcBorders>
              <w:top w:val="single" w:sz="4" w:space="0" w:color="8EAADB"/>
              <w:left w:val="single" w:sz="4" w:space="0" w:color="8EAADB"/>
              <w:bottom w:val="single" w:sz="4" w:space="0" w:color="8EAADB"/>
              <w:right w:val="single" w:sz="4" w:space="0" w:color="8EAADB"/>
            </w:tcBorders>
            <w:vAlign w:val="center"/>
            <w:hideMark/>
          </w:tcPr>
          <w:p w14:paraId="3F3AB76C" w14:textId="77777777" w:rsidR="002C0444" w:rsidRPr="00332A46" w:rsidRDefault="002C0444" w:rsidP="002C0444">
            <w:pPr>
              <w:spacing w:before="0" w:after="0" w:line="240" w:lineRule="auto"/>
              <w:rPr>
                <w:rFonts w:cs="Calibri"/>
                <w:lang w:eastAsia="en-US"/>
              </w:rPr>
            </w:pPr>
          </w:p>
        </w:tc>
        <w:tc>
          <w:tcPr>
            <w:tcW w:w="426" w:type="dxa"/>
            <w:tcBorders>
              <w:top w:val="single" w:sz="4" w:space="0" w:color="8EAADB"/>
              <w:left w:val="single" w:sz="4" w:space="0" w:color="8EAADB"/>
              <w:bottom w:val="single" w:sz="4" w:space="0" w:color="8EAADB"/>
              <w:right w:val="single" w:sz="4" w:space="0" w:color="8EAADB"/>
            </w:tcBorders>
            <w:hideMark/>
          </w:tcPr>
          <w:p w14:paraId="4A9B86C5" w14:textId="77777777" w:rsidR="002C0444" w:rsidRPr="00332A46" w:rsidRDefault="002C0444" w:rsidP="002C0444">
            <w:pPr>
              <w:spacing w:before="0" w:after="0"/>
              <w:ind w:firstLine="34"/>
              <w:cnfStyle w:val="000000000000" w:firstRow="0" w:lastRow="0" w:firstColumn="0" w:lastColumn="0" w:oddVBand="0" w:evenVBand="0" w:oddHBand="0" w:evenHBand="0" w:firstRowFirstColumn="0" w:firstRowLastColumn="0" w:lastRowFirstColumn="0" w:lastRowLastColumn="0"/>
              <w:rPr>
                <w:rFonts w:cs="Calibri"/>
                <w:lang w:eastAsia="en-US"/>
              </w:rPr>
            </w:pPr>
            <w:r w:rsidRPr="00332A46">
              <w:rPr>
                <w:rFonts w:cs="Calibri"/>
                <w:lang w:eastAsia="en-US"/>
              </w:rPr>
              <w:t>B</w:t>
            </w:r>
          </w:p>
        </w:tc>
        <w:tc>
          <w:tcPr>
            <w:tcW w:w="2126" w:type="dxa"/>
            <w:tcBorders>
              <w:top w:val="single" w:sz="4" w:space="0" w:color="8EAADB"/>
              <w:left w:val="single" w:sz="4" w:space="0" w:color="8EAADB"/>
              <w:bottom w:val="single" w:sz="4" w:space="0" w:color="8EAADB"/>
              <w:right w:val="single" w:sz="4" w:space="0" w:color="8EAADB"/>
            </w:tcBorders>
            <w:hideMark/>
          </w:tcPr>
          <w:p w14:paraId="4B8E19EB" w14:textId="77777777" w:rsidR="002C0444" w:rsidRPr="00332A46" w:rsidRDefault="002C0444" w:rsidP="002C0444">
            <w:pPr>
              <w:spacing w:before="0" w:after="0"/>
              <w:cnfStyle w:val="000000000000" w:firstRow="0" w:lastRow="0" w:firstColumn="0" w:lastColumn="0" w:oddVBand="0" w:evenVBand="0" w:oddHBand="0" w:evenHBand="0" w:firstRowFirstColumn="0" w:firstRowLastColumn="0" w:lastRowFirstColumn="0" w:lastRowLastColumn="0"/>
              <w:rPr>
                <w:rFonts w:cs="Calibri"/>
                <w:lang w:eastAsia="en-US"/>
              </w:rPr>
            </w:pPr>
            <w:r w:rsidRPr="00332A46">
              <w:rPr>
                <w:rFonts w:cs="Calibri"/>
                <w:lang w:eastAsia="en-US"/>
              </w:rPr>
              <w:t>0,30 (dobro)</w:t>
            </w:r>
          </w:p>
        </w:tc>
        <w:tc>
          <w:tcPr>
            <w:tcW w:w="1843" w:type="dxa"/>
            <w:vMerge/>
            <w:tcBorders>
              <w:top w:val="single" w:sz="4" w:space="0" w:color="8EAADB"/>
              <w:left w:val="single" w:sz="4" w:space="0" w:color="8EAADB"/>
              <w:bottom w:val="single" w:sz="4" w:space="0" w:color="8EAADB"/>
              <w:right w:val="single" w:sz="4" w:space="0" w:color="8EAADB"/>
            </w:tcBorders>
            <w:vAlign w:val="center"/>
            <w:hideMark/>
          </w:tcPr>
          <w:p w14:paraId="25852ADC" w14:textId="77777777" w:rsidR="002C0444" w:rsidRPr="00332A46" w:rsidRDefault="002C0444" w:rsidP="002C0444">
            <w:pPr>
              <w:spacing w:before="0" w:after="0" w:line="240" w:lineRule="auto"/>
              <w:cnfStyle w:val="000000000000" w:firstRow="0" w:lastRow="0" w:firstColumn="0" w:lastColumn="0" w:oddVBand="0" w:evenVBand="0" w:oddHBand="0" w:evenHBand="0" w:firstRowFirstColumn="0" w:firstRowLastColumn="0" w:lastRowFirstColumn="0" w:lastRowLastColumn="0"/>
              <w:rPr>
                <w:rFonts w:cs="Calibri"/>
                <w:lang w:eastAsia="en-US"/>
              </w:rPr>
            </w:pPr>
          </w:p>
        </w:tc>
      </w:tr>
      <w:tr w:rsidR="002C0444" w:rsidRPr="002C0444" w14:paraId="1E09765F" w14:textId="77777777" w:rsidTr="002C04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4" w:space="0" w:color="8EAADB"/>
              <w:left w:val="single" w:sz="4" w:space="0" w:color="8EAADB"/>
              <w:bottom w:val="single" w:sz="4" w:space="0" w:color="8EAADB"/>
              <w:right w:val="single" w:sz="4" w:space="0" w:color="8EAADB"/>
            </w:tcBorders>
            <w:hideMark/>
          </w:tcPr>
          <w:p w14:paraId="5DED107E" w14:textId="77777777" w:rsidR="002C0444" w:rsidRPr="00332A46" w:rsidRDefault="002C0444" w:rsidP="002C0444">
            <w:pPr>
              <w:spacing w:before="0" w:after="0"/>
              <w:ind w:firstLine="171"/>
              <w:rPr>
                <w:rFonts w:cs="Calibri"/>
                <w:lang w:eastAsia="en-US"/>
              </w:rPr>
            </w:pPr>
            <w:r w:rsidRPr="00332A46">
              <w:rPr>
                <w:rFonts w:cs="Calibri"/>
                <w:lang w:eastAsia="en-US"/>
              </w:rPr>
              <w:t>Risan</w:t>
            </w:r>
          </w:p>
        </w:tc>
        <w:tc>
          <w:tcPr>
            <w:tcW w:w="426" w:type="dxa"/>
            <w:tcBorders>
              <w:top w:val="single" w:sz="4" w:space="0" w:color="8EAADB"/>
              <w:left w:val="single" w:sz="4" w:space="0" w:color="8EAADB"/>
              <w:bottom w:val="single" w:sz="4" w:space="0" w:color="8EAADB"/>
              <w:right w:val="single" w:sz="4" w:space="0" w:color="8EAADB"/>
            </w:tcBorders>
            <w:hideMark/>
          </w:tcPr>
          <w:p w14:paraId="6A9E973A" w14:textId="77777777" w:rsidR="002C0444" w:rsidRPr="00332A46" w:rsidRDefault="002C0444" w:rsidP="002C0444">
            <w:pPr>
              <w:spacing w:before="0" w:after="0"/>
              <w:ind w:firstLine="34"/>
              <w:cnfStyle w:val="000000100000" w:firstRow="0" w:lastRow="0" w:firstColumn="0" w:lastColumn="0" w:oddVBand="0" w:evenVBand="0" w:oddHBand="1" w:evenHBand="0" w:firstRowFirstColumn="0" w:firstRowLastColumn="0" w:lastRowFirstColumn="0" w:lastRowLastColumn="0"/>
              <w:rPr>
                <w:rFonts w:cs="Calibri"/>
                <w:lang w:eastAsia="en-US"/>
              </w:rPr>
            </w:pPr>
            <w:r w:rsidRPr="00332A46">
              <w:rPr>
                <w:rFonts w:cs="Calibri"/>
                <w:lang w:eastAsia="en-US"/>
              </w:rPr>
              <w:t>A</w:t>
            </w:r>
          </w:p>
        </w:tc>
        <w:tc>
          <w:tcPr>
            <w:tcW w:w="2126" w:type="dxa"/>
            <w:tcBorders>
              <w:top w:val="single" w:sz="4" w:space="0" w:color="8EAADB"/>
              <w:left w:val="single" w:sz="4" w:space="0" w:color="8EAADB"/>
              <w:bottom w:val="single" w:sz="4" w:space="0" w:color="8EAADB"/>
              <w:right w:val="single" w:sz="4" w:space="0" w:color="8EAADB"/>
            </w:tcBorders>
            <w:hideMark/>
          </w:tcPr>
          <w:p w14:paraId="611C6F20" w14:textId="77777777" w:rsidR="002C0444" w:rsidRPr="00332A46" w:rsidRDefault="002C0444" w:rsidP="002C0444">
            <w:pPr>
              <w:spacing w:before="0" w:after="0"/>
              <w:cnfStyle w:val="000000100000" w:firstRow="0" w:lastRow="0" w:firstColumn="0" w:lastColumn="0" w:oddVBand="0" w:evenVBand="0" w:oddHBand="1" w:evenHBand="0" w:firstRowFirstColumn="0" w:firstRowLastColumn="0" w:lastRowFirstColumn="0" w:lastRowLastColumn="0"/>
              <w:rPr>
                <w:rFonts w:cs="Calibri"/>
                <w:lang w:eastAsia="en-US"/>
              </w:rPr>
            </w:pPr>
            <w:r w:rsidRPr="00332A46">
              <w:rPr>
                <w:rFonts w:cs="Calibri"/>
                <w:lang w:eastAsia="en-US"/>
              </w:rPr>
              <w:t>0,58 (srednje)</w:t>
            </w:r>
          </w:p>
        </w:tc>
        <w:tc>
          <w:tcPr>
            <w:tcW w:w="1843" w:type="dxa"/>
            <w:vMerge w:val="restart"/>
            <w:tcBorders>
              <w:top w:val="single" w:sz="4" w:space="0" w:color="8EAADB"/>
              <w:left w:val="single" w:sz="4" w:space="0" w:color="8EAADB"/>
              <w:bottom w:val="single" w:sz="4" w:space="0" w:color="8EAADB"/>
              <w:right w:val="single" w:sz="4" w:space="0" w:color="8EAADB"/>
            </w:tcBorders>
            <w:hideMark/>
          </w:tcPr>
          <w:p w14:paraId="1ADFFD69" w14:textId="77777777" w:rsidR="002C0444" w:rsidRPr="00332A46" w:rsidRDefault="002C0444" w:rsidP="002C0444">
            <w:pPr>
              <w:spacing w:before="0" w:after="0"/>
              <w:ind w:firstLine="175"/>
              <w:cnfStyle w:val="000000100000" w:firstRow="0" w:lastRow="0" w:firstColumn="0" w:lastColumn="0" w:oddVBand="0" w:evenVBand="0" w:oddHBand="1" w:evenHBand="0" w:firstRowFirstColumn="0" w:firstRowLastColumn="0" w:lastRowFirstColumn="0" w:lastRowLastColumn="0"/>
              <w:rPr>
                <w:rFonts w:cs="Calibri"/>
                <w:lang w:eastAsia="en-US"/>
              </w:rPr>
            </w:pPr>
            <w:r w:rsidRPr="00332A46">
              <w:rPr>
                <w:rFonts w:cs="Calibri"/>
                <w:lang w:eastAsia="en-US"/>
              </w:rPr>
              <w:t>0,47 (srednje)</w:t>
            </w:r>
          </w:p>
        </w:tc>
      </w:tr>
      <w:tr w:rsidR="002C0444" w:rsidRPr="002C0444" w14:paraId="474C59D8" w14:textId="77777777" w:rsidTr="002C0444">
        <w:trPr>
          <w:jc w:val="center"/>
        </w:trPr>
        <w:tc>
          <w:tcPr>
            <w:cnfStyle w:val="001000000000" w:firstRow="0" w:lastRow="0" w:firstColumn="1" w:lastColumn="0" w:oddVBand="0" w:evenVBand="0" w:oddHBand="0" w:evenHBand="0" w:firstRowFirstColumn="0" w:firstRowLastColumn="0" w:lastRowFirstColumn="0" w:lastRowLastColumn="0"/>
            <w:tcW w:w="1696" w:type="dxa"/>
            <w:vMerge/>
            <w:tcBorders>
              <w:top w:val="single" w:sz="4" w:space="0" w:color="8EAADB"/>
              <w:left w:val="single" w:sz="4" w:space="0" w:color="8EAADB"/>
              <w:bottom w:val="single" w:sz="4" w:space="0" w:color="8EAADB"/>
              <w:right w:val="single" w:sz="4" w:space="0" w:color="8EAADB"/>
            </w:tcBorders>
            <w:vAlign w:val="center"/>
            <w:hideMark/>
          </w:tcPr>
          <w:p w14:paraId="6C0ECA17" w14:textId="77777777" w:rsidR="002C0444" w:rsidRPr="002C0444" w:rsidRDefault="002C0444" w:rsidP="002C0444">
            <w:pPr>
              <w:spacing w:before="0" w:after="0" w:line="240" w:lineRule="auto"/>
              <w:rPr>
                <w:rFonts w:cs="Calibri"/>
                <w:sz w:val="24"/>
                <w:lang w:eastAsia="en-US"/>
              </w:rPr>
            </w:pPr>
          </w:p>
        </w:tc>
        <w:tc>
          <w:tcPr>
            <w:tcW w:w="426" w:type="dxa"/>
            <w:tcBorders>
              <w:top w:val="single" w:sz="4" w:space="0" w:color="8EAADB"/>
              <w:left w:val="single" w:sz="4" w:space="0" w:color="8EAADB"/>
              <w:bottom w:val="single" w:sz="4" w:space="0" w:color="8EAADB"/>
              <w:right w:val="single" w:sz="4" w:space="0" w:color="8EAADB"/>
            </w:tcBorders>
            <w:hideMark/>
          </w:tcPr>
          <w:p w14:paraId="0E6BBB4F" w14:textId="77777777" w:rsidR="002C0444" w:rsidRPr="002C0444" w:rsidRDefault="002C0444" w:rsidP="002C0444">
            <w:pPr>
              <w:spacing w:before="0" w:after="0"/>
              <w:ind w:firstLine="34"/>
              <w:cnfStyle w:val="000000000000" w:firstRow="0" w:lastRow="0" w:firstColumn="0" w:lastColumn="0" w:oddVBand="0" w:evenVBand="0" w:oddHBand="0" w:evenHBand="0" w:firstRowFirstColumn="0" w:firstRowLastColumn="0" w:lastRowFirstColumn="0" w:lastRowLastColumn="0"/>
              <w:rPr>
                <w:rFonts w:cs="Calibri"/>
                <w:sz w:val="24"/>
                <w:lang w:eastAsia="en-US"/>
              </w:rPr>
            </w:pPr>
            <w:r w:rsidRPr="002C0444">
              <w:rPr>
                <w:rFonts w:cs="Calibri"/>
                <w:sz w:val="24"/>
                <w:lang w:eastAsia="en-US"/>
              </w:rPr>
              <w:t>B</w:t>
            </w:r>
          </w:p>
        </w:tc>
        <w:tc>
          <w:tcPr>
            <w:tcW w:w="2126" w:type="dxa"/>
            <w:tcBorders>
              <w:top w:val="single" w:sz="4" w:space="0" w:color="8EAADB"/>
              <w:left w:val="single" w:sz="4" w:space="0" w:color="8EAADB"/>
              <w:bottom w:val="single" w:sz="4" w:space="0" w:color="8EAADB"/>
              <w:right w:val="single" w:sz="4" w:space="0" w:color="8EAADB"/>
            </w:tcBorders>
            <w:hideMark/>
          </w:tcPr>
          <w:p w14:paraId="55FD8F5A" w14:textId="77777777" w:rsidR="002C0444" w:rsidRPr="002C0444" w:rsidRDefault="002C0444" w:rsidP="002C0444">
            <w:pPr>
              <w:spacing w:before="0" w:after="0"/>
              <w:cnfStyle w:val="000000000000" w:firstRow="0" w:lastRow="0" w:firstColumn="0" w:lastColumn="0" w:oddVBand="0" w:evenVBand="0" w:oddHBand="0" w:evenHBand="0" w:firstRowFirstColumn="0" w:firstRowLastColumn="0" w:lastRowFirstColumn="0" w:lastRowLastColumn="0"/>
              <w:rPr>
                <w:rFonts w:cs="Calibri"/>
                <w:sz w:val="24"/>
                <w:lang w:eastAsia="en-US"/>
              </w:rPr>
            </w:pPr>
            <w:r w:rsidRPr="002C0444">
              <w:rPr>
                <w:rFonts w:cs="Calibri"/>
                <w:sz w:val="24"/>
                <w:lang w:eastAsia="en-US"/>
              </w:rPr>
              <w:t>0,36 (dobro)</w:t>
            </w:r>
          </w:p>
        </w:tc>
        <w:tc>
          <w:tcPr>
            <w:tcW w:w="1843" w:type="dxa"/>
            <w:vMerge/>
            <w:tcBorders>
              <w:top w:val="single" w:sz="4" w:space="0" w:color="8EAADB"/>
              <w:left w:val="single" w:sz="4" w:space="0" w:color="8EAADB"/>
              <w:bottom w:val="single" w:sz="4" w:space="0" w:color="8EAADB"/>
              <w:right w:val="single" w:sz="4" w:space="0" w:color="8EAADB"/>
            </w:tcBorders>
            <w:vAlign w:val="center"/>
            <w:hideMark/>
          </w:tcPr>
          <w:p w14:paraId="7B715EBC" w14:textId="77777777" w:rsidR="002C0444" w:rsidRPr="002C0444" w:rsidRDefault="002C0444" w:rsidP="002C0444">
            <w:pPr>
              <w:spacing w:before="0" w:after="0" w:line="240" w:lineRule="auto"/>
              <w:cnfStyle w:val="000000000000" w:firstRow="0" w:lastRow="0" w:firstColumn="0" w:lastColumn="0" w:oddVBand="0" w:evenVBand="0" w:oddHBand="0" w:evenHBand="0" w:firstRowFirstColumn="0" w:firstRowLastColumn="0" w:lastRowFirstColumn="0" w:lastRowLastColumn="0"/>
              <w:rPr>
                <w:rFonts w:cs="Calibri"/>
                <w:sz w:val="24"/>
                <w:lang w:eastAsia="en-US"/>
              </w:rPr>
            </w:pPr>
          </w:p>
        </w:tc>
      </w:tr>
    </w:tbl>
    <w:p w14:paraId="5E1871FE" w14:textId="77777777" w:rsidR="004B074A" w:rsidRDefault="004B074A" w:rsidP="002B0742">
      <w:pPr>
        <w:spacing w:before="0" w:after="0"/>
        <w:rPr>
          <w:rFonts w:eastAsia="Calibri" w:cs="Calibri"/>
          <w:b/>
          <w:sz w:val="24"/>
          <w:lang w:val="sr-Latn-ME" w:eastAsia="en-US"/>
        </w:rPr>
      </w:pPr>
    </w:p>
    <w:p w14:paraId="6AD9FEC1" w14:textId="77777777" w:rsidR="004B074A" w:rsidRDefault="004B074A" w:rsidP="002B0742">
      <w:pPr>
        <w:spacing w:before="0" w:after="0"/>
        <w:rPr>
          <w:rFonts w:eastAsia="Calibri" w:cs="Calibri"/>
          <w:b/>
          <w:sz w:val="24"/>
          <w:lang w:val="sr-Latn-ME" w:eastAsia="en-US"/>
        </w:rPr>
      </w:pPr>
    </w:p>
    <w:p w14:paraId="0C1BF5DE" w14:textId="6294EF9A" w:rsidR="002C0444" w:rsidRPr="004B074A" w:rsidRDefault="002C0444" w:rsidP="002B0742">
      <w:pPr>
        <w:spacing w:before="0" w:after="0"/>
        <w:rPr>
          <w:rFonts w:eastAsia="Calibri" w:cs="Calibri"/>
          <w:b/>
          <w:szCs w:val="22"/>
          <w:lang w:val="sr-Latn-ME" w:eastAsia="en-US"/>
        </w:rPr>
      </w:pPr>
      <w:r w:rsidRPr="004B074A">
        <w:rPr>
          <w:rFonts w:eastAsia="Calibri" w:cs="Calibri"/>
          <w:b/>
          <w:szCs w:val="22"/>
          <w:lang w:val="sr-Latn-ME" w:eastAsia="en-US"/>
        </w:rPr>
        <w:t>Stanje koraligenih zajednica</w:t>
      </w:r>
    </w:p>
    <w:p w14:paraId="27B3EBA4" w14:textId="77777777" w:rsidR="002C0444" w:rsidRPr="002C0444" w:rsidRDefault="002C0444" w:rsidP="002C0444">
      <w:pPr>
        <w:spacing w:before="0" w:after="0"/>
        <w:ind w:firstLine="397"/>
        <w:rPr>
          <w:rFonts w:eastAsia="Calibri" w:cs="Calibri"/>
          <w:sz w:val="24"/>
          <w:lang w:val="sr-Latn-ME" w:eastAsia="en-US"/>
        </w:rPr>
      </w:pPr>
    </w:p>
    <w:p w14:paraId="3C63A993" w14:textId="77777777" w:rsidR="002C0444" w:rsidRPr="002A4FE5" w:rsidRDefault="002C0444" w:rsidP="004B074A">
      <w:pPr>
        <w:spacing w:before="0" w:after="120"/>
        <w:rPr>
          <w:rFonts w:eastAsia="Calibri" w:cs="Calibri"/>
          <w:szCs w:val="22"/>
          <w:lang w:val="sr-Latn-ME" w:eastAsia="en-US"/>
        </w:rPr>
      </w:pPr>
      <w:r w:rsidRPr="002A4FE5">
        <w:rPr>
          <w:rFonts w:eastAsia="Calibri" w:cs="Calibri"/>
          <w:szCs w:val="22"/>
          <w:lang w:val="sr-Latn-ME" w:eastAsia="en-US"/>
        </w:rPr>
        <w:t xml:space="preserve">Koraligene zajednice uglavnom su razvijene na tvrdoj podlozi cirkalitoralne stepenice gde je svjetlost ograničena. Karakterišu ih kalcifikovane i nekalcifikovane alge sa obiljem vrsta beskičmenjaka, a karakteristični graditelji koraligenih zajednica su sunđeri, antozoe i briozoe. </w:t>
      </w:r>
    </w:p>
    <w:p w14:paraId="566D52AE" w14:textId="77777777" w:rsidR="002C0444" w:rsidRPr="002A4FE5" w:rsidRDefault="002C0444" w:rsidP="004B074A">
      <w:pPr>
        <w:spacing w:before="0" w:after="120"/>
        <w:rPr>
          <w:rFonts w:eastAsia="Calibri" w:cs="Calibri"/>
          <w:szCs w:val="22"/>
          <w:lang w:val="sr-Latn-ME" w:eastAsia="en-US"/>
        </w:rPr>
      </w:pPr>
      <w:r w:rsidRPr="002A4FE5">
        <w:rPr>
          <w:rFonts w:eastAsia="Calibri" w:cs="Calibri"/>
          <w:szCs w:val="22"/>
          <w:lang w:val="sr-Latn-ME" w:eastAsia="en-US"/>
        </w:rPr>
        <w:t xml:space="preserve"> Koraligena staništa su veoma dobro razvijena u unutrašnjem dijelu Bokokotorskog zaliva, gdje koraligen počinje od 12 m dubine do 30 m, a karakteriše ga prisustvo uspravnih antozoa.</w:t>
      </w:r>
    </w:p>
    <w:p w14:paraId="3B09B4BA" w14:textId="77777777" w:rsidR="002C0444" w:rsidRPr="002A4FE5" w:rsidRDefault="002C0444" w:rsidP="004B074A">
      <w:pPr>
        <w:spacing w:before="0" w:after="120"/>
        <w:rPr>
          <w:rFonts w:eastAsia="Calibri" w:cs="Calibri"/>
          <w:szCs w:val="22"/>
          <w:lang w:val="sr-Latn-ME" w:eastAsia="en-US"/>
        </w:rPr>
      </w:pPr>
      <w:r w:rsidRPr="002A4FE5">
        <w:rPr>
          <w:rFonts w:eastAsia="Calibri" w:cs="Calibri"/>
          <w:szCs w:val="22"/>
          <w:lang w:val="sr-Latn-ME" w:eastAsia="en-US"/>
        </w:rPr>
        <w:t xml:space="preserve"> Dve vrlo dobro proučene lokacije unutar Bokokotorskog zaliva su Dražin vrt i Sopot (slika 3.4). Dražin vrt karakteriše potopljeno područje koje se brzo degradira, a samo nekoliko metara od obale dno doseže dubinu od 5 m i degradira se većom strminom do 15-25 m.  </w:t>
      </w:r>
    </w:p>
    <w:p w14:paraId="7E672366" w14:textId="77777777" w:rsidR="002C0444" w:rsidRPr="002A4FE5" w:rsidRDefault="002C0444" w:rsidP="004B074A">
      <w:pPr>
        <w:spacing w:before="0" w:after="120"/>
        <w:rPr>
          <w:rFonts w:eastAsia="Calibri" w:cs="Calibri"/>
          <w:szCs w:val="22"/>
          <w:lang w:val="sr-Latn-ME" w:eastAsia="en-US"/>
        </w:rPr>
      </w:pPr>
      <w:r w:rsidRPr="002A4FE5">
        <w:rPr>
          <w:rFonts w:eastAsia="Calibri" w:cs="Calibri"/>
          <w:szCs w:val="22"/>
          <w:lang w:val="sr-Latn-ME" w:eastAsia="en-US"/>
        </w:rPr>
        <w:t xml:space="preserve">U prvih nekoliko metara morsko dno karakteriše kamenito dno prekriveno fotofilnim algama (uglavnom </w:t>
      </w:r>
      <w:r w:rsidRPr="002A4FE5">
        <w:rPr>
          <w:rFonts w:eastAsia="Calibri" w:cs="Calibri"/>
          <w:i/>
          <w:szCs w:val="22"/>
          <w:lang w:val="sr-Latn-ME" w:eastAsia="en-US"/>
        </w:rPr>
        <w:t>Cystoseira corniculata, Padina pavonica</w:t>
      </w:r>
      <w:r w:rsidRPr="002A4FE5">
        <w:rPr>
          <w:rFonts w:eastAsia="Calibri" w:cs="Calibri"/>
          <w:szCs w:val="22"/>
          <w:lang w:val="sr-Latn-ME" w:eastAsia="en-US"/>
        </w:rPr>
        <w:t xml:space="preserve">) i nastavlja se mješovitim dnom krupnih sedimenata i biokonstrukcija, sa malo rasutih stjenovitih blokova. Na tvrdom supstratu razvijene su koraligene zajednice do 25 m dubine. Ovo područje je bogato podvodnim  izvorima („vrulja“). Najrasprostranjenije vrste su </w:t>
      </w:r>
      <w:r w:rsidRPr="002A4FE5">
        <w:rPr>
          <w:rFonts w:eastAsia="Calibri" w:cs="Calibri"/>
          <w:i/>
          <w:szCs w:val="22"/>
          <w:lang w:val="sr-Latn-ME" w:eastAsia="en-US"/>
        </w:rPr>
        <w:t>Savalia savaglia, Polycyathus muellerae, Leptogorgia sarmentosa, Parazoanthus axinellae, Acanthella cannabina, Aplysina aerophoba / cavernicola</w:t>
      </w:r>
      <w:r w:rsidRPr="002A4FE5">
        <w:rPr>
          <w:rFonts w:eastAsia="Calibri" w:cs="Calibri"/>
          <w:szCs w:val="22"/>
          <w:lang w:val="sr-Latn-ME" w:eastAsia="en-US"/>
        </w:rPr>
        <w:t xml:space="preserve">, dok je </w:t>
      </w:r>
      <w:r w:rsidRPr="002A4FE5">
        <w:rPr>
          <w:rFonts w:eastAsia="Calibri" w:cs="Calibri"/>
          <w:i/>
          <w:szCs w:val="22"/>
          <w:lang w:val="sr-Latn-ME" w:eastAsia="en-US"/>
        </w:rPr>
        <w:t>Cladocora caespitosa</w:t>
      </w:r>
      <w:r w:rsidRPr="002A4FE5">
        <w:rPr>
          <w:rFonts w:eastAsia="Calibri" w:cs="Calibri"/>
          <w:szCs w:val="22"/>
          <w:lang w:val="sr-Latn-ME" w:eastAsia="en-US"/>
        </w:rPr>
        <w:t xml:space="preserve"> oskudna. Ove zajednice ne pokazuju epibiozu ili nekrozu u distalnim granama, dok je velika sedimentacija značajno prisutna. Što se tiče Trainito (2019) vrednosti MAES indeksa za ovu  lokaciju je 14 - umjerena.</w:t>
      </w:r>
    </w:p>
    <w:p w14:paraId="55C60C78" w14:textId="77777777" w:rsidR="002C0444" w:rsidRPr="002A4FE5" w:rsidRDefault="002C0444" w:rsidP="004B074A">
      <w:pPr>
        <w:spacing w:before="0" w:after="120"/>
        <w:rPr>
          <w:rFonts w:eastAsia="Calibri" w:cs="Calibri"/>
          <w:szCs w:val="22"/>
          <w:lang w:val="sr-Latn-ME" w:eastAsia="en-US"/>
        </w:rPr>
      </w:pPr>
      <w:r w:rsidRPr="002A4FE5">
        <w:rPr>
          <w:rFonts w:eastAsia="Calibri" w:cs="Calibri"/>
          <w:szCs w:val="22"/>
          <w:lang w:val="sr-Latn-ME" w:eastAsia="en-US"/>
        </w:rPr>
        <w:t xml:space="preserve">Lokalitet Sopot karakterišu slični uslovi okoline kao i Dražin vrt. Potopljeno područje se brzo degradira i samo nekoliko metara od obale dno doseže dubinu od 7 m, gde bi se mogle naći prve kolonije </w:t>
      </w:r>
      <w:r w:rsidRPr="002A4FE5">
        <w:rPr>
          <w:rFonts w:eastAsia="Calibri" w:cs="Calibri"/>
          <w:i/>
          <w:szCs w:val="22"/>
          <w:lang w:val="sr-Latn-ME" w:eastAsia="en-US"/>
        </w:rPr>
        <w:t>Savalia savaglia</w:t>
      </w:r>
      <w:r w:rsidRPr="002A4FE5">
        <w:rPr>
          <w:rFonts w:eastAsia="Calibri" w:cs="Calibri"/>
          <w:szCs w:val="22"/>
          <w:lang w:val="sr-Latn-ME" w:eastAsia="en-US"/>
        </w:rPr>
        <w:t xml:space="preserve">. Dubina opada sa većom strminom do 16-18 m. Gornji dio je kolonizovan fotofilnim algama koje se završavaju na oko 7-8 m dubine na mješovitom dnu grubih sedimenata i biokonkrecija. Koralni blokovi, pomiješani sa ogromnim skupinama i rijetkim kolonijama </w:t>
      </w:r>
      <w:r w:rsidRPr="002A4FE5">
        <w:rPr>
          <w:rFonts w:eastAsia="Calibri" w:cs="Calibri"/>
          <w:i/>
          <w:szCs w:val="22"/>
          <w:lang w:val="sr-Latn-ME" w:eastAsia="en-US"/>
        </w:rPr>
        <w:t>Savalia savaglia</w:t>
      </w:r>
      <w:r w:rsidRPr="002A4FE5">
        <w:rPr>
          <w:rFonts w:eastAsia="Calibri" w:cs="Calibri"/>
          <w:szCs w:val="22"/>
          <w:lang w:val="sr-Latn-ME" w:eastAsia="en-US"/>
        </w:rPr>
        <w:t xml:space="preserve">, završavaju se na 18 m na dnu prekrivenom tankim sedimentima. Karakterišu ga raštrkane ili grupisane kolonije savalije </w:t>
      </w:r>
      <w:r w:rsidRPr="002A4FE5">
        <w:rPr>
          <w:rFonts w:eastAsia="Calibri" w:cs="Calibri"/>
          <w:i/>
          <w:szCs w:val="22"/>
          <w:lang w:val="sr-Latn-ME" w:eastAsia="en-US"/>
        </w:rPr>
        <w:t>Savalia savaglia</w:t>
      </w:r>
      <w:r w:rsidRPr="002A4FE5">
        <w:rPr>
          <w:rFonts w:eastAsia="Calibri" w:cs="Calibri"/>
          <w:szCs w:val="22"/>
          <w:lang w:val="sr-Latn-ME" w:eastAsia="en-US"/>
        </w:rPr>
        <w:t xml:space="preserve">, raštrkani koralni blokovi koje uglavnom formiraju Scleractinia, </w:t>
      </w:r>
      <w:r w:rsidRPr="002A4FE5">
        <w:rPr>
          <w:rFonts w:eastAsia="Calibri" w:cs="Calibri"/>
          <w:i/>
          <w:szCs w:val="22"/>
          <w:lang w:val="sr-Latn-ME" w:eastAsia="en-US"/>
        </w:rPr>
        <w:t>Policiathus muellerae</w:t>
      </w:r>
      <w:r w:rsidRPr="002A4FE5">
        <w:rPr>
          <w:rFonts w:eastAsia="Calibri" w:cs="Calibri"/>
          <w:szCs w:val="22"/>
          <w:lang w:val="sr-Latn-ME" w:eastAsia="en-US"/>
        </w:rPr>
        <w:t xml:space="preserve">. Biocenoza se takođe sastoji od velikih sunđera koji rastu i na koraljima i na kamenitim blokovima, kao i od kolonija mekih korala </w:t>
      </w:r>
      <w:r w:rsidRPr="002A4FE5">
        <w:rPr>
          <w:rFonts w:eastAsia="Calibri" w:cs="Calibri"/>
          <w:i/>
          <w:szCs w:val="22"/>
          <w:lang w:val="sr-Latn-ME" w:eastAsia="en-US"/>
        </w:rPr>
        <w:t>Leptogorgia sarmentosa</w:t>
      </w:r>
      <w:r w:rsidRPr="002A4FE5">
        <w:rPr>
          <w:rFonts w:eastAsia="Calibri" w:cs="Calibri"/>
          <w:szCs w:val="22"/>
          <w:lang w:val="sr-Latn-ME" w:eastAsia="en-US"/>
        </w:rPr>
        <w:t xml:space="preserve"> i zoantidnih korala </w:t>
      </w:r>
      <w:r w:rsidRPr="002A4FE5">
        <w:rPr>
          <w:rFonts w:eastAsia="Calibri" w:cs="Calibri"/>
          <w:i/>
          <w:szCs w:val="22"/>
          <w:lang w:val="sr-Latn-ME" w:eastAsia="en-US"/>
        </w:rPr>
        <w:t>Parazoanthus axinellae</w:t>
      </w:r>
      <w:r w:rsidRPr="002A4FE5">
        <w:rPr>
          <w:rFonts w:eastAsia="Calibri" w:cs="Calibri"/>
          <w:szCs w:val="22"/>
          <w:lang w:val="sr-Latn-ME" w:eastAsia="en-US"/>
        </w:rPr>
        <w:t>. Skupovi pokazuju epibiozu ili nekrozu u distalnim granama oko 0,2% i odlikuju se velikom količinom otpada antropogenog porijekla. Izračunati MAES indeks je 14-umjeren (Trainito, 2019).</w:t>
      </w:r>
    </w:p>
    <w:p w14:paraId="29D940B8" w14:textId="77777777" w:rsidR="002C0444" w:rsidRPr="002A4FE5" w:rsidRDefault="002C0444" w:rsidP="004B074A">
      <w:pPr>
        <w:spacing w:before="0" w:after="120"/>
        <w:rPr>
          <w:rFonts w:eastAsia="Calibri" w:cs="Calibri"/>
          <w:szCs w:val="22"/>
          <w:lang w:val="sr-Latn-ME" w:eastAsia="en-US"/>
        </w:rPr>
      </w:pPr>
      <w:r w:rsidRPr="002A4FE5">
        <w:rPr>
          <w:rFonts w:eastAsia="Calibri" w:cs="Calibri"/>
          <w:szCs w:val="22"/>
          <w:lang w:val="sr-Latn-ME" w:eastAsia="en-US"/>
        </w:rPr>
        <w:t>Podaci za otvoreno more nisu tako sveobuhvatni. Postoje tri istražena lokaliteta - rtovi Mačka, Veslo i Voluica (slika 3.4). Lokacija Ponta Veslo sadrži tvrdu stijenu u plitkom dijelu i biogene strukture do 35 m dubine, praćene pijeskom. Koraligeni sklop karakterišu vapnenaste sciafilne alge i sunđeri. Bazalni sloj je vrlo dobro razvijen, a podignuti sloj odsutan. MAES indeks se ne izračunava. Glavni prepoznati pritisci su sedimentacija i oprema za ribolov. Rt Mačka je relativno blizu prethodne lokacije. Tvrdo dno završava se na dubini od 33 m i nastavlja se finom peskovito-blatnjavom podlogom. Stjenovito dno pokrivaju alge. Kao i na prethodnoj lokaciji, uspravnog sloja nema. Graditelji zajednica su kalcifikovane alge i sunđeri. MAES indeks se ne izračunava (GEF Adriatic, 2019). Slično ovim lokacijama je i rt Voluica. Kamenito dno završava se na 27 metara i nastavlja se pjeskovito-blatnjavom podlogom. Kao i na prethodnim nalazištima, koraligeni sklop karakterišu vapnenaste sciaffilne alge i sunđeri. Bazalni sloj je vrlo dobro razvijen, a podignuti sloj odsutan. MAES indeks se ne izračunava. Glavni prepoznati pritisci su ribolov i sedimentacija (IPA 2020).</w:t>
      </w:r>
    </w:p>
    <w:p w14:paraId="0E94A69E" w14:textId="77777777" w:rsidR="002C0444" w:rsidRPr="002A4FE5" w:rsidRDefault="002C0444" w:rsidP="004B074A">
      <w:pPr>
        <w:spacing w:before="0" w:after="120"/>
        <w:rPr>
          <w:rFonts w:eastAsia="Calibri" w:cs="Calibri"/>
          <w:szCs w:val="22"/>
          <w:lang w:val="sr-Latn-ME" w:eastAsia="en-US"/>
        </w:rPr>
      </w:pPr>
      <w:r w:rsidRPr="002A4FE5">
        <w:rPr>
          <w:rFonts w:eastAsia="Calibri" w:cs="Calibri"/>
          <w:szCs w:val="22"/>
          <w:lang w:val="sr-Latn-ME" w:eastAsia="en-US"/>
        </w:rPr>
        <w:t>Imajući u vidu da na mediteranskom nivou još uvijek nema dovoljno usaglašenih metodologija za izračunavanje dobrog stanja za ovo stanište, jedan od ciljeva je uspostavljanje saradnje na regionalnom i subregionalnom nivou kako bi se uspostavili kriterijumi i referentne vrijednosti za ovaj izuzetno važan tip staništa u Sredozemlju.</w:t>
      </w:r>
    </w:p>
    <w:p w14:paraId="3BE9164A" w14:textId="77777777" w:rsidR="00AA6D51" w:rsidRDefault="00AA6D51" w:rsidP="006A72D8">
      <w:pPr>
        <w:autoSpaceDE w:val="0"/>
        <w:autoSpaceDN w:val="0"/>
        <w:adjustRightInd w:val="0"/>
        <w:spacing w:before="0" w:after="0" w:line="240" w:lineRule="auto"/>
        <w:ind w:firstLine="397"/>
        <w:rPr>
          <w:rFonts w:eastAsia="Calibri" w:cs="Calibri"/>
          <w:b/>
          <w:bCs/>
          <w:color w:val="000000"/>
          <w:szCs w:val="22"/>
          <w:lang w:val="en-GB" w:eastAsia="en-US"/>
        </w:rPr>
      </w:pPr>
    </w:p>
    <w:p w14:paraId="7808D9D0" w14:textId="77777777" w:rsidR="00AA6D51" w:rsidRDefault="00AA6D51" w:rsidP="002C0444">
      <w:pPr>
        <w:autoSpaceDE w:val="0"/>
        <w:autoSpaceDN w:val="0"/>
        <w:adjustRightInd w:val="0"/>
        <w:spacing w:before="0" w:after="0" w:line="240" w:lineRule="auto"/>
        <w:ind w:firstLine="397"/>
        <w:jc w:val="center"/>
        <w:rPr>
          <w:rFonts w:eastAsia="Calibri" w:cs="Calibri"/>
          <w:b/>
          <w:bCs/>
          <w:color w:val="000000"/>
          <w:szCs w:val="22"/>
          <w:lang w:val="en-GB" w:eastAsia="en-US"/>
        </w:rPr>
      </w:pPr>
    </w:p>
    <w:p w14:paraId="15AB8DAF" w14:textId="77777777" w:rsidR="002C0444" w:rsidRPr="002C0444" w:rsidRDefault="002C0444" w:rsidP="002C0444">
      <w:pPr>
        <w:autoSpaceDE w:val="0"/>
        <w:autoSpaceDN w:val="0"/>
        <w:adjustRightInd w:val="0"/>
        <w:spacing w:before="0" w:after="0" w:line="240" w:lineRule="auto"/>
        <w:ind w:firstLine="397"/>
        <w:jc w:val="center"/>
        <w:rPr>
          <w:rFonts w:eastAsia="Calibri" w:cs="Calibri"/>
          <w:color w:val="000000"/>
          <w:sz w:val="20"/>
          <w:szCs w:val="20"/>
          <w:lang w:val="en-GB" w:eastAsia="en-US"/>
        </w:rPr>
      </w:pPr>
      <w:r w:rsidRPr="002C0444">
        <w:rPr>
          <w:rFonts w:eastAsia="Calibri" w:cs="Calibri"/>
          <w:noProof/>
          <w:color w:val="000000"/>
          <w:sz w:val="20"/>
          <w:szCs w:val="20"/>
          <w:lang w:eastAsia="en-US"/>
        </w:rPr>
        <w:drawing>
          <wp:inline distT="0" distB="0" distL="0" distR="0" wp14:anchorId="6F23EB24" wp14:editId="5000B8D1">
            <wp:extent cx="3870960" cy="2971800"/>
            <wp:effectExtent l="0" t="0" r="0" b="0"/>
            <wp:docPr id="44"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870960" cy="2971800"/>
                    </a:xfrm>
                    <a:prstGeom prst="rect">
                      <a:avLst/>
                    </a:prstGeom>
                    <a:noFill/>
                    <a:ln>
                      <a:noFill/>
                    </a:ln>
                  </pic:spPr>
                </pic:pic>
              </a:graphicData>
            </a:graphic>
          </wp:inline>
        </w:drawing>
      </w:r>
    </w:p>
    <w:p w14:paraId="589B4912" w14:textId="77777777" w:rsidR="00206305" w:rsidRPr="002C0444" w:rsidRDefault="002C0444" w:rsidP="00206305">
      <w:pPr>
        <w:autoSpaceDE w:val="0"/>
        <w:autoSpaceDN w:val="0"/>
        <w:adjustRightInd w:val="0"/>
        <w:spacing w:before="0" w:after="0" w:line="240" w:lineRule="auto"/>
        <w:ind w:firstLine="397"/>
        <w:jc w:val="center"/>
        <w:rPr>
          <w:rFonts w:eastAsia="Calibri" w:cs="Calibri"/>
          <w:b/>
          <w:bCs/>
          <w:color w:val="000000"/>
          <w:szCs w:val="22"/>
          <w:lang w:val="en-GB" w:eastAsia="en-US"/>
        </w:rPr>
      </w:pPr>
      <w:bookmarkStart w:id="381" w:name="_Toc69678436"/>
      <w:r w:rsidRPr="002C0444">
        <w:rPr>
          <w:rFonts w:eastAsia="Calibri" w:cs="Calibri"/>
          <w:b/>
          <w:bCs/>
          <w:color w:val="2E74B5"/>
          <w:sz w:val="26"/>
          <w:szCs w:val="26"/>
          <w:lang w:val="en-GB" w:eastAsia="en-US"/>
        </w:rPr>
        <w:tab/>
      </w:r>
      <w:bookmarkStart w:id="382" w:name="_Toc83636930"/>
      <w:r w:rsidR="00206305" w:rsidRPr="002C0444">
        <w:rPr>
          <w:rFonts w:eastAsia="Calibri" w:cs="Calibri"/>
          <w:b/>
          <w:bCs/>
          <w:color w:val="000000"/>
          <w:szCs w:val="22"/>
          <w:lang w:val="en-GB" w:eastAsia="en-US"/>
        </w:rPr>
        <w:t xml:space="preserve">Slika </w:t>
      </w:r>
      <w:r w:rsidR="00206305" w:rsidRPr="002C0444">
        <w:rPr>
          <w:rFonts w:eastAsia="Calibri" w:cs="Calibri"/>
          <w:b/>
          <w:iCs/>
          <w:szCs w:val="22"/>
          <w:lang w:val="en-GB" w:eastAsia="en-US"/>
        </w:rPr>
        <w:fldChar w:fldCharType="begin"/>
      </w:r>
      <w:r w:rsidR="00206305" w:rsidRPr="002C0444">
        <w:rPr>
          <w:rFonts w:eastAsia="Calibri" w:cs="Calibri"/>
          <w:b/>
          <w:iCs/>
          <w:szCs w:val="22"/>
          <w:lang w:val="en-GB" w:eastAsia="en-US"/>
        </w:rPr>
        <w:instrText xml:space="preserve"> STYLEREF 1 \s </w:instrText>
      </w:r>
      <w:r w:rsidR="00206305" w:rsidRPr="002C0444">
        <w:rPr>
          <w:rFonts w:eastAsia="Calibri" w:cs="Calibri"/>
          <w:b/>
          <w:iCs/>
          <w:szCs w:val="22"/>
          <w:lang w:val="en-GB" w:eastAsia="en-US"/>
        </w:rPr>
        <w:fldChar w:fldCharType="separate"/>
      </w:r>
      <w:r w:rsidR="000D1E20">
        <w:rPr>
          <w:rFonts w:eastAsia="Calibri" w:cs="Calibri"/>
          <w:b/>
          <w:iCs/>
          <w:noProof/>
          <w:szCs w:val="22"/>
          <w:lang w:val="en-GB" w:eastAsia="en-US"/>
        </w:rPr>
        <w:t>3</w:t>
      </w:r>
      <w:r w:rsidR="00206305" w:rsidRPr="002C0444">
        <w:rPr>
          <w:rFonts w:eastAsia="Calibri" w:cs="Calibri"/>
          <w:b/>
          <w:iCs/>
          <w:szCs w:val="22"/>
          <w:lang w:val="en-GB" w:eastAsia="en-US"/>
        </w:rPr>
        <w:fldChar w:fldCharType="end"/>
      </w:r>
      <w:r w:rsidR="00206305" w:rsidRPr="002C0444">
        <w:rPr>
          <w:rFonts w:eastAsia="Calibri" w:cs="Calibri"/>
          <w:b/>
          <w:iCs/>
          <w:szCs w:val="22"/>
          <w:lang w:val="en-GB" w:eastAsia="en-US"/>
        </w:rPr>
        <w:t>.</w:t>
      </w:r>
      <w:r w:rsidR="00206305" w:rsidRPr="002C0444">
        <w:rPr>
          <w:rFonts w:eastAsia="Calibri" w:cs="Calibri"/>
          <w:b/>
          <w:iCs/>
          <w:szCs w:val="22"/>
          <w:lang w:val="en-GB" w:eastAsia="en-US"/>
        </w:rPr>
        <w:fldChar w:fldCharType="begin"/>
      </w:r>
      <w:r w:rsidR="00206305" w:rsidRPr="002C0444">
        <w:rPr>
          <w:rFonts w:eastAsia="Calibri" w:cs="Calibri"/>
          <w:b/>
          <w:iCs/>
          <w:szCs w:val="22"/>
          <w:lang w:val="en-GB" w:eastAsia="en-US"/>
        </w:rPr>
        <w:instrText xml:space="preserve"> SEQ Figure \* ARABIC \s 1 </w:instrText>
      </w:r>
      <w:r w:rsidR="00206305" w:rsidRPr="002C0444">
        <w:rPr>
          <w:rFonts w:eastAsia="Calibri" w:cs="Calibri"/>
          <w:b/>
          <w:iCs/>
          <w:szCs w:val="22"/>
          <w:lang w:val="en-GB" w:eastAsia="en-US"/>
        </w:rPr>
        <w:fldChar w:fldCharType="separate"/>
      </w:r>
      <w:r w:rsidR="000D1E20">
        <w:rPr>
          <w:rFonts w:eastAsia="Calibri" w:cs="Calibri"/>
          <w:b/>
          <w:iCs/>
          <w:noProof/>
          <w:szCs w:val="22"/>
          <w:lang w:val="en-GB" w:eastAsia="en-US"/>
        </w:rPr>
        <w:t>3</w:t>
      </w:r>
      <w:r w:rsidR="00206305" w:rsidRPr="002C0444">
        <w:rPr>
          <w:rFonts w:eastAsia="Calibri" w:cs="Calibri"/>
          <w:b/>
          <w:iCs/>
          <w:szCs w:val="22"/>
          <w:lang w:val="en-GB" w:eastAsia="en-US"/>
        </w:rPr>
        <w:fldChar w:fldCharType="end"/>
      </w:r>
      <w:r w:rsidR="00206305" w:rsidRPr="002C0444">
        <w:rPr>
          <w:rFonts w:eastAsia="Calibri" w:cs="Calibri"/>
          <w:szCs w:val="22"/>
          <w:lang w:val="sr-Latn-ME" w:eastAsia="en-US"/>
        </w:rPr>
        <w:t>.</w:t>
      </w:r>
      <w:r w:rsidR="00206305" w:rsidRPr="002C0444">
        <w:rPr>
          <w:rFonts w:eastAsia="Calibri" w:cs="Calibri"/>
          <w:szCs w:val="22"/>
          <w:lang w:val="en-GB" w:eastAsia="en-US"/>
        </w:rPr>
        <w:t xml:space="preserve">  </w:t>
      </w:r>
      <w:r w:rsidR="00206305" w:rsidRPr="002C0444">
        <w:rPr>
          <w:rFonts w:eastAsia="Calibri" w:cs="Calibri"/>
          <w:b/>
          <w:bCs/>
          <w:color w:val="000000"/>
          <w:szCs w:val="22"/>
          <w:lang w:val="en-GB" w:eastAsia="en-US"/>
        </w:rPr>
        <w:t>Lokacije na kojima je istraživano koraligeno stanište</w:t>
      </w:r>
      <w:bookmarkEnd w:id="382"/>
    </w:p>
    <w:p w14:paraId="71672B98" w14:textId="76BFD856" w:rsidR="002C0444" w:rsidRPr="002C0444" w:rsidRDefault="002C0444" w:rsidP="000C38ED">
      <w:pPr>
        <w:keepNext/>
        <w:spacing w:before="240" w:after="240"/>
        <w:jc w:val="left"/>
        <w:outlineLvl w:val="2"/>
        <w:rPr>
          <w:rFonts w:eastAsia="Calibri" w:cs="Calibri"/>
          <w:b/>
          <w:bCs/>
          <w:color w:val="2E74B5"/>
          <w:sz w:val="26"/>
          <w:szCs w:val="26"/>
          <w:lang w:val="en-GB" w:eastAsia="en-US"/>
        </w:rPr>
      </w:pPr>
    </w:p>
    <w:p w14:paraId="1E0048D4" w14:textId="67D04EBC" w:rsidR="002C0444" w:rsidRPr="002C0444" w:rsidRDefault="000C38ED" w:rsidP="000C38ED">
      <w:pPr>
        <w:pStyle w:val="Heading3"/>
        <w:rPr>
          <w:rFonts w:eastAsia="Calibri"/>
          <w:lang w:val="en-GB" w:eastAsia="en-US"/>
        </w:rPr>
      </w:pPr>
      <w:bookmarkStart w:id="383" w:name="_Toc83630986"/>
      <w:r>
        <w:rPr>
          <w:rFonts w:eastAsia="Calibri"/>
          <w:lang w:val="en-GB" w:eastAsia="en-US"/>
        </w:rPr>
        <w:t>P</w:t>
      </w:r>
      <w:r w:rsidR="002C0444" w:rsidRPr="002C0444">
        <w:rPr>
          <w:rFonts w:eastAsia="Calibri"/>
          <w:lang w:val="en-GB" w:eastAsia="en-US"/>
        </w:rPr>
        <w:t>ristup procjen</w:t>
      </w:r>
      <w:r w:rsidR="00D4220F">
        <w:rPr>
          <w:rFonts w:eastAsia="Calibri"/>
          <w:lang w:val="en-GB" w:eastAsia="en-US"/>
        </w:rPr>
        <w:t>i</w:t>
      </w:r>
      <w:r w:rsidR="002C0444" w:rsidRPr="002C0444">
        <w:rPr>
          <w:rFonts w:eastAsia="Calibri"/>
          <w:lang w:val="en-GB" w:eastAsia="en-US"/>
        </w:rPr>
        <w:t xml:space="preserve"> </w:t>
      </w:r>
      <w:r w:rsidR="00151BD7">
        <w:rPr>
          <w:rFonts w:eastAsia="Calibri"/>
          <w:lang w:val="en-GB" w:eastAsia="en-US"/>
        </w:rPr>
        <w:t>GES</w:t>
      </w:r>
      <w:r w:rsidR="00D4220F">
        <w:rPr>
          <w:rFonts w:eastAsia="Calibri"/>
          <w:lang w:val="en-GB" w:eastAsia="en-US"/>
        </w:rPr>
        <w:t>-a</w:t>
      </w:r>
      <w:bookmarkEnd w:id="383"/>
    </w:p>
    <w:bookmarkEnd w:id="381"/>
    <w:p w14:paraId="0BF6A1FE" w14:textId="284C5F26" w:rsidR="002C0444" w:rsidRPr="002A4FE5" w:rsidRDefault="002C0444" w:rsidP="002C0444">
      <w:pPr>
        <w:spacing w:before="0" w:after="0"/>
        <w:rPr>
          <w:rFonts w:eastAsia="Calibri" w:cs="Calibri"/>
          <w:szCs w:val="22"/>
          <w:lang w:val="sr-Latn-ME" w:eastAsia="en-US"/>
        </w:rPr>
      </w:pPr>
      <w:r w:rsidRPr="002A4FE5">
        <w:rPr>
          <w:rFonts w:eastAsia="Calibri" w:cs="Calibri"/>
          <w:szCs w:val="22"/>
          <w:lang w:val="sr-Latn-ME" w:eastAsia="en-US"/>
        </w:rPr>
        <w:t xml:space="preserve">Nastavljajući nakon </w:t>
      </w:r>
      <w:r w:rsidR="00C470F8">
        <w:rPr>
          <w:rFonts w:eastAsia="Calibri" w:cs="Calibri"/>
          <w:szCs w:val="22"/>
          <w:lang w:val="sr-Latn-ME" w:eastAsia="en-US"/>
        </w:rPr>
        <w:t>Početne</w:t>
      </w:r>
      <w:r w:rsidRPr="002A4FE5">
        <w:rPr>
          <w:rFonts w:eastAsia="Calibri" w:cs="Calibri"/>
          <w:szCs w:val="22"/>
          <w:lang w:val="sr-Latn-ME" w:eastAsia="en-US"/>
        </w:rPr>
        <w:t xml:space="preserve"> procjene stanja morskog okruženja Crne Gore (2020) i elemenata navedenih u Aneksu I Direktive, države su dužne da utvrde niz karakteristika za dobar status</w:t>
      </w:r>
      <w:r w:rsidR="00C470F8">
        <w:rPr>
          <w:rFonts w:eastAsia="Calibri" w:cs="Calibri"/>
          <w:szCs w:val="22"/>
          <w:lang w:val="sr-Latn-ME" w:eastAsia="en-US"/>
        </w:rPr>
        <w:t xml:space="preserve"> morske sredine </w:t>
      </w:r>
      <w:r w:rsidRPr="002A4FE5">
        <w:rPr>
          <w:rFonts w:eastAsia="Calibri" w:cs="Calibri"/>
          <w:szCs w:val="22"/>
          <w:lang w:val="sr-Latn-ME" w:eastAsia="en-US"/>
        </w:rPr>
        <w:t xml:space="preserve"> (član 9 (1) Direktive MSFD) prema kriterijumima iz Odluke Komisije (EU) 2017/848 (član 9 (3) MSFD). Od ukupno 42 kriterijuma, pet se odnosi na bentoska staništa koja pokrivaju dva deskriptora (D1 i D6) (Tabela 3.26). </w:t>
      </w:r>
      <w:r w:rsidR="00C470F8">
        <w:rPr>
          <w:rFonts w:eastAsia="Calibri" w:cs="Calibri"/>
          <w:szCs w:val="22"/>
          <w:lang w:val="sr-Latn-ME" w:eastAsia="en-US"/>
        </w:rPr>
        <w:t>C</w:t>
      </w:r>
      <w:r w:rsidRPr="002A4FE5">
        <w:rPr>
          <w:rFonts w:eastAsia="Calibri" w:cs="Calibri"/>
          <w:szCs w:val="22"/>
          <w:lang w:val="sr-Latn-ME" w:eastAsia="en-US"/>
        </w:rPr>
        <w:t>iljevi služe za praćenje napretka ka dobrom</w:t>
      </w:r>
      <w:r w:rsidR="00C470F8">
        <w:rPr>
          <w:rFonts w:eastAsia="Calibri" w:cs="Calibri"/>
          <w:szCs w:val="22"/>
          <w:lang w:val="sr-Latn-ME" w:eastAsia="en-US"/>
        </w:rPr>
        <w:t xml:space="preserve"> </w:t>
      </w:r>
      <w:r w:rsidRPr="002A4FE5">
        <w:rPr>
          <w:rFonts w:eastAsia="Calibri" w:cs="Calibri"/>
          <w:szCs w:val="22"/>
          <w:lang w:val="sr-Latn-ME" w:eastAsia="en-US"/>
        </w:rPr>
        <w:t>sta</w:t>
      </w:r>
      <w:r w:rsidR="00C470F8">
        <w:rPr>
          <w:rFonts w:eastAsia="Calibri" w:cs="Calibri"/>
          <w:szCs w:val="22"/>
          <w:lang w:val="sr-Latn-ME" w:eastAsia="en-US"/>
        </w:rPr>
        <w:t>nju</w:t>
      </w:r>
      <w:r w:rsidRPr="002A4FE5">
        <w:rPr>
          <w:rFonts w:eastAsia="Calibri" w:cs="Calibri"/>
          <w:szCs w:val="22"/>
          <w:lang w:val="sr-Latn-ME" w:eastAsia="en-US"/>
        </w:rPr>
        <w:t xml:space="preserve">, uzimajući u obzir </w:t>
      </w:r>
      <w:r w:rsidR="00C470F8">
        <w:rPr>
          <w:rFonts w:eastAsia="Calibri" w:cs="Calibri"/>
          <w:szCs w:val="22"/>
          <w:lang w:val="sr-Latn-ME" w:eastAsia="en-US"/>
        </w:rPr>
        <w:t>popise</w:t>
      </w:r>
      <w:r w:rsidRPr="002A4FE5">
        <w:rPr>
          <w:rFonts w:eastAsia="Calibri" w:cs="Calibri"/>
          <w:szCs w:val="22"/>
          <w:lang w:val="sr-Latn-ME" w:eastAsia="en-US"/>
        </w:rPr>
        <w:t xml:space="preserve"> pritisaka i uticaja sadržane u tabeli 2 u Aneksu III, i indikativnu listu karakteristika sadržanih u Aneksu IV MSFD-a.</w:t>
      </w:r>
    </w:p>
    <w:p w14:paraId="0FB150DD" w14:textId="77777777" w:rsidR="002C0444" w:rsidRDefault="002C0444" w:rsidP="002C0444">
      <w:pPr>
        <w:spacing w:before="0" w:after="0"/>
        <w:rPr>
          <w:rFonts w:eastAsia="Calibri" w:cs="Calibri"/>
          <w:szCs w:val="22"/>
          <w:lang w:val="sr-Latn-ME" w:eastAsia="en-US"/>
        </w:rPr>
      </w:pPr>
      <w:r w:rsidRPr="002A4FE5">
        <w:rPr>
          <w:rFonts w:eastAsia="Calibri" w:cs="Calibri"/>
          <w:szCs w:val="22"/>
          <w:lang w:val="sr-Latn-ME" w:eastAsia="en-US"/>
        </w:rPr>
        <w:t xml:space="preserve">S obzirom na to da granične vrijednosti za podregionalni ili regionalni nivo nisu zvanično postavljene, pristup procjeni GES-a zasnovan je uglavnom na ekspertskoj procjeni u odnosu na dostupne podatke i na izračunavanju pojedinačnih indeksa u zavisnosti od metodologije istraživanja odabranih staništa: </w:t>
      </w:r>
    </w:p>
    <w:p w14:paraId="16C3B8AA" w14:textId="77777777" w:rsidR="004B074A" w:rsidRPr="002A4FE5" w:rsidRDefault="004B074A" w:rsidP="002C0444">
      <w:pPr>
        <w:spacing w:before="0" w:after="0"/>
        <w:rPr>
          <w:rFonts w:eastAsia="Calibri" w:cs="Calibri"/>
          <w:szCs w:val="22"/>
          <w:lang w:val="sr-Latn-ME" w:eastAsia="en-US"/>
        </w:rPr>
      </w:pPr>
    </w:p>
    <w:p w14:paraId="2077DB9E" w14:textId="77777777" w:rsidR="002C0444" w:rsidRPr="002A4FE5" w:rsidRDefault="002C0444" w:rsidP="00C52E6F">
      <w:pPr>
        <w:numPr>
          <w:ilvl w:val="0"/>
          <w:numId w:val="65"/>
        </w:numPr>
        <w:spacing w:before="0" w:after="160" w:line="256" w:lineRule="auto"/>
        <w:contextualSpacing/>
        <w:jc w:val="left"/>
        <w:rPr>
          <w:rFonts w:eastAsia="Calibri" w:cs="Calibri"/>
          <w:szCs w:val="22"/>
          <w:lang w:val="sr-Latn-ME" w:eastAsia="en-US"/>
        </w:rPr>
      </w:pPr>
      <w:r w:rsidRPr="002A4FE5">
        <w:rPr>
          <w:rFonts w:eastAsia="Calibri" w:cs="Calibri"/>
          <w:szCs w:val="22"/>
          <w:lang w:val="sr-Latn-ME" w:eastAsia="en-US"/>
        </w:rPr>
        <w:t xml:space="preserve">Fotofilne zajednice algi - CARLIT indeks kako je definisano Direktivom 2000/60 / EC, Aneks V). </w:t>
      </w:r>
    </w:p>
    <w:p w14:paraId="3131121E" w14:textId="14EAF672" w:rsidR="002C0444" w:rsidRPr="002A4FE5" w:rsidRDefault="002C0444" w:rsidP="00C52E6F">
      <w:pPr>
        <w:numPr>
          <w:ilvl w:val="0"/>
          <w:numId w:val="65"/>
        </w:numPr>
        <w:spacing w:before="0" w:after="160" w:line="256" w:lineRule="auto"/>
        <w:contextualSpacing/>
        <w:jc w:val="left"/>
        <w:rPr>
          <w:rFonts w:eastAsia="Calibri" w:cs="Calibri"/>
          <w:szCs w:val="22"/>
          <w:lang w:val="sr-Latn-ME" w:eastAsia="en-US"/>
        </w:rPr>
      </w:pPr>
      <w:r w:rsidRPr="002A4FE5">
        <w:rPr>
          <w:rFonts w:eastAsia="Calibri" w:cs="Calibri"/>
          <w:szCs w:val="22"/>
          <w:lang w:val="sr-Latn-ME" w:eastAsia="en-US"/>
        </w:rPr>
        <w:t>Livade posidonije - POMI indeks Direktive 2000/60 / E</w:t>
      </w:r>
      <w:r w:rsidR="00C470F8">
        <w:rPr>
          <w:rFonts w:eastAsia="Calibri" w:cs="Calibri"/>
          <w:szCs w:val="22"/>
          <w:lang w:val="sr-Latn-ME" w:eastAsia="en-US"/>
        </w:rPr>
        <w:t>C</w:t>
      </w:r>
    </w:p>
    <w:p w14:paraId="4290DAF2" w14:textId="77777777" w:rsidR="002C0444" w:rsidRPr="002A4FE5" w:rsidRDefault="002C0444" w:rsidP="00C52E6F">
      <w:pPr>
        <w:numPr>
          <w:ilvl w:val="0"/>
          <w:numId w:val="65"/>
        </w:numPr>
        <w:spacing w:before="0" w:after="160" w:line="256" w:lineRule="auto"/>
        <w:contextualSpacing/>
        <w:jc w:val="left"/>
        <w:rPr>
          <w:rFonts w:eastAsia="Calibri" w:cs="Calibri"/>
          <w:szCs w:val="22"/>
          <w:lang w:val="sr-Latn-ME" w:eastAsia="en-US"/>
        </w:rPr>
      </w:pPr>
      <w:r w:rsidRPr="002A4FE5">
        <w:rPr>
          <w:rFonts w:eastAsia="Calibri" w:cs="Calibri"/>
          <w:szCs w:val="22"/>
          <w:lang w:val="sr-Latn-ME" w:eastAsia="en-US"/>
        </w:rPr>
        <w:t>Koraligene zajednice - MAES indeks.</w:t>
      </w:r>
    </w:p>
    <w:p w14:paraId="5A70F0B4" w14:textId="77777777" w:rsidR="00AA6D51" w:rsidRPr="002A4FE5" w:rsidRDefault="00AA6D51" w:rsidP="006A72D8">
      <w:pPr>
        <w:spacing w:before="0" w:after="0"/>
        <w:rPr>
          <w:rFonts w:eastAsia="Calibri" w:cs="Calibri"/>
          <w:szCs w:val="22"/>
          <w:lang w:val="sr-Latn-ME" w:eastAsia="en-US"/>
        </w:rPr>
      </w:pPr>
    </w:p>
    <w:p w14:paraId="3AEBBC34" w14:textId="194687FB" w:rsidR="002C0444" w:rsidRPr="002A4FE5" w:rsidRDefault="002C0444" w:rsidP="001A2376">
      <w:pPr>
        <w:spacing w:before="0" w:after="0"/>
        <w:rPr>
          <w:rFonts w:eastAsia="Calibri" w:cs="Calibri"/>
          <w:b/>
          <w:szCs w:val="22"/>
          <w:lang w:val="sr-Latn-ME" w:eastAsia="en-US"/>
        </w:rPr>
      </w:pPr>
      <w:r w:rsidRPr="002A4FE5">
        <w:rPr>
          <w:rFonts w:eastAsia="Calibri" w:cs="Calibri"/>
          <w:b/>
          <w:szCs w:val="22"/>
          <w:lang w:val="sr-Latn-ME" w:eastAsia="en-US"/>
        </w:rPr>
        <w:t xml:space="preserve">Tabela 3.26. </w:t>
      </w:r>
      <w:r w:rsidR="00C470F8">
        <w:rPr>
          <w:rFonts w:eastAsia="Calibri" w:cs="Calibri"/>
          <w:b/>
          <w:szCs w:val="22"/>
          <w:lang w:val="sr-Latn-ME" w:eastAsia="en-US"/>
        </w:rPr>
        <w:t xml:space="preserve">Odabir </w:t>
      </w:r>
      <w:r w:rsidRPr="002A4FE5">
        <w:rPr>
          <w:rFonts w:eastAsia="Calibri" w:cs="Calibri"/>
          <w:b/>
          <w:szCs w:val="22"/>
          <w:lang w:val="sr-Latn-ME" w:eastAsia="en-US"/>
        </w:rPr>
        <w:t xml:space="preserve">kriterijuma </w:t>
      </w:r>
      <w:r w:rsidR="00E8147C">
        <w:rPr>
          <w:rFonts w:eastAsia="Calibri" w:cs="Calibri"/>
          <w:b/>
          <w:szCs w:val="22"/>
          <w:lang w:val="sr-Latn-ME" w:eastAsia="en-US"/>
        </w:rPr>
        <w:t xml:space="preserve">za procjenu GES-a </w:t>
      </w:r>
      <w:r w:rsidRPr="002A4FE5">
        <w:rPr>
          <w:rFonts w:eastAsia="Calibri" w:cs="Calibri"/>
          <w:b/>
          <w:szCs w:val="22"/>
          <w:lang w:val="sr-Latn-ME" w:eastAsia="en-US"/>
        </w:rPr>
        <w:t xml:space="preserve">bentoskih staništa (D1 i D6) prema Odluci Komisije 2017/848/EC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8"/>
        <w:gridCol w:w="4560"/>
        <w:gridCol w:w="1418"/>
      </w:tblGrid>
      <w:tr w:rsidR="002C0444" w:rsidRPr="002C0444" w14:paraId="2AECE569" w14:textId="77777777" w:rsidTr="001A2376">
        <w:trPr>
          <w:trHeight w:val="416"/>
        </w:trPr>
        <w:tc>
          <w:tcPr>
            <w:tcW w:w="2948" w:type="dxa"/>
            <w:tcBorders>
              <w:top w:val="single" w:sz="4" w:space="0" w:color="auto"/>
              <w:left w:val="single" w:sz="4" w:space="0" w:color="auto"/>
              <w:bottom w:val="single" w:sz="4" w:space="0" w:color="auto"/>
              <w:right w:val="single" w:sz="4" w:space="0" w:color="auto"/>
            </w:tcBorders>
            <w:shd w:val="clear" w:color="auto" w:fill="1F497D" w:themeFill="text2"/>
            <w:hideMark/>
          </w:tcPr>
          <w:p w14:paraId="009FF7A1" w14:textId="77777777" w:rsidR="002C0444" w:rsidRPr="001A2376" w:rsidRDefault="002C0444" w:rsidP="002C0444">
            <w:pPr>
              <w:autoSpaceDE w:val="0"/>
              <w:autoSpaceDN w:val="0"/>
              <w:adjustRightInd w:val="0"/>
              <w:spacing w:before="0" w:after="0"/>
              <w:ind w:firstLine="397"/>
              <w:rPr>
                <w:rFonts w:eastAsia="Calibri" w:cs="Calibri"/>
                <w:color w:val="FFFFFF" w:themeColor="background1"/>
                <w:szCs w:val="22"/>
                <w:lang w:val="sr-Latn-ME" w:eastAsia="en-US"/>
              </w:rPr>
            </w:pPr>
            <w:r w:rsidRPr="001A2376">
              <w:rPr>
                <w:rFonts w:eastAsia="Calibri" w:cs="Calibri"/>
                <w:color w:val="FFFFFF" w:themeColor="background1"/>
                <w:szCs w:val="22"/>
                <w:lang w:val="sr-Latn-ME" w:eastAsia="en-US"/>
              </w:rPr>
              <w:t>Elementi kriterijuma</w:t>
            </w:r>
          </w:p>
        </w:tc>
        <w:tc>
          <w:tcPr>
            <w:tcW w:w="4560" w:type="dxa"/>
            <w:tcBorders>
              <w:top w:val="single" w:sz="4" w:space="0" w:color="auto"/>
              <w:left w:val="single" w:sz="4" w:space="0" w:color="auto"/>
              <w:bottom w:val="single" w:sz="4" w:space="0" w:color="auto"/>
              <w:right w:val="single" w:sz="4" w:space="0" w:color="auto"/>
            </w:tcBorders>
            <w:shd w:val="clear" w:color="auto" w:fill="1F497D" w:themeFill="text2"/>
            <w:hideMark/>
          </w:tcPr>
          <w:p w14:paraId="13EB7BB6" w14:textId="77777777" w:rsidR="002C0444" w:rsidRPr="001A2376" w:rsidRDefault="002C0444" w:rsidP="002C0444">
            <w:pPr>
              <w:autoSpaceDE w:val="0"/>
              <w:autoSpaceDN w:val="0"/>
              <w:adjustRightInd w:val="0"/>
              <w:spacing w:before="0" w:after="0"/>
              <w:ind w:firstLine="397"/>
              <w:rPr>
                <w:rFonts w:eastAsia="Calibri" w:cs="Calibri"/>
                <w:color w:val="FFFFFF" w:themeColor="background1"/>
                <w:szCs w:val="22"/>
                <w:lang w:val="sr-Latn-ME" w:eastAsia="en-US"/>
              </w:rPr>
            </w:pPr>
            <w:r w:rsidRPr="001A2376">
              <w:rPr>
                <w:rFonts w:eastAsia="Calibri" w:cs="Calibri"/>
                <w:color w:val="FFFFFF" w:themeColor="background1"/>
                <w:szCs w:val="22"/>
                <w:lang w:val="sr-Latn-ME" w:eastAsia="en-US"/>
              </w:rPr>
              <w:t>Kriterijumi</w:t>
            </w:r>
          </w:p>
        </w:tc>
        <w:tc>
          <w:tcPr>
            <w:tcW w:w="1418" w:type="dxa"/>
            <w:tcBorders>
              <w:top w:val="single" w:sz="4" w:space="0" w:color="auto"/>
              <w:left w:val="single" w:sz="4" w:space="0" w:color="auto"/>
              <w:bottom w:val="single" w:sz="4" w:space="0" w:color="auto"/>
              <w:right w:val="single" w:sz="4" w:space="0" w:color="auto"/>
            </w:tcBorders>
            <w:shd w:val="clear" w:color="auto" w:fill="1F497D" w:themeFill="text2"/>
            <w:hideMark/>
          </w:tcPr>
          <w:p w14:paraId="4BF5ACA4" w14:textId="41400525" w:rsidR="002C0444" w:rsidRPr="001A2376" w:rsidRDefault="002C0444" w:rsidP="002C0444">
            <w:pPr>
              <w:autoSpaceDE w:val="0"/>
              <w:autoSpaceDN w:val="0"/>
              <w:adjustRightInd w:val="0"/>
              <w:spacing w:before="0" w:after="0"/>
              <w:ind w:firstLine="397"/>
              <w:rPr>
                <w:rFonts w:eastAsia="Calibri" w:cs="Calibri"/>
                <w:iCs/>
                <w:color w:val="FFFFFF" w:themeColor="background1"/>
                <w:szCs w:val="22"/>
                <w:lang w:val="sr-Latn-ME" w:eastAsia="en-US"/>
              </w:rPr>
            </w:pPr>
            <w:r w:rsidRPr="001A2376">
              <w:rPr>
                <w:rFonts w:eastAsia="Calibri" w:cs="Calibri"/>
                <w:iCs/>
                <w:color w:val="FFFFFF" w:themeColor="background1"/>
                <w:szCs w:val="22"/>
                <w:lang w:val="sr-Latn-ME" w:eastAsia="en-US"/>
              </w:rPr>
              <w:t xml:space="preserve">CG </w:t>
            </w:r>
            <w:r w:rsidR="00151BD7" w:rsidRPr="001A2376">
              <w:rPr>
                <w:rFonts w:eastAsia="Calibri" w:cs="Calibri"/>
                <w:iCs/>
                <w:color w:val="FFFFFF" w:themeColor="background1"/>
                <w:szCs w:val="22"/>
                <w:lang w:val="sr-Latn-ME" w:eastAsia="en-US"/>
              </w:rPr>
              <w:t>GES</w:t>
            </w:r>
            <w:r w:rsidRPr="001A2376">
              <w:rPr>
                <w:rFonts w:eastAsia="Calibri" w:cs="Calibri"/>
                <w:iCs/>
                <w:color w:val="FFFFFF" w:themeColor="background1"/>
                <w:szCs w:val="22"/>
                <w:lang w:val="sr-Latn-ME" w:eastAsia="en-US"/>
              </w:rPr>
              <w:t xml:space="preserve"> pokrivenost</w:t>
            </w:r>
          </w:p>
        </w:tc>
      </w:tr>
      <w:tr w:rsidR="002C0444" w:rsidRPr="002C0444" w14:paraId="4445C1B6" w14:textId="77777777" w:rsidTr="004B074A">
        <w:trPr>
          <w:trHeight w:val="701"/>
        </w:trPr>
        <w:tc>
          <w:tcPr>
            <w:tcW w:w="2948" w:type="dxa"/>
            <w:tcBorders>
              <w:top w:val="single" w:sz="4" w:space="0" w:color="auto"/>
              <w:left w:val="single" w:sz="4" w:space="0" w:color="auto"/>
              <w:bottom w:val="single" w:sz="4" w:space="0" w:color="auto"/>
              <w:right w:val="single" w:sz="4" w:space="0" w:color="auto"/>
            </w:tcBorders>
            <w:hideMark/>
          </w:tcPr>
          <w:p w14:paraId="5D29B66C" w14:textId="77777777" w:rsidR="002C0444" w:rsidRPr="002A4FE5" w:rsidRDefault="002C0444" w:rsidP="004B074A">
            <w:pPr>
              <w:autoSpaceDE w:val="0"/>
              <w:autoSpaceDN w:val="0"/>
              <w:adjustRightInd w:val="0"/>
              <w:spacing w:before="0" w:after="0"/>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Fizički gubitak morskog dna (uključujući pojas plime i osjeke). </w:t>
            </w:r>
          </w:p>
        </w:tc>
        <w:tc>
          <w:tcPr>
            <w:tcW w:w="4560" w:type="dxa"/>
            <w:tcBorders>
              <w:top w:val="single" w:sz="4" w:space="0" w:color="auto"/>
              <w:left w:val="single" w:sz="4" w:space="0" w:color="auto"/>
              <w:bottom w:val="single" w:sz="4" w:space="0" w:color="auto"/>
              <w:right w:val="single" w:sz="4" w:space="0" w:color="auto"/>
            </w:tcBorders>
            <w:hideMark/>
          </w:tcPr>
          <w:p w14:paraId="24483FCD" w14:textId="77777777" w:rsidR="002C0444" w:rsidRPr="002A4FE5" w:rsidRDefault="002C0444" w:rsidP="004B074A">
            <w:pPr>
              <w:autoSpaceDE w:val="0"/>
              <w:autoSpaceDN w:val="0"/>
              <w:adjustRightInd w:val="0"/>
              <w:spacing w:before="0" w:after="0"/>
              <w:rPr>
                <w:rFonts w:eastAsia="Calibri" w:cs="Calibri"/>
                <w:color w:val="000000"/>
                <w:sz w:val="20"/>
                <w:szCs w:val="20"/>
                <w:lang w:val="sr-Latn-ME" w:eastAsia="en-US"/>
              </w:rPr>
            </w:pPr>
            <w:r w:rsidRPr="002A4FE5">
              <w:rPr>
                <w:rFonts w:eastAsia="Calibri" w:cs="Calibri"/>
                <w:b/>
                <w:color w:val="000000"/>
                <w:sz w:val="20"/>
                <w:szCs w:val="20"/>
                <w:lang w:val="sr-Latn-ME" w:eastAsia="en-US"/>
              </w:rPr>
              <w:t>D6C1 – Primarni:</w:t>
            </w:r>
            <w:r w:rsidRPr="002A4FE5">
              <w:rPr>
                <w:rFonts w:eastAsia="Calibri" w:cs="Calibri"/>
                <w:color w:val="000000"/>
                <w:sz w:val="20"/>
                <w:szCs w:val="20"/>
                <w:lang w:val="sr-Latn-ME" w:eastAsia="en-US"/>
              </w:rPr>
              <w:t xml:space="preserve"> Površina i rasprostranjenost fizičkog gubitka (trajna promjena) prirodnog morskog dna. </w:t>
            </w:r>
          </w:p>
        </w:tc>
        <w:tc>
          <w:tcPr>
            <w:tcW w:w="1418" w:type="dxa"/>
            <w:tcBorders>
              <w:top w:val="single" w:sz="4" w:space="0" w:color="auto"/>
              <w:left w:val="single" w:sz="4" w:space="0" w:color="auto"/>
              <w:bottom w:val="single" w:sz="4" w:space="0" w:color="auto"/>
              <w:right w:val="single" w:sz="4" w:space="0" w:color="auto"/>
            </w:tcBorders>
            <w:hideMark/>
          </w:tcPr>
          <w:p w14:paraId="02C46AE7" w14:textId="77777777" w:rsidR="002C0444" w:rsidRPr="002A4FE5" w:rsidRDefault="002C0444" w:rsidP="00D4220F">
            <w:pPr>
              <w:autoSpaceDE w:val="0"/>
              <w:autoSpaceDN w:val="0"/>
              <w:adjustRightInd w:val="0"/>
              <w:spacing w:before="0" w:after="0"/>
              <w:rPr>
                <w:rFonts w:eastAsia="Calibri" w:cs="Calibri"/>
                <w:color w:val="000000"/>
                <w:sz w:val="20"/>
                <w:szCs w:val="20"/>
                <w:lang w:val="sr-Latn-ME" w:eastAsia="en-US"/>
              </w:rPr>
            </w:pPr>
            <w:r w:rsidRPr="002A4FE5">
              <w:rPr>
                <w:rFonts w:eastAsia="Calibri" w:cs="Calibri"/>
                <w:color w:val="000000"/>
                <w:sz w:val="20"/>
                <w:szCs w:val="20"/>
                <w:lang w:val="sr-Latn-ME" w:eastAsia="en-US"/>
              </w:rPr>
              <w:t>Pokriveno djelimično</w:t>
            </w:r>
          </w:p>
        </w:tc>
      </w:tr>
      <w:tr w:rsidR="002C0444" w:rsidRPr="002C0444" w14:paraId="2EADF882" w14:textId="77777777" w:rsidTr="004B074A">
        <w:trPr>
          <w:trHeight w:val="611"/>
        </w:trPr>
        <w:tc>
          <w:tcPr>
            <w:tcW w:w="2948" w:type="dxa"/>
            <w:tcBorders>
              <w:top w:val="single" w:sz="4" w:space="0" w:color="auto"/>
              <w:left w:val="single" w:sz="4" w:space="0" w:color="auto"/>
              <w:bottom w:val="single" w:sz="4" w:space="0" w:color="auto"/>
              <w:right w:val="single" w:sz="4" w:space="0" w:color="auto"/>
            </w:tcBorders>
            <w:hideMark/>
          </w:tcPr>
          <w:p w14:paraId="432539E3" w14:textId="77777777" w:rsidR="002C0444" w:rsidRPr="002A4FE5" w:rsidRDefault="002C0444" w:rsidP="004B074A">
            <w:pPr>
              <w:autoSpaceDE w:val="0"/>
              <w:autoSpaceDN w:val="0"/>
              <w:adjustRightInd w:val="0"/>
              <w:spacing w:before="0" w:after="0"/>
              <w:rPr>
                <w:rFonts w:eastAsia="Calibri" w:cs="Calibri"/>
                <w:color w:val="000000"/>
                <w:sz w:val="20"/>
                <w:szCs w:val="20"/>
                <w:lang w:val="sr-Latn-ME" w:eastAsia="en-US"/>
              </w:rPr>
            </w:pPr>
            <w:r w:rsidRPr="002A4FE5">
              <w:rPr>
                <w:rFonts w:eastAsia="Calibri" w:cs="Calibri"/>
                <w:color w:val="000000"/>
                <w:sz w:val="20"/>
                <w:szCs w:val="20"/>
                <w:lang w:val="sr-Latn-ME" w:eastAsia="en-US"/>
              </w:rPr>
              <w:t>Fizičke smetnje na morskom dnu (uključujući pojas plime i osjeke).</w:t>
            </w:r>
          </w:p>
        </w:tc>
        <w:tc>
          <w:tcPr>
            <w:tcW w:w="4560" w:type="dxa"/>
            <w:tcBorders>
              <w:top w:val="single" w:sz="4" w:space="0" w:color="auto"/>
              <w:left w:val="single" w:sz="4" w:space="0" w:color="auto"/>
              <w:bottom w:val="single" w:sz="4" w:space="0" w:color="auto"/>
              <w:right w:val="single" w:sz="4" w:space="0" w:color="auto"/>
            </w:tcBorders>
            <w:hideMark/>
          </w:tcPr>
          <w:p w14:paraId="062A90FC" w14:textId="77777777" w:rsidR="002C0444" w:rsidRPr="002A4FE5" w:rsidRDefault="002C0444" w:rsidP="004B074A">
            <w:pPr>
              <w:autoSpaceDE w:val="0"/>
              <w:autoSpaceDN w:val="0"/>
              <w:adjustRightInd w:val="0"/>
              <w:spacing w:before="0" w:after="0"/>
              <w:rPr>
                <w:rFonts w:eastAsia="Calibri" w:cs="Calibri"/>
                <w:color w:val="000000"/>
                <w:sz w:val="20"/>
                <w:szCs w:val="20"/>
                <w:lang w:val="sr-Latn-ME" w:eastAsia="en-US"/>
              </w:rPr>
            </w:pPr>
            <w:r w:rsidRPr="002A4FE5">
              <w:rPr>
                <w:rFonts w:eastAsia="Calibri" w:cs="Calibri"/>
                <w:b/>
                <w:color w:val="000000"/>
                <w:sz w:val="20"/>
                <w:szCs w:val="20"/>
                <w:lang w:val="sr-Latn-ME" w:eastAsia="en-US"/>
              </w:rPr>
              <w:t>D6C2 – Primarni:</w:t>
            </w:r>
            <w:r w:rsidRPr="002A4FE5">
              <w:rPr>
                <w:rFonts w:eastAsia="Calibri" w:cs="Calibri"/>
                <w:color w:val="000000"/>
                <w:sz w:val="20"/>
                <w:szCs w:val="20"/>
                <w:lang w:val="sr-Latn-ME" w:eastAsia="en-US"/>
              </w:rPr>
              <w:t xml:space="preserve"> Prostorni opseg i rasprostranjenost pritisaka na morsko dno u obliku fizičkih smetnji.</w:t>
            </w:r>
          </w:p>
        </w:tc>
        <w:tc>
          <w:tcPr>
            <w:tcW w:w="1418" w:type="dxa"/>
            <w:tcBorders>
              <w:top w:val="single" w:sz="4" w:space="0" w:color="auto"/>
              <w:left w:val="single" w:sz="4" w:space="0" w:color="auto"/>
              <w:bottom w:val="single" w:sz="4" w:space="0" w:color="auto"/>
              <w:right w:val="single" w:sz="4" w:space="0" w:color="auto"/>
            </w:tcBorders>
            <w:hideMark/>
          </w:tcPr>
          <w:p w14:paraId="2A08CD05" w14:textId="77777777" w:rsidR="002C0444" w:rsidRPr="002A4FE5" w:rsidRDefault="002C0444" w:rsidP="004B074A">
            <w:pPr>
              <w:autoSpaceDE w:val="0"/>
              <w:autoSpaceDN w:val="0"/>
              <w:adjustRightInd w:val="0"/>
              <w:spacing w:before="0" w:after="0"/>
              <w:rPr>
                <w:rFonts w:eastAsia="Calibri" w:cs="Calibri"/>
                <w:i/>
                <w:iCs/>
                <w:color w:val="000000"/>
                <w:sz w:val="20"/>
                <w:szCs w:val="20"/>
                <w:lang w:val="sr-Latn-ME" w:eastAsia="en-US"/>
              </w:rPr>
            </w:pPr>
            <w:r w:rsidRPr="002A4FE5">
              <w:rPr>
                <w:rFonts w:eastAsia="Calibri" w:cs="Calibri"/>
                <w:color w:val="000000"/>
                <w:sz w:val="20"/>
                <w:szCs w:val="20"/>
                <w:lang w:val="sr-Latn-ME" w:eastAsia="en-US"/>
              </w:rPr>
              <w:t>Nije pokriveno</w:t>
            </w:r>
          </w:p>
        </w:tc>
      </w:tr>
      <w:tr w:rsidR="002C0444" w:rsidRPr="002C0444" w14:paraId="6FFF247C" w14:textId="77777777" w:rsidTr="004B074A">
        <w:trPr>
          <w:trHeight w:val="1970"/>
        </w:trPr>
        <w:tc>
          <w:tcPr>
            <w:tcW w:w="2948" w:type="dxa"/>
            <w:tcBorders>
              <w:top w:val="single" w:sz="4" w:space="0" w:color="auto"/>
              <w:left w:val="single" w:sz="4" w:space="0" w:color="auto"/>
              <w:bottom w:val="single" w:sz="4" w:space="0" w:color="auto"/>
              <w:right w:val="single" w:sz="4" w:space="0" w:color="auto"/>
            </w:tcBorders>
          </w:tcPr>
          <w:p w14:paraId="632355D6" w14:textId="77777777" w:rsidR="002C0444" w:rsidRPr="002A4FE5" w:rsidRDefault="002C0444" w:rsidP="004B074A">
            <w:pPr>
              <w:autoSpaceDE w:val="0"/>
              <w:autoSpaceDN w:val="0"/>
              <w:adjustRightInd w:val="0"/>
              <w:spacing w:before="0" w:after="0"/>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Široki tipovi bentoskog staništa ili drugi tipovi staništa, kako su upotrijebljeni u okviru deskriptora 1. i 6. </w:t>
            </w:r>
          </w:p>
          <w:p w14:paraId="5DA0DEF0" w14:textId="77777777" w:rsidR="002C0444" w:rsidRPr="002A4FE5" w:rsidRDefault="002C0444" w:rsidP="004B074A">
            <w:pPr>
              <w:autoSpaceDE w:val="0"/>
              <w:autoSpaceDN w:val="0"/>
              <w:adjustRightInd w:val="0"/>
              <w:spacing w:before="0" w:after="0"/>
              <w:ind w:firstLine="397"/>
              <w:rPr>
                <w:rFonts w:eastAsia="Calibri" w:cs="Calibri"/>
                <w:color w:val="000000"/>
                <w:sz w:val="20"/>
                <w:szCs w:val="20"/>
                <w:lang w:val="sr-Latn-ME" w:eastAsia="en-US"/>
              </w:rPr>
            </w:pPr>
          </w:p>
        </w:tc>
        <w:tc>
          <w:tcPr>
            <w:tcW w:w="4560" w:type="dxa"/>
            <w:tcBorders>
              <w:top w:val="single" w:sz="4" w:space="0" w:color="auto"/>
              <w:left w:val="single" w:sz="4" w:space="0" w:color="auto"/>
              <w:bottom w:val="single" w:sz="4" w:space="0" w:color="auto"/>
              <w:right w:val="single" w:sz="4" w:space="0" w:color="auto"/>
            </w:tcBorders>
          </w:tcPr>
          <w:p w14:paraId="7F95821D" w14:textId="0ECF748D" w:rsidR="002C0444" w:rsidRPr="002A4FE5" w:rsidRDefault="002C0444" w:rsidP="004B074A">
            <w:pPr>
              <w:autoSpaceDE w:val="0"/>
              <w:autoSpaceDN w:val="0"/>
              <w:adjustRightInd w:val="0"/>
              <w:spacing w:before="0" w:after="0"/>
              <w:rPr>
                <w:rFonts w:eastAsia="Calibri" w:cs="Calibri"/>
                <w:color w:val="000000"/>
                <w:sz w:val="20"/>
                <w:szCs w:val="20"/>
                <w:lang w:val="sr-Latn-ME" w:eastAsia="en-US"/>
              </w:rPr>
            </w:pPr>
            <w:r w:rsidRPr="002A4FE5">
              <w:rPr>
                <w:rFonts w:eastAsia="Calibri" w:cs="Calibri"/>
                <w:b/>
                <w:color w:val="000000"/>
                <w:sz w:val="20"/>
                <w:szCs w:val="20"/>
                <w:lang w:val="sr-Latn-ME" w:eastAsia="en-US"/>
              </w:rPr>
              <w:t>D6C3 – Primarni</w:t>
            </w:r>
            <w:r w:rsidRPr="002A4FE5">
              <w:rPr>
                <w:rFonts w:eastAsia="Calibri" w:cs="Calibri"/>
                <w:color w:val="000000"/>
                <w:sz w:val="20"/>
                <w:szCs w:val="20"/>
                <w:lang w:val="sr-Latn-ME" w:eastAsia="en-US"/>
              </w:rPr>
              <w:t>: Površina svakog tipa staništa u kojem je zbog štetnog utjecaja fizičkih smetnji došlo do promjene biotičke i abiotičke strukture i funkcija (npr. promjene sastava i relativne brojnosti vrsta, odsustvo posebno osjetljivih vrsta ili vrsta koje imaju ključnu funkciju, promjene strukture vrsta prema veličini) zbog fizičke sme</w:t>
            </w:r>
            <w:r w:rsidR="004B074A">
              <w:rPr>
                <w:rFonts w:eastAsia="Calibri" w:cs="Calibri"/>
                <w:color w:val="000000"/>
                <w:sz w:val="20"/>
                <w:szCs w:val="20"/>
                <w:lang w:val="sr-Latn-ME" w:eastAsia="en-US"/>
              </w:rPr>
              <w:t>t</w:t>
            </w:r>
            <w:r w:rsidRPr="002A4FE5">
              <w:rPr>
                <w:rFonts w:eastAsia="Calibri" w:cs="Calibri"/>
                <w:color w:val="000000"/>
                <w:sz w:val="20"/>
                <w:szCs w:val="20"/>
                <w:lang w:val="sr-Latn-ME" w:eastAsia="en-US"/>
              </w:rPr>
              <w:t>nje.</w:t>
            </w:r>
          </w:p>
          <w:p w14:paraId="25AD8614" w14:textId="77777777" w:rsidR="002C0444" w:rsidRPr="002A4FE5" w:rsidRDefault="002C0444" w:rsidP="004B074A">
            <w:pPr>
              <w:autoSpaceDE w:val="0"/>
              <w:autoSpaceDN w:val="0"/>
              <w:adjustRightInd w:val="0"/>
              <w:spacing w:before="0" w:after="0"/>
              <w:ind w:firstLine="397"/>
              <w:rPr>
                <w:rFonts w:eastAsia="Calibri" w:cs="Calibri"/>
                <w:color w:val="000000"/>
                <w:sz w:val="20"/>
                <w:szCs w:val="20"/>
                <w:lang w:val="sr-Latn-ME" w:eastAsia="en-US"/>
              </w:rPr>
            </w:pPr>
          </w:p>
        </w:tc>
        <w:tc>
          <w:tcPr>
            <w:tcW w:w="1418" w:type="dxa"/>
            <w:tcBorders>
              <w:top w:val="single" w:sz="4" w:space="0" w:color="auto"/>
              <w:left w:val="single" w:sz="4" w:space="0" w:color="auto"/>
              <w:bottom w:val="single" w:sz="4" w:space="0" w:color="auto"/>
              <w:right w:val="single" w:sz="4" w:space="0" w:color="auto"/>
            </w:tcBorders>
            <w:hideMark/>
          </w:tcPr>
          <w:p w14:paraId="0CFD6457" w14:textId="35567DD2" w:rsidR="002C0444" w:rsidRPr="002A4FE5" w:rsidRDefault="00270073" w:rsidP="00270073">
            <w:pPr>
              <w:autoSpaceDE w:val="0"/>
              <w:autoSpaceDN w:val="0"/>
              <w:adjustRightInd w:val="0"/>
              <w:spacing w:before="0" w:after="0"/>
              <w:rPr>
                <w:rFonts w:eastAsia="Calibri" w:cs="Calibri"/>
                <w:iCs/>
                <w:color w:val="000000"/>
                <w:sz w:val="20"/>
                <w:szCs w:val="20"/>
                <w:lang w:val="sr-Latn-ME" w:eastAsia="en-US"/>
              </w:rPr>
            </w:pPr>
            <w:r>
              <w:rPr>
                <w:rFonts w:eastAsia="Calibri" w:cs="Calibri"/>
                <w:iCs/>
                <w:color w:val="000000"/>
                <w:sz w:val="20"/>
                <w:szCs w:val="20"/>
                <w:lang w:val="sr-Latn-ME" w:eastAsia="en-US"/>
              </w:rPr>
              <w:t>P</w:t>
            </w:r>
            <w:r w:rsidR="002C0444" w:rsidRPr="002A4FE5">
              <w:rPr>
                <w:rFonts w:eastAsia="Calibri" w:cs="Calibri"/>
                <w:iCs/>
                <w:color w:val="000000"/>
                <w:sz w:val="20"/>
                <w:szCs w:val="20"/>
                <w:lang w:val="sr-Latn-ME" w:eastAsia="en-US"/>
              </w:rPr>
              <w:t>okriveno</w:t>
            </w:r>
          </w:p>
        </w:tc>
      </w:tr>
      <w:tr w:rsidR="002C0444" w:rsidRPr="002C0444" w14:paraId="1112326C" w14:textId="77777777" w:rsidTr="004B074A">
        <w:trPr>
          <w:trHeight w:val="1331"/>
        </w:trPr>
        <w:tc>
          <w:tcPr>
            <w:tcW w:w="2948" w:type="dxa"/>
            <w:vMerge w:val="restart"/>
            <w:tcBorders>
              <w:top w:val="single" w:sz="4" w:space="0" w:color="auto"/>
              <w:left w:val="single" w:sz="4" w:space="0" w:color="auto"/>
              <w:bottom w:val="single" w:sz="4" w:space="0" w:color="auto"/>
              <w:right w:val="single" w:sz="4" w:space="0" w:color="auto"/>
            </w:tcBorders>
          </w:tcPr>
          <w:p w14:paraId="2A27A2CF" w14:textId="77777777" w:rsidR="002C0444" w:rsidRPr="002A4FE5" w:rsidRDefault="002C0444" w:rsidP="004B074A">
            <w:pPr>
              <w:autoSpaceDE w:val="0"/>
              <w:autoSpaceDN w:val="0"/>
              <w:adjustRightInd w:val="0"/>
              <w:spacing w:before="0" w:after="0"/>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Široki tipovi bentoskog staništa izlistani u Tabeli 2 i ako su prisutni u regiji ili podregiji, i druge vrste staništa kako su definisane u drugom paragrafu.  </w:t>
            </w:r>
          </w:p>
          <w:p w14:paraId="4D9D991E" w14:textId="77777777" w:rsidR="002C0444" w:rsidRPr="002A4FE5" w:rsidRDefault="002C0444" w:rsidP="004B074A">
            <w:pPr>
              <w:autoSpaceDE w:val="0"/>
              <w:autoSpaceDN w:val="0"/>
              <w:adjustRightInd w:val="0"/>
              <w:spacing w:before="0" w:after="0"/>
              <w:ind w:firstLine="397"/>
              <w:rPr>
                <w:rFonts w:eastAsia="Calibri" w:cs="Calibri"/>
                <w:color w:val="000000"/>
                <w:sz w:val="20"/>
                <w:szCs w:val="20"/>
                <w:lang w:val="sr-Latn-ME" w:eastAsia="en-US"/>
              </w:rPr>
            </w:pPr>
          </w:p>
        </w:tc>
        <w:tc>
          <w:tcPr>
            <w:tcW w:w="4560" w:type="dxa"/>
            <w:tcBorders>
              <w:top w:val="single" w:sz="4" w:space="0" w:color="auto"/>
              <w:left w:val="single" w:sz="4" w:space="0" w:color="auto"/>
              <w:bottom w:val="single" w:sz="4" w:space="0" w:color="auto"/>
              <w:right w:val="single" w:sz="4" w:space="0" w:color="auto"/>
            </w:tcBorders>
            <w:hideMark/>
          </w:tcPr>
          <w:p w14:paraId="3207FD66" w14:textId="77777777" w:rsidR="002C0444" w:rsidRPr="002A4FE5" w:rsidRDefault="002C0444" w:rsidP="004B074A">
            <w:pPr>
              <w:autoSpaceDE w:val="0"/>
              <w:autoSpaceDN w:val="0"/>
              <w:adjustRightInd w:val="0"/>
              <w:spacing w:before="0" w:after="0"/>
              <w:rPr>
                <w:rFonts w:eastAsia="Calibri" w:cs="Calibri"/>
                <w:color w:val="000000"/>
                <w:sz w:val="20"/>
                <w:szCs w:val="20"/>
                <w:lang w:val="sr-Latn-ME" w:eastAsia="en-US"/>
              </w:rPr>
            </w:pPr>
            <w:r w:rsidRPr="002A4FE5">
              <w:rPr>
                <w:rFonts w:eastAsia="Calibri" w:cs="Calibri"/>
                <w:b/>
                <w:color w:val="000000"/>
                <w:sz w:val="20"/>
                <w:szCs w:val="20"/>
                <w:lang w:val="sr-Latn-ME" w:eastAsia="en-US"/>
              </w:rPr>
              <w:t>D6C4 – Primarni</w:t>
            </w:r>
            <w:r w:rsidRPr="002A4FE5">
              <w:rPr>
                <w:rFonts w:eastAsia="Calibri" w:cs="Calibri"/>
                <w:color w:val="000000"/>
                <w:sz w:val="20"/>
                <w:szCs w:val="20"/>
                <w:lang w:val="sr-Latn-ME" w:eastAsia="en-US"/>
              </w:rPr>
              <w:t xml:space="preserve">: Površina gubitka tipa staništa koji je rezultat antropogenih pritisaka ne prelazi određeni udio prirodne površine tipa staništa u području procjene. </w:t>
            </w:r>
          </w:p>
        </w:tc>
        <w:tc>
          <w:tcPr>
            <w:tcW w:w="1418" w:type="dxa"/>
            <w:tcBorders>
              <w:top w:val="single" w:sz="4" w:space="0" w:color="auto"/>
              <w:left w:val="single" w:sz="4" w:space="0" w:color="auto"/>
              <w:bottom w:val="single" w:sz="4" w:space="0" w:color="auto"/>
              <w:right w:val="single" w:sz="4" w:space="0" w:color="auto"/>
            </w:tcBorders>
            <w:hideMark/>
          </w:tcPr>
          <w:p w14:paraId="7791024D" w14:textId="77777777" w:rsidR="002C0444" w:rsidRPr="002A4FE5" w:rsidRDefault="002C0444" w:rsidP="00270073">
            <w:pPr>
              <w:autoSpaceDE w:val="0"/>
              <w:autoSpaceDN w:val="0"/>
              <w:adjustRightInd w:val="0"/>
              <w:spacing w:before="0" w:after="0"/>
              <w:rPr>
                <w:rFonts w:eastAsia="Calibri" w:cs="Calibri"/>
                <w:iCs/>
                <w:color w:val="000000"/>
                <w:sz w:val="20"/>
                <w:szCs w:val="20"/>
                <w:lang w:val="sr-Latn-ME" w:eastAsia="en-US"/>
              </w:rPr>
            </w:pPr>
            <w:r w:rsidRPr="002A4FE5">
              <w:rPr>
                <w:rFonts w:eastAsia="Calibri" w:cs="Calibri"/>
                <w:iCs/>
                <w:color w:val="000000"/>
                <w:sz w:val="20"/>
                <w:szCs w:val="20"/>
                <w:lang w:val="sr-Latn-ME" w:eastAsia="en-US"/>
              </w:rPr>
              <w:t>Pokriveno</w:t>
            </w:r>
          </w:p>
        </w:tc>
      </w:tr>
      <w:tr w:rsidR="002C0444" w:rsidRPr="002C0444" w14:paraId="217D6765" w14:textId="77777777" w:rsidTr="002C0444">
        <w:trPr>
          <w:trHeight w:val="2045"/>
        </w:trPr>
        <w:tc>
          <w:tcPr>
            <w:tcW w:w="2948" w:type="dxa"/>
            <w:vMerge/>
            <w:tcBorders>
              <w:top w:val="single" w:sz="4" w:space="0" w:color="auto"/>
              <w:left w:val="single" w:sz="4" w:space="0" w:color="auto"/>
              <w:bottom w:val="single" w:sz="4" w:space="0" w:color="auto"/>
              <w:right w:val="single" w:sz="4" w:space="0" w:color="auto"/>
            </w:tcBorders>
            <w:vAlign w:val="center"/>
            <w:hideMark/>
          </w:tcPr>
          <w:p w14:paraId="022502D3" w14:textId="77777777" w:rsidR="002C0444" w:rsidRPr="002C0444" w:rsidRDefault="002C0444" w:rsidP="004B074A">
            <w:pPr>
              <w:spacing w:before="0" w:after="0"/>
              <w:ind w:firstLine="397"/>
              <w:rPr>
                <w:rFonts w:eastAsia="Calibri" w:cs="Calibri"/>
                <w:color w:val="000000"/>
                <w:sz w:val="24"/>
                <w:lang w:val="sr-Latn-ME" w:eastAsia="en-US"/>
              </w:rPr>
            </w:pPr>
          </w:p>
        </w:tc>
        <w:tc>
          <w:tcPr>
            <w:tcW w:w="4560" w:type="dxa"/>
            <w:tcBorders>
              <w:top w:val="single" w:sz="4" w:space="0" w:color="auto"/>
              <w:left w:val="single" w:sz="4" w:space="0" w:color="auto"/>
              <w:bottom w:val="single" w:sz="4" w:space="0" w:color="auto"/>
              <w:right w:val="single" w:sz="4" w:space="0" w:color="auto"/>
            </w:tcBorders>
            <w:hideMark/>
          </w:tcPr>
          <w:p w14:paraId="60EA04DC" w14:textId="77777777" w:rsidR="002C0444" w:rsidRPr="002A4FE5" w:rsidRDefault="002C0444" w:rsidP="004B074A">
            <w:pPr>
              <w:autoSpaceDE w:val="0"/>
              <w:autoSpaceDN w:val="0"/>
              <w:adjustRightInd w:val="0"/>
              <w:spacing w:before="0" w:after="0"/>
              <w:rPr>
                <w:rFonts w:eastAsia="Calibri" w:cs="Calibri"/>
                <w:color w:val="000000"/>
                <w:sz w:val="20"/>
                <w:szCs w:val="20"/>
                <w:lang w:val="sr-Latn-ME" w:eastAsia="en-US"/>
              </w:rPr>
            </w:pPr>
            <w:r w:rsidRPr="002A4FE5">
              <w:rPr>
                <w:rFonts w:eastAsia="Calibri" w:cs="Calibri"/>
                <w:b/>
                <w:color w:val="000000"/>
                <w:sz w:val="20"/>
                <w:szCs w:val="20"/>
                <w:lang w:val="sr-Latn-ME" w:eastAsia="en-US"/>
              </w:rPr>
              <w:t>D6C5 – Primarni</w:t>
            </w:r>
            <w:r w:rsidRPr="002A4FE5">
              <w:rPr>
                <w:rFonts w:eastAsia="Calibri" w:cs="Calibri"/>
                <w:color w:val="000000"/>
                <w:sz w:val="20"/>
                <w:szCs w:val="20"/>
                <w:lang w:val="sr-Latn-ME" w:eastAsia="en-US"/>
              </w:rPr>
              <w:t>: Opseg štetnih učinaka antropogenih pritisaka na stanje tipa staništa, uključujući mijenjanje njegove biotičke i abiotičke strukture i njegovih funkcija (npr. tipični sastav vrsta i njihova relativna brojnost, odsustvo posebno osjetljivih vrsta ili vrsta koje imaju ključnu funkciju, struktura vrste prema veličini), ne prelazi određeni udio prirodnog opsega tipa staništa u području procjene.</w:t>
            </w:r>
          </w:p>
        </w:tc>
        <w:tc>
          <w:tcPr>
            <w:tcW w:w="1418" w:type="dxa"/>
            <w:tcBorders>
              <w:top w:val="single" w:sz="4" w:space="0" w:color="auto"/>
              <w:left w:val="single" w:sz="4" w:space="0" w:color="auto"/>
              <w:bottom w:val="single" w:sz="4" w:space="0" w:color="auto"/>
              <w:right w:val="single" w:sz="4" w:space="0" w:color="auto"/>
            </w:tcBorders>
            <w:hideMark/>
          </w:tcPr>
          <w:p w14:paraId="0CC94C36" w14:textId="77777777" w:rsidR="002C0444" w:rsidRPr="002A4FE5" w:rsidRDefault="002C0444" w:rsidP="00270073">
            <w:pPr>
              <w:autoSpaceDE w:val="0"/>
              <w:autoSpaceDN w:val="0"/>
              <w:adjustRightInd w:val="0"/>
              <w:spacing w:before="0" w:after="0"/>
              <w:rPr>
                <w:rFonts w:eastAsia="Calibri" w:cs="Calibri"/>
                <w:iCs/>
                <w:color w:val="000000"/>
                <w:sz w:val="20"/>
                <w:szCs w:val="20"/>
                <w:lang w:val="sr-Latn-ME" w:eastAsia="en-US"/>
              </w:rPr>
            </w:pPr>
            <w:r w:rsidRPr="002A4FE5">
              <w:rPr>
                <w:rFonts w:eastAsia="Calibri" w:cs="Calibri"/>
                <w:iCs/>
                <w:color w:val="000000"/>
                <w:sz w:val="20"/>
                <w:szCs w:val="20"/>
                <w:lang w:val="sr-Latn-ME" w:eastAsia="en-US"/>
              </w:rPr>
              <w:t>Pokriveno</w:t>
            </w:r>
          </w:p>
        </w:tc>
      </w:tr>
    </w:tbl>
    <w:p w14:paraId="3CA76CF3" w14:textId="77777777" w:rsidR="004B074A" w:rsidRDefault="004B074A" w:rsidP="004B074A">
      <w:pPr>
        <w:pStyle w:val="Heading3"/>
        <w:numPr>
          <w:ilvl w:val="0"/>
          <w:numId w:val="0"/>
        </w:numPr>
        <w:ind w:left="2138"/>
        <w:rPr>
          <w:rFonts w:eastAsia="Calibri"/>
          <w:lang w:val="en-GB" w:eastAsia="en-US"/>
        </w:rPr>
      </w:pPr>
      <w:bookmarkStart w:id="384" w:name="_Toc83630987"/>
    </w:p>
    <w:p w14:paraId="1C243FE2" w14:textId="1161C3D9" w:rsidR="002C0444" w:rsidRPr="002C0444" w:rsidRDefault="002C0444" w:rsidP="000C38ED">
      <w:pPr>
        <w:pStyle w:val="Heading3"/>
        <w:rPr>
          <w:rFonts w:eastAsia="Calibri"/>
          <w:lang w:val="en-GB" w:eastAsia="en-US"/>
        </w:rPr>
      </w:pPr>
      <w:r w:rsidRPr="002C0444">
        <w:rPr>
          <w:rFonts w:eastAsia="Calibri"/>
          <w:lang w:val="en-GB" w:eastAsia="en-US"/>
        </w:rPr>
        <w:t xml:space="preserve">Postizanje </w:t>
      </w:r>
      <w:r w:rsidR="00151BD7">
        <w:rPr>
          <w:rFonts w:eastAsia="Calibri"/>
          <w:lang w:val="en-GB" w:eastAsia="en-US"/>
        </w:rPr>
        <w:t>GES</w:t>
      </w:r>
      <w:r w:rsidR="00D4220F">
        <w:rPr>
          <w:rFonts w:eastAsia="Calibri"/>
          <w:lang w:val="en-GB" w:eastAsia="en-US"/>
        </w:rPr>
        <w:t>-a</w:t>
      </w:r>
      <w:bookmarkEnd w:id="384"/>
    </w:p>
    <w:p w14:paraId="35B37EC5" w14:textId="25A6C3C6" w:rsidR="002C0444" w:rsidRPr="004B074A" w:rsidRDefault="002C0444" w:rsidP="002C0444">
      <w:pPr>
        <w:spacing w:before="0" w:after="0"/>
        <w:rPr>
          <w:rFonts w:eastAsia="Calibri" w:cs="Calibri"/>
          <w:szCs w:val="22"/>
          <w:lang w:val="sr-Latn-ME" w:eastAsia="en-US"/>
        </w:rPr>
      </w:pPr>
      <w:r w:rsidRPr="004B074A">
        <w:rPr>
          <w:rFonts w:eastAsia="Calibri" w:cs="Calibri"/>
          <w:szCs w:val="22"/>
          <w:lang w:val="sr-Latn-ME" w:eastAsia="en-US"/>
        </w:rPr>
        <w:t xml:space="preserve">Na osnovu svih postojećih podataka o odabranim tipovima staništa moguće je djelimično procijeniti </w:t>
      </w:r>
      <w:r w:rsidR="00151BD7" w:rsidRPr="004B074A">
        <w:rPr>
          <w:rFonts w:eastAsia="Calibri" w:cs="Calibri"/>
          <w:szCs w:val="22"/>
          <w:lang w:val="sr-Latn-ME" w:eastAsia="en-US"/>
        </w:rPr>
        <w:t>GES</w:t>
      </w:r>
      <w:r w:rsidRPr="004B074A">
        <w:rPr>
          <w:rFonts w:eastAsia="Calibri" w:cs="Calibri"/>
          <w:szCs w:val="22"/>
          <w:lang w:val="sr-Latn-ME" w:eastAsia="en-US"/>
        </w:rPr>
        <w:t xml:space="preserve"> (Tabela 3.27). Generalno, </w:t>
      </w:r>
      <w:r w:rsidR="00151BD7" w:rsidRPr="004B074A">
        <w:rPr>
          <w:rFonts w:eastAsia="Calibri" w:cs="Calibri"/>
          <w:szCs w:val="22"/>
          <w:lang w:val="sr-Latn-ME" w:eastAsia="en-US"/>
        </w:rPr>
        <w:t>GES</w:t>
      </w:r>
      <w:r w:rsidRPr="004B074A">
        <w:rPr>
          <w:rFonts w:eastAsia="Calibri" w:cs="Calibri"/>
          <w:szCs w:val="22"/>
          <w:lang w:val="sr-Latn-ME" w:eastAsia="en-US"/>
        </w:rPr>
        <w:t xml:space="preserve"> fotofilnih zajednica algi mogao bi se bolje procijeniti od onog na livadama koraligena i posidonije. Za procijenjene parametre, posebno stanje fotofilnih zajednica algi i koraligena u obalnom području, postoji indikacija da je </w:t>
      </w:r>
      <w:r w:rsidR="00151BD7" w:rsidRPr="004B074A">
        <w:rPr>
          <w:rFonts w:eastAsia="Calibri" w:cs="Calibri"/>
          <w:szCs w:val="22"/>
          <w:lang w:val="sr-Latn-ME" w:eastAsia="en-US"/>
        </w:rPr>
        <w:t>GES</w:t>
      </w:r>
      <w:r w:rsidRPr="004B074A">
        <w:rPr>
          <w:rFonts w:eastAsia="Calibri" w:cs="Calibri"/>
          <w:szCs w:val="22"/>
          <w:lang w:val="sr-Latn-ME" w:eastAsia="en-US"/>
        </w:rPr>
        <w:t xml:space="preserve"> postignut, uprkos sve većim pritiscima kao što su izgradnja nove infrastrukture i zagađenje vode, posebno u vezi sa urbanizacijom i turizmom. Međutim, da bismo u potpunosti razumjeli stanje bentoskih staništa, potrebno je sprovesti sistematičnija istraživanja kako bi se riješili svi nedostaci u znanju.</w:t>
      </w:r>
    </w:p>
    <w:p w14:paraId="6DB071B5" w14:textId="77777777" w:rsidR="002C0444" w:rsidRDefault="002C0444" w:rsidP="00A62607">
      <w:pPr>
        <w:spacing w:before="0" w:after="0"/>
        <w:rPr>
          <w:rFonts w:eastAsia="Calibri" w:cs="Calibri"/>
          <w:sz w:val="24"/>
          <w:lang w:val="sr-Latn-ME" w:eastAsia="en-US"/>
        </w:rPr>
      </w:pPr>
    </w:p>
    <w:p w14:paraId="7E0B68E3" w14:textId="77777777" w:rsidR="004B074A" w:rsidRPr="002C0444" w:rsidRDefault="004B074A" w:rsidP="00A62607">
      <w:pPr>
        <w:spacing w:before="0" w:after="0"/>
        <w:rPr>
          <w:rFonts w:eastAsia="Calibri" w:cs="Calibri"/>
          <w:sz w:val="24"/>
          <w:lang w:val="sr-Latn-ME" w:eastAsia="en-US"/>
        </w:rPr>
      </w:pPr>
    </w:p>
    <w:p w14:paraId="25071D4C" w14:textId="465FE0D7" w:rsidR="002C0444" w:rsidRPr="002A4FE5" w:rsidRDefault="002C0444" w:rsidP="002C0444">
      <w:pPr>
        <w:spacing w:before="0" w:after="0"/>
        <w:rPr>
          <w:rFonts w:eastAsia="Calibri" w:cs="Calibri"/>
          <w:b/>
          <w:szCs w:val="22"/>
          <w:lang w:val="sr-Latn-ME" w:eastAsia="en-US"/>
        </w:rPr>
      </w:pPr>
      <w:r w:rsidRPr="002A4FE5">
        <w:rPr>
          <w:rFonts w:eastAsia="Calibri" w:cs="Calibri"/>
          <w:b/>
          <w:szCs w:val="22"/>
          <w:lang w:val="sr-Latn-ME" w:eastAsia="en-US"/>
        </w:rPr>
        <w:t xml:space="preserve">Tabela 3.27. </w:t>
      </w:r>
      <w:r w:rsidR="00E8147C">
        <w:rPr>
          <w:rFonts w:eastAsia="Calibri" w:cs="Calibri"/>
          <w:b/>
          <w:szCs w:val="22"/>
          <w:lang w:val="sr-Latn-ME" w:eastAsia="en-US"/>
        </w:rPr>
        <w:t>P</w:t>
      </w:r>
      <w:r w:rsidRPr="002A4FE5">
        <w:rPr>
          <w:rFonts w:eastAsia="Calibri" w:cs="Calibri"/>
          <w:b/>
          <w:szCs w:val="22"/>
          <w:lang w:val="sr-Latn-ME" w:eastAsia="en-US"/>
        </w:rPr>
        <w:t>rocjena</w:t>
      </w:r>
      <w:r w:rsidR="00E8147C">
        <w:rPr>
          <w:rFonts w:eastAsia="Calibri" w:cs="Calibri"/>
          <w:b/>
          <w:szCs w:val="22"/>
          <w:lang w:val="sr-Latn-ME" w:eastAsia="en-US"/>
        </w:rPr>
        <w:t xml:space="preserve"> GES-a za </w:t>
      </w:r>
      <w:r w:rsidRPr="002A4FE5">
        <w:rPr>
          <w:rFonts w:eastAsia="Calibri" w:cs="Calibri"/>
          <w:b/>
          <w:szCs w:val="22"/>
          <w:lang w:val="sr-Latn-ME" w:eastAsia="en-US"/>
        </w:rPr>
        <w:t xml:space="preserve">bentoskih staništa </w:t>
      </w:r>
      <w:r w:rsidR="00E8147C">
        <w:rPr>
          <w:rFonts w:eastAsia="Calibri" w:cs="Calibri"/>
          <w:b/>
          <w:szCs w:val="22"/>
          <w:lang w:val="sr-Latn-ME" w:eastAsia="en-US"/>
        </w:rPr>
        <w:t>ve</w:t>
      </w:r>
      <w:r w:rsidR="00887049">
        <w:rPr>
          <w:rFonts w:eastAsia="Calibri" w:cs="Calibri"/>
          <w:b/>
          <w:szCs w:val="22"/>
          <w:lang w:val="sr-Latn-ME" w:eastAsia="en-US"/>
        </w:rPr>
        <w:t>z</w:t>
      </w:r>
      <w:r w:rsidR="00E8147C">
        <w:rPr>
          <w:rFonts w:eastAsia="Calibri" w:cs="Calibri"/>
          <w:b/>
          <w:szCs w:val="22"/>
          <w:lang w:val="sr-Latn-ME" w:eastAsia="en-US"/>
        </w:rPr>
        <w:t xml:space="preserve">ano za </w:t>
      </w:r>
      <w:r w:rsidRPr="002A4FE5">
        <w:rPr>
          <w:rFonts w:eastAsia="Calibri" w:cs="Calibri"/>
          <w:b/>
          <w:szCs w:val="22"/>
          <w:lang w:val="sr-Latn-ME" w:eastAsia="en-US"/>
        </w:rPr>
        <w:t xml:space="preserve">D1 i D6 prema kriterijumima </w:t>
      </w:r>
      <w:r w:rsidR="00E8147C">
        <w:rPr>
          <w:rFonts w:eastAsia="Calibri" w:cs="Calibri"/>
          <w:b/>
          <w:szCs w:val="22"/>
          <w:lang w:val="sr-Latn-ME" w:eastAsia="en-US"/>
        </w:rPr>
        <w:t>iz</w:t>
      </w:r>
      <w:r w:rsidRPr="002A4FE5">
        <w:rPr>
          <w:rFonts w:eastAsia="Calibri" w:cs="Calibri"/>
          <w:b/>
          <w:szCs w:val="22"/>
          <w:lang w:val="sr-Latn-ME" w:eastAsia="en-US"/>
        </w:rPr>
        <w:t xml:space="preserve"> Odlu</w:t>
      </w:r>
      <w:r w:rsidR="00E8147C">
        <w:rPr>
          <w:rFonts w:eastAsia="Calibri" w:cs="Calibri"/>
          <w:b/>
          <w:szCs w:val="22"/>
          <w:lang w:val="sr-Latn-ME" w:eastAsia="en-US"/>
        </w:rPr>
        <w:t>ke</w:t>
      </w:r>
      <w:r w:rsidRPr="002A4FE5">
        <w:rPr>
          <w:rFonts w:eastAsia="Calibri" w:cs="Calibri"/>
          <w:b/>
          <w:szCs w:val="22"/>
          <w:lang w:val="sr-Latn-ME" w:eastAsia="en-US"/>
        </w:rPr>
        <w:t xml:space="preserve"> Komisije 2017/845/EU</w:t>
      </w:r>
    </w:p>
    <w:tbl>
      <w:tblPr>
        <w:tblW w:w="93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6"/>
        <w:gridCol w:w="7369"/>
      </w:tblGrid>
      <w:tr w:rsidR="005827C2" w:rsidRPr="002C0444" w14:paraId="57F74B01" w14:textId="77777777" w:rsidTr="005827C2">
        <w:trPr>
          <w:cantSplit/>
          <w:trHeight w:val="427"/>
        </w:trPr>
        <w:tc>
          <w:tcPr>
            <w:tcW w:w="931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5FD05FC7" w14:textId="6975BD16" w:rsidR="005827C2" w:rsidRPr="005827C2" w:rsidRDefault="005827C2" w:rsidP="005827C2">
            <w:pPr>
              <w:autoSpaceDE w:val="0"/>
              <w:autoSpaceDN w:val="0"/>
              <w:adjustRightInd w:val="0"/>
              <w:spacing w:before="0" w:after="0" w:line="240" w:lineRule="auto"/>
              <w:jc w:val="center"/>
              <w:rPr>
                <w:rFonts w:eastAsia="Calibri" w:cs="Calibri"/>
                <w:b/>
                <w:color w:val="FFFFFF" w:themeColor="background1"/>
                <w:szCs w:val="22"/>
                <w:lang w:val="sr-Latn-ME" w:eastAsia="en-US"/>
              </w:rPr>
            </w:pPr>
            <w:r>
              <w:rPr>
                <w:rFonts w:eastAsia="Calibri" w:cs="Calibri"/>
                <w:b/>
                <w:color w:val="FFFFFF" w:themeColor="background1"/>
                <w:szCs w:val="22"/>
                <w:lang w:val="sr-Latn-ME" w:eastAsia="en-US"/>
              </w:rPr>
              <w:t>Područje procjene: nacionalni nivo – crnogorski dio Jadrana</w:t>
            </w:r>
          </w:p>
        </w:tc>
      </w:tr>
      <w:tr w:rsidR="002C0444" w:rsidRPr="002C0444" w14:paraId="5F9EDDC9" w14:textId="77777777" w:rsidTr="005827C2">
        <w:trPr>
          <w:cantSplit/>
          <w:trHeight w:val="427"/>
        </w:trPr>
        <w:tc>
          <w:tcPr>
            <w:tcW w:w="19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1CFBBFDB" w14:textId="77777777" w:rsidR="002C0444" w:rsidRPr="005827C2" w:rsidRDefault="002C0444" w:rsidP="002C0444">
            <w:pPr>
              <w:autoSpaceDE w:val="0"/>
              <w:autoSpaceDN w:val="0"/>
              <w:adjustRightInd w:val="0"/>
              <w:spacing w:before="0" w:after="0" w:line="240" w:lineRule="auto"/>
              <w:jc w:val="left"/>
              <w:rPr>
                <w:rFonts w:eastAsia="Calibri" w:cs="Calibri"/>
                <w:b/>
                <w:color w:val="FFFFFF" w:themeColor="background1"/>
                <w:szCs w:val="22"/>
                <w:lang w:val="sr-Latn-ME" w:eastAsia="en-US"/>
              </w:rPr>
            </w:pPr>
            <w:r w:rsidRPr="005827C2">
              <w:rPr>
                <w:rFonts w:eastAsia="Calibri" w:cs="Calibri"/>
                <w:b/>
                <w:color w:val="FFFFFF" w:themeColor="background1"/>
                <w:szCs w:val="22"/>
                <w:lang w:val="sr-Latn-ME" w:eastAsia="en-US"/>
              </w:rPr>
              <w:t xml:space="preserve">Kriterijum </w:t>
            </w:r>
          </w:p>
        </w:tc>
        <w:tc>
          <w:tcPr>
            <w:tcW w:w="73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00FC06D6" w14:textId="185AB1E3" w:rsidR="002C0444" w:rsidRPr="005827C2" w:rsidRDefault="00151BD7" w:rsidP="002C0444">
            <w:pPr>
              <w:autoSpaceDE w:val="0"/>
              <w:autoSpaceDN w:val="0"/>
              <w:adjustRightInd w:val="0"/>
              <w:spacing w:before="0" w:after="0" w:line="240" w:lineRule="auto"/>
              <w:jc w:val="left"/>
              <w:rPr>
                <w:rFonts w:eastAsia="Calibri" w:cs="Calibri"/>
                <w:b/>
                <w:color w:val="FFFFFF" w:themeColor="background1"/>
                <w:szCs w:val="22"/>
                <w:lang w:val="sr-Latn-ME" w:eastAsia="en-US"/>
              </w:rPr>
            </w:pPr>
            <w:r w:rsidRPr="005827C2">
              <w:rPr>
                <w:rFonts w:eastAsia="Calibri" w:cs="Calibri"/>
                <w:b/>
                <w:color w:val="FFFFFF" w:themeColor="background1"/>
                <w:szCs w:val="22"/>
                <w:lang w:val="sr-Latn-ME" w:eastAsia="en-US"/>
              </w:rPr>
              <w:t>GES</w:t>
            </w:r>
          </w:p>
        </w:tc>
      </w:tr>
      <w:tr w:rsidR="002C0444" w:rsidRPr="002C0444" w14:paraId="4BE9EDEA" w14:textId="77777777" w:rsidTr="005827C2">
        <w:trPr>
          <w:trHeight w:val="309"/>
        </w:trPr>
        <w:tc>
          <w:tcPr>
            <w:tcW w:w="1946" w:type="dxa"/>
            <w:tcBorders>
              <w:top w:val="single" w:sz="4" w:space="0" w:color="FFFFFF" w:themeColor="background1"/>
              <w:left w:val="single" w:sz="4" w:space="0" w:color="auto"/>
              <w:bottom w:val="single" w:sz="4" w:space="0" w:color="auto"/>
              <w:right w:val="single" w:sz="4" w:space="0" w:color="auto"/>
            </w:tcBorders>
            <w:hideMark/>
          </w:tcPr>
          <w:p w14:paraId="6CAF6200" w14:textId="77777777" w:rsidR="002C0444" w:rsidRPr="002A4FE5" w:rsidRDefault="002C0444" w:rsidP="002C0444">
            <w:pPr>
              <w:autoSpaceDE w:val="0"/>
              <w:autoSpaceDN w:val="0"/>
              <w:adjustRightInd w:val="0"/>
              <w:spacing w:before="0" w:after="0" w:line="240" w:lineRule="auto"/>
              <w:ind w:left="-5" w:right="-108"/>
              <w:jc w:val="left"/>
              <w:rPr>
                <w:rFonts w:eastAsia="Calibri" w:cs="Calibri"/>
                <w:color w:val="000000"/>
                <w:sz w:val="20"/>
                <w:szCs w:val="20"/>
                <w:lang w:val="sr-Latn-ME" w:eastAsia="en-US"/>
              </w:rPr>
            </w:pPr>
            <w:r w:rsidRPr="002A4FE5">
              <w:rPr>
                <w:rFonts w:eastAsia="Calibri" w:cs="Calibri"/>
                <w:b/>
                <w:color w:val="000000"/>
                <w:sz w:val="20"/>
                <w:szCs w:val="20"/>
                <w:lang w:val="sr-Latn-ME" w:eastAsia="en-US"/>
              </w:rPr>
              <w:t>D6C1</w:t>
            </w:r>
            <w:r w:rsidRPr="002A4FE5">
              <w:rPr>
                <w:rFonts w:eastAsia="Calibri" w:cs="Calibri"/>
                <w:color w:val="000000"/>
                <w:sz w:val="20"/>
                <w:szCs w:val="20"/>
                <w:lang w:val="sr-Latn-ME" w:eastAsia="en-US"/>
              </w:rPr>
              <w:t xml:space="preserve"> –Pivršina i rasprostranjenost fizičkog gubitka (trajna promjena) prirodnog morskog dna</w:t>
            </w:r>
          </w:p>
        </w:tc>
        <w:tc>
          <w:tcPr>
            <w:tcW w:w="7369" w:type="dxa"/>
            <w:tcBorders>
              <w:top w:val="single" w:sz="4" w:space="0" w:color="FFFFFF" w:themeColor="background1"/>
              <w:left w:val="single" w:sz="4" w:space="0" w:color="auto"/>
              <w:bottom w:val="single" w:sz="4" w:space="0" w:color="auto"/>
              <w:right w:val="single" w:sz="4" w:space="0" w:color="auto"/>
            </w:tcBorders>
            <w:hideMark/>
          </w:tcPr>
          <w:p w14:paraId="1F4F9A94"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highlight w:val="green"/>
                <w:lang w:val="sr-Latn-ME" w:eastAsia="en-US"/>
              </w:rPr>
            </w:pPr>
            <w:r w:rsidRPr="002A4FE5">
              <w:rPr>
                <w:rFonts w:eastAsia="Calibri" w:cs="Calibri"/>
                <w:color w:val="000000"/>
                <w:sz w:val="20"/>
                <w:szCs w:val="20"/>
                <w:lang w:val="sr-Latn-ME" w:eastAsia="en-US"/>
              </w:rPr>
              <w:t xml:space="preserve">Podaci nisu dostupni, jer do sada nije izvršeno mapiranje i mjerenje površine određenih staništa. Godine 2020. postojeći podaci su prikupljeni i obrađeni u GIS bazi podataka, koja se može koristiti kao osnov za buduću procjenu statusa GES-a u šestogodišnjem ciklusu revizije dokumenata. </w:t>
            </w:r>
          </w:p>
        </w:tc>
      </w:tr>
      <w:tr w:rsidR="002C0444" w:rsidRPr="002C0444" w14:paraId="19005400" w14:textId="77777777" w:rsidTr="005827C2">
        <w:trPr>
          <w:trHeight w:val="309"/>
        </w:trPr>
        <w:tc>
          <w:tcPr>
            <w:tcW w:w="1946" w:type="dxa"/>
            <w:tcBorders>
              <w:top w:val="single" w:sz="4" w:space="0" w:color="auto"/>
              <w:left w:val="single" w:sz="4" w:space="0" w:color="auto"/>
              <w:bottom w:val="single" w:sz="4" w:space="0" w:color="auto"/>
              <w:right w:val="single" w:sz="4" w:space="0" w:color="auto"/>
            </w:tcBorders>
            <w:hideMark/>
          </w:tcPr>
          <w:p w14:paraId="68591527"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b/>
                <w:color w:val="000000"/>
                <w:sz w:val="20"/>
                <w:szCs w:val="20"/>
                <w:lang w:val="sr-Latn-ME" w:eastAsia="en-US"/>
              </w:rPr>
              <w:t>D6C2</w:t>
            </w:r>
            <w:r w:rsidRPr="002A4FE5">
              <w:rPr>
                <w:rFonts w:eastAsia="Calibri" w:cs="Calibri"/>
                <w:color w:val="000000"/>
                <w:sz w:val="20"/>
                <w:szCs w:val="20"/>
                <w:lang w:val="sr-Latn-ME" w:eastAsia="en-US"/>
              </w:rPr>
              <w:t xml:space="preserve"> –Prostorni opseg i rasprostranjenost fizičkog pritisaka na morsko dno </w:t>
            </w:r>
          </w:p>
        </w:tc>
        <w:tc>
          <w:tcPr>
            <w:tcW w:w="7369" w:type="dxa"/>
            <w:tcBorders>
              <w:top w:val="single" w:sz="4" w:space="0" w:color="auto"/>
              <w:left w:val="single" w:sz="4" w:space="0" w:color="auto"/>
              <w:bottom w:val="single" w:sz="4" w:space="0" w:color="auto"/>
              <w:right w:val="single" w:sz="4" w:space="0" w:color="auto"/>
            </w:tcBorders>
            <w:hideMark/>
          </w:tcPr>
          <w:p w14:paraId="3C8D6FA1"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highlight w:val="green"/>
                <w:lang w:val="sr-Latn-ME" w:eastAsia="en-US"/>
              </w:rPr>
            </w:pPr>
            <w:r w:rsidRPr="002A4FE5">
              <w:rPr>
                <w:rFonts w:eastAsia="Calibri" w:cs="Calibri"/>
                <w:color w:val="000000"/>
                <w:sz w:val="20"/>
                <w:szCs w:val="20"/>
                <w:lang w:val="sr-Latn-ME" w:eastAsia="en-US"/>
              </w:rPr>
              <w:t>Analizom baze podataka GIS-a stručna je procjena da su medio- i supra-litoral pod jakim fizičkim oštećenjima zbog betoniranja obale i prihrane plaža, posebno u Bokokotorskom zalivu gde je izgrađeno mnogo novih plaža .</w:t>
            </w:r>
          </w:p>
        </w:tc>
      </w:tr>
      <w:tr w:rsidR="002C0444" w:rsidRPr="002C0444" w14:paraId="4289A332" w14:textId="77777777" w:rsidTr="005827C2">
        <w:trPr>
          <w:trHeight w:val="2572"/>
        </w:trPr>
        <w:tc>
          <w:tcPr>
            <w:tcW w:w="1946" w:type="dxa"/>
            <w:tcBorders>
              <w:top w:val="single" w:sz="4" w:space="0" w:color="auto"/>
              <w:left w:val="single" w:sz="4" w:space="0" w:color="auto"/>
              <w:bottom w:val="single" w:sz="4" w:space="0" w:color="auto"/>
              <w:right w:val="single" w:sz="4" w:space="0" w:color="auto"/>
            </w:tcBorders>
            <w:hideMark/>
          </w:tcPr>
          <w:p w14:paraId="3CA335AE"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b/>
                <w:color w:val="000000"/>
                <w:sz w:val="20"/>
                <w:szCs w:val="20"/>
                <w:lang w:val="sr-Latn-ME" w:eastAsia="en-US"/>
              </w:rPr>
              <w:t>D6C3</w:t>
            </w:r>
            <w:r w:rsidRPr="002A4FE5">
              <w:rPr>
                <w:rFonts w:eastAsia="Calibri" w:cs="Calibri"/>
                <w:color w:val="000000"/>
                <w:sz w:val="20"/>
                <w:szCs w:val="20"/>
                <w:lang w:val="sr-Latn-ME" w:eastAsia="en-US"/>
              </w:rPr>
              <w:t xml:space="preserve"> – Površina svakog tipa staništa gdje je značajno izmijenjena  biotička i abiotička struktura i funkcija </w:t>
            </w:r>
          </w:p>
        </w:tc>
        <w:tc>
          <w:tcPr>
            <w:tcW w:w="7369" w:type="dxa"/>
            <w:tcBorders>
              <w:top w:val="single" w:sz="4" w:space="0" w:color="auto"/>
              <w:left w:val="single" w:sz="4" w:space="0" w:color="auto"/>
              <w:bottom w:val="single" w:sz="4" w:space="0" w:color="auto"/>
              <w:right w:val="single" w:sz="4" w:space="0" w:color="auto"/>
            </w:tcBorders>
            <w:hideMark/>
          </w:tcPr>
          <w:p w14:paraId="5C4F1818" w14:textId="77777777" w:rsidR="002C0444" w:rsidRPr="002A4FE5" w:rsidRDefault="002C0444" w:rsidP="002C0444">
            <w:pPr>
              <w:autoSpaceDE w:val="0"/>
              <w:autoSpaceDN w:val="0"/>
              <w:adjustRightInd w:val="0"/>
              <w:spacing w:before="0" w:after="0" w:line="240" w:lineRule="auto"/>
              <w:ind w:right="-108"/>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1) Fotofilne zajednice algi sa naglaskom na vrste koje pripadaju rodu Cystoseira - </w:t>
            </w:r>
            <w:r w:rsidRPr="002A4FE5">
              <w:rPr>
                <w:rFonts w:eastAsia="Calibri" w:cs="Calibri"/>
                <w:i/>
                <w:color w:val="000000"/>
                <w:sz w:val="20"/>
                <w:szCs w:val="20"/>
                <w:lang w:val="sr-Latn-ME" w:eastAsia="en-US"/>
              </w:rPr>
              <w:t>Cystoseria amantacea</w:t>
            </w:r>
            <w:r w:rsidRPr="002A4FE5">
              <w:rPr>
                <w:rFonts w:eastAsia="Calibri" w:cs="Calibri"/>
                <w:color w:val="000000"/>
                <w:sz w:val="20"/>
                <w:szCs w:val="20"/>
                <w:lang w:val="sr-Latn-ME" w:eastAsia="en-US"/>
              </w:rPr>
              <w:t xml:space="preserve">: Postignut je dobar ekološki status (na osnovu CARLIT indeksa definisanog Direktivom 2000/60 / EC, Aneks V). </w:t>
            </w:r>
          </w:p>
          <w:p w14:paraId="615C4049" w14:textId="77777777" w:rsidR="002C0444" w:rsidRPr="002A4FE5" w:rsidRDefault="002C0444" w:rsidP="002C0444">
            <w:pPr>
              <w:autoSpaceDE w:val="0"/>
              <w:autoSpaceDN w:val="0"/>
              <w:adjustRightInd w:val="0"/>
              <w:spacing w:before="0" w:after="0" w:line="240" w:lineRule="auto"/>
              <w:ind w:right="-108"/>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2) Livade posidonije - </w:t>
            </w:r>
            <w:r w:rsidRPr="002A4FE5">
              <w:rPr>
                <w:rFonts w:eastAsia="Calibri" w:cs="Calibri"/>
                <w:i/>
                <w:color w:val="000000"/>
                <w:sz w:val="20"/>
                <w:szCs w:val="20"/>
                <w:lang w:val="sr-Latn-ME" w:eastAsia="en-US"/>
              </w:rPr>
              <w:t>Posidonia oceanica</w:t>
            </w:r>
            <w:r w:rsidRPr="002A4FE5">
              <w:rPr>
                <w:rFonts w:eastAsia="Calibri" w:cs="Calibri"/>
                <w:color w:val="000000"/>
                <w:sz w:val="20"/>
                <w:szCs w:val="20"/>
                <w:lang w:val="sr-Latn-ME" w:eastAsia="en-US"/>
              </w:rPr>
              <w:t xml:space="preserve">: Postignut je dobar ekološki status (zasnovan na modifikovanom POMI indeksu Direktive 2000/60 / EC i podržan stručnom procenom).   </w:t>
            </w:r>
          </w:p>
          <w:p w14:paraId="2B1B1C1E" w14:textId="77777777" w:rsidR="002C0444" w:rsidRPr="002A4FE5" w:rsidRDefault="002C0444" w:rsidP="002C0444">
            <w:pPr>
              <w:autoSpaceDE w:val="0"/>
              <w:autoSpaceDN w:val="0"/>
              <w:adjustRightInd w:val="0"/>
              <w:spacing w:before="0" w:after="0" w:line="240" w:lineRule="auto"/>
              <w:ind w:right="-108"/>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3) Koraligene zajednice - </w:t>
            </w:r>
            <w:r w:rsidRPr="002A4FE5">
              <w:rPr>
                <w:rFonts w:eastAsia="Calibri" w:cs="Calibri"/>
                <w:i/>
                <w:color w:val="000000"/>
                <w:sz w:val="20"/>
                <w:szCs w:val="20"/>
                <w:lang w:val="sr-Latn-ME" w:eastAsia="en-US"/>
              </w:rPr>
              <w:t>Savalia savaglia</w:t>
            </w:r>
            <w:r w:rsidRPr="002A4FE5">
              <w:rPr>
                <w:rFonts w:eastAsia="Calibri" w:cs="Calibri"/>
                <w:color w:val="000000"/>
                <w:sz w:val="20"/>
                <w:szCs w:val="20"/>
                <w:lang w:val="sr-Latn-ME" w:eastAsia="en-US"/>
              </w:rPr>
              <w:t>: Dobar ekološki status je djelimično postignut (zasnovan na MAES indeksu i podržan stručnom procjenom). Djelimična procena koraligenih staništa nije pružila jasan status, ali osnova za dalje praćenje koraligenog statusa je uspostavljena.</w:t>
            </w:r>
          </w:p>
          <w:p w14:paraId="4A127E71" w14:textId="77777777" w:rsidR="002C0444" w:rsidRPr="002A4FE5" w:rsidRDefault="002C0444" w:rsidP="002C0444">
            <w:pPr>
              <w:autoSpaceDE w:val="0"/>
              <w:autoSpaceDN w:val="0"/>
              <w:adjustRightInd w:val="0"/>
              <w:spacing w:before="0" w:after="0" w:line="240" w:lineRule="auto"/>
              <w:ind w:right="-108"/>
              <w:jc w:val="left"/>
              <w:rPr>
                <w:rFonts w:eastAsia="Calibri" w:cs="Calibri"/>
                <w:color w:val="000000"/>
                <w:sz w:val="20"/>
                <w:szCs w:val="20"/>
                <w:highlight w:val="green"/>
                <w:lang w:val="sr-Latn-ME" w:eastAsia="en-US"/>
              </w:rPr>
            </w:pPr>
            <w:r w:rsidRPr="002A4FE5">
              <w:rPr>
                <w:rFonts w:eastAsia="Calibri" w:cs="Calibri"/>
                <w:color w:val="000000"/>
                <w:sz w:val="20"/>
                <w:szCs w:val="20"/>
                <w:lang w:val="sr-Latn-ME" w:eastAsia="en-US"/>
              </w:rPr>
              <w:t xml:space="preserve">4) Livade Cimodocea - </w:t>
            </w:r>
            <w:r w:rsidRPr="002A4FE5">
              <w:rPr>
                <w:rFonts w:eastAsia="Calibri" w:cs="Calibri"/>
                <w:i/>
                <w:color w:val="000000"/>
                <w:sz w:val="20"/>
                <w:szCs w:val="20"/>
                <w:lang w:val="sr-Latn-ME" w:eastAsia="en-US"/>
              </w:rPr>
              <w:t>Cymodocea nodosa</w:t>
            </w:r>
            <w:r w:rsidRPr="002A4FE5">
              <w:rPr>
                <w:rFonts w:eastAsia="Calibri" w:cs="Calibri"/>
                <w:color w:val="000000"/>
                <w:sz w:val="20"/>
                <w:szCs w:val="20"/>
                <w:lang w:val="sr-Latn-ME" w:eastAsia="en-US"/>
              </w:rPr>
              <w:t>: Postignut je dobar ekološki status (zasnovan na MediSkev indeksu kako je definisano Direktivom 2000/60 / EC, Aneks V).</w:t>
            </w:r>
          </w:p>
        </w:tc>
      </w:tr>
      <w:tr w:rsidR="002C0444" w:rsidRPr="002C0444" w14:paraId="22E0619A" w14:textId="77777777" w:rsidTr="005827C2">
        <w:trPr>
          <w:trHeight w:val="2542"/>
        </w:trPr>
        <w:tc>
          <w:tcPr>
            <w:tcW w:w="1946" w:type="dxa"/>
            <w:tcBorders>
              <w:top w:val="single" w:sz="4" w:space="0" w:color="auto"/>
              <w:left w:val="single" w:sz="4" w:space="0" w:color="auto"/>
              <w:bottom w:val="single" w:sz="4" w:space="0" w:color="auto"/>
              <w:right w:val="single" w:sz="4" w:space="0" w:color="auto"/>
            </w:tcBorders>
            <w:hideMark/>
          </w:tcPr>
          <w:p w14:paraId="35468F74"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b/>
                <w:color w:val="000000"/>
                <w:sz w:val="20"/>
                <w:szCs w:val="20"/>
                <w:lang w:val="sr-Latn-ME" w:eastAsia="en-US"/>
              </w:rPr>
              <w:t>D6C4</w:t>
            </w:r>
            <w:r w:rsidRPr="002A4FE5">
              <w:rPr>
                <w:rFonts w:eastAsia="Calibri" w:cs="Calibri"/>
                <w:color w:val="000000"/>
                <w:sz w:val="20"/>
                <w:szCs w:val="20"/>
                <w:lang w:val="sr-Latn-ME" w:eastAsia="en-US"/>
              </w:rPr>
              <w:t xml:space="preserve"> –Površina gubitka tipa staništa koji je rezultat antropogenih pritisaka ne prelazi određeni udio prirodne površine tipa staništa u području procjene.</w:t>
            </w:r>
          </w:p>
        </w:tc>
        <w:tc>
          <w:tcPr>
            <w:tcW w:w="7369" w:type="dxa"/>
            <w:tcBorders>
              <w:top w:val="single" w:sz="4" w:space="0" w:color="auto"/>
              <w:left w:val="single" w:sz="4" w:space="0" w:color="auto"/>
              <w:bottom w:val="single" w:sz="4" w:space="0" w:color="auto"/>
              <w:right w:val="single" w:sz="4" w:space="0" w:color="auto"/>
            </w:tcBorders>
            <w:hideMark/>
          </w:tcPr>
          <w:p w14:paraId="6EFA2A42"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1) Fotofilne zajednice algi sa naglaskom na vrste koje pripadaju rodu Cistoseira - </w:t>
            </w:r>
            <w:r w:rsidRPr="002A4FE5">
              <w:rPr>
                <w:rFonts w:eastAsia="Calibri" w:cs="Calibri"/>
                <w:i/>
                <w:color w:val="000000"/>
                <w:sz w:val="20"/>
                <w:szCs w:val="20"/>
                <w:lang w:val="sr-Latn-ME" w:eastAsia="en-US"/>
              </w:rPr>
              <w:t>Cistoseria amantacea</w:t>
            </w:r>
            <w:r w:rsidRPr="002A4FE5">
              <w:rPr>
                <w:rFonts w:eastAsia="Calibri" w:cs="Calibri"/>
                <w:color w:val="000000"/>
                <w:sz w:val="20"/>
                <w:szCs w:val="20"/>
                <w:lang w:val="sr-Latn-ME" w:eastAsia="en-US"/>
              </w:rPr>
              <w:t xml:space="preserve">: Postignut je dobar ekološki status (Stručna procena). </w:t>
            </w:r>
          </w:p>
          <w:p w14:paraId="0E340D02"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2) Livade posidonije - </w:t>
            </w:r>
            <w:r w:rsidRPr="002A4FE5">
              <w:rPr>
                <w:rFonts w:eastAsia="Calibri" w:cs="Calibri"/>
                <w:i/>
                <w:color w:val="000000"/>
                <w:sz w:val="20"/>
                <w:szCs w:val="20"/>
                <w:lang w:val="sr-Latn-ME" w:eastAsia="en-US"/>
              </w:rPr>
              <w:t>Posidonia oceanica</w:t>
            </w:r>
            <w:r w:rsidRPr="002A4FE5">
              <w:rPr>
                <w:rFonts w:eastAsia="Calibri" w:cs="Calibri"/>
                <w:color w:val="000000"/>
                <w:sz w:val="20"/>
                <w:szCs w:val="20"/>
                <w:lang w:val="sr-Latn-ME" w:eastAsia="en-US"/>
              </w:rPr>
              <w:t xml:space="preserve">: Postignut dobar ekološki status (Stručna procena). </w:t>
            </w:r>
          </w:p>
          <w:p w14:paraId="7DE3AFE8"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highlight w:val="green"/>
                <w:lang w:val="sr-Latn-ME" w:eastAsia="en-US"/>
              </w:rPr>
            </w:pPr>
            <w:r w:rsidRPr="002A4FE5">
              <w:rPr>
                <w:rFonts w:eastAsia="Calibri" w:cs="Calibri"/>
                <w:color w:val="000000"/>
                <w:sz w:val="20"/>
                <w:szCs w:val="20"/>
                <w:lang w:val="sr-Latn-ME" w:eastAsia="en-US"/>
              </w:rPr>
              <w:t xml:space="preserve">3) Koraligene zajednice - </w:t>
            </w:r>
            <w:r w:rsidRPr="002A4FE5">
              <w:rPr>
                <w:rFonts w:eastAsia="Calibri" w:cs="Calibri"/>
                <w:i/>
                <w:color w:val="000000"/>
                <w:sz w:val="20"/>
                <w:szCs w:val="20"/>
                <w:lang w:val="sr-Latn-ME" w:eastAsia="en-US"/>
              </w:rPr>
              <w:t>Savalia savaglia</w:t>
            </w:r>
            <w:r w:rsidRPr="002A4FE5">
              <w:rPr>
                <w:rFonts w:eastAsia="Calibri" w:cs="Calibri"/>
                <w:color w:val="000000"/>
                <w:sz w:val="20"/>
                <w:szCs w:val="20"/>
                <w:lang w:val="sr-Latn-ME" w:eastAsia="en-US"/>
              </w:rPr>
              <w:t>: GES je delimično postignut, delimično takođe nepoznat.</w:t>
            </w:r>
          </w:p>
        </w:tc>
      </w:tr>
      <w:tr w:rsidR="002C0444" w:rsidRPr="002C0444" w14:paraId="4DE6F02D" w14:textId="77777777" w:rsidTr="005827C2">
        <w:trPr>
          <w:trHeight w:val="2393"/>
        </w:trPr>
        <w:tc>
          <w:tcPr>
            <w:tcW w:w="1946" w:type="dxa"/>
            <w:tcBorders>
              <w:top w:val="single" w:sz="4" w:space="0" w:color="auto"/>
              <w:left w:val="single" w:sz="4" w:space="0" w:color="auto"/>
              <w:bottom w:val="single" w:sz="4" w:space="0" w:color="auto"/>
              <w:right w:val="single" w:sz="4" w:space="0" w:color="auto"/>
            </w:tcBorders>
            <w:hideMark/>
          </w:tcPr>
          <w:p w14:paraId="150D106A"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b/>
                <w:color w:val="000000"/>
                <w:sz w:val="20"/>
                <w:szCs w:val="20"/>
                <w:lang w:val="sr-Latn-ME" w:eastAsia="en-US"/>
              </w:rPr>
              <w:t>D6C5</w:t>
            </w:r>
            <w:r w:rsidRPr="002A4FE5">
              <w:rPr>
                <w:rFonts w:eastAsia="Calibri" w:cs="Calibri"/>
                <w:color w:val="000000"/>
                <w:sz w:val="20"/>
                <w:szCs w:val="20"/>
                <w:lang w:val="sr-Latn-ME" w:eastAsia="en-US"/>
              </w:rPr>
              <w:t xml:space="preserve"> –Opseg štetnih uticaja antropogenih pritisaka na stanje tipa staništa, uključujući mijenjanje njegove biotičke i abiotičke strukture i njegovih funkcija </w:t>
            </w:r>
          </w:p>
        </w:tc>
        <w:tc>
          <w:tcPr>
            <w:tcW w:w="7369" w:type="dxa"/>
            <w:tcBorders>
              <w:top w:val="single" w:sz="4" w:space="0" w:color="auto"/>
              <w:left w:val="single" w:sz="4" w:space="0" w:color="auto"/>
              <w:bottom w:val="single" w:sz="4" w:space="0" w:color="auto"/>
              <w:right w:val="single" w:sz="4" w:space="0" w:color="auto"/>
            </w:tcBorders>
            <w:hideMark/>
          </w:tcPr>
          <w:p w14:paraId="313B6037"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Postignut je dobar ekološki status tipičnog sastava vrsta gornjih bentoskih staništa (stručna procena).</w:t>
            </w:r>
          </w:p>
        </w:tc>
      </w:tr>
    </w:tbl>
    <w:p w14:paraId="2F98D227" w14:textId="77777777" w:rsidR="002C0444" w:rsidRPr="002C0444" w:rsidRDefault="002C0444" w:rsidP="002C0444">
      <w:pPr>
        <w:spacing w:before="0" w:after="0"/>
        <w:ind w:firstLine="397"/>
        <w:rPr>
          <w:rFonts w:eastAsia="Calibri" w:cs="Calibri"/>
          <w:sz w:val="24"/>
          <w:lang w:val="sr-Latn-ME" w:eastAsia="en-US"/>
        </w:rPr>
      </w:pPr>
    </w:p>
    <w:p w14:paraId="14C2F9E9" w14:textId="77777777" w:rsidR="002C0444" w:rsidRPr="002C0444" w:rsidRDefault="002C0444" w:rsidP="002C0444">
      <w:pPr>
        <w:spacing w:before="0" w:after="0"/>
        <w:ind w:firstLine="397"/>
        <w:rPr>
          <w:rFonts w:eastAsia="Calibri" w:cs="Calibri"/>
          <w:sz w:val="24"/>
          <w:lang w:val="sr-Latn-ME" w:eastAsia="en-US"/>
        </w:rPr>
      </w:pPr>
    </w:p>
    <w:p w14:paraId="16FA2E06" w14:textId="7C2741F7" w:rsidR="002C0444" w:rsidRPr="002C0444" w:rsidRDefault="002C0444" w:rsidP="000C38ED">
      <w:pPr>
        <w:pStyle w:val="Heading3"/>
        <w:rPr>
          <w:rFonts w:eastAsia="Calibri"/>
          <w:lang w:val="en-GB" w:eastAsia="en-US"/>
        </w:rPr>
      </w:pPr>
      <w:bookmarkStart w:id="385" w:name="_Toc83630988"/>
      <w:bookmarkStart w:id="386" w:name="_Toc69678438"/>
      <w:r w:rsidRPr="002C0444">
        <w:rPr>
          <w:rFonts w:eastAsia="Calibri"/>
          <w:lang w:val="en-GB" w:eastAsia="en-US"/>
        </w:rPr>
        <w:t xml:space="preserve">Pristup </w:t>
      </w:r>
      <w:r w:rsidR="00D4220F">
        <w:rPr>
          <w:rFonts w:eastAsia="Calibri"/>
          <w:lang w:val="en-GB" w:eastAsia="en-US"/>
        </w:rPr>
        <w:t xml:space="preserve">definisanju </w:t>
      </w:r>
      <w:r w:rsidRPr="002C0444">
        <w:rPr>
          <w:rFonts w:eastAsia="Calibri"/>
          <w:lang w:val="en-GB" w:eastAsia="en-US"/>
        </w:rPr>
        <w:t xml:space="preserve">ciljeva za </w:t>
      </w:r>
      <w:r w:rsidR="00D4220F">
        <w:rPr>
          <w:rFonts w:eastAsia="Calibri"/>
          <w:lang w:val="en-GB" w:eastAsia="en-US"/>
        </w:rPr>
        <w:t xml:space="preserve">postizanje/održavane GES-a   </w:t>
      </w:r>
      <w:r w:rsidRPr="002C0444">
        <w:rPr>
          <w:rFonts w:eastAsia="Calibri"/>
          <w:lang w:val="en-GB" w:eastAsia="en-US"/>
        </w:rPr>
        <w:t xml:space="preserve"> bentoskih staništa</w:t>
      </w:r>
      <w:bookmarkEnd w:id="385"/>
    </w:p>
    <w:bookmarkEnd w:id="386"/>
    <w:p w14:paraId="16C44F82" w14:textId="77777777" w:rsidR="002C0444" w:rsidRPr="002A4FE5" w:rsidRDefault="002C0444" w:rsidP="002C0444">
      <w:pPr>
        <w:spacing w:before="0" w:after="0"/>
        <w:rPr>
          <w:rFonts w:eastAsia="Calibri" w:cs="Calibri"/>
          <w:szCs w:val="22"/>
          <w:lang w:val="sr-Latn-ME" w:eastAsia="en-US"/>
        </w:rPr>
      </w:pPr>
      <w:r w:rsidRPr="002A4FE5">
        <w:rPr>
          <w:rFonts w:eastAsia="Calibri" w:cs="Calibri"/>
          <w:szCs w:val="22"/>
          <w:lang w:val="sr-Latn-ME" w:eastAsia="en-US"/>
        </w:rPr>
        <w:t xml:space="preserve">Za staništa stijena i biogenih grebena ciljevi se zasnivaju na postojećim ciljevima za ova staništa prema Direktivi o staništima. Cilj ovde je bio da se osigura usklađenost sa zahtjevima Direktive o staništima, koja već pruža zaštitu za ovu veliku većinu staništa stijena i biogenih grebena. Ciljevi zahtijevaju da raspored i obim staništa stijena i biogenih grebena bude stabilan ili se povećava, koristeći Polazno referentno područje i Povoljno referentno područje prema Direktivi o staništima kao osnovnu liniju. Oni takođe zahtijevaju da ova staništa budu u dobrom stanju - na koja ljudske aktivnosti ne utiču značajno (Tabela 3.28). </w:t>
      </w:r>
    </w:p>
    <w:p w14:paraId="042AF1F7" w14:textId="2927F574" w:rsidR="002C0444" w:rsidRPr="002A4FE5" w:rsidRDefault="002C0444" w:rsidP="002C0444">
      <w:pPr>
        <w:spacing w:before="0" w:after="0"/>
        <w:rPr>
          <w:rFonts w:eastAsia="Calibri" w:cs="Calibri"/>
          <w:szCs w:val="22"/>
          <w:lang w:val="sr-Latn-ME" w:eastAsia="en-US"/>
        </w:rPr>
      </w:pPr>
      <w:r w:rsidRPr="002A4FE5">
        <w:rPr>
          <w:rFonts w:eastAsia="Calibri" w:cs="Calibri"/>
          <w:szCs w:val="22"/>
          <w:lang w:val="sr-Latn-ME" w:eastAsia="en-US"/>
        </w:rPr>
        <w:t xml:space="preserve">Za navedena sedimentna staništa (tj. ona staništa obuhvaćena postojećim zakonodavstvom) ciljevi su takođe zasnovani na postojećim zahtjevima prema Direktivi o staništima i Okvirnoj direktivi o vodama. Međutim, veliki dio staništa sedimenata nije zaštićen postojećim zakonodavstvom. To su staništa definisana  kao pretežno sedimentna i razvijeni su novi ciljevi koji pokrivaju ta staništa. Ciljeve za ova staništa bilo je posebno teško razviti jer postoji značajan nedostatak podataka i razumevanja kako za sadašnje, tako i za željeno stanje, što znači da nije moguće postaviti ekološki značajne ciljne pragove </w:t>
      </w:r>
      <w:r w:rsidR="00151BD7">
        <w:rPr>
          <w:rFonts w:eastAsia="Calibri" w:cs="Calibri"/>
          <w:szCs w:val="22"/>
          <w:lang w:val="sr-Latn-ME" w:eastAsia="en-US"/>
        </w:rPr>
        <w:t>GES</w:t>
      </w:r>
      <w:r w:rsidRPr="002A4FE5">
        <w:rPr>
          <w:rFonts w:eastAsia="Calibri" w:cs="Calibri"/>
          <w:szCs w:val="22"/>
          <w:lang w:val="sr-Latn-ME" w:eastAsia="en-US"/>
        </w:rPr>
        <w:t>-a. Iz tog razloga ciljevi za stanje pretežno sedimentnih staništa su ciljevi zasnovani na trendu, ciljevi pritiska, koji zahtijevaju smanjenje štetnog uticaja čoveka na ova staništa.</w:t>
      </w:r>
    </w:p>
    <w:p w14:paraId="7E914BFF" w14:textId="77777777" w:rsidR="002C0444" w:rsidRPr="002A4FE5" w:rsidRDefault="002C0444" w:rsidP="002C0444">
      <w:pPr>
        <w:spacing w:before="0" w:after="0"/>
        <w:ind w:firstLine="397"/>
        <w:rPr>
          <w:rFonts w:eastAsia="Calibri" w:cs="Calibri"/>
          <w:szCs w:val="22"/>
          <w:lang w:val="sr-Latn-ME" w:eastAsia="en-US"/>
        </w:rPr>
      </w:pPr>
    </w:p>
    <w:p w14:paraId="271D697A" w14:textId="233EDAEF" w:rsidR="002C0444" w:rsidRPr="002A4FE5" w:rsidRDefault="002C0444" w:rsidP="002C0444">
      <w:pPr>
        <w:spacing w:before="0" w:after="0"/>
        <w:rPr>
          <w:rFonts w:eastAsia="Calibri" w:cs="Calibri"/>
          <w:b/>
          <w:szCs w:val="22"/>
          <w:lang w:val="sr-Latn-ME" w:eastAsia="en-US"/>
        </w:rPr>
      </w:pPr>
      <w:r w:rsidRPr="002A4FE5">
        <w:rPr>
          <w:rFonts w:eastAsia="Calibri" w:cs="Calibri"/>
          <w:b/>
          <w:szCs w:val="22"/>
          <w:lang w:val="sr-Latn-ME" w:eastAsia="en-US"/>
        </w:rPr>
        <w:t xml:space="preserve">Tabela 3.28. Ciljevi za </w:t>
      </w:r>
      <w:r w:rsidR="00270073">
        <w:rPr>
          <w:rFonts w:eastAsia="Calibri" w:cs="Calibri"/>
          <w:b/>
          <w:szCs w:val="22"/>
          <w:lang w:val="sr-Latn-ME" w:eastAsia="en-US"/>
        </w:rPr>
        <w:t>morsku</w:t>
      </w:r>
      <w:r w:rsidRPr="002A4FE5">
        <w:rPr>
          <w:rFonts w:eastAsia="Calibri" w:cs="Calibri"/>
          <w:b/>
          <w:szCs w:val="22"/>
          <w:lang w:val="sr-Latn-ME" w:eastAsia="en-US"/>
        </w:rPr>
        <w:t xml:space="preserve"> sredinu koji će voditi ka </w:t>
      </w:r>
      <w:r w:rsidR="00E8147C">
        <w:rPr>
          <w:rFonts w:eastAsia="Calibri" w:cs="Calibri"/>
          <w:b/>
          <w:szCs w:val="22"/>
          <w:lang w:val="sr-Latn-ME" w:eastAsia="en-US"/>
        </w:rPr>
        <w:t xml:space="preserve">napretku u </w:t>
      </w:r>
      <w:r w:rsidRPr="002A4FE5">
        <w:rPr>
          <w:rFonts w:eastAsia="Calibri" w:cs="Calibri"/>
          <w:b/>
          <w:szCs w:val="22"/>
          <w:lang w:val="sr-Latn-ME" w:eastAsia="en-US"/>
        </w:rPr>
        <w:t xml:space="preserve">postizanju </w:t>
      </w:r>
      <w:r w:rsidR="00151BD7">
        <w:rPr>
          <w:rFonts w:eastAsia="Calibri" w:cs="Calibri"/>
          <w:b/>
          <w:szCs w:val="22"/>
          <w:lang w:val="sr-Latn-ME" w:eastAsia="en-US"/>
        </w:rPr>
        <w:t>GES</w:t>
      </w:r>
      <w:r w:rsidR="00E8147C">
        <w:rPr>
          <w:rFonts w:eastAsia="Calibri" w:cs="Calibri"/>
          <w:b/>
          <w:szCs w:val="22"/>
          <w:lang w:val="sr-Latn-ME" w:eastAsia="en-US"/>
        </w:rPr>
        <w:t xml:space="preserve">-a </w:t>
      </w:r>
      <w:r w:rsidRPr="002A4FE5">
        <w:rPr>
          <w:rFonts w:eastAsia="Calibri" w:cs="Calibri"/>
          <w:b/>
          <w:szCs w:val="22"/>
          <w:lang w:val="sr-Latn-ME" w:eastAsia="en-US"/>
        </w:rPr>
        <w:t>bentoskih staništa</w:t>
      </w:r>
    </w:p>
    <w:tbl>
      <w:tblPr>
        <w:tblStyle w:val="TableGrid"/>
        <w:tblW w:w="0" w:type="auto"/>
        <w:tblLook w:val="04A0" w:firstRow="1" w:lastRow="0" w:firstColumn="1" w:lastColumn="0" w:noHBand="0" w:noVBand="1"/>
      </w:tblPr>
      <w:tblGrid>
        <w:gridCol w:w="1980"/>
        <w:gridCol w:w="5670"/>
        <w:gridCol w:w="1105"/>
      </w:tblGrid>
      <w:tr w:rsidR="006B75DD" w:rsidRPr="002C0444" w14:paraId="15256FFB" w14:textId="77777777" w:rsidTr="004B074A">
        <w:trPr>
          <w:tblHeader/>
        </w:trPr>
        <w:tc>
          <w:tcPr>
            <w:tcW w:w="875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6D489913" w14:textId="62FE7CD1" w:rsidR="006B75DD" w:rsidRPr="005827C2" w:rsidRDefault="006B75DD" w:rsidP="006B75DD">
            <w:pPr>
              <w:spacing w:before="0" w:after="0" w:line="240" w:lineRule="auto"/>
              <w:jc w:val="center"/>
              <w:rPr>
                <w:rFonts w:cs="Calibri"/>
                <w:b/>
                <w:color w:val="FFFFFF" w:themeColor="background1"/>
                <w:lang w:val="sr-Latn-ME" w:eastAsia="en-US"/>
              </w:rPr>
            </w:pPr>
            <w:r>
              <w:rPr>
                <w:rFonts w:cs="Calibri"/>
                <w:b/>
                <w:color w:val="FFFFFF" w:themeColor="background1"/>
                <w:lang w:val="sr-Latn-ME" w:eastAsia="en-US"/>
              </w:rPr>
              <w:t>Područje procjene: nacionalni nivo – crnogorski dio Jadrana</w:t>
            </w:r>
          </w:p>
        </w:tc>
      </w:tr>
      <w:tr w:rsidR="002C0444" w:rsidRPr="002C0444" w14:paraId="7918D4BE" w14:textId="77777777" w:rsidTr="004B074A">
        <w:trPr>
          <w:tblHeader/>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2E644044" w14:textId="77777777" w:rsidR="002C0444" w:rsidRPr="005827C2" w:rsidRDefault="002C0444" w:rsidP="002C0444">
            <w:pPr>
              <w:spacing w:before="0" w:after="0" w:line="240" w:lineRule="auto"/>
              <w:jc w:val="left"/>
              <w:rPr>
                <w:rFonts w:cs="Calibri"/>
                <w:b/>
                <w:color w:val="FFFFFF" w:themeColor="background1"/>
                <w:lang w:val="sr-Latn-ME" w:eastAsia="en-US"/>
              </w:rPr>
            </w:pPr>
            <w:r w:rsidRPr="005827C2">
              <w:rPr>
                <w:rFonts w:cs="Calibri"/>
                <w:b/>
                <w:color w:val="FFFFFF" w:themeColor="background1"/>
                <w:lang w:val="sr-Latn-ME" w:eastAsia="en-US"/>
              </w:rPr>
              <w:t>Kriterijum</w:t>
            </w:r>
          </w:p>
        </w:tc>
        <w:tc>
          <w:tcPr>
            <w:tcW w:w="56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57024D77" w14:textId="77777777" w:rsidR="002C0444" w:rsidRPr="005827C2" w:rsidRDefault="002C0444" w:rsidP="002C0444">
            <w:pPr>
              <w:spacing w:before="0" w:after="0" w:line="240" w:lineRule="auto"/>
              <w:jc w:val="left"/>
              <w:rPr>
                <w:rFonts w:cs="Calibri"/>
                <w:b/>
                <w:color w:val="FFFFFF" w:themeColor="background1"/>
                <w:lang w:val="sr-Latn-ME" w:eastAsia="en-US"/>
              </w:rPr>
            </w:pPr>
            <w:r w:rsidRPr="005827C2">
              <w:rPr>
                <w:rFonts w:cs="Calibri"/>
                <w:b/>
                <w:color w:val="FFFFFF" w:themeColor="background1"/>
                <w:lang w:val="sr-Latn-ME" w:eastAsia="en-US"/>
              </w:rPr>
              <w:t>Ciljevi</w:t>
            </w:r>
          </w:p>
        </w:tc>
        <w:tc>
          <w:tcPr>
            <w:tcW w:w="11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182772A2" w14:textId="3C657BDB" w:rsidR="002C0444" w:rsidRDefault="002C0444" w:rsidP="002C0444">
            <w:pPr>
              <w:spacing w:before="0" w:after="0" w:line="240" w:lineRule="auto"/>
              <w:jc w:val="left"/>
              <w:rPr>
                <w:rFonts w:cs="Calibri"/>
                <w:b/>
                <w:color w:val="FFFFFF" w:themeColor="background1"/>
                <w:lang w:val="sr-Latn-ME" w:eastAsia="en-US"/>
              </w:rPr>
            </w:pPr>
            <w:r w:rsidRPr="005827C2">
              <w:rPr>
                <w:rFonts w:cs="Calibri"/>
                <w:b/>
                <w:color w:val="FFFFFF" w:themeColor="background1"/>
                <w:lang w:val="sr-Latn-ME" w:eastAsia="en-US"/>
              </w:rPr>
              <w:t>Ciljni kod</w:t>
            </w:r>
          </w:p>
          <w:p w14:paraId="1C4D5395" w14:textId="77777777" w:rsidR="005827C2" w:rsidRDefault="005827C2" w:rsidP="002C0444">
            <w:pPr>
              <w:spacing w:before="0" w:after="0" w:line="240" w:lineRule="auto"/>
              <w:jc w:val="left"/>
              <w:rPr>
                <w:rFonts w:cs="Calibri"/>
                <w:b/>
                <w:color w:val="FFFFFF" w:themeColor="background1"/>
                <w:lang w:val="sr-Latn-ME" w:eastAsia="en-US"/>
              </w:rPr>
            </w:pPr>
          </w:p>
          <w:p w14:paraId="0E62A321" w14:textId="1231B633" w:rsidR="005827C2" w:rsidRPr="005827C2" w:rsidRDefault="005827C2" w:rsidP="002C0444">
            <w:pPr>
              <w:spacing w:before="0" w:after="0" w:line="240" w:lineRule="auto"/>
              <w:jc w:val="left"/>
              <w:rPr>
                <w:rFonts w:cs="Calibri"/>
                <w:b/>
                <w:color w:val="FFFFFF" w:themeColor="background1"/>
                <w:lang w:val="sr-Latn-ME" w:eastAsia="en-US"/>
              </w:rPr>
            </w:pPr>
          </w:p>
        </w:tc>
      </w:tr>
      <w:tr w:rsidR="002C0444" w:rsidRPr="002C0444" w14:paraId="3443EFBC" w14:textId="77777777" w:rsidTr="005827C2">
        <w:tc>
          <w:tcPr>
            <w:tcW w:w="1980" w:type="dxa"/>
            <w:tcBorders>
              <w:top w:val="single" w:sz="4" w:space="0" w:color="FFFFFF" w:themeColor="background1"/>
              <w:left w:val="single" w:sz="4" w:space="0" w:color="auto"/>
              <w:bottom w:val="single" w:sz="4" w:space="0" w:color="auto"/>
              <w:right w:val="single" w:sz="4" w:space="0" w:color="auto"/>
            </w:tcBorders>
            <w:hideMark/>
          </w:tcPr>
          <w:p w14:paraId="48A68039" w14:textId="77777777" w:rsidR="002C0444" w:rsidRPr="002A4FE5" w:rsidRDefault="002C0444" w:rsidP="002C0444">
            <w:pPr>
              <w:spacing w:before="0" w:after="0" w:line="240" w:lineRule="auto"/>
              <w:jc w:val="left"/>
              <w:rPr>
                <w:rFonts w:cs="Calibri"/>
                <w:sz w:val="20"/>
                <w:szCs w:val="20"/>
                <w:lang w:val="sr-Latn-ME" w:eastAsia="en-US"/>
              </w:rPr>
            </w:pPr>
            <w:r w:rsidRPr="000A161D">
              <w:rPr>
                <w:rFonts w:cs="Calibri"/>
                <w:b/>
                <w:sz w:val="20"/>
                <w:szCs w:val="20"/>
                <w:lang w:val="sr-Latn-ME" w:eastAsia="en-US"/>
              </w:rPr>
              <w:t>D6C1 – Primarni:</w:t>
            </w:r>
            <w:r w:rsidRPr="002A4FE5">
              <w:rPr>
                <w:rFonts w:cs="Calibri"/>
                <w:sz w:val="20"/>
                <w:szCs w:val="20"/>
                <w:lang w:val="sr-Latn-ME" w:eastAsia="en-US"/>
              </w:rPr>
              <w:t xml:space="preserve"> Površina i rasprostranjenost fizičkih gubitaka (trajne promjene) prirodnih morskih dna </w:t>
            </w:r>
          </w:p>
        </w:tc>
        <w:tc>
          <w:tcPr>
            <w:tcW w:w="5670" w:type="dxa"/>
            <w:tcBorders>
              <w:top w:val="single" w:sz="4" w:space="0" w:color="FFFFFF" w:themeColor="background1"/>
              <w:left w:val="single" w:sz="4" w:space="0" w:color="auto"/>
              <w:bottom w:val="single" w:sz="4" w:space="0" w:color="auto"/>
              <w:right w:val="single" w:sz="4" w:space="0" w:color="auto"/>
            </w:tcBorders>
            <w:hideMark/>
          </w:tcPr>
          <w:p w14:paraId="3691E6A5" w14:textId="77777777" w:rsidR="002C0444" w:rsidRPr="002A4FE5" w:rsidRDefault="002C0444" w:rsidP="002C0444">
            <w:pPr>
              <w:spacing w:before="0" w:after="0" w:line="240" w:lineRule="auto"/>
              <w:jc w:val="left"/>
              <w:rPr>
                <w:rFonts w:cs="Calibri"/>
                <w:sz w:val="20"/>
                <w:szCs w:val="20"/>
                <w:lang w:val="sr-Latn-ME" w:eastAsia="en-US"/>
              </w:rPr>
            </w:pPr>
            <w:r w:rsidRPr="002A4FE5">
              <w:rPr>
                <w:rFonts w:cs="Calibri"/>
                <w:sz w:val="20"/>
                <w:szCs w:val="20"/>
                <w:lang w:val="sr-Latn-ME" w:eastAsia="en-US"/>
              </w:rPr>
              <w:t>Površina i rasprostranjenost fizičkih gubitaka (trajne promjene) prirodnih morskih dna se ne povećava u mjeri koja ugrožava funkcionisanje ekosistema</w:t>
            </w:r>
          </w:p>
        </w:tc>
        <w:tc>
          <w:tcPr>
            <w:tcW w:w="1105" w:type="dxa"/>
            <w:tcBorders>
              <w:top w:val="single" w:sz="4" w:space="0" w:color="FFFFFF" w:themeColor="background1"/>
              <w:left w:val="single" w:sz="4" w:space="0" w:color="auto"/>
              <w:bottom w:val="single" w:sz="4" w:space="0" w:color="auto"/>
              <w:right w:val="single" w:sz="4" w:space="0" w:color="auto"/>
            </w:tcBorders>
            <w:hideMark/>
          </w:tcPr>
          <w:p w14:paraId="164A1CEA" w14:textId="77777777" w:rsidR="002C0444" w:rsidRPr="006D4452" w:rsidRDefault="002C0444" w:rsidP="002C0444">
            <w:pPr>
              <w:spacing w:before="0" w:after="0" w:line="240" w:lineRule="auto"/>
              <w:jc w:val="left"/>
              <w:rPr>
                <w:rFonts w:cs="Calibri"/>
                <w:b/>
                <w:sz w:val="20"/>
                <w:szCs w:val="20"/>
                <w:lang w:val="sr-Latn-ME" w:eastAsia="en-US"/>
              </w:rPr>
            </w:pPr>
            <w:r w:rsidRPr="006D4452">
              <w:rPr>
                <w:rFonts w:cs="Calibri"/>
                <w:b/>
                <w:sz w:val="20"/>
                <w:szCs w:val="20"/>
                <w:lang w:val="sr-Latn-ME" w:eastAsia="en-US"/>
              </w:rPr>
              <w:t>D6T1</w:t>
            </w:r>
          </w:p>
        </w:tc>
      </w:tr>
      <w:tr w:rsidR="002C0444" w:rsidRPr="002C0444" w14:paraId="4CC51E3E" w14:textId="77777777" w:rsidTr="00CC23EC">
        <w:tc>
          <w:tcPr>
            <w:tcW w:w="1980" w:type="dxa"/>
            <w:tcBorders>
              <w:top w:val="single" w:sz="4" w:space="0" w:color="auto"/>
              <w:left w:val="single" w:sz="4" w:space="0" w:color="auto"/>
              <w:bottom w:val="single" w:sz="4" w:space="0" w:color="auto"/>
              <w:right w:val="single" w:sz="4" w:space="0" w:color="auto"/>
            </w:tcBorders>
            <w:hideMark/>
          </w:tcPr>
          <w:p w14:paraId="2D50D803" w14:textId="77777777" w:rsidR="002C0444" w:rsidRPr="002A4FE5" w:rsidRDefault="002C0444" w:rsidP="002C0444">
            <w:pPr>
              <w:spacing w:before="0" w:after="0" w:line="240" w:lineRule="auto"/>
              <w:jc w:val="left"/>
              <w:rPr>
                <w:rFonts w:cs="Calibri"/>
                <w:sz w:val="20"/>
                <w:szCs w:val="20"/>
                <w:lang w:val="sr-Latn-ME" w:eastAsia="en-US"/>
              </w:rPr>
            </w:pPr>
            <w:r w:rsidRPr="000A161D">
              <w:rPr>
                <w:rFonts w:cs="Calibri"/>
                <w:b/>
                <w:sz w:val="20"/>
                <w:szCs w:val="20"/>
                <w:lang w:val="sr-Latn-ME" w:eastAsia="en-US"/>
              </w:rPr>
              <w:t>D6C2 – Primarni:</w:t>
            </w:r>
            <w:r w:rsidRPr="002A4FE5">
              <w:rPr>
                <w:rFonts w:cs="Calibri"/>
                <w:sz w:val="20"/>
                <w:szCs w:val="20"/>
                <w:lang w:val="sr-Latn-ME" w:eastAsia="en-US"/>
              </w:rPr>
              <w:t xml:space="preserve"> Površina i rasprostranjenost fizičkih pritisaka na morska dna</w:t>
            </w:r>
          </w:p>
        </w:tc>
        <w:tc>
          <w:tcPr>
            <w:tcW w:w="5670" w:type="dxa"/>
            <w:tcBorders>
              <w:top w:val="single" w:sz="4" w:space="0" w:color="auto"/>
              <w:left w:val="single" w:sz="4" w:space="0" w:color="auto"/>
              <w:bottom w:val="single" w:sz="4" w:space="0" w:color="auto"/>
              <w:right w:val="single" w:sz="4" w:space="0" w:color="auto"/>
            </w:tcBorders>
            <w:hideMark/>
          </w:tcPr>
          <w:p w14:paraId="117BC754" w14:textId="77777777" w:rsidR="002C0444" w:rsidRPr="002A4FE5" w:rsidRDefault="002C0444" w:rsidP="002C0444">
            <w:pPr>
              <w:spacing w:before="0" w:after="0" w:line="240" w:lineRule="auto"/>
              <w:jc w:val="left"/>
              <w:rPr>
                <w:rFonts w:cs="Calibri"/>
                <w:sz w:val="20"/>
                <w:szCs w:val="20"/>
                <w:lang w:val="sr-Latn-ME" w:eastAsia="en-US"/>
              </w:rPr>
            </w:pPr>
            <w:r w:rsidRPr="002A4FE5">
              <w:rPr>
                <w:rFonts w:cs="Calibri"/>
                <w:sz w:val="20"/>
                <w:szCs w:val="20"/>
                <w:lang w:val="sr-Latn-ME" w:eastAsia="en-US"/>
              </w:rPr>
              <w:t>Površina i rasprostranjenost pritisaka na morsko dno u obliku fizičkih smetnji su minimizirani i u mjeri koja omogućava održivo korišćenje ekosistema.</w:t>
            </w:r>
          </w:p>
        </w:tc>
        <w:tc>
          <w:tcPr>
            <w:tcW w:w="1105" w:type="dxa"/>
            <w:tcBorders>
              <w:top w:val="single" w:sz="4" w:space="0" w:color="auto"/>
              <w:left w:val="single" w:sz="4" w:space="0" w:color="auto"/>
              <w:bottom w:val="single" w:sz="4" w:space="0" w:color="auto"/>
              <w:right w:val="single" w:sz="4" w:space="0" w:color="auto"/>
            </w:tcBorders>
            <w:hideMark/>
          </w:tcPr>
          <w:p w14:paraId="549AABFE" w14:textId="77777777" w:rsidR="002C0444" w:rsidRPr="006D4452" w:rsidRDefault="002C0444" w:rsidP="002C0444">
            <w:pPr>
              <w:spacing w:before="0" w:after="0" w:line="240" w:lineRule="auto"/>
              <w:jc w:val="left"/>
              <w:rPr>
                <w:rFonts w:cs="Calibri"/>
                <w:b/>
                <w:sz w:val="20"/>
                <w:szCs w:val="20"/>
                <w:lang w:val="sr-Latn-ME" w:eastAsia="en-US"/>
              </w:rPr>
            </w:pPr>
            <w:r w:rsidRPr="006D4452">
              <w:rPr>
                <w:rFonts w:cs="Calibri"/>
                <w:b/>
                <w:sz w:val="20"/>
                <w:szCs w:val="20"/>
                <w:lang w:val="sr-Latn-ME" w:eastAsia="en-US"/>
              </w:rPr>
              <w:t>D6T2</w:t>
            </w:r>
          </w:p>
        </w:tc>
      </w:tr>
      <w:tr w:rsidR="002C0444" w:rsidRPr="002C0444" w14:paraId="0754A943" w14:textId="77777777" w:rsidTr="00CC23EC">
        <w:tc>
          <w:tcPr>
            <w:tcW w:w="1980" w:type="dxa"/>
            <w:tcBorders>
              <w:top w:val="single" w:sz="4" w:space="0" w:color="auto"/>
              <w:left w:val="single" w:sz="4" w:space="0" w:color="auto"/>
              <w:bottom w:val="single" w:sz="4" w:space="0" w:color="auto"/>
              <w:right w:val="single" w:sz="4" w:space="0" w:color="auto"/>
            </w:tcBorders>
            <w:hideMark/>
          </w:tcPr>
          <w:p w14:paraId="41260ABD" w14:textId="77777777" w:rsidR="002C0444" w:rsidRPr="002A4FE5" w:rsidRDefault="002C0444" w:rsidP="002C0444">
            <w:pPr>
              <w:spacing w:before="0" w:after="0" w:line="240" w:lineRule="auto"/>
              <w:jc w:val="left"/>
              <w:rPr>
                <w:rFonts w:cs="Calibri"/>
                <w:sz w:val="20"/>
                <w:szCs w:val="20"/>
                <w:lang w:val="sr-Latn-ME" w:eastAsia="en-US"/>
              </w:rPr>
            </w:pPr>
            <w:r w:rsidRPr="000A161D">
              <w:rPr>
                <w:rFonts w:cs="Calibri"/>
                <w:b/>
                <w:sz w:val="20"/>
                <w:szCs w:val="20"/>
                <w:lang w:val="sr-Latn-ME" w:eastAsia="en-US"/>
              </w:rPr>
              <w:t>D6C3 – Primarni:</w:t>
            </w:r>
            <w:r w:rsidRPr="002A4FE5">
              <w:rPr>
                <w:rFonts w:cs="Calibri"/>
                <w:sz w:val="20"/>
                <w:szCs w:val="20"/>
                <w:lang w:val="sr-Latn-ME" w:eastAsia="en-US"/>
              </w:rPr>
              <w:t xml:space="preserve">  prostorno rasprostranjenje stanišnog tipa koje je pod uticajem fizičkih pritisaka preko promjena u njegovim biotskim i abiotskim strukturama, funkcionalnosti i fizičkim smenjama</w:t>
            </w:r>
          </w:p>
        </w:tc>
        <w:tc>
          <w:tcPr>
            <w:tcW w:w="5670" w:type="dxa"/>
            <w:tcBorders>
              <w:top w:val="single" w:sz="4" w:space="0" w:color="auto"/>
              <w:left w:val="single" w:sz="4" w:space="0" w:color="auto"/>
              <w:bottom w:val="single" w:sz="4" w:space="0" w:color="auto"/>
              <w:right w:val="single" w:sz="4" w:space="0" w:color="auto"/>
            </w:tcBorders>
            <w:hideMark/>
          </w:tcPr>
          <w:p w14:paraId="6B76C2CF" w14:textId="77777777" w:rsidR="002C0444" w:rsidRPr="002A4FE5" w:rsidRDefault="002C0444" w:rsidP="002C0444">
            <w:pPr>
              <w:autoSpaceDE w:val="0"/>
              <w:autoSpaceDN w:val="0"/>
              <w:adjustRightInd w:val="0"/>
              <w:spacing w:before="0" w:after="0" w:line="240" w:lineRule="auto"/>
              <w:jc w:val="left"/>
              <w:rPr>
                <w:rFonts w:cs="Calibri"/>
                <w:color w:val="000000"/>
                <w:sz w:val="20"/>
                <w:szCs w:val="20"/>
                <w:lang w:val="sr-Latn-ME" w:eastAsia="en-US"/>
              </w:rPr>
            </w:pPr>
            <w:r w:rsidRPr="002A4FE5">
              <w:rPr>
                <w:rFonts w:cs="Calibri"/>
                <w:color w:val="000000"/>
                <w:sz w:val="20"/>
                <w:szCs w:val="20"/>
                <w:lang w:val="sr-Latn-ME" w:eastAsia="en-US"/>
              </w:rPr>
              <w:t>Gubitak osjetljivih, fragilnih ili važnih staništa izazvan ljudskim aktivnostima je spriječen i gdje je moguće stanje je popravljeno:</w:t>
            </w:r>
          </w:p>
          <w:p w14:paraId="461C6A59" w14:textId="60FD93B1" w:rsidR="002C0444" w:rsidRPr="006D4452" w:rsidRDefault="002C0444" w:rsidP="006D4452">
            <w:pPr>
              <w:pStyle w:val="ListParagraph"/>
              <w:numPr>
                <w:ilvl w:val="0"/>
                <w:numId w:val="74"/>
              </w:numPr>
              <w:autoSpaceDE w:val="0"/>
              <w:autoSpaceDN w:val="0"/>
              <w:adjustRightInd w:val="0"/>
              <w:spacing w:before="0" w:after="0" w:line="240" w:lineRule="auto"/>
              <w:ind w:left="300" w:hanging="283"/>
              <w:jc w:val="left"/>
              <w:rPr>
                <w:rFonts w:cs="Calibri"/>
                <w:color w:val="000000"/>
                <w:sz w:val="20"/>
                <w:szCs w:val="20"/>
                <w:lang w:val="sr-Latn-ME" w:eastAsia="en-US"/>
              </w:rPr>
            </w:pPr>
            <w:r w:rsidRPr="006D4452">
              <w:rPr>
                <w:rFonts w:cs="Calibri"/>
                <w:color w:val="000000"/>
                <w:sz w:val="20"/>
                <w:szCs w:val="20"/>
                <w:lang w:val="sr-Latn-ME" w:eastAsia="en-US"/>
              </w:rPr>
              <w:t xml:space="preserve">Područje rasprostranjenosti vrste </w:t>
            </w:r>
            <w:r w:rsidRPr="006D4452">
              <w:rPr>
                <w:rFonts w:cs="Calibri"/>
                <w:i/>
                <w:color w:val="000000"/>
                <w:sz w:val="20"/>
                <w:szCs w:val="20"/>
                <w:lang w:val="sr-Latn-ME" w:eastAsia="en-US"/>
              </w:rPr>
              <w:t xml:space="preserve">P. oceanica </w:t>
            </w:r>
            <w:r w:rsidRPr="006D4452">
              <w:rPr>
                <w:rFonts w:cs="Calibri"/>
                <w:color w:val="000000"/>
                <w:sz w:val="20"/>
                <w:szCs w:val="20"/>
                <w:lang w:val="sr-Latn-ME" w:eastAsia="en-US"/>
              </w:rPr>
              <w:t xml:space="preserve"> se ne smanjuje. Ekološki kvalitet naselja vrste </w:t>
            </w:r>
            <w:r w:rsidRPr="006D4452">
              <w:rPr>
                <w:rFonts w:cs="Calibri"/>
                <w:i/>
                <w:color w:val="000000"/>
                <w:sz w:val="20"/>
                <w:szCs w:val="20"/>
                <w:lang w:val="sr-Latn-ME" w:eastAsia="en-US"/>
              </w:rPr>
              <w:t>P. oceanica</w:t>
            </w:r>
            <w:r w:rsidRPr="006D4452">
              <w:rPr>
                <w:rFonts w:cs="Calibri"/>
                <w:color w:val="000000"/>
                <w:sz w:val="20"/>
                <w:szCs w:val="20"/>
                <w:lang w:val="sr-Latn-ME" w:eastAsia="en-US"/>
              </w:rPr>
              <w:t xml:space="preserve"> se ne smanjuje.</w:t>
            </w:r>
          </w:p>
          <w:p w14:paraId="4B28A894" w14:textId="7B17D167" w:rsidR="002C0444" w:rsidRPr="006D4452" w:rsidRDefault="002C0444" w:rsidP="006D4452">
            <w:pPr>
              <w:pStyle w:val="ListParagraph"/>
              <w:numPr>
                <w:ilvl w:val="0"/>
                <w:numId w:val="74"/>
              </w:numPr>
              <w:autoSpaceDE w:val="0"/>
              <w:autoSpaceDN w:val="0"/>
              <w:adjustRightInd w:val="0"/>
              <w:spacing w:before="0" w:after="0" w:line="240" w:lineRule="auto"/>
              <w:ind w:left="300" w:hanging="283"/>
              <w:jc w:val="left"/>
              <w:rPr>
                <w:rFonts w:cs="Calibri"/>
                <w:color w:val="000000"/>
                <w:sz w:val="20"/>
                <w:szCs w:val="20"/>
                <w:lang w:val="sr-Latn-ME" w:eastAsia="en-US"/>
              </w:rPr>
            </w:pPr>
            <w:r w:rsidRPr="006D4452">
              <w:rPr>
                <w:rFonts w:cs="Calibri"/>
                <w:color w:val="000000"/>
                <w:sz w:val="20"/>
                <w:szCs w:val="20"/>
                <w:lang w:val="sr-Latn-ME" w:eastAsia="en-US"/>
              </w:rPr>
              <w:t>Dobro stanje zajednica mediolitorala i gornjeg infralitorala fotofilnih algi na čvrstim dnima se ne smanjuje. Rasprostranjenost biocenoza je održana. Sastav vrsta je održan u skladu sa uslovima prirodne životne sredine.</w:t>
            </w:r>
          </w:p>
          <w:p w14:paraId="71D82435" w14:textId="6DF95044" w:rsidR="002C0444" w:rsidRPr="006D4452" w:rsidRDefault="002C0444" w:rsidP="006D4452">
            <w:pPr>
              <w:pStyle w:val="ListParagraph"/>
              <w:numPr>
                <w:ilvl w:val="0"/>
                <w:numId w:val="74"/>
              </w:numPr>
              <w:autoSpaceDE w:val="0"/>
              <w:autoSpaceDN w:val="0"/>
              <w:adjustRightInd w:val="0"/>
              <w:spacing w:before="0" w:after="0" w:line="240" w:lineRule="auto"/>
              <w:ind w:left="300" w:hanging="283"/>
              <w:jc w:val="left"/>
              <w:rPr>
                <w:rFonts w:cs="Calibri"/>
                <w:color w:val="000000"/>
                <w:sz w:val="20"/>
                <w:szCs w:val="20"/>
                <w:lang w:val="sr-Latn-ME" w:eastAsia="en-US"/>
              </w:rPr>
            </w:pPr>
            <w:r w:rsidRPr="006D4452">
              <w:rPr>
                <w:rFonts w:cs="Calibri"/>
                <w:color w:val="000000"/>
                <w:sz w:val="20"/>
                <w:szCs w:val="20"/>
                <w:lang w:val="sr-Latn-ME" w:eastAsia="en-US"/>
              </w:rPr>
              <w:t>Područje rasprostranjenja koraligenih zajednica je održano i ne smanjuje se sastav vrsta koji je u skladu sa uslovima spoljašnje sredine.</w:t>
            </w:r>
          </w:p>
          <w:p w14:paraId="0BF1FB6B" w14:textId="5BC95008" w:rsidR="002C0444" w:rsidRPr="006D4452" w:rsidRDefault="002C0444" w:rsidP="006D4452">
            <w:pPr>
              <w:pStyle w:val="ListParagraph"/>
              <w:numPr>
                <w:ilvl w:val="0"/>
                <w:numId w:val="74"/>
              </w:numPr>
              <w:autoSpaceDE w:val="0"/>
              <w:autoSpaceDN w:val="0"/>
              <w:adjustRightInd w:val="0"/>
              <w:spacing w:before="0" w:after="0" w:line="240" w:lineRule="auto"/>
              <w:ind w:left="300" w:hanging="283"/>
              <w:jc w:val="left"/>
              <w:rPr>
                <w:rFonts w:cs="Calibri"/>
                <w:sz w:val="20"/>
                <w:szCs w:val="20"/>
                <w:lang w:val="sr-Latn-ME" w:eastAsia="en-US"/>
              </w:rPr>
            </w:pPr>
            <w:r w:rsidRPr="006D4452">
              <w:rPr>
                <w:rFonts w:cs="Calibri"/>
                <w:color w:val="000000"/>
                <w:sz w:val="20"/>
                <w:szCs w:val="20"/>
                <w:lang w:val="sr-Latn-ME" w:eastAsia="en-US"/>
              </w:rPr>
              <w:t>Dobro stanje ostalih bentoskih zajednica je održano i ne smanjuje se sastav vrsta koji je u skladu sa uslovima spoljašnje sredine</w:t>
            </w:r>
          </w:p>
        </w:tc>
        <w:tc>
          <w:tcPr>
            <w:tcW w:w="1105" w:type="dxa"/>
            <w:tcBorders>
              <w:top w:val="single" w:sz="4" w:space="0" w:color="auto"/>
              <w:left w:val="single" w:sz="4" w:space="0" w:color="auto"/>
              <w:bottom w:val="single" w:sz="4" w:space="0" w:color="auto"/>
              <w:right w:val="single" w:sz="4" w:space="0" w:color="auto"/>
            </w:tcBorders>
            <w:hideMark/>
          </w:tcPr>
          <w:p w14:paraId="5D46FC94" w14:textId="77777777" w:rsidR="002C0444" w:rsidRPr="006D4452" w:rsidRDefault="002C0444" w:rsidP="002C0444">
            <w:pPr>
              <w:spacing w:before="0" w:after="0" w:line="240" w:lineRule="auto"/>
              <w:jc w:val="left"/>
              <w:rPr>
                <w:rFonts w:cs="Calibri"/>
                <w:b/>
                <w:sz w:val="20"/>
                <w:szCs w:val="20"/>
                <w:lang w:val="sr-Latn-ME" w:eastAsia="en-US"/>
              </w:rPr>
            </w:pPr>
            <w:r w:rsidRPr="006D4452">
              <w:rPr>
                <w:rFonts w:cs="Calibri"/>
                <w:b/>
                <w:sz w:val="20"/>
                <w:szCs w:val="20"/>
                <w:lang w:val="sr-Latn-ME" w:eastAsia="en-US"/>
              </w:rPr>
              <w:t>D6T3</w:t>
            </w:r>
          </w:p>
        </w:tc>
      </w:tr>
      <w:tr w:rsidR="002C0444" w:rsidRPr="002C0444" w14:paraId="68374EE1" w14:textId="77777777" w:rsidTr="00CC23EC">
        <w:tc>
          <w:tcPr>
            <w:tcW w:w="1980" w:type="dxa"/>
            <w:tcBorders>
              <w:top w:val="single" w:sz="4" w:space="0" w:color="auto"/>
              <w:left w:val="single" w:sz="4" w:space="0" w:color="auto"/>
              <w:bottom w:val="single" w:sz="4" w:space="0" w:color="auto"/>
              <w:right w:val="single" w:sz="4" w:space="0" w:color="auto"/>
            </w:tcBorders>
            <w:hideMark/>
          </w:tcPr>
          <w:p w14:paraId="55EE2D9B" w14:textId="77777777" w:rsidR="002C0444" w:rsidRPr="002A4FE5" w:rsidRDefault="002C0444" w:rsidP="002C0444">
            <w:pPr>
              <w:spacing w:before="0" w:after="0" w:line="240" w:lineRule="auto"/>
              <w:jc w:val="left"/>
              <w:rPr>
                <w:rFonts w:cs="Calibri"/>
                <w:sz w:val="20"/>
                <w:szCs w:val="20"/>
                <w:lang w:val="sr-Latn-ME" w:eastAsia="en-US"/>
              </w:rPr>
            </w:pPr>
            <w:r w:rsidRPr="000A161D">
              <w:rPr>
                <w:rFonts w:cs="Calibri"/>
                <w:b/>
                <w:sz w:val="20"/>
                <w:szCs w:val="20"/>
                <w:lang w:val="sr-Latn-ME" w:eastAsia="en-US"/>
              </w:rPr>
              <w:t>D6C4:</w:t>
            </w:r>
            <w:r w:rsidRPr="002A4FE5">
              <w:rPr>
                <w:rFonts w:cs="Calibri"/>
                <w:sz w:val="20"/>
                <w:szCs w:val="20"/>
                <w:lang w:val="sr-Latn-ME" w:eastAsia="en-US"/>
              </w:rPr>
              <w:t xml:space="preserve"> Prostorno rasprostranjenje staništa koje je značajno pod fizičkim uticajem</w:t>
            </w:r>
          </w:p>
        </w:tc>
        <w:tc>
          <w:tcPr>
            <w:tcW w:w="5670" w:type="dxa"/>
            <w:tcBorders>
              <w:top w:val="single" w:sz="4" w:space="0" w:color="auto"/>
              <w:left w:val="single" w:sz="4" w:space="0" w:color="auto"/>
              <w:bottom w:val="single" w:sz="4" w:space="0" w:color="auto"/>
              <w:right w:val="single" w:sz="4" w:space="0" w:color="auto"/>
            </w:tcBorders>
            <w:hideMark/>
          </w:tcPr>
          <w:p w14:paraId="2D586AFA" w14:textId="77777777" w:rsidR="002C0444" w:rsidRPr="002A4FE5" w:rsidRDefault="002C0444" w:rsidP="002C0444">
            <w:pPr>
              <w:autoSpaceDE w:val="0"/>
              <w:autoSpaceDN w:val="0"/>
              <w:adjustRightInd w:val="0"/>
              <w:spacing w:before="0" w:after="0" w:line="240" w:lineRule="auto"/>
              <w:jc w:val="left"/>
              <w:rPr>
                <w:rFonts w:cs="Calibri"/>
                <w:color w:val="000000"/>
                <w:sz w:val="20"/>
                <w:szCs w:val="20"/>
                <w:lang w:val="sr-Latn-ME" w:eastAsia="en-US"/>
              </w:rPr>
            </w:pPr>
            <w:r w:rsidRPr="002A4FE5">
              <w:rPr>
                <w:rFonts w:cs="Calibri"/>
                <w:color w:val="000000"/>
                <w:sz w:val="20"/>
                <w:szCs w:val="20"/>
                <w:lang w:val="sr-Latn-ME" w:eastAsia="en-US"/>
              </w:rPr>
              <w:t>Prostorno rasprostranjenje stanišnog tipa koje je pod značajnim fizičkim uticajem izazvanim ljudskim aktivnostima treba da se minimizira.</w:t>
            </w:r>
          </w:p>
        </w:tc>
        <w:tc>
          <w:tcPr>
            <w:tcW w:w="1105" w:type="dxa"/>
            <w:tcBorders>
              <w:top w:val="single" w:sz="4" w:space="0" w:color="auto"/>
              <w:left w:val="single" w:sz="4" w:space="0" w:color="auto"/>
              <w:bottom w:val="single" w:sz="4" w:space="0" w:color="auto"/>
              <w:right w:val="single" w:sz="4" w:space="0" w:color="auto"/>
            </w:tcBorders>
            <w:hideMark/>
          </w:tcPr>
          <w:p w14:paraId="340CC03A" w14:textId="77777777" w:rsidR="002C0444" w:rsidRPr="006D4452" w:rsidRDefault="002C0444" w:rsidP="002C0444">
            <w:pPr>
              <w:spacing w:before="0" w:after="0" w:line="240" w:lineRule="auto"/>
              <w:jc w:val="left"/>
              <w:rPr>
                <w:rFonts w:cs="Calibri"/>
                <w:b/>
                <w:sz w:val="20"/>
                <w:szCs w:val="20"/>
                <w:lang w:val="sr-Latn-ME" w:eastAsia="en-US"/>
              </w:rPr>
            </w:pPr>
            <w:r w:rsidRPr="006D4452">
              <w:rPr>
                <w:rFonts w:cs="Calibri"/>
                <w:b/>
                <w:sz w:val="20"/>
                <w:szCs w:val="20"/>
                <w:lang w:val="sr-Latn-ME" w:eastAsia="en-US"/>
              </w:rPr>
              <w:t>D6T4</w:t>
            </w:r>
          </w:p>
        </w:tc>
      </w:tr>
      <w:tr w:rsidR="002C0444" w:rsidRPr="002C0444" w14:paraId="7D88CC79" w14:textId="77777777" w:rsidTr="00CC23EC">
        <w:tc>
          <w:tcPr>
            <w:tcW w:w="1980" w:type="dxa"/>
            <w:tcBorders>
              <w:top w:val="single" w:sz="4" w:space="0" w:color="auto"/>
              <w:left w:val="single" w:sz="4" w:space="0" w:color="auto"/>
              <w:bottom w:val="single" w:sz="4" w:space="0" w:color="auto"/>
              <w:right w:val="single" w:sz="4" w:space="0" w:color="auto"/>
            </w:tcBorders>
            <w:hideMark/>
          </w:tcPr>
          <w:p w14:paraId="2CD9F777" w14:textId="77777777" w:rsidR="002C0444" w:rsidRPr="002A4FE5" w:rsidRDefault="002C0444" w:rsidP="002C0444">
            <w:pPr>
              <w:spacing w:before="0" w:after="0" w:line="240" w:lineRule="auto"/>
              <w:jc w:val="left"/>
              <w:rPr>
                <w:rFonts w:cs="Calibri"/>
                <w:sz w:val="20"/>
                <w:szCs w:val="20"/>
                <w:lang w:val="sr-Latn-ME" w:eastAsia="en-US"/>
              </w:rPr>
            </w:pPr>
            <w:r w:rsidRPr="000A161D">
              <w:rPr>
                <w:rFonts w:cs="Calibri"/>
                <w:b/>
                <w:sz w:val="20"/>
                <w:szCs w:val="20"/>
                <w:lang w:val="sr-Latn-ME" w:eastAsia="en-US"/>
              </w:rPr>
              <w:t>D6C5:</w:t>
            </w:r>
            <w:r w:rsidRPr="002A4FE5">
              <w:rPr>
                <w:rFonts w:cs="Calibri"/>
                <w:sz w:val="20"/>
                <w:szCs w:val="20"/>
                <w:lang w:val="sr-Latn-ME" w:eastAsia="en-US"/>
              </w:rPr>
              <w:t xml:space="preserve"> obim različitih antropogenih pritisaka na stanje stanišnog tipa, uključujući i izmjene biotske i abiotske strukture i funkcije</w:t>
            </w:r>
          </w:p>
        </w:tc>
        <w:tc>
          <w:tcPr>
            <w:tcW w:w="5670" w:type="dxa"/>
            <w:tcBorders>
              <w:top w:val="single" w:sz="4" w:space="0" w:color="auto"/>
              <w:left w:val="single" w:sz="4" w:space="0" w:color="auto"/>
              <w:bottom w:val="single" w:sz="4" w:space="0" w:color="auto"/>
              <w:right w:val="single" w:sz="4" w:space="0" w:color="auto"/>
            </w:tcBorders>
            <w:hideMark/>
          </w:tcPr>
          <w:p w14:paraId="40F74F05" w14:textId="77777777" w:rsidR="002C0444" w:rsidRPr="002A4FE5" w:rsidRDefault="002C0444" w:rsidP="002C0444">
            <w:pPr>
              <w:autoSpaceDE w:val="0"/>
              <w:autoSpaceDN w:val="0"/>
              <w:adjustRightInd w:val="0"/>
              <w:spacing w:before="0" w:after="0" w:line="240" w:lineRule="auto"/>
              <w:jc w:val="left"/>
              <w:rPr>
                <w:rFonts w:cs="Calibri"/>
                <w:color w:val="000000"/>
                <w:sz w:val="20"/>
                <w:szCs w:val="20"/>
                <w:lang w:val="sr-Latn-ME" w:eastAsia="en-US"/>
              </w:rPr>
            </w:pPr>
            <w:r w:rsidRPr="002A4FE5">
              <w:rPr>
                <w:rFonts w:cs="Calibri"/>
                <w:color w:val="000000"/>
                <w:sz w:val="20"/>
                <w:szCs w:val="20"/>
                <w:lang w:val="sr-Latn-ME" w:eastAsia="en-US"/>
              </w:rPr>
              <w:t>Opseg različitih efekata koji su izazvani ljudskom aktivnošću i utiču na stanje, funkcionisanje ekosistemskih procesa i staništa, sastava vrsta i njihovu relativnu brojnost su minimizirani.</w:t>
            </w:r>
          </w:p>
        </w:tc>
        <w:tc>
          <w:tcPr>
            <w:tcW w:w="1105" w:type="dxa"/>
            <w:tcBorders>
              <w:top w:val="single" w:sz="4" w:space="0" w:color="auto"/>
              <w:left w:val="single" w:sz="4" w:space="0" w:color="auto"/>
              <w:bottom w:val="single" w:sz="4" w:space="0" w:color="auto"/>
              <w:right w:val="single" w:sz="4" w:space="0" w:color="auto"/>
            </w:tcBorders>
            <w:hideMark/>
          </w:tcPr>
          <w:p w14:paraId="6A9F54E5" w14:textId="77777777" w:rsidR="002C0444" w:rsidRPr="006D4452" w:rsidRDefault="002C0444" w:rsidP="002C0444">
            <w:pPr>
              <w:spacing w:before="0" w:after="0" w:line="240" w:lineRule="auto"/>
              <w:jc w:val="left"/>
              <w:rPr>
                <w:rFonts w:cs="Calibri"/>
                <w:b/>
                <w:sz w:val="20"/>
                <w:szCs w:val="20"/>
                <w:lang w:val="sr-Latn-ME" w:eastAsia="en-US"/>
              </w:rPr>
            </w:pPr>
            <w:r w:rsidRPr="006D4452">
              <w:rPr>
                <w:rFonts w:cs="Calibri"/>
                <w:b/>
                <w:sz w:val="20"/>
                <w:szCs w:val="20"/>
                <w:lang w:val="sr-Latn-ME" w:eastAsia="en-US"/>
              </w:rPr>
              <w:t>D6T5</w:t>
            </w:r>
          </w:p>
        </w:tc>
      </w:tr>
      <w:tr w:rsidR="002C0444" w:rsidRPr="002C0444" w14:paraId="4658E650" w14:textId="77777777" w:rsidTr="00CC23EC">
        <w:tc>
          <w:tcPr>
            <w:tcW w:w="1980" w:type="dxa"/>
            <w:tcBorders>
              <w:top w:val="single" w:sz="4" w:space="0" w:color="auto"/>
              <w:left w:val="single" w:sz="4" w:space="0" w:color="auto"/>
              <w:bottom w:val="single" w:sz="4" w:space="0" w:color="auto"/>
              <w:right w:val="single" w:sz="4" w:space="0" w:color="auto"/>
            </w:tcBorders>
            <w:hideMark/>
          </w:tcPr>
          <w:p w14:paraId="041944C2" w14:textId="77777777" w:rsidR="002C0444" w:rsidRPr="002A4FE5" w:rsidRDefault="002C0444" w:rsidP="002C0444">
            <w:pPr>
              <w:spacing w:before="0" w:after="0" w:line="240" w:lineRule="auto"/>
              <w:jc w:val="left"/>
              <w:rPr>
                <w:rFonts w:cs="Calibri"/>
                <w:sz w:val="20"/>
                <w:szCs w:val="20"/>
                <w:lang w:val="sr-Latn-ME" w:eastAsia="en-US"/>
              </w:rPr>
            </w:pPr>
            <w:r w:rsidRPr="002A4FE5">
              <w:rPr>
                <w:rFonts w:cs="Calibri"/>
                <w:sz w:val="20"/>
                <w:szCs w:val="20"/>
                <w:lang w:val="sr-Latn-ME" w:eastAsia="en-US"/>
              </w:rPr>
              <w:t>Operativni ciljevi</w:t>
            </w:r>
          </w:p>
        </w:tc>
        <w:tc>
          <w:tcPr>
            <w:tcW w:w="6775" w:type="dxa"/>
            <w:gridSpan w:val="2"/>
            <w:tcBorders>
              <w:top w:val="single" w:sz="4" w:space="0" w:color="auto"/>
              <w:left w:val="single" w:sz="4" w:space="0" w:color="auto"/>
              <w:bottom w:val="single" w:sz="4" w:space="0" w:color="auto"/>
              <w:right w:val="single" w:sz="4" w:space="0" w:color="auto"/>
            </w:tcBorders>
            <w:hideMark/>
          </w:tcPr>
          <w:p w14:paraId="586F7142" w14:textId="542F3C2F" w:rsidR="002C0444" w:rsidRPr="002A4FE5" w:rsidRDefault="001A2376" w:rsidP="002C0444">
            <w:pPr>
              <w:spacing w:before="0" w:after="0" w:line="240" w:lineRule="auto"/>
              <w:jc w:val="left"/>
              <w:rPr>
                <w:rFonts w:cs="Calibri"/>
                <w:sz w:val="20"/>
                <w:szCs w:val="20"/>
                <w:lang w:val="sr-Latn-ME" w:eastAsia="en-US"/>
              </w:rPr>
            </w:pPr>
            <w:r>
              <w:rPr>
                <w:rFonts w:cs="Calibri"/>
                <w:sz w:val="20"/>
                <w:szCs w:val="20"/>
                <w:lang w:val="sr-Latn-ME" w:eastAsia="en-US"/>
              </w:rPr>
              <w:t xml:space="preserve">Saradnja </w:t>
            </w:r>
            <w:r w:rsidR="002C0444" w:rsidRPr="002A4FE5">
              <w:rPr>
                <w:rFonts w:cs="Calibri"/>
                <w:sz w:val="20"/>
                <w:szCs w:val="20"/>
                <w:lang w:val="sr-Latn-ME" w:eastAsia="en-US"/>
              </w:rPr>
              <w:t xml:space="preserve">sa državama u mediteranskom regionu ili barem na nivou podregiona (Jadransko more) na uspostavljanju kriterijuma i pragova za obim gubitka staništa i obim antropogenih aktivnosti tamo gde je to izvodljivo. Pored toga, pažnju treba obratiti na razvoj metodologije za procjenu efekata ljudskih aktivnosti u odnosu na klimatske promjene. </w:t>
            </w:r>
          </w:p>
        </w:tc>
      </w:tr>
      <w:tr w:rsidR="002B0742" w:rsidRPr="002C0444" w14:paraId="0D0A5113" w14:textId="77777777" w:rsidTr="00CC23EC">
        <w:tc>
          <w:tcPr>
            <w:tcW w:w="1980" w:type="dxa"/>
            <w:tcBorders>
              <w:top w:val="single" w:sz="4" w:space="0" w:color="auto"/>
              <w:left w:val="single" w:sz="4" w:space="0" w:color="auto"/>
              <w:bottom w:val="single" w:sz="4" w:space="0" w:color="auto"/>
              <w:right w:val="single" w:sz="4" w:space="0" w:color="auto"/>
            </w:tcBorders>
          </w:tcPr>
          <w:p w14:paraId="7E149C04" w14:textId="54D78CF5" w:rsidR="002B0742" w:rsidRPr="002A4FE5" w:rsidRDefault="002B0742" w:rsidP="002B0742">
            <w:pPr>
              <w:spacing w:before="0" w:after="0" w:line="240" w:lineRule="auto"/>
              <w:jc w:val="left"/>
              <w:rPr>
                <w:rFonts w:cs="Calibri"/>
                <w:sz w:val="20"/>
                <w:szCs w:val="20"/>
                <w:lang w:val="sr-Latn-ME" w:eastAsia="en-US"/>
              </w:rPr>
            </w:pPr>
            <w:r w:rsidRPr="00D62F43">
              <w:rPr>
                <w:rFonts w:cs="Calibri"/>
                <w:b/>
                <w:sz w:val="20"/>
                <w:szCs w:val="20"/>
                <w:lang w:val="sr-Latn-ME" w:eastAsia="en-US"/>
              </w:rPr>
              <w:t>Indikatori  koji će se koristiti da bi se procijenilo stanje</w:t>
            </w:r>
          </w:p>
        </w:tc>
        <w:tc>
          <w:tcPr>
            <w:tcW w:w="6775" w:type="dxa"/>
            <w:gridSpan w:val="2"/>
            <w:tcBorders>
              <w:top w:val="single" w:sz="4" w:space="0" w:color="auto"/>
              <w:left w:val="single" w:sz="4" w:space="0" w:color="auto"/>
              <w:bottom w:val="single" w:sz="4" w:space="0" w:color="auto"/>
              <w:right w:val="single" w:sz="4" w:space="0" w:color="auto"/>
            </w:tcBorders>
          </w:tcPr>
          <w:p w14:paraId="3BBFB618" w14:textId="77777777" w:rsidR="002B0742" w:rsidRDefault="002B0742" w:rsidP="002B0742">
            <w:pPr>
              <w:autoSpaceDE w:val="0"/>
              <w:autoSpaceDN w:val="0"/>
              <w:adjustRightInd w:val="0"/>
              <w:spacing w:before="0" w:after="0" w:line="240" w:lineRule="auto"/>
              <w:rPr>
                <w:rFonts w:cs="Calibri"/>
                <w:sz w:val="20"/>
                <w:szCs w:val="20"/>
                <w:lang w:val="sr-Latn-ME" w:eastAsia="en-US"/>
              </w:rPr>
            </w:pPr>
            <w:r w:rsidRPr="000A161D">
              <w:rPr>
                <w:rFonts w:cs="Calibri"/>
                <w:b/>
                <w:sz w:val="20"/>
                <w:szCs w:val="20"/>
                <w:lang w:val="sr-Latn-ME" w:eastAsia="en-US"/>
              </w:rPr>
              <w:t>D6C1.1:</w:t>
            </w:r>
            <w:r>
              <w:rPr>
                <w:rFonts w:cs="Calibri"/>
                <w:sz w:val="20"/>
                <w:szCs w:val="20"/>
                <w:lang w:val="sr-Latn-ME" w:eastAsia="en-US"/>
              </w:rPr>
              <w:t xml:space="preserve"> Površina staništa  (fizički gubitak staništa)</w:t>
            </w:r>
          </w:p>
          <w:p w14:paraId="44B997C0" w14:textId="77777777" w:rsidR="002B0742" w:rsidRDefault="002B0742" w:rsidP="002B0742">
            <w:pPr>
              <w:autoSpaceDE w:val="0"/>
              <w:autoSpaceDN w:val="0"/>
              <w:adjustRightInd w:val="0"/>
              <w:spacing w:before="0" w:after="0" w:line="240" w:lineRule="auto"/>
              <w:rPr>
                <w:rFonts w:cs="Calibri"/>
                <w:sz w:val="20"/>
                <w:szCs w:val="20"/>
                <w:lang w:val="sr-Latn-ME" w:eastAsia="en-US"/>
              </w:rPr>
            </w:pPr>
            <w:r w:rsidRPr="000A161D">
              <w:rPr>
                <w:rFonts w:cs="Calibri"/>
                <w:b/>
                <w:sz w:val="20"/>
                <w:szCs w:val="20"/>
                <w:lang w:val="sr-Latn-ME" w:eastAsia="en-US"/>
              </w:rPr>
              <w:t>D6C2.1:</w:t>
            </w:r>
            <w:r>
              <w:rPr>
                <w:rFonts w:cs="Calibri"/>
                <w:sz w:val="20"/>
                <w:szCs w:val="20"/>
                <w:lang w:val="sr-Latn-ME" w:eastAsia="en-US"/>
              </w:rPr>
              <w:t xml:space="preserve"> Stanje staništa (obim fizičkih pokazatelja oštećenja )</w:t>
            </w:r>
          </w:p>
          <w:p w14:paraId="1EFF8335" w14:textId="77777777" w:rsidR="002B0742" w:rsidRDefault="002B0742" w:rsidP="002B0742">
            <w:pPr>
              <w:autoSpaceDE w:val="0"/>
              <w:autoSpaceDN w:val="0"/>
              <w:adjustRightInd w:val="0"/>
              <w:spacing w:before="0" w:after="0" w:line="240" w:lineRule="auto"/>
              <w:rPr>
                <w:rFonts w:cs="Calibri"/>
                <w:sz w:val="20"/>
                <w:szCs w:val="20"/>
                <w:lang w:val="sr-Latn-ME" w:eastAsia="en-US"/>
              </w:rPr>
            </w:pPr>
            <w:r w:rsidRPr="000A161D">
              <w:rPr>
                <w:rFonts w:cs="Calibri"/>
                <w:b/>
                <w:sz w:val="20"/>
                <w:szCs w:val="20"/>
                <w:lang w:val="sr-Latn-ME" w:eastAsia="en-US"/>
              </w:rPr>
              <w:t>D6C3.1:</w:t>
            </w:r>
            <w:r>
              <w:rPr>
                <w:rFonts w:cs="Calibri"/>
                <w:sz w:val="20"/>
                <w:szCs w:val="20"/>
                <w:lang w:val="sr-Latn-ME" w:eastAsia="en-US"/>
              </w:rPr>
              <w:t xml:space="preserve"> Prostorna rasprostranjenost tipičnih vrsta i zajednica na odabranim staništima: stanište fotofilnih algi, staniše livade Posidonije, staniše livade Cimodoceje i koraligeno stanište</w:t>
            </w:r>
          </w:p>
          <w:p w14:paraId="4B5955A8" w14:textId="77777777" w:rsidR="002B0742" w:rsidRDefault="002B0742" w:rsidP="002B0742">
            <w:pPr>
              <w:autoSpaceDE w:val="0"/>
              <w:autoSpaceDN w:val="0"/>
              <w:adjustRightInd w:val="0"/>
              <w:spacing w:before="0" w:after="0" w:line="240" w:lineRule="auto"/>
              <w:rPr>
                <w:rFonts w:cs="Calibri"/>
                <w:sz w:val="20"/>
                <w:szCs w:val="20"/>
                <w:lang w:val="sr-Latn-ME" w:eastAsia="en-US"/>
              </w:rPr>
            </w:pPr>
            <w:r w:rsidRPr="000A161D">
              <w:rPr>
                <w:rFonts w:cs="Calibri"/>
                <w:b/>
                <w:sz w:val="20"/>
                <w:szCs w:val="20"/>
                <w:lang w:val="sr-Latn-ME" w:eastAsia="en-US"/>
              </w:rPr>
              <w:t>D6C4.1:</w:t>
            </w:r>
            <w:r>
              <w:rPr>
                <w:rFonts w:cs="Calibri"/>
                <w:sz w:val="20"/>
                <w:szCs w:val="20"/>
                <w:lang w:val="sr-Latn-ME" w:eastAsia="en-US"/>
              </w:rPr>
              <w:t xml:space="preserve"> Op</w:t>
            </w:r>
            <w:r w:rsidRPr="00D90B1D">
              <w:rPr>
                <w:rFonts w:cs="Calibri"/>
                <w:sz w:val="20"/>
                <w:szCs w:val="20"/>
                <w:lang w:val="sr-Latn-ME" w:eastAsia="en-US"/>
              </w:rPr>
              <w:t xml:space="preserve">seg morskog dna </w:t>
            </w:r>
            <w:r>
              <w:rPr>
                <w:rFonts w:cs="Calibri"/>
                <w:sz w:val="20"/>
                <w:szCs w:val="20"/>
                <w:lang w:val="sr-Latn-ME" w:eastAsia="en-US"/>
              </w:rPr>
              <w:t>koje je pod značajnim utjecajem ljudskih aktivnosti</w:t>
            </w:r>
          </w:p>
          <w:p w14:paraId="3D37D9DC" w14:textId="77777777" w:rsidR="002B0742" w:rsidRDefault="002B0742" w:rsidP="002B0742">
            <w:pPr>
              <w:autoSpaceDE w:val="0"/>
              <w:autoSpaceDN w:val="0"/>
              <w:adjustRightInd w:val="0"/>
              <w:spacing w:before="0" w:after="0" w:line="240" w:lineRule="auto"/>
              <w:rPr>
                <w:rFonts w:cs="Calibri"/>
                <w:sz w:val="20"/>
                <w:szCs w:val="20"/>
                <w:lang w:val="sr-Latn-ME" w:eastAsia="en-US"/>
              </w:rPr>
            </w:pPr>
            <w:r w:rsidRPr="000A161D">
              <w:rPr>
                <w:rFonts w:cs="Calibri"/>
                <w:b/>
                <w:sz w:val="20"/>
                <w:szCs w:val="20"/>
                <w:lang w:val="sr-Latn-ME" w:eastAsia="en-US"/>
              </w:rPr>
              <w:t>D6C5.1:</w:t>
            </w:r>
            <w:r>
              <w:rPr>
                <w:rFonts w:cs="Calibri"/>
                <w:sz w:val="20"/>
                <w:szCs w:val="20"/>
                <w:lang w:val="sr-Latn-ME" w:eastAsia="en-US"/>
              </w:rPr>
              <w:t xml:space="preserve"> Stanje tipičnih vrsta i zajednica na odabranim staništima: stanište fotofilnih algi, staniše livade Posidonije, staniše livade Cimodoceje i koraligeno stanište</w:t>
            </w:r>
          </w:p>
          <w:p w14:paraId="77B244E7" w14:textId="77777777" w:rsidR="002B0742" w:rsidRDefault="002B0742" w:rsidP="002C0444">
            <w:pPr>
              <w:spacing w:before="0" w:after="0" w:line="240" w:lineRule="auto"/>
              <w:jc w:val="left"/>
              <w:rPr>
                <w:rFonts w:cs="Calibri"/>
                <w:sz w:val="20"/>
                <w:szCs w:val="20"/>
                <w:lang w:val="sr-Latn-ME" w:eastAsia="en-US"/>
              </w:rPr>
            </w:pPr>
          </w:p>
        </w:tc>
      </w:tr>
    </w:tbl>
    <w:p w14:paraId="4388B85F" w14:textId="537F3D65" w:rsidR="002C0444" w:rsidRPr="001A2376" w:rsidRDefault="002C0444" w:rsidP="001A2376">
      <w:pPr>
        <w:pStyle w:val="Heading3"/>
        <w:rPr>
          <w:rFonts w:eastAsia="Calibri"/>
          <w:lang w:val="en-GB" w:eastAsia="en-US"/>
        </w:rPr>
      </w:pPr>
      <w:bookmarkStart w:id="387" w:name="_Toc83630989"/>
      <w:r w:rsidRPr="002C0444">
        <w:rPr>
          <w:rFonts w:eastAsia="Calibri"/>
          <w:lang w:val="en-GB" w:eastAsia="en-US"/>
        </w:rPr>
        <w:t>Veza sa drugim deskriptorima</w:t>
      </w:r>
      <w:bookmarkEnd w:id="387"/>
    </w:p>
    <w:p w14:paraId="6F15FCBC" w14:textId="54D5A0B1" w:rsidR="002C0444" w:rsidRDefault="002C0444" w:rsidP="002C0444">
      <w:pPr>
        <w:spacing w:before="0" w:after="0"/>
        <w:rPr>
          <w:rFonts w:eastAsia="Calibri" w:cs="Calibri"/>
          <w:szCs w:val="22"/>
          <w:lang w:val="sr-Latn-ME" w:eastAsia="en-US"/>
        </w:rPr>
      </w:pPr>
      <w:r w:rsidRPr="002A4FE5">
        <w:rPr>
          <w:rFonts w:eastAsia="Calibri" w:cs="Calibri"/>
          <w:szCs w:val="22"/>
          <w:lang w:val="sr-Latn-ME" w:eastAsia="en-US"/>
        </w:rPr>
        <w:t xml:space="preserve">Svi deskriptori 2-11 su sa deskriptorom 1 povezani jer ili se odnose na određene morske vrste (D2, D3, D4, D5 i D9) ili na različite uticaje na morski ekosistem (D2, D5, D6, D7, D10 i D11) ili na efekte zagađenja (D8, D10). Odnosi između Deskriptora 1, Biološki diverzitet i ostalih </w:t>
      </w:r>
      <w:r w:rsidR="00151BD7">
        <w:rPr>
          <w:rFonts w:eastAsia="Calibri" w:cs="Calibri"/>
          <w:szCs w:val="22"/>
          <w:lang w:val="sr-Latn-ME" w:eastAsia="en-US"/>
        </w:rPr>
        <w:t>GES</w:t>
      </w:r>
      <w:r w:rsidRPr="002A4FE5">
        <w:rPr>
          <w:rFonts w:eastAsia="Calibri" w:cs="Calibri"/>
          <w:szCs w:val="22"/>
          <w:lang w:val="sr-Latn-ME" w:eastAsia="en-US"/>
        </w:rPr>
        <w:t xml:space="preserve"> Deskriptora su sumirani u Tabeli 3.29.</w:t>
      </w:r>
    </w:p>
    <w:p w14:paraId="0AFA8EB3" w14:textId="77777777" w:rsidR="002C0444" w:rsidRPr="002A4FE5" w:rsidRDefault="002C0444" w:rsidP="001A2376">
      <w:pPr>
        <w:spacing w:before="0" w:after="0"/>
        <w:rPr>
          <w:rFonts w:eastAsia="Calibri" w:cs="Calibri"/>
          <w:szCs w:val="22"/>
          <w:lang w:val="sr-Latn-ME" w:eastAsia="en-US"/>
        </w:rPr>
      </w:pPr>
    </w:p>
    <w:p w14:paraId="49411A08" w14:textId="77777777" w:rsidR="002C0444" w:rsidRPr="002B0742" w:rsidRDefault="002C0444" w:rsidP="002C0444">
      <w:pPr>
        <w:spacing w:before="0" w:after="0"/>
        <w:rPr>
          <w:rFonts w:eastAsia="Calibri" w:cs="Calibri"/>
          <w:b/>
          <w:szCs w:val="22"/>
          <w:lang w:val="sr-Latn-ME" w:eastAsia="en-US"/>
        </w:rPr>
      </w:pPr>
      <w:r w:rsidRPr="002A4FE5">
        <w:rPr>
          <w:rFonts w:eastAsia="Calibri" w:cs="Calibri"/>
          <w:b/>
          <w:szCs w:val="22"/>
          <w:lang w:val="sr-Latn-ME" w:eastAsia="en-US"/>
        </w:rPr>
        <w:t>Tabela 3.29. Veza D1 i ostalih deskriptora prema Co</w:t>
      </w:r>
      <w:r w:rsidRPr="002B0742">
        <w:rPr>
          <w:rFonts w:eastAsia="Calibri" w:cs="Calibri"/>
          <w:b/>
          <w:szCs w:val="22"/>
          <w:lang w:val="sr-Latn-ME" w:eastAsia="en-US"/>
        </w:rPr>
        <w:t>chrane et al., 2010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9"/>
        <w:gridCol w:w="5290"/>
      </w:tblGrid>
      <w:tr w:rsidR="002C0444" w:rsidRPr="002B0742" w14:paraId="40343B6E" w14:textId="77777777" w:rsidTr="006E447D">
        <w:trPr>
          <w:trHeight w:val="266"/>
          <w:tblHeader/>
        </w:trPr>
        <w:tc>
          <w:tcPr>
            <w:tcW w:w="37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619076CD" w14:textId="77777777" w:rsidR="002C0444" w:rsidRPr="002B0742" w:rsidRDefault="002C0444" w:rsidP="002C0444">
            <w:pPr>
              <w:autoSpaceDE w:val="0"/>
              <w:autoSpaceDN w:val="0"/>
              <w:adjustRightInd w:val="0"/>
              <w:spacing w:before="0" w:after="0" w:line="240" w:lineRule="auto"/>
              <w:jc w:val="left"/>
              <w:rPr>
                <w:rFonts w:eastAsia="Calibri" w:cs="Calibri"/>
                <w:b/>
                <w:color w:val="FFFFFF" w:themeColor="background1"/>
                <w:szCs w:val="22"/>
                <w:lang w:val="sr-Latn-ME" w:eastAsia="en-US"/>
              </w:rPr>
            </w:pPr>
            <w:r w:rsidRPr="002B0742">
              <w:rPr>
                <w:rFonts w:eastAsia="Calibri" w:cs="Calibri"/>
                <w:b/>
                <w:bCs/>
                <w:color w:val="FFFFFF" w:themeColor="background1"/>
                <w:szCs w:val="22"/>
                <w:lang w:val="sr-Latn-ME" w:eastAsia="en-US"/>
              </w:rPr>
              <w:t xml:space="preserve">Deskriptor </w:t>
            </w:r>
          </w:p>
        </w:tc>
        <w:tc>
          <w:tcPr>
            <w:tcW w:w="52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hideMark/>
          </w:tcPr>
          <w:p w14:paraId="49BF8EC9" w14:textId="77777777" w:rsidR="002C0444" w:rsidRDefault="002C0444" w:rsidP="002C0444">
            <w:pPr>
              <w:autoSpaceDE w:val="0"/>
              <w:autoSpaceDN w:val="0"/>
              <w:adjustRightInd w:val="0"/>
              <w:spacing w:before="0" w:after="0" w:line="240" w:lineRule="auto"/>
              <w:jc w:val="left"/>
              <w:rPr>
                <w:rFonts w:eastAsia="Calibri" w:cs="Calibri"/>
                <w:b/>
                <w:bCs/>
                <w:color w:val="FFFFFF" w:themeColor="background1"/>
                <w:szCs w:val="22"/>
                <w:lang w:val="sr-Latn-ME" w:eastAsia="en-US"/>
              </w:rPr>
            </w:pPr>
            <w:r w:rsidRPr="002B0742">
              <w:rPr>
                <w:rFonts w:eastAsia="Calibri" w:cs="Calibri"/>
                <w:b/>
                <w:bCs/>
                <w:color w:val="FFFFFF" w:themeColor="background1"/>
                <w:szCs w:val="22"/>
                <w:lang w:val="sr-Latn-ME" w:eastAsia="en-US"/>
              </w:rPr>
              <w:t xml:space="preserve">Opšte preklapanje s D1 </w:t>
            </w:r>
          </w:p>
          <w:p w14:paraId="7E2A84C3" w14:textId="7C9DB898" w:rsidR="002B0742" w:rsidRPr="002B0742" w:rsidRDefault="002B0742" w:rsidP="002C0444">
            <w:pPr>
              <w:autoSpaceDE w:val="0"/>
              <w:autoSpaceDN w:val="0"/>
              <w:adjustRightInd w:val="0"/>
              <w:spacing w:before="0" w:after="0" w:line="240" w:lineRule="auto"/>
              <w:jc w:val="left"/>
              <w:rPr>
                <w:rFonts w:eastAsia="Calibri" w:cs="Calibri"/>
                <w:color w:val="FFFFFF" w:themeColor="background1"/>
                <w:szCs w:val="22"/>
                <w:lang w:val="sr-Latn-ME" w:eastAsia="en-US"/>
              </w:rPr>
            </w:pPr>
          </w:p>
        </w:tc>
      </w:tr>
      <w:tr w:rsidR="002C0444" w:rsidRPr="002C0444" w14:paraId="65F645A3" w14:textId="77777777" w:rsidTr="002B0742">
        <w:trPr>
          <w:trHeight w:val="248"/>
        </w:trPr>
        <w:tc>
          <w:tcPr>
            <w:tcW w:w="3789" w:type="dxa"/>
            <w:tcBorders>
              <w:top w:val="single" w:sz="4" w:space="0" w:color="FFFFFF" w:themeColor="background1"/>
              <w:left w:val="single" w:sz="4" w:space="0" w:color="auto"/>
              <w:bottom w:val="single" w:sz="4" w:space="0" w:color="auto"/>
              <w:right w:val="single" w:sz="4" w:space="0" w:color="auto"/>
            </w:tcBorders>
            <w:hideMark/>
          </w:tcPr>
          <w:p w14:paraId="2ED8B7EA"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bCs/>
                <w:color w:val="000000"/>
                <w:sz w:val="20"/>
                <w:szCs w:val="20"/>
                <w:lang w:val="sr-Latn-ME" w:eastAsia="en-US"/>
              </w:rPr>
              <w:t xml:space="preserve">D2 Ne autohtone vrste </w:t>
            </w:r>
          </w:p>
        </w:tc>
        <w:tc>
          <w:tcPr>
            <w:tcW w:w="5290" w:type="dxa"/>
            <w:tcBorders>
              <w:top w:val="single" w:sz="4" w:space="0" w:color="FFFFFF" w:themeColor="background1"/>
              <w:left w:val="single" w:sz="4" w:space="0" w:color="auto"/>
              <w:bottom w:val="single" w:sz="4" w:space="0" w:color="auto"/>
              <w:right w:val="single" w:sz="4" w:space="0" w:color="auto"/>
            </w:tcBorders>
            <w:hideMark/>
          </w:tcPr>
          <w:p w14:paraId="4B145463"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Kompeticija za stanište i/ili hranu. Promjena u sastavu dominantnih vrsta zajednice.</w:t>
            </w:r>
          </w:p>
        </w:tc>
      </w:tr>
      <w:tr w:rsidR="002C0444" w:rsidRPr="002C0444" w14:paraId="1831BEE2" w14:textId="77777777" w:rsidTr="002C0444">
        <w:trPr>
          <w:trHeight w:val="250"/>
        </w:trPr>
        <w:tc>
          <w:tcPr>
            <w:tcW w:w="3789" w:type="dxa"/>
            <w:tcBorders>
              <w:top w:val="single" w:sz="4" w:space="0" w:color="auto"/>
              <w:left w:val="single" w:sz="4" w:space="0" w:color="auto"/>
              <w:bottom w:val="single" w:sz="4" w:space="0" w:color="auto"/>
              <w:right w:val="single" w:sz="4" w:space="0" w:color="auto"/>
            </w:tcBorders>
            <w:hideMark/>
          </w:tcPr>
          <w:p w14:paraId="33DA58BB"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bCs/>
                <w:color w:val="000000"/>
                <w:sz w:val="20"/>
                <w:szCs w:val="20"/>
                <w:lang w:val="sr-Latn-ME" w:eastAsia="en-US"/>
              </w:rPr>
              <w:t>D3 Komercijalne vrste riba i mekušaca</w:t>
            </w:r>
          </w:p>
        </w:tc>
        <w:tc>
          <w:tcPr>
            <w:tcW w:w="5290" w:type="dxa"/>
            <w:tcBorders>
              <w:top w:val="single" w:sz="4" w:space="0" w:color="auto"/>
              <w:left w:val="single" w:sz="4" w:space="0" w:color="auto"/>
              <w:bottom w:val="single" w:sz="4" w:space="0" w:color="auto"/>
              <w:right w:val="single" w:sz="4" w:space="0" w:color="auto"/>
            </w:tcBorders>
            <w:hideMark/>
          </w:tcPr>
          <w:p w14:paraId="5A8AC198"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Uticaj na bentoska staništa/zajednice. Smanjenje populacija ciljanih i prilovnih vrsta.</w:t>
            </w:r>
          </w:p>
        </w:tc>
      </w:tr>
      <w:tr w:rsidR="002C0444" w:rsidRPr="002C0444" w14:paraId="2A461C20" w14:textId="77777777" w:rsidTr="002C0444">
        <w:trPr>
          <w:trHeight w:val="365"/>
        </w:trPr>
        <w:tc>
          <w:tcPr>
            <w:tcW w:w="3789" w:type="dxa"/>
            <w:tcBorders>
              <w:top w:val="single" w:sz="4" w:space="0" w:color="auto"/>
              <w:left w:val="single" w:sz="4" w:space="0" w:color="auto"/>
              <w:bottom w:val="single" w:sz="4" w:space="0" w:color="auto"/>
              <w:right w:val="single" w:sz="4" w:space="0" w:color="auto"/>
            </w:tcBorders>
            <w:hideMark/>
          </w:tcPr>
          <w:p w14:paraId="4774B5B3" w14:textId="7376D5C4"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bCs/>
                <w:color w:val="000000"/>
                <w:sz w:val="20"/>
                <w:szCs w:val="20"/>
                <w:lang w:val="sr-Latn-ME" w:eastAsia="en-US"/>
              </w:rPr>
              <w:t xml:space="preserve">D4 </w:t>
            </w:r>
            <w:r w:rsidR="00270073">
              <w:rPr>
                <w:rFonts w:eastAsia="Calibri" w:cs="Calibri"/>
                <w:bCs/>
                <w:color w:val="000000"/>
                <w:sz w:val="20"/>
                <w:szCs w:val="20"/>
                <w:lang w:val="sr-Latn-ME" w:eastAsia="en-US"/>
              </w:rPr>
              <w:t>Prehrambene mreže</w:t>
            </w:r>
          </w:p>
        </w:tc>
        <w:tc>
          <w:tcPr>
            <w:tcW w:w="5290" w:type="dxa"/>
            <w:tcBorders>
              <w:top w:val="single" w:sz="4" w:space="0" w:color="auto"/>
              <w:left w:val="single" w:sz="4" w:space="0" w:color="auto"/>
              <w:bottom w:val="single" w:sz="4" w:space="0" w:color="auto"/>
              <w:right w:val="single" w:sz="4" w:space="0" w:color="auto"/>
            </w:tcBorders>
            <w:hideMark/>
          </w:tcPr>
          <w:p w14:paraId="636B6672"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Funkcionisanje ekosistema. Veza između veličinskih kategorija unutar vrste i relativne brojnosti vrsta u trofičkim nivoima.</w:t>
            </w:r>
          </w:p>
        </w:tc>
      </w:tr>
      <w:tr w:rsidR="002C0444" w:rsidRPr="002C0444" w14:paraId="6ECA0968" w14:textId="77777777" w:rsidTr="002C0444">
        <w:trPr>
          <w:trHeight w:val="250"/>
        </w:trPr>
        <w:tc>
          <w:tcPr>
            <w:tcW w:w="3789" w:type="dxa"/>
            <w:tcBorders>
              <w:top w:val="single" w:sz="4" w:space="0" w:color="auto"/>
              <w:left w:val="single" w:sz="4" w:space="0" w:color="auto"/>
              <w:bottom w:val="single" w:sz="4" w:space="0" w:color="auto"/>
              <w:right w:val="single" w:sz="4" w:space="0" w:color="auto"/>
            </w:tcBorders>
            <w:hideMark/>
          </w:tcPr>
          <w:p w14:paraId="5EB1C300"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bCs/>
                <w:color w:val="000000"/>
                <w:sz w:val="20"/>
                <w:szCs w:val="20"/>
                <w:lang w:val="sr-Latn-ME" w:eastAsia="en-US"/>
              </w:rPr>
              <w:t xml:space="preserve">D5 Eutrofikacija </w:t>
            </w:r>
          </w:p>
        </w:tc>
        <w:tc>
          <w:tcPr>
            <w:tcW w:w="5290" w:type="dxa"/>
            <w:tcBorders>
              <w:top w:val="single" w:sz="4" w:space="0" w:color="auto"/>
              <w:left w:val="single" w:sz="4" w:space="0" w:color="auto"/>
              <w:bottom w:val="single" w:sz="4" w:space="0" w:color="auto"/>
              <w:right w:val="single" w:sz="4" w:space="0" w:color="auto"/>
            </w:tcBorders>
            <w:hideMark/>
          </w:tcPr>
          <w:p w14:paraId="6492CCDC"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Može uzrokovati povećanu abundanciju biljnih vrsta (fitoplankton i makroalge) sa  indirektnim uticajem na ostale dijelove zajednice. </w:t>
            </w:r>
          </w:p>
        </w:tc>
      </w:tr>
      <w:tr w:rsidR="002C0444" w:rsidRPr="002C0444" w14:paraId="1E9AB31A" w14:textId="77777777" w:rsidTr="002C0444">
        <w:trPr>
          <w:trHeight w:val="138"/>
        </w:trPr>
        <w:tc>
          <w:tcPr>
            <w:tcW w:w="3789" w:type="dxa"/>
            <w:tcBorders>
              <w:top w:val="single" w:sz="4" w:space="0" w:color="auto"/>
              <w:left w:val="single" w:sz="4" w:space="0" w:color="auto"/>
              <w:bottom w:val="single" w:sz="4" w:space="0" w:color="auto"/>
              <w:right w:val="single" w:sz="4" w:space="0" w:color="auto"/>
            </w:tcBorders>
            <w:hideMark/>
          </w:tcPr>
          <w:p w14:paraId="57D7D3CA"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bCs/>
                <w:color w:val="000000"/>
                <w:sz w:val="20"/>
                <w:szCs w:val="20"/>
                <w:lang w:val="sr-Latn-ME" w:eastAsia="en-US"/>
              </w:rPr>
              <w:t xml:space="preserve">D6 </w:t>
            </w:r>
            <w:r w:rsidRPr="002A4FE5">
              <w:rPr>
                <w:rFonts w:eastAsia="Calibri" w:cs="Calibri"/>
                <w:color w:val="000000"/>
                <w:sz w:val="20"/>
                <w:szCs w:val="20"/>
                <w:lang w:val="sr-Latn-ME" w:eastAsia="en-US"/>
              </w:rPr>
              <w:t xml:space="preserve">Cjelovitost morskog dna </w:t>
            </w:r>
          </w:p>
        </w:tc>
        <w:tc>
          <w:tcPr>
            <w:tcW w:w="5290" w:type="dxa"/>
            <w:tcBorders>
              <w:top w:val="single" w:sz="4" w:space="0" w:color="auto"/>
              <w:left w:val="single" w:sz="4" w:space="0" w:color="auto"/>
              <w:bottom w:val="single" w:sz="4" w:space="0" w:color="auto"/>
              <w:right w:val="single" w:sz="4" w:space="0" w:color="auto"/>
            </w:tcBorders>
            <w:hideMark/>
          </w:tcPr>
          <w:p w14:paraId="0DE4D3B6"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Određuje strukturu i sastav bentoskih staništa. </w:t>
            </w:r>
          </w:p>
        </w:tc>
      </w:tr>
      <w:tr w:rsidR="002C0444" w:rsidRPr="002C0444" w14:paraId="689280A6" w14:textId="77777777" w:rsidTr="002C0444">
        <w:trPr>
          <w:trHeight w:val="479"/>
        </w:trPr>
        <w:tc>
          <w:tcPr>
            <w:tcW w:w="3789" w:type="dxa"/>
            <w:tcBorders>
              <w:top w:val="single" w:sz="4" w:space="0" w:color="auto"/>
              <w:left w:val="single" w:sz="4" w:space="0" w:color="auto"/>
              <w:bottom w:val="single" w:sz="4" w:space="0" w:color="auto"/>
              <w:right w:val="single" w:sz="4" w:space="0" w:color="auto"/>
            </w:tcBorders>
            <w:hideMark/>
          </w:tcPr>
          <w:p w14:paraId="2FD5B8F3"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bCs/>
                <w:color w:val="000000"/>
                <w:sz w:val="20"/>
                <w:szCs w:val="20"/>
                <w:lang w:val="sr-Latn-ME" w:eastAsia="en-US"/>
              </w:rPr>
              <w:t>D7 Hidrografski uslovi</w:t>
            </w:r>
          </w:p>
        </w:tc>
        <w:tc>
          <w:tcPr>
            <w:tcW w:w="5290" w:type="dxa"/>
            <w:tcBorders>
              <w:top w:val="single" w:sz="4" w:space="0" w:color="auto"/>
              <w:left w:val="single" w:sz="4" w:space="0" w:color="auto"/>
              <w:bottom w:val="single" w:sz="4" w:space="0" w:color="auto"/>
              <w:right w:val="single" w:sz="4" w:space="0" w:color="auto"/>
            </w:tcBorders>
            <w:hideMark/>
          </w:tcPr>
          <w:p w14:paraId="35250736"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Kretanje vodenih masa i temperaturni/salinitetni režim igraju značajnu ulogu u određivanju sastava vrsta u staništima/zajednicama; direktno utiče na tip sedimenta. Zakiseljavanje okeana može oslabiti kalcifikovane dijelove tijela. </w:t>
            </w:r>
          </w:p>
        </w:tc>
      </w:tr>
      <w:tr w:rsidR="002C0444" w:rsidRPr="002C0444" w14:paraId="1B659D3E" w14:textId="77777777" w:rsidTr="002C0444">
        <w:trPr>
          <w:trHeight w:val="365"/>
        </w:trPr>
        <w:tc>
          <w:tcPr>
            <w:tcW w:w="3789" w:type="dxa"/>
            <w:tcBorders>
              <w:top w:val="single" w:sz="4" w:space="0" w:color="auto"/>
              <w:left w:val="single" w:sz="4" w:space="0" w:color="auto"/>
              <w:bottom w:val="single" w:sz="4" w:space="0" w:color="auto"/>
              <w:right w:val="single" w:sz="4" w:space="0" w:color="auto"/>
            </w:tcBorders>
            <w:hideMark/>
          </w:tcPr>
          <w:p w14:paraId="575E5EEF"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bCs/>
                <w:color w:val="000000"/>
                <w:sz w:val="20"/>
                <w:szCs w:val="20"/>
                <w:lang w:val="sr-Latn-ME" w:eastAsia="en-US"/>
              </w:rPr>
              <w:t>D8 Zagađujuće materije</w:t>
            </w:r>
          </w:p>
        </w:tc>
        <w:tc>
          <w:tcPr>
            <w:tcW w:w="5290" w:type="dxa"/>
            <w:tcBorders>
              <w:top w:val="single" w:sz="4" w:space="0" w:color="auto"/>
              <w:left w:val="single" w:sz="4" w:space="0" w:color="auto"/>
              <w:bottom w:val="single" w:sz="4" w:space="0" w:color="auto"/>
              <w:right w:val="single" w:sz="4" w:space="0" w:color="auto"/>
            </w:tcBorders>
            <w:hideMark/>
          </w:tcPr>
          <w:p w14:paraId="5A6CCF9D"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Mogući ekotoksikološki uticaj na vrste. Povezanost s D4 s obzirom na bioakumulaciju zagađujućih materija. Gušenje vrsta (pogotovo morskih ptica) izlivanjem nafte. </w:t>
            </w:r>
          </w:p>
        </w:tc>
      </w:tr>
      <w:tr w:rsidR="002C0444" w:rsidRPr="002C0444" w14:paraId="38934852" w14:textId="77777777" w:rsidTr="002C0444">
        <w:trPr>
          <w:trHeight w:val="248"/>
        </w:trPr>
        <w:tc>
          <w:tcPr>
            <w:tcW w:w="3789" w:type="dxa"/>
            <w:tcBorders>
              <w:top w:val="single" w:sz="4" w:space="0" w:color="auto"/>
              <w:left w:val="single" w:sz="4" w:space="0" w:color="auto"/>
              <w:bottom w:val="single" w:sz="4" w:space="0" w:color="auto"/>
              <w:right w:val="single" w:sz="4" w:space="0" w:color="auto"/>
            </w:tcBorders>
            <w:hideMark/>
          </w:tcPr>
          <w:p w14:paraId="244E19E2"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bCs/>
                <w:color w:val="000000"/>
                <w:sz w:val="20"/>
                <w:szCs w:val="20"/>
                <w:lang w:val="sr-Latn-ME" w:eastAsia="en-US"/>
              </w:rPr>
              <w:t xml:space="preserve">D9 </w:t>
            </w:r>
            <w:r w:rsidRPr="002A4FE5">
              <w:rPr>
                <w:rFonts w:eastAsia="Calibri" w:cs="Calibri"/>
                <w:color w:val="000000"/>
                <w:sz w:val="20"/>
                <w:szCs w:val="20"/>
                <w:lang w:val="sr-Latn-ME" w:eastAsia="en-US"/>
              </w:rPr>
              <w:t xml:space="preserve">Zagađujuće materije u morskoj hrani </w:t>
            </w:r>
          </w:p>
        </w:tc>
        <w:tc>
          <w:tcPr>
            <w:tcW w:w="5290" w:type="dxa"/>
            <w:tcBorders>
              <w:top w:val="single" w:sz="4" w:space="0" w:color="auto"/>
              <w:left w:val="single" w:sz="4" w:space="0" w:color="auto"/>
              <w:bottom w:val="single" w:sz="4" w:space="0" w:color="auto"/>
              <w:right w:val="single" w:sz="4" w:space="0" w:color="auto"/>
            </w:tcBorders>
            <w:hideMark/>
          </w:tcPr>
          <w:p w14:paraId="6343BC14"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Mogući ekotoksikološki utiecaj na ribe i školjke. Povezanost sa D4 s obzirom na bioakumulaciju zagađujućih materija. </w:t>
            </w:r>
          </w:p>
        </w:tc>
      </w:tr>
      <w:tr w:rsidR="002C0444" w:rsidRPr="002C0444" w14:paraId="4D664C6D" w14:textId="77777777" w:rsidTr="002C0444">
        <w:trPr>
          <w:trHeight w:val="365"/>
        </w:trPr>
        <w:tc>
          <w:tcPr>
            <w:tcW w:w="3789" w:type="dxa"/>
            <w:tcBorders>
              <w:top w:val="single" w:sz="4" w:space="0" w:color="auto"/>
              <w:left w:val="single" w:sz="4" w:space="0" w:color="auto"/>
              <w:bottom w:val="single" w:sz="4" w:space="0" w:color="auto"/>
              <w:right w:val="single" w:sz="4" w:space="0" w:color="auto"/>
            </w:tcBorders>
            <w:hideMark/>
          </w:tcPr>
          <w:p w14:paraId="054A51B4"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bCs/>
                <w:color w:val="000000"/>
                <w:sz w:val="20"/>
                <w:szCs w:val="20"/>
                <w:lang w:val="sr-Latn-ME" w:eastAsia="en-US"/>
              </w:rPr>
              <w:t>D10 O</w:t>
            </w:r>
            <w:r w:rsidRPr="002A4FE5">
              <w:rPr>
                <w:rFonts w:eastAsia="Calibri" w:cs="Calibri"/>
                <w:color w:val="000000"/>
                <w:sz w:val="20"/>
                <w:szCs w:val="20"/>
                <w:lang w:val="sr-Latn-ME" w:eastAsia="en-US"/>
              </w:rPr>
              <w:t>tpad  u moru</w:t>
            </w:r>
          </w:p>
        </w:tc>
        <w:tc>
          <w:tcPr>
            <w:tcW w:w="5290" w:type="dxa"/>
            <w:tcBorders>
              <w:top w:val="single" w:sz="4" w:space="0" w:color="auto"/>
              <w:left w:val="single" w:sz="4" w:space="0" w:color="auto"/>
              <w:bottom w:val="single" w:sz="4" w:space="0" w:color="auto"/>
              <w:right w:val="single" w:sz="4" w:space="0" w:color="auto"/>
            </w:tcBorders>
            <w:hideMark/>
          </w:tcPr>
          <w:p w14:paraId="0F2D06B0" w14:textId="77777777" w:rsidR="002C0444" w:rsidRPr="002A4FE5" w:rsidRDefault="002C0444" w:rsidP="002C0444">
            <w:pPr>
              <w:autoSpaceDE w:val="0"/>
              <w:autoSpaceDN w:val="0"/>
              <w:adjustRightInd w:val="0"/>
              <w:spacing w:before="0" w:after="0" w:line="240" w:lineRule="auto"/>
              <w:jc w:val="left"/>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Utiče na neke vrste (npr. kornjače) ako dođe do gutanja ili zaplitanja u otpad (npr. ribarske mreže). Moguće gušenje/ozljeđivanje (zbog abrazije) bentičkih vrsta </w:t>
            </w:r>
          </w:p>
        </w:tc>
      </w:tr>
      <w:tr w:rsidR="002C0444" w:rsidRPr="002C0444" w14:paraId="15BD077B" w14:textId="77777777" w:rsidTr="002C0444">
        <w:trPr>
          <w:trHeight w:val="364"/>
        </w:trPr>
        <w:tc>
          <w:tcPr>
            <w:tcW w:w="3789" w:type="dxa"/>
            <w:tcBorders>
              <w:top w:val="single" w:sz="4" w:space="0" w:color="auto"/>
              <w:left w:val="single" w:sz="4" w:space="0" w:color="auto"/>
              <w:bottom w:val="single" w:sz="4" w:space="0" w:color="auto"/>
              <w:right w:val="single" w:sz="4" w:space="0" w:color="auto"/>
            </w:tcBorders>
            <w:hideMark/>
          </w:tcPr>
          <w:p w14:paraId="688EDE2B" w14:textId="77777777" w:rsidR="002C0444" w:rsidRPr="002A4FE5" w:rsidRDefault="002C0444" w:rsidP="002C0444">
            <w:pPr>
              <w:autoSpaceDE w:val="0"/>
              <w:autoSpaceDN w:val="0"/>
              <w:adjustRightInd w:val="0"/>
              <w:spacing w:before="0" w:after="0" w:line="240" w:lineRule="auto"/>
              <w:jc w:val="left"/>
              <w:rPr>
                <w:rFonts w:eastAsia="Calibri" w:cs="Calibri"/>
                <w:bCs/>
                <w:color w:val="000000"/>
                <w:sz w:val="20"/>
                <w:szCs w:val="20"/>
                <w:lang w:val="sr-Latn-ME" w:eastAsia="en-US"/>
              </w:rPr>
            </w:pPr>
            <w:r w:rsidRPr="002A4FE5">
              <w:rPr>
                <w:rFonts w:eastAsia="Calibri" w:cs="Calibri"/>
                <w:bCs/>
                <w:color w:val="000000"/>
                <w:sz w:val="20"/>
                <w:szCs w:val="20"/>
                <w:lang w:val="sr-Latn-ME" w:eastAsia="en-US"/>
              </w:rPr>
              <w:t xml:space="preserve">D11 </w:t>
            </w:r>
            <w:r w:rsidRPr="002A4FE5">
              <w:rPr>
                <w:rFonts w:eastAsia="Calibri" w:cs="Calibri"/>
                <w:color w:val="000000"/>
                <w:sz w:val="20"/>
                <w:szCs w:val="20"/>
                <w:lang w:val="sr-Latn-ME" w:eastAsia="en-US"/>
              </w:rPr>
              <w:t>Unos energije, uključujući podvodnu buku, svjetlost i toplotu</w:t>
            </w:r>
          </w:p>
        </w:tc>
        <w:tc>
          <w:tcPr>
            <w:tcW w:w="5290" w:type="dxa"/>
            <w:tcBorders>
              <w:top w:val="single" w:sz="4" w:space="0" w:color="auto"/>
              <w:left w:val="single" w:sz="4" w:space="0" w:color="auto"/>
              <w:bottom w:val="single" w:sz="4" w:space="0" w:color="auto"/>
              <w:right w:val="single" w:sz="4" w:space="0" w:color="auto"/>
            </w:tcBorders>
          </w:tcPr>
          <w:p w14:paraId="4BEDF907" w14:textId="77777777" w:rsidR="002C0444" w:rsidRPr="002A4FE5" w:rsidRDefault="002C0444" w:rsidP="00936706">
            <w:pPr>
              <w:autoSpaceDE w:val="0"/>
              <w:autoSpaceDN w:val="0"/>
              <w:adjustRightInd w:val="0"/>
              <w:spacing w:before="0" w:after="0"/>
              <w:rPr>
                <w:rFonts w:eastAsia="Calibri" w:cs="Calibri"/>
                <w:color w:val="000000"/>
                <w:sz w:val="20"/>
                <w:szCs w:val="20"/>
                <w:lang w:val="sr-Latn-ME" w:eastAsia="en-US"/>
              </w:rPr>
            </w:pPr>
            <w:r w:rsidRPr="002A4FE5">
              <w:rPr>
                <w:rFonts w:eastAsia="Calibri" w:cs="Calibri"/>
                <w:color w:val="000000"/>
                <w:sz w:val="20"/>
                <w:szCs w:val="20"/>
                <w:lang w:val="sr-Latn-ME" w:eastAsia="en-US"/>
              </w:rPr>
              <w:t xml:space="preserve">Može uznemiriti neke vrste (npr. ribe, kitovi) </w:t>
            </w:r>
          </w:p>
          <w:p w14:paraId="0377607B" w14:textId="77777777" w:rsidR="002C0444" w:rsidRPr="002A4FE5" w:rsidRDefault="002C0444" w:rsidP="002C0444">
            <w:pPr>
              <w:autoSpaceDE w:val="0"/>
              <w:autoSpaceDN w:val="0"/>
              <w:adjustRightInd w:val="0"/>
              <w:spacing w:before="0" w:after="0" w:line="240" w:lineRule="auto"/>
              <w:jc w:val="left"/>
              <w:rPr>
                <w:rFonts w:eastAsia="Calibri" w:cs="Calibri"/>
                <w:b/>
                <w:bCs/>
                <w:color w:val="000000"/>
                <w:sz w:val="20"/>
                <w:szCs w:val="20"/>
                <w:lang w:val="sr-Latn-ME" w:eastAsia="en-US"/>
              </w:rPr>
            </w:pPr>
          </w:p>
        </w:tc>
      </w:tr>
    </w:tbl>
    <w:p w14:paraId="0FD4C763" w14:textId="77777777" w:rsidR="002C0444" w:rsidRPr="002C0444" w:rsidRDefault="002C0444" w:rsidP="002C0444">
      <w:pPr>
        <w:spacing w:before="0" w:after="0"/>
        <w:ind w:firstLine="397"/>
        <w:rPr>
          <w:rFonts w:eastAsia="Calibri" w:cs="Calibri"/>
          <w:sz w:val="24"/>
          <w:lang w:val="sr-Latn-ME" w:eastAsia="en-US"/>
        </w:rPr>
      </w:pPr>
    </w:p>
    <w:p w14:paraId="70F1E24D" w14:textId="77777777" w:rsidR="002C0444" w:rsidRPr="002C0444" w:rsidRDefault="002C0444" w:rsidP="002C0444">
      <w:pPr>
        <w:spacing w:before="0" w:after="0"/>
        <w:ind w:firstLine="397"/>
        <w:rPr>
          <w:rFonts w:eastAsia="Calibri" w:cs="Calibri"/>
          <w:sz w:val="24"/>
          <w:lang w:val="sr-Latn-ME" w:eastAsia="en-US"/>
        </w:rPr>
      </w:pPr>
    </w:p>
    <w:p w14:paraId="0A838CCD" w14:textId="53935E82" w:rsidR="002C0444" w:rsidRPr="002C0444" w:rsidRDefault="002C0444" w:rsidP="000C38ED">
      <w:pPr>
        <w:pStyle w:val="Heading3"/>
        <w:rPr>
          <w:lang w:val="en-GB"/>
        </w:rPr>
      </w:pPr>
      <w:bookmarkStart w:id="388" w:name="_Toc83630990"/>
      <w:r w:rsidRPr="002C0444">
        <w:rPr>
          <w:lang w:val="en-GB"/>
        </w:rPr>
        <w:t>Nedostaci i potrebe za unapređenjem</w:t>
      </w:r>
      <w:bookmarkEnd w:id="388"/>
    </w:p>
    <w:p w14:paraId="39751217" w14:textId="4B1F3D49" w:rsidR="002C0444" w:rsidRDefault="002C0444" w:rsidP="00A62607">
      <w:pPr>
        <w:spacing w:before="0" w:after="0"/>
        <w:rPr>
          <w:rFonts w:eastAsia="Calibri" w:cs="Calibri"/>
          <w:szCs w:val="22"/>
          <w:lang w:val="sr-Latn-ME" w:eastAsia="en-US"/>
        </w:rPr>
      </w:pPr>
      <w:r w:rsidRPr="002A4FE5">
        <w:rPr>
          <w:rFonts w:eastAsia="Calibri" w:cs="Calibri"/>
          <w:szCs w:val="22"/>
          <w:lang w:val="sr-Latn-ME" w:eastAsia="en-US"/>
        </w:rPr>
        <w:t xml:space="preserve">Baza </w:t>
      </w:r>
      <w:r w:rsidR="00E8147C">
        <w:rPr>
          <w:rFonts w:eastAsia="Calibri" w:cs="Calibri"/>
          <w:szCs w:val="22"/>
          <w:lang w:val="sr-Latn-ME" w:eastAsia="en-US"/>
        </w:rPr>
        <w:t xml:space="preserve">podataka </w:t>
      </w:r>
      <w:r w:rsidRPr="002A4FE5">
        <w:rPr>
          <w:rFonts w:eastAsia="Calibri" w:cs="Calibri"/>
          <w:szCs w:val="22"/>
          <w:lang w:val="sr-Latn-ME" w:eastAsia="en-US"/>
        </w:rPr>
        <w:t xml:space="preserve">za procjenu </w:t>
      </w:r>
      <w:r w:rsidR="00151BD7">
        <w:rPr>
          <w:rFonts w:eastAsia="Calibri" w:cs="Calibri"/>
          <w:szCs w:val="22"/>
          <w:lang w:val="sr-Latn-ME" w:eastAsia="en-US"/>
        </w:rPr>
        <w:t>GES</w:t>
      </w:r>
      <w:r w:rsidRPr="002A4FE5">
        <w:rPr>
          <w:rFonts w:eastAsia="Calibri" w:cs="Calibri"/>
          <w:szCs w:val="22"/>
          <w:lang w:val="sr-Latn-ME" w:eastAsia="en-US"/>
        </w:rPr>
        <w:t xml:space="preserve">-a trenutno se oslanja na periodično prikupljene podataka, podatke iz literature i neka stručna znanja. Zbog toga postoji potreba za sistematskim nadzorom, sa utvrđenim lokacijama (npr. za koraligene zajednice) i primjenom odgovarajućih metoda. </w:t>
      </w:r>
      <w:r w:rsidR="007271B5">
        <w:rPr>
          <w:rFonts w:eastAsia="Calibri" w:cs="Calibri"/>
          <w:szCs w:val="22"/>
          <w:lang w:val="sr-Latn-ME" w:eastAsia="en-US"/>
        </w:rPr>
        <w:t xml:space="preserve">Sistematski i kontinuiran monitoring </w:t>
      </w:r>
      <w:r w:rsidRPr="002A4FE5">
        <w:rPr>
          <w:rFonts w:eastAsia="Calibri" w:cs="Calibri"/>
          <w:szCs w:val="22"/>
          <w:lang w:val="sr-Latn-ME" w:eastAsia="en-US"/>
        </w:rPr>
        <w:t xml:space="preserve"> omogućio </w:t>
      </w:r>
      <w:r w:rsidR="007271B5">
        <w:rPr>
          <w:rFonts w:eastAsia="Calibri" w:cs="Calibri"/>
          <w:szCs w:val="22"/>
          <w:lang w:val="sr-Latn-ME" w:eastAsia="en-US"/>
        </w:rPr>
        <w:t xml:space="preserve">bi </w:t>
      </w:r>
      <w:r w:rsidRPr="002A4FE5">
        <w:rPr>
          <w:rFonts w:eastAsia="Calibri" w:cs="Calibri"/>
          <w:szCs w:val="22"/>
          <w:lang w:val="sr-Latn-ME" w:eastAsia="en-US"/>
        </w:rPr>
        <w:t xml:space="preserve">precizniju i </w:t>
      </w:r>
      <w:r w:rsidR="007271B5">
        <w:rPr>
          <w:rFonts w:eastAsia="Calibri" w:cs="Calibri"/>
          <w:szCs w:val="22"/>
          <w:lang w:val="sr-Latn-ME" w:eastAsia="en-US"/>
        </w:rPr>
        <w:t xml:space="preserve">potpunu </w:t>
      </w:r>
      <w:r w:rsidRPr="002A4FE5">
        <w:rPr>
          <w:rFonts w:eastAsia="Calibri" w:cs="Calibri"/>
          <w:szCs w:val="22"/>
          <w:lang w:val="sr-Latn-ME" w:eastAsia="en-US"/>
        </w:rPr>
        <w:t xml:space="preserve">procenu </w:t>
      </w:r>
      <w:r w:rsidR="00151BD7">
        <w:rPr>
          <w:rFonts w:eastAsia="Calibri" w:cs="Calibri"/>
          <w:szCs w:val="22"/>
          <w:lang w:val="sr-Latn-ME" w:eastAsia="en-US"/>
        </w:rPr>
        <w:t>GES</w:t>
      </w:r>
      <w:r w:rsidRPr="002A4FE5">
        <w:rPr>
          <w:rFonts w:eastAsia="Calibri" w:cs="Calibri"/>
          <w:szCs w:val="22"/>
          <w:lang w:val="sr-Latn-ME" w:eastAsia="en-US"/>
        </w:rPr>
        <w:t xml:space="preserve">-a. Konkretno za livade Posidonije, bilo bi idealno nastaviti sa praćenjem livada Posidonije na nekoliko lokacija koje su već mjerene, a CARLIT bi trebalo primeniti na otvorenom delu obale (a ne u Bokokotorskom zalivu). Aneks I MSFD-a fokusira se na zaštitu strukture i funkcije bentoske zajednice i odsustvo štetnih efekata. Kriterijumi i pokazatelji u </w:t>
      </w:r>
      <w:r w:rsidR="00CC23EC">
        <w:rPr>
          <w:rFonts w:eastAsia="Calibri" w:cs="Calibri"/>
          <w:szCs w:val="22"/>
          <w:lang w:val="sr-Latn-ME" w:eastAsia="en-US"/>
        </w:rPr>
        <w:t>O</w:t>
      </w:r>
      <w:r w:rsidRPr="002A4FE5">
        <w:rPr>
          <w:rFonts w:eastAsia="Calibri" w:cs="Calibri"/>
          <w:szCs w:val="22"/>
          <w:lang w:val="sr-Latn-ME" w:eastAsia="en-US"/>
        </w:rPr>
        <w:t>dluci Komisije</w:t>
      </w:r>
      <w:r w:rsidR="00CC23EC">
        <w:rPr>
          <w:rFonts w:eastAsia="Calibri" w:cs="Calibri"/>
          <w:szCs w:val="22"/>
          <w:lang w:val="sr-Latn-ME" w:eastAsia="en-US"/>
        </w:rPr>
        <w:t xml:space="preserve"> (</w:t>
      </w:r>
      <w:r w:rsidR="00CC23EC" w:rsidRPr="00CC23EC">
        <w:rPr>
          <w:rFonts w:eastAsia="Calibri" w:cs="Calibri"/>
          <w:szCs w:val="22"/>
          <w:lang w:val="sr-Latn-ME" w:eastAsia="en-US"/>
        </w:rPr>
        <w:t>2017/845/EU</w:t>
      </w:r>
      <w:r w:rsidR="00CC23EC">
        <w:rPr>
          <w:rFonts w:eastAsia="Calibri" w:cs="Calibri"/>
          <w:szCs w:val="22"/>
          <w:lang w:val="sr-Latn-ME" w:eastAsia="en-US"/>
        </w:rPr>
        <w:t>)</w:t>
      </w:r>
      <w:r w:rsidRPr="002A4FE5">
        <w:rPr>
          <w:rFonts w:eastAsia="Calibri" w:cs="Calibri"/>
          <w:szCs w:val="22"/>
          <w:lang w:val="sr-Latn-ME" w:eastAsia="en-US"/>
        </w:rPr>
        <w:t xml:space="preserve"> usredsređeni su na fizičku štetu i uticaje na stanje bentoske zajednice</w:t>
      </w:r>
      <w:r w:rsidR="002B0742">
        <w:rPr>
          <w:rFonts w:eastAsia="Calibri" w:cs="Calibri"/>
          <w:szCs w:val="22"/>
          <w:lang w:val="sr-Latn-ME" w:eastAsia="en-US"/>
        </w:rPr>
        <w:t xml:space="preserve">, </w:t>
      </w:r>
      <w:r w:rsidR="007271B5">
        <w:rPr>
          <w:rFonts w:eastAsia="Calibri" w:cs="Calibri"/>
          <w:szCs w:val="22"/>
          <w:lang w:val="sr-Latn-ME" w:eastAsia="en-US"/>
        </w:rPr>
        <w:t xml:space="preserve">no i </w:t>
      </w:r>
      <w:r w:rsidRPr="007271B5">
        <w:rPr>
          <w:rFonts w:eastAsia="Calibri" w:cs="Calibri"/>
          <w:szCs w:val="22"/>
          <w:lang w:val="sr-Latn-ME" w:eastAsia="en-US"/>
        </w:rPr>
        <w:t xml:space="preserve">zaštita struktura i funkcija, kao i odsustvo štetnih efekata </w:t>
      </w:r>
      <w:r w:rsidR="007271B5" w:rsidRPr="007271B5">
        <w:rPr>
          <w:rFonts w:eastAsia="Calibri" w:cs="Calibri"/>
          <w:szCs w:val="22"/>
          <w:lang w:val="sr-Latn-ME" w:eastAsia="en-US"/>
        </w:rPr>
        <w:t xml:space="preserve">jednako su važni za tumačenje i </w:t>
      </w:r>
      <w:r w:rsidRPr="007271B5">
        <w:rPr>
          <w:rFonts w:eastAsia="Calibri" w:cs="Calibri"/>
          <w:szCs w:val="22"/>
          <w:lang w:val="sr-Latn-ME" w:eastAsia="en-US"/>
        </w:rPr>
        <w:t xml:space="preserve"> osiguravanje kvaliteta bentoske zajednice.</w:t>
      </w:r>
    </w:p>
    <w:p w14:paraId="29EAC9A8" w14:textId="58D6DF59" w:rsidR="00181B21" w:rsidRPr="001C6CCA" w:rsidRDefault="00D83894" w:rsidP="00B90DC0">
      <w:pPr>
        <w:pStyle w:val="Heading2"/>
        <w:ind w:left="567" w:hanging="567"/>
        <w:rPr>
          <w:rFonts w:eastAsia="Calibri"/>
          <w:lang w:val="en-GB" w:eastAsia="en-US"/>
        </w:rPr>
      </w:pPr>
      <w:bookmarkStart w:id="389" w:name="_Toc83630991"/>
      <w:bookmarkEnd w:id="376"/>
      <w:r>
        <w:rPr>
          <w:rFonts w:eastAsia="Calibri"/>
          <w:caps w:val="0"/>
          <w:lang w:val="en-GB" w:eastAsia="en-US"/>
        </w:rPr>
        <w:t>PREHRAMBEN</w:t>
      </w:r>
      <w:r w:rsidR="00A669A6">
        <w:rPr>
          <w:rFonts w:eastAsia="Calibri"/>
          <w:caps w:val="0"/>
          <w:lang w:val="en-GB" w:eastAsia="en-US"/>
        </w:rPr>
        <w:t>E</w:t>
      </w:r>
      <w:r>
        <w:rPr>
          <w:rFonts w:eastAsia="Calibri"/>
          <w:caps w:val="0"/>
          <w:lang w:val="en-GB" w:eastAsia="en-US"/>
        </w:rPr>
        <w:t xml:space="preserve"> MREŽ</w:t>
      </w:r>
      <w:r w:rsidR="00A669A6">
        <w:rPr>
          <w:rFonts w:eastAsia="Calibri"/>
          <w:caps w:val="0"/>
          <w:lang w:val="en-GB" w:eastAsia="en-US"/>
        </w:rPr>
        <w:t>E</w:t>
      </w:r>
      <w:r w:rsidR="003C18E4" w:rsidRPr="001C6CCA">
        <w:rPr>
          <w:rFonts w:eastAsia="Calibri"/>
          <w:caps w:val="0"/>
          <w:lang w:val="en-GB" w:eastAsia="en-US"/>
        </w:rPr>
        <w:t xml:space="preserve"> (DES</w:t>
      </w:r>
      <w:r>
        <w:rPr>
          <w:rFonts w:eastAsia="Calibri"/>
          <w:caps w:val="0"/>
          <w:lang w:val="en-GB" w:eastAsia="en-US"/>
        </w:rPr>
        <w:t>KRIPTOR</w:t>
      </w:r>
      <w:r w:rsidR="003C18E4" w:rsidRPr="001C6CCA">
        <w:rPr>
          <w:rFonts w:eastAsia="Calibri"/>
          <w:caps w:val="0"/>
          <w:lang w:val="en-GB" w:eastAsia="en-US"/>
        </w:rPr>
        <w:t xml:space="preserve"> 4)</w:t>
      </w:r>
      <w:bookmarkEnd w:id="389"/>
    </w:p>
    <w:p w14:paraId="2F470C05" w14:textId="6BF2E5F9" w:rsidR="00181B21" w:rsidRPr="001C6CCA" w:rsidRDefault="00D83894" w:rsidP="004C3A51">
      <w:pPr>
        <w:autoSpaceDE w:val="0"/>
        <w:autoSpaceDN w:val="0"/>
        <w:adjustRightInd w:val="0"/>
        <w:spacing w:before="0" w:after="160"/>
        <w:jc w:val="left"/>
        <w:rPr>
          <w:rFonts w:eastAsia="Calibri" w:cs="Calibri"/>
          <w:b/>
          <w:bCs/>
          <w:color w:val="000000"/>
          <w:szCs w:val="22"/>
          <w:lang w:val="en-GB" w:eastAsia="en-US"/>
        </w:rPr>
      </w:pPr>
      <w:r>
        <w:rPr>
          <w:rFonts w:eastAsia="Calibri" w:cs="Calibri"/>
          <w:b/>
          <w:bCs/>
          <w:color w:val="000000"/>
          <w:szCs w:val="22"/>
          <w:lang w:val="en-GB" w:eastAsia="en-US"/>
        </w:rPr>
        <w:t>Uvod</w:t>
      </w:r>
    </w:p>
    <w:p w14:paraId="086280D2" w14:textId="11B08C08" w:rsidR="00F063DB" w:rsidRPr="00007B1C" w:rsidRDefault="00F063DB" w:rsidP="00F063DB">
      <w:pPr>
        <w:spacing w:before="0" w:after="120"/>
        <w:rPr>
          <w:rFonts w:cs="Calibri"/>
          <w:lang w:val="sq-AL"/>
        </w:rPr>
      </w:pPr>
      <w:r w:rsidRPr="00007B1C">
        <w:rPr>
          <w:rFonts w:cs="Calibri"/>
          <w:lang w:val="sq-AL"/>
        </w:rPr>
        <w:t xml:space="preserve">„Mreže ishrane“ su definisane kao „mreže interakcija hranjenja između konzumera i njihove hrane“ (Rogers i sa. 2010). Drugim riječima, opisuje one organizme koje jedu drugi organizmi. Sastav vrsta mreža ishrane varira u zavisnosti od </w:t>
      </w:r>
      <w:r w:rsidR="003B0BC3">
        <w:rPr>
          <w:rFonts w:cs="Calibri"/>
          <w:lang w:val="sq-AL"/>
        </w:rPr>
        <w:t>morske sredine</w:t>
      </w:r>
      <w:r w:rsidRPr="00007B1C">
        <w:rPr>
          <w:rFonts w:cs="Calibri"/>
          <w:lang w:val="sq-AL"/>
        </w:rPr>
        <w:t xml:space="preserve"> u koj</w:t>
      </w:r>
      <w:r w:rsidR="003B0BC3">
        <w:rPr>
          <w:rFonts w:cs="Calibri"/>
          <w:lang w:val="sq-AL"/>
        </w:rPr>
        <w:t xml:space="preserve">oj </w:t>
      </w:r>
      <w:r w:rsidRPr="00007B1C">
        <w:rPr>
          <w:rFonts w:cs="Calibri"/>
          <w:lang w:val="sq-AL"/>
        </w:rPr>
        <w:t xml:space="preserve">se </w:t>
      </w:r>
      <w:r w:rsidR="003B0BC3">
        <w:rPr>
          <w:rFonts w:cs="Calibri"/>
          <w:lang w:val="sq-AL"/>
        </w:rPr>
        <w:t xml:space="preserve">te vrste </w:t>
      </w:r>
      <w:r w:rsidRPr="00007B1C">
        <w:rPr>
          <w:rFonts w:cs="Calibri"/>
          <w:lang w:val="sq-AL"/>
        </w:rPr>
        <w:t xml:space="preserve">pojavljuju; stoga se mreže ishrane u različitim regionima odlikuju interakcijama između </w:t>
      </w:r>
      <w:r>
        <w:rPr>
          <w:rFonts w:cs="Calibri"/>
          <w:lang w:val="sq-AL"/>
        </w:rPr>
        <w:t xml:space="preserve">različitih </w:t>
      </w:r>
      <w:r w:rsidRPr="00007B1C">
        <w:rPr>
          <w:rFonts w:cs="Calibri"/>
          <w:lang w:val="sq-AL"/>
        </w:rPr>
        <w:t>ključnih vrsta, ali su procesi prenosa energije isti.</w:t>
      </w:r>
    </w:p>
    <w:p w14:paraId="45F4A638" w14:textId="7FF9EC26" w:rsidR="00F063DB" w:rsidRPr="00007B1C" w:rsidRDefault="00F063DB" w:rsidP="00F063DB">
      <w:pPr>
        <w:autoSpaceDE w:val="0"/>
        <w:autoSpaceDN w:val="0"/>
        <w:adjustRightInd w:val="0"/>
        <w:spacing w:before="0" w:after="120"/>
        <w:rPr>
          <w:rFonts w:cs="Calibri"/>
          <w:color w:val="000000"/>
          <w:lang w:val="sq-AL"/>
        </w:rPr>
      </w:pPr>
      <w:r w:rsidRPr="00007B1C">
        <w:rPr>
          <w:rFonts w:cs="Calibri"/>
          <w:color w:val="000000"/>
          <w:lang w:val="sq-AL"/>
        </w:rPr>
        <w:t>Jed</w:t>
      </w:r>
      <w:r w:rsidR="00DC6473">
        <w:rPr>
          <w:rFonts w:cs="Calibri"/>
          <w:color w:val="000000"/>
          <w:lang w:val="sq-AL"/>
        </w:rPr>
        <w:t>an</w:t>
      </w:r>
      <w:r w:rsidRPr="00007B1C">
        <w:rPr>
          <w:rFonts w:cs="Calibri"/>
          <w:color w:val="000000"/>
          <w:lang w:val="sq-AL"/>
        </w:rPr>
        <w:t xml:space="preserve"> od najjednostavnijih načina za opisivanje složenih odnosa unutar mreža ishrane uzima u obzir relativnu zastupljenost i distribuciju vrst</w:t>
      </w:r>
      <w:r w:rsidR="00170EE3">
        <w:rPr>
          <w:rFonts w:cs="Calibri"/>
          <w:color w:val="000000"/>
          <w:lang w:val="sq-AL"/>
        </w:rPr>
        <w:t>a koje sudjeluju u prehrambenim odnosima</w:t>
      </w:r>
      <w:r w:rsidRPr="00007B1C">
        <w:rPr>
          <w:rFonts w:cs="Calibri"/>
          <w:color w:val="000000"/>
          <w:lang w:val="sq-AL"/>
        </w:rPr>
        <w:t xml:space="preserve">. Kako se mreže ishrane uglavnom strukturiraju interakcijama plijena i predatora, veličina tijela predatora i obilje njihovog plijena odrediće snagu i pravac protoka energije kroz sistem. U ovom </w:t>
      </w:r>
      <w:r w:rsidR="00170EE3">
        <w:rPr>
          <w:rFonts w:cs="Calibri"/>
          <w:color w:val="000000"/>
          <w:lang w:val="sq-AL"/>
        </w:rPr>
        <w:t>tekstu</w:t>
      </w:r>
      <w:r w:rsidRPr="00007B1C">
        <w:rPr>
          <w:rFonts w:cs="Calibri"/>
          <w:color w:val="000000"/>
          <w:lang w:val="sq-AL"/>
        </w:rPr>
        <w:t xml:space="preserve"> </w:t>
      </w:r>
      <w:r w:rsidR="00170EE3">
        <w:rPr>
          <w:rFonts w:cs="Calibri"/>
          <w:color w:val="000000"/>
          <w:lang w:val="sq-AL"/>
        </w:rPr>
        <w:t xml:space="preserve">upravo </w:t>
      </w:r>
      <w:r w:rsidRPr="00007B1C">
        <w:rPr>
          <w:rFonts w:cs="Calibri"/>
          <w:color w:val="000000"/>
          <w:lang w:val="sq-AL"/>
        </w:rPr>
        <w:t>ove strukturne mjere se koriste za identifikovanje kriterijuma za dob</w:t>
      </w:r>
      <w:r w:rsidR="00170EE3">
        <w:rPr>
          <w:rFonts w:cs="Calibri"/>
          <w:color w:val="000000"/>
          <w:lang w:val="sq-AL"/>
        </w:rPr>
        <w:t>ro stanje m</w:t>
      </w:r>
      <w:r w:rsidRPr="00007B1C">
        <w:rPr>
          <w:rFonts w:cs="Calibri"/>
          <w:color w:val="000000"/>
          <w:lang w:val="sq-AL"/>
        </w:rPr>
        <w:t>reža ishrane i predlažu jednostavne indikatore za evidenciju njihove stope promjen</w:t>
      </w:r>
      <w:r w:rsidR="00170EE3">
        <w:rPr>
          <w:rFonts w:cs="Calibri"/>
          <w:color w:val="000000"/>
          <w:lang w:val="sq-AL"/>
        </w:rPr>
        <w:t>a</w:t>
      </w:r>
      <w:r w:rsidRPr="00007B1C">
        <w:rPr>
          <w:rFonts w:cs="Calibri"/>
          <w:color w:val="000000"/>
          <w:lang w:val="sq-AL"/>
        </w:rPr>
        <w:t>. Ovaj atribut je usko povezan sa uporedivim pokazateljima razvijenim za podršku deskriptorima koji se odnose na biodiverzitet (D1) i integritet morskog dna (D6).</w:t>
      </w:r>
    </w:p>
    <w:p w14:paraId="12F36BC8" w14:textId="31E56085" w:rsidR="00D83894" w:rsidRDefault="006E447D" w:rsidP="00D83894">
      <w:pPr>
        <w:spacing w:after="0"/>
        <w:rPr>
          <w:rFonts w:eastAsia="Calibri" w:cs="Calibri"/>
          <w:iCs/>
          <w:szCs w:val="22"/>
          <w:lang w:val="en-GB"/>
        </w:rPr>
      </w:pPr>
      <w:r w:rsidRPr="001C6CCA">
        <w:rPr>
          <w:rFonts w:cs="Stag Sans Semibold"/>
          <w:b/>
          <w:bCs/>
          <w:noProof/>
          <w:color w:val="000000"/>
          <w:sz w:val="20"/>
          <w:szCs w:val="20"/>
          <w:lang w:eastAsia="en-US"/>
        </w:rPr>
        <mc:AlternateContent>
          <mc:Choice Requires="wps">
            <w:drawing>
              <wp:anchor distT="0" distB="0" distL="114300" distR="114300" simplePos="0" relativeHeight="251742208" behindDoc="0" locked="0" layoutInCell="1" allowOverlap="1" wp14:anchorId="333B1F24" wp14:editId="6A44E670">
                <wp:simplePos x="0" y="0"/>
                <wp:positionH relativeFrom="margin">
                  <wp:align>left</wp:align>
                </wp:positionH>
                <wp:positionV relativeFrom="paragraph">
                  <wp:posOffset>108262</wp:posOffset>
                </wp:positionV>
                <wp:extent cx="5783580" cy="748146"/>
                <wp:effectExtent l="0" t="0" r="7620" b="0"/>
                <wp:wrapNone/>
                <wp:docPr id="64" name="Rectangle: Rounded Corners 64"/>
                <wp:cNvGraphicFramePr/>
                <a:graphic xmlns:a="http://schemas.openxmlformats.org/drawingml/2006/main">
                  <a:graphicData uri="http://schemas.microsoft.com/office/word/2010/wordprocessingShape">
                    <wps:wsp>
                      <wps:cNvSpPr/>
                      <wps:spPr>
                        <a:xfrm>
                          <a:off x="0" y="0"/>
                          <a:ext cx="5783580" cy="748146"/>
                        </a:xfrm>
                        <a:prstGeom prst="roundRect">
                          <a:avLst/>
                        </a:prstGeom>
                        <a:solidFill>
                          <a:srgbClr val="4F81BD">
                            <a:lumMod val="20000"/>
                            <a:lumOff val="80000"/>
                            <a:alpha val="84000"/>
                          </a:srgbClr>
                        </a:solidFill>
                        <a:ln w="25400" cap="flat" cmpd="sng" algn="ctr">
                          <a:noFill/>
                          <a:prstDash val="solid"/>
                        </a:ln>
                        <a:effectLst/>
                      </wps:spPr>
                      <wps:txbx>
                        <w:txbxContent>
                          <w:p w14:paraId="2960D2E3" w14:textId="4E27D005" w:rsidR="00515997" w:rsidRPr="0032480F" w:rsidRDefault="00515997" w:rsidP="00181B21">
                            <w:pPr>
                              <w:autoSpaceDE w:val="0"/>
                              <w:autoSpaceDN w:val="0"/>
                              <w:adjustRightInd w:val="0"/>
                              <w:spacing w:line="240" w:lineRule="auto"/>
                              <w:rPr>
                                <w:rFonts w:cs="Calibri"/>
                                <w:b/>
                                <w:i/>
                                <w:color w:val="000000"/>
                              </w:rPr>
                            </w:pPr>
                            <w:r w:rsidRPr="00D83894">
                              <w:rPr>
                                <w:b/>
                                <w:color w:val="000000"/>
                                <w14:textOutline w14:w="9525" w14:cap="rnd" w14:cmpd="sng" w14:algn="ctr">
                                  <w14:noFill/>
                                  <w14:prstDash w14:val="solid"/>
                                  <w14:bevel/>
                                </w14:textOutline>
                              </w:rPr>
                              <w:t xml:space="preserve">GES definicija: </w:t>
                            </w:r>
                            <w:r w:rsidRPr="00D83894">
                              <w:rPr>
                                <w:b/>
                                <w:i/>
                                <w:color w:val="000000"/>
                                <w14:textOutline w14:w="9525" w14:cap="rnd" w14:cmpd="sng" w14:algn="ctr">
                                  <w14:noFill/>
                                  <w14:prstDash w14:val="solid"/>
                                  <w14:bevel/>
                                </w14:textOutline>
                              </w:rPr>
                              <w:t>Svi elementi morskih prehrambenih mreža</w:t>
                            </w:r>
                            <w:r w:rsidRPr="00D83894">
                              <w:rPr>
                                <w:b/>
                                <w:color w:val="000000"/>
                                <w14:textOutline w14:w="9525" w14:cap="rnd" w14:cmpd="sng" w14:algn="ctr">
                                  <w14:noFill/>
                                  <w14:prstDash w14:val="solid"/>
                                  <w14:bevel/>
                                </w14:textOutline>
                              </w:rPr>
                              <w:t xml:space="preserve">, </w:t>
                            </w:r>
                            <w:r w:rsidRPr="00D83894">
                              <w:rPr>
                                <w:b/>
                                <w:i/>
                                <w:color w:val="000000"/>
                                <w14:textOutline w14:w="9525" w14:cap="rnd" w14:cmpd="sng" w14:algn="ctr">
                                  <w14:noFill/>
                                  <w14:prstDash w14:val="solid"/>
                                  <w14:bevel/>
                                </w14:textOutline>
                              </w:rPr>
                              <w:t>u m</w:t>
                            </w:r>
                            <w:r>
                              <w:rPr>
                                <w:b/>
                                <w:i/>
                                <w:color w:val="000000"/>
                                <w14:textOutline w14:w="9525" w14:cap="rnd" w14:cmpd="sng" w14:algn="ctr">
                                  <w14:noFill/>
                                  <w14:prstDash w14:val="solid"/>
                                  <w14:bevel/>
                                </w14:textOutline>
                              </w:rPr>
                              <w:t>j</w:t>
                            </w:r>
                            <w:r w:rsidRPr="00D83894">
                              <w:rPr>
                                <w:b/>
                                <w:i/>
                                <w:color w:val="000000"/>
                                <w14:textOutline w14:w="9525" w14:cap="rnd" w14:cmpd="sng" w14:algn="ctr">
                                  <w14:noFill/>
                                  <w14:prstDash w14:val="solid"/>
                                  <w14:bevel/>
                                </w14:textOutline>
                              </w:rPr>
                              <w:t xml:space="preserve">eri u kojoj su poznati, javljaju se u normalnom obilju i raznovrsnosti i na nivoima </w:t>
                            </w:r>
                            <w:r>
                              <w:rPr>
                                <w:b/>
                                <w:i/>
                                <w:color w:val="000000"/>
                                <w14:textOutline w14:w="9525" w14:cap="rnd" w14:cmpd="sng" w14:algn="ctr">
                                  <w14:noFill/>
                                  <w14:prstDash w14:val="solid"/>
                                  <w14:bevel/>
                                </w14:textOutline>
                              </w:rPr>
                              <w:t xml:space="preserve">koji omogućavaju </w:t>
                            </w:r>
                            <w:r w:rsidRPr="00D83894">
                              <w:rPr>
                                <w:b/>
                                <w:i/>
                                <w:color w:val="000000"/>
                                <w14:textOutline w14:w="9525" w14:cap="rnd" w14:cmpd="sng" w14:algn="ctr">
                                  <w14:noFill/>
                                  <w14:prstDash w14:val="solid"/>
                                  <w14:bevel/>
                                </w14:textOutline>
                              </w:rPr>
                              <w:t xml:space="preserve">dugoročno obilje vrsta i </w:t>
                            </w:r>
                            <w:r>
                              <w:rPr>
                                <w:b/>
                                <w:i/>
                                <w:color w:val="000000"/>
                                <w14:textOutline w14:w="9525" w14:cap="rnd" w14:cmpd="sng" w14:algn="ctr">
                                  <w14:noFill/>
                                  <w14:prstDash w14:val="solid"/>
                                  <w14:bevel/>
                                </w14:textOutline>
                              </w:rPr>
                              <w:t>održavanje</w:t>
                            </w:r>
                            <w:r w:rsidRPr="00D83894">
                              <w:rPr>
                                <w:b/>
                                <w:i/>
                                <w:color w:val="000000"/>
                                <w14:textOutline w14:w="9525" w14:cap="rnd" w14:cmpd="sng" w14:algn="ctr">
                                  <w14:noFill/>
                                  <w14:prstDash w14:val="solid"/>
                                  <w14:bevel/>
                                </w14:textOutline>
                              </w:rPr>
                              <w:t xml:space="preserve"> njihovog punog reproduktivnog kapaciteta</w:t>
                            </w:r>
                            <w:r w:rsidRPr="00D83894">
                              <w:rPr>
                                <w:b/>
                                <w:color w:val="000000"/>
                                <w14:textOutline w14:w="9525" w14:cap="rnd" w14:cmpd="sng" w14:algn="ctr">
                                  <w14:noFill/>
                                  <w14:prstDash w14:val="solid"/>
                                  <w14:bevel/>
                                </w14:textOutline>
                              </w:rPr>
                              <w:t>.</w:t>
                            </w:r>
                            <w:r>
                              <w:rPr>
                                <w:b/>
                                <w:color w:val="000000"/>
                                <w14:textOutline w14:w="9525" w14:cap="rnd" w14:cmpd="sng" w14:algn="ctr">
                                  <w14:noFill/>
                                  <w14:prstDash w14:val="solid"/>
                                  <w14:bevel/>
                                </w14:textOutline>
                              </w:rPr>
                              <w:t xml:space="preserve"> </w:t>
                            </w:r>
                          </w:p>
                          <w:p w14:paraId="02871B92" w14:textId="77777777" w:rsidR="00515997" w:rsidRPr="0034218B" w:rsidRDefault="00515997" w:rsidP="00181B21">
                            <w:pPr>
                              <w:rPr>
                                <w:i/>
                                <w:color w:val="000000"/>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3B1F24" id="Rectangle: Rounded Corners 64" o:spid="_x0000_s1067" style="position:absolute;left:0;text-align:left;margin-left:0;margin-top:8.5pt;width:455.4pt;height:58.9pt;z-index:2517422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" fillcolor="#dce6f2" stroked="f" strokeweight="2pt">
                <v:fill opacity="54998f"/>
                <v:textbox>
                  <w:txbxContent>
                    <w:p w14:paraId="2960D2E3" w14:textId="4E27D005" w:rsidR="00515997" w:rsidRPr="0032480F" w:rsidRDefault="00515997" w:rsidP="00181B21">
                      <w:pPr>
                        <w:autoSpaceDE w:val="0"/>
                        <w:autoSpaceDN w:val="0"/>
                        <w:adjustRightInd w:val="0"/>
                        <w:spacing w:line="240" w:lineRule="auto"/>
                        <w:rPr>
                          <w:rFonts w:cs="Calibri"/>
                          <w:b/>
                          <w:i/>
                          <w:color w:val="000000"/>
                        </w:rPr>
                      </w:pPr>
                      <w:r w:rsidRPr="00D83894">
                        <w:rPr>
                          <w:b/>
                          <w:color w:val="000000"/>
                          <w14:textOutline w14:w="9525" w14:cap="rnd" w14:cmpd="sng" w14:algn="ctr">
                            <w14:noFill/>
                            <w14:prstDash w14:val="solid"/>
                            <w14:bevel/>
                          </w14:textOutline>
                        </w:rPr>
                        <w:t xml:space="preserve">GES definicija: </w:t>
                      </w:r>
                      <w:r w:rsidRPr="00D83894">
                        <w:rPr>
                          <w:b/>
                          <w:i/>
                          <w:color w:val="000000"/>
                          <w14:textOutline w14:w="9525" w14:cap="rnd" w14:cmpd="sng" w14:algn="ctr">
                            <w14:noFill/>
                            <w14:prstDash w14:val="solid"/>
                            <w14:bevel/>
                          </w14:textOutline>
                        </w:rPr>
                        <w:t>Svi elementi morskih prehrambenih mreža</w:t>
                      </w:r>
                      <w:r w:rsidRPr="00D83894">
                        <w:rPr>
                          <w:b/>
                          <w:color w:val="000000"/>
                          <w14:textOutline w14:w="9525" w14:cap="rnd" w14:cmpd="sng" w14:algn="ctr">
                            <w14:noFill/>
                            <w14:prstDash w14:val="solid"/>
                            <w14:bevel/>
                          </w14:textOutline>
                        </w:rPr>
                        <w:t xml:space="preserve">, </w:t>
                      </w:r>
                      <w:r w:rsidRPr="00D83894">
                        <w:rPr>
                          <w:b/>
                          <w:i/>
                          <w:color w:val="000000"/>
                          <w14:textOutline w14:w="9525" w14:cap="rnd" w14:cmpd="sng" w14:algn="ctr">
                            <w14:noFill/>
                            <w14:prstDash w14:val="solid"/>
                            <w14:bevel/>
                          </w14:textOutline>
                        </w:rPr>
                        <w:t>u m</w:t>
                      </w:r>
                      <w:r>
                        <w:rPr>
                          <w:b/>
                          <w:i/>
                          <w:color w:val="000000"/>
                          <w14:textOutline w14:w="9525" w14:cap="rnd" w14:cmpd="sng" w14:algn="ctr">
                            <w14:noFill/>
                            <w14:prstDash w14:val="solid"/>
                            <w14:bevel/>
                          </w14:textOutline>
                        </w:rPr>
                        <w:t>j</w:t>
                      </w:r>
                      <w:r w:rsidRPr="00D83894">
                        <w:rPr>
                          <w:b/>
                          <w:i/>
                          <w:color w:val="000000"/>
                          <w14:textOutline w14:w="9525" w14:cap="rnd" w14:cmpd="sng" w14:algn="ctr">
                            <w14:noFill/>
                            <w14:prstDash w14:val="solid"/>
                            <w14:bevel/>
                          </w14:textOutline>
                        </w:rPr>
                        <w:t xml:space="preserve">eri u kojoj su poznati, javljaju se u normalnom obilju i raznovrsnosti i na nivoima </w:t>
                      </w:r>
                      <w:r>
                        <w:rPr>
                          <w:b/>
                          <w:i/>
                          <w:color w:val="000000"/>
                          <w14:textOutline w14:w="9525" w14:cap="rnd" w14:cmpd="sng" w14:algn="ctr">
                            <w14:noFill/>
                            <w14:prstDash w14:val="solid"/>
                            <w14:bevel/>
                          </w14:textOutline>
                        </w:rPr>
                        <w:t xml:space="preserve">koji omogućavaju </w:t>
                      </w:r>
                      <w:r w:rsidRPr="00D83894">
                        <w:rPr>
                          <w:b/>
                          <w:i/>
                          <w:color w:val="000000"/>
                          <w14:textOutline w14:w="9525" w14:cap="rnd" w14:cmpd="sng" w14:algn="ctr">
                            <w14:noFill/>
                            <w14:prstDash w14:val="solid"/>
                            <w14:bevel/>
                          </w14:textOutline>
                        </w:rPr>
                        <w:t xml:space="preserve">dugoročno obilje vrsta i </w:t>
                      </w:r>
                      <w:r>
                        <w:rPr>
                          <w:b/>
                          <w:i/>
                          <w:color w:val="000000"/>
                          <w14:textOutline w14:w="9525" w14:cap="rnd" w14:cmpd="sng" w14:algn="ctr">
                            <w14:noFill/>
                            <w14:prstDash w14:val="solid"/>
                            <w14:bevel/>
                          </w14:textOutline>
                        </w:rPr>
                        <w:t>održavanje</w:t>
                      </w:r>
                      <w:r w:rsidRPr="00D83894">
                        <w:rPr>
                          <w:b/>
                          <w:i/>
                          <w:color w:val="000000"/>
                          <w14:textOutline w14:w="9525" w14:cap="rnd" w14:cmpd="sng" w14:algn="ctr">
                            <w14:noFill/>
                            <w14:prstDash w14:val="solid"/>
                            <w14:bevel/>
                          </w14:textOutline>
                        </w:rPr>
                        <w:t xml:space="preserve"> njihovog punog reproduktivnog kapaciteta</w:t>
                      </w:r>
                      <w:r w:rsidRPr="00D83894">
                        <w:rPr>
                          <w:b/>
                          <w:color w:val="000000"/>
                          <w14:textOutline w14:w="9525" w14:cap="rnd" w14:cmpd="sng" w14:algn="ctr">
                            <w14:noFill/>
                            <w14:prstDash w14:val="solid"/>
                            <w14:bevel/>
                          </w14:textOutline>
                        </w:rPr>
                        <w:t>.</w:t>
                      </w:r>
                      <w:r>
                        <w:rPr>
                          <w:b/>
                          <w:color w:val="000000"/>
                          <w14:textOutline w14:w="9525" w14:cap="rnd" w14:cmpd="sng" w14:algn="ctr">
                            <w14:noFill/>
                            <w14:prstDash w14:val="solid"/>
                            <w14:bevel/>
                          </w14:textOutline>
                        </w:rPr>
                        <w:t xml:space="preserve"> </w:t>
                      </w:r>
                    </w:p>
                    <w:p w14:paraId="02871B92" w14:textId="77777777" w:rsidR="00515997" w:rsidRPr="0034218B" w:rsidRDefault="00515997" w:rsidP="00181B21">
                      <w:pPr>
                        <w:rPr>
                          <w:i/>
                          <w:color w:val="000000"/>
                          <w14:textOutline w14:w="9525" w14:cap="rnd" w14:cmpd="sng" w14:algn="ctr">
                            <w14:noFill/>
                            <w14:prstDash w14:val="solid"/>
                            <w14:bevel/>
                          </w14:textOutline>
                        </w:rPr>
                      </w:pPr>
                    </w:p>
                  </w:txbxContent>
                </v:textbox>
                <w10:wrap anchorx="margin"/>
              </v:roundrect>
            </w:pict>
          </mc:Fallback>
        </mc:AlternateContent>
      </w:r>
    </w:p>
    <w:p w14:paraId="1F7A80DE" w14:textId="5855E5DF" w:rsidR="00D83894" w:rsidRPr="00D83894" w:rsidRDefault="00D83894" w:rsidP="00D83894">
      <w:pPr>
        <w:spacing w:after="0"/>
        <w:rPr>
          <w:rFonts w:eastAsia="Calibri" w:cs="Calibri"/>
          <w:iCs/>
          <w:szCs w:val="22"/>
          <w:lang w:val="en-GB"/>
        </w:rPr>
      </w:pPr>
    </w:p>
    <w:p w14:paraId="7B4E55BE" w14:textId="731FAB6F" w:rsidR="00181B21" w:rsidRPr="001C6CCA" w:rsidRDefault="00181B21" w:rsidP="00F65CFF">
      <w:pPr>
        <w:autoSpaceDE w:val="0"/>
        <w:autoSpaceDN w:val="0"/>
        <w:adjustRightInd w:val="0"/>
        <w:spacing w:before="0" w:after="0" w:line="240" w:lineRule="auto"/>
        <w:rPr>
          <w:rFonts w:cs="Calibri"/>
          <w:color w:val="000000"/>
          <w:sz w:val="20"/>
          <w:szCs w:val="20"/>
          <w:lang w:val="en-GB" w:eastAsia="en-US"/>
        </w:rPr>
      </w:pPr>
    </w:p>
    <w:p w14:paraId="2FBD67A5" w14:textId="77777777" w:rsidR="00181B21" w:rsidRPr="001C6CCA" w:rsidRDefault="00181B21" w:rsidP="00F65CFF">
      <w:pPr>
        <w:autoSpaceDE w:val="0"/>
        <w:autoSpaceDN w:val="0"/>
        <w:adjustRightInd w:val="0"/>
        <w:spacing w:before="0" w:after="0" w:line="240" w:lineRule="auto"/>
        <w:rPr>
          <w:rFonts w:cs="Calibri"/>
          <w:color w:val="000000"/>
          <w:sz w:val="20"/>
          <w:szCs w:val="20"/>
          <w:lang w:val="en-GB" w:eastAsia="en-US"/>
        </w:rPr>
      </w:pPr>
    </w:p>
    <w:p w14:paraId="1099D490" w14:textId="77777777" w:rsidR="003B0BC3" w:rsidRDefault="003B0BC3" w:rsidP="004C3A51">
      <w:pPr>
        <w:autoSpaceDE w:val="0"/>
        <w:autoSpaceDN w:val="0"/>
        <w:adjustRightInd w:val="0"/>
        <w:spacing w:before="0" w:after="160" w:line="240" w:lineRule="auto"/>
        <w:jc w:val="left"/>
        <w:rPr>
          <w:rFonts w:eastAsia="Calibri" w:cs="Calibri"/>
          <w:b/>
          <w:bCs/>
          <w:color w:val="000000"/>
          <w:szCs w:val="22"/>
          <w:lang w:val="en-GB" w:eastAsia="en-US"/>
        </w:rPr>
      </w:pPr>
    </w:p>
    <w:p w14:paraId="7B3FDE00" w14:textId="6A566CD3" w:rsidR="00181B21" w:rsidRPr="001C6CCA" w:rsidRDefault="007979B0" w:rsidP="004C3A51">
      <w:pPr>
        <w:autoSpaceDE w:val="0"/>
        <w:autoSpaceDN w:val="0"/>
        <w:adjustRightInd w:val="0"/>
        <w:spacing w:before="0" w:after="160" w:line="240" w:lineRule="auto"/>
        <w:jc w:val="left"/>
        <w:rPr>
          <w:rFonts w:eastAsia="Calibri" w:cs="Calibri"/>
          <w:b/>
          <w:bCs/>
          <w:color w:val="000000"/>
          <w:szCs w:val="22"/>
          <w:lang w:val="en-GB" w:eastAsia="en-US"/>
        </w:rPr>
      </w:pPr>
      <w:r>
        <w:rPr>
          <w:rFonts w:eastAsia="Calibri" w:cs="Calibri"/>
          <w:b/>
          <w:bCs/>
          <w:color w:val="000000"/>
          <w:szCs w:val="22"/>
          <w:lang w:val="en-GB" w:eastAsia="en-US"/>
        </w:rPr>
        <w:t>Pristup GES procjeni</w:t>
      </w:r>
    </w:p>
    <w:p w14:paraId="1C196BB8" w14:textId="27C03F6C" w:rsidR="00C712BD" w:rsidRPr="00C712BD" w:rsidRDefault="00C712BD" w:rsidP="00C712BD">
      <w:pPr>
        <w:autoSpaceDE w:val="0"/>
        <w:autoSpaceDN w:val="0"/>
        <w:adjustRightInd w:val="0"/>
        <w:spacing w:before="0" w:after="120"/>
        <w:rPr>
          <w:rFonts w:cs="Calibri"/>
          <w:color w:val="000000"/>
          <w:lang w:val="sq-AL"/>
        </w:rPr>
      </w:pPr>
      <w:r w:rsidRPr="00007B1C">
        <w:rPr>
          <w:rFonts w:cs="Calibri"/>
          <w:color w:val="000000"/>
          <w:lang w:val="sq-AL"/>
        </w:rPr>
        <w:t xml:space="preserve">Odlukom Komisije EU 2017/848 utvrđena su četiri kriterijuma </w:t>
      </w:r>
      <w:r w:rsidR="00350938">
        <w:rPr>
          <w:rFonts w:cs="Calibri"/>
          <w:color w:val="000000"/>
          <w:lang w:val="sq-AL"/>
        </w:rPr>
        <w:t xml:space="preserve">za </w:t>
      </w:r>
      <w:r>
        <w:rPr>
          <w:rFonts w:cs="Calibri"/>
          <w:color w:val="000000"/>
          <w:lang w:val="sq-AL"/>
        </w:rPr>
        <w:t>prehrambene mreže</w:t>
      </w:r>
      <w:r w:rsidRPr="00007B1C">
        <w:rPr>
          <w:rFonts w:cs="Calibri"/>
          <w:color w:val="000000"/>
          <w:lang w:val="sq-AL"/>
        </w:rPr>
        <w:t>:</w:t>
      </w:r>
    </w:p>
    <w:p w14:paraId="164630A3" w14:textId="73F6FA3B" w:rsidR="00C712BD" w:rsidRPr="00007B1C" w:rsidRDefault="00C712BD" w:rsidP="00C52E6F">
      <w:pPr>
        <w:numPr>
          <w:ilvl w:val="0"/>
          <w:numId w:val="39"/>
        </w:numPr>
        <w:autoSpaceDE w:val="0"/>
        <w:autoSpaceDN w:val="0"/>
        <w:adjustRightInd w:val="0"/>
        <w:spacing w:before="0" w:after="120"/>
        <w:ind w:left="709" w:hanging="283"/>
        <w:contextualSpacing/>
        <w:rPr>
          <w:rFonts w:cs="Calibri"/>
          <w:lang w:val="sq-AL"/>
        </w:rPr>
      </w:pPr>
      <w:r w:rsidRPr="00007B1C">
        <w:rPr>
          <w:rFonts w:cs="Calibri"/>
          <w:lang w:val="sq-AL"/>
        </w:rPr>
        <w:t>D4C1 - diverzitet (sastav vrsta i njihov</w:t>
      </w:r>
      <w:r w:rsidR="007627D3">
        <w:rPr>
          <w:rFonts w:cs="Calibri"/>
          <w:lang w:val="sq-AL"/>
        </w:rPr>
        <w:t>a</w:t>
      </w:r>
      <w:r w:rsidRPr="00007B1C">
        <w:rPr>
          <w:rFonts w:cs="Calibri"/>
          <w:lang w:val="sq-AL"/>
        </w:rPr>
        <w:t xml:space="preserve"> relativn</w:t>
      </w:r>
      <w:r w:rsidR="00CC3165">
        <w:rPr>
          <w:rFonts w:cs="Calibri"/>
          <w:lang w:val="sq-AL"/>
        </w:rPr>
        <w:t>a brojnost</w:t>
      </w:r>
      <w:r w:rsidRPr="00007B1C">
        <w:rPr>
          <w:rFonts w:cs="Calibri"/>
          <w:lang w:val="sq-AL"/>
        </w:rPr>
        <w:t>)</w:t>
      </w:r>
      <w:r w:rsidR="00CC3165">
        <w:rPr>
          <w:rFonts w:cs="Calibri"/>
          <w:lang w:val="sq-AL"/>
        </w:rPr>
        <w:t xml:space="preserve"> duž trofičkih kategorija</w:t>
      </w:r>
      <w:r w:rsidRPr="00007B1C">
        <w:rPr>
          <w:rFonts w:cs="Calibri"/>
          <w:lang w:val="sq-AL"/>
        </w:rPr>
        <w:t>;</w:t>
      </w:r>
      <w:r w:rsidR="007C1C11">
        <w:rPr>
          <w:rFonts w:cs="Calibri"/>
          <w:lang w:val="sq-AL"/>
        </w:rPr>
        <w:t xml:space="preserve"> </w:t>
      </w:r>
    </w:p>
    <w:p w14:paraId="1DC498EF" w14:textId="2C47FD43" w:rsidR="00C712BD" w:rsidRPr="00007B1C" w:rsidRDefault="00C712BD" w:rsidP="00C52E6F">
      <w:pPr>
        <w:numPr>
          <w:ilvl w:val="0"/>
          <w:numId w:val="39"/>
        </w:numPr>
        <w:autoSpaceDE w:val="0"/>
        <w:autoSpaceDN w:val="0"/>
        <w:adjustRightInd w:val="0"/>
        <w:spacing w:before="0" w:after="120"/>
        <w:ind w:left="709" w:hanging="283"/>
        <w:contextualSpacing/>
        <w:rPr>
          <w:rFonts w:cs="Calibri"/>
          <w:lang w:val="sq-AL"/>
        </w:rPr>
      </w:pPr>
      <w:r w:rsidRPr="00007B1C">
        <w:rPr>
          <w:rFonts w:cs="Calibri"/>
          <w:lang w:val="sq-AL"/>
        </w:rPr>
        <w:t xml:space="preserve">D4C2 - ravnoteža ukupnog obilja između trofičkih </w:t>
      </w:r>
      <w:r w:rsidR="007C1C11">
        <w:rPr>
          <w:rFonts w:cs="Calibri"/>
          <w:lang w:val="sq-AL"/>
        </w:rPr>
        <w:t>skupina</w:t>
      </w:r>
      <w:r w:rsidRPr="00007B1C">
        <w:rPr>
          <w:rFonts w:cs="Calibri"/>
          <w:lang w:val="sq-AL"/>
        </w:rPr>
        <w:t>;</w:t>
      </w:r>
    </w:p>
    <w:p w14:paraId="1A2BD9C0" w14:textId="1C5BC574" w:rsidR="00C712BD" w:rsidRPr="00007B1C" w:rsidRDefault="00C712BD" w:rsidP="00C52E6F">
      <w:pPr>
        <w:numPr>
          <w:ilvl w:val="0"/>
          <w:numId w:val="39"/>
        </w:numPr>
        <w:autoSpaceDE w:val="0"/>
        <w:autoSpaceDN w:val="0"/>
        <w:adjustRightInd w:val="0"/>
        <w:spacing w:before="0" w:after="120"/>
        <w:ind w:left="709" w:hanging="283"/>
        <w:contextualSpacing/>
        <w:rPr>
          <w:rFonts w:cs="Calibri"/>
          <w:lang w:val="sq-AL"/>
        </w:rPr>
      </w:pPr>
      <w:r w:rsidRPr="00007B1C">
        <w:rPr>
          <w:rFonts w:cs="Calibri"/>
          <w:lang w:val="sq-AL"/>
        </w:rPr>
        <w:t xml:space="preserve">D4C3 – distribucija </w:t>
      </w:r>
      <w:r w:rsidR="00AA7AC3">
        <w:rPr>
          <w:rFonts w:cs="Calibri"/>
          <w:lang w:val="sq-AL"/>
        </w:rPr>
        <w:t>jedinki prema veličini unutar trofičk</w:t>
      </w:r>
      <w:r w:rsidR="00DE4509">
        <w:rPr>
          <w:rFonts w:cs="Calibri"/>
          <w:lang w:val="sq-AL"/>
        </w:rPr>
        <w:t>ih skupina</w:t>
      </w:r>
      <w:r w:rsidR="00AA7AC3">
        <w:rPr>
          <w:rFonts w:cs="Calibri"/>
          <w:lang w:val="sq-AL"/>
        </w:rPr>
        <w:t>;</w:t>
      </w:r>
    </w:p>
    <w:p w14:paraId="68F82F4D" w14:textId="2274B747" w:rsidR="00DE4509" w:rsidRDefault="00C712BD" w:rsidP="006E447D">
      <w:pPr>
        <w:numPr>
          <w:ilvl w:val="0"/>
          <w:numId w:val="39"/>
        </w:numPr>
        <w:autoSpaceDE w:val="0"/>
        <w:autoSpaceDN w:val="0"/>
        <w:adjustRightInd w:val="0"/>
        <w:spacing w:before="0" w:after="120"/>
        <w:ind w:left="709" w:hanging="283"/>
        <w:contextualSpacing/>
        <w:rPr>
          <w:rFonts w:cs="Calibri"/>
          <w:lang w:val="sq-AL"/>
        </w:rPr>
      </w:pPr>
      <w:r w:rsidRPr="00007B1C">
        <w:rPr>
          <w:rFonts w:cs="Calibri"/>
          <w:lang w:val="sq-AL"/>
        </w:rPr>
        <w:t>D4C4 - Produktivnost trofičk</w:t>
      </w:r>
      <w:r w:rsidR="00DE4509">
        <w:rPr>
          <w:rFonts w:cs="Calibri"/>
          <w:lang w:val="sq-AL"/>
        </w:rPr>
        <w:t>ih</w:t>
      </w:r>
      <w:r w:rsidRPr="00007B1C">
        <w:rPr>
          <w:rFonts w:cs="Calibri"/>
          <w:lang w:val="sq-AL"/>
        </w:rPr>
        <w:t xml:space="preserve"> </w:t>
      </w:r>
      <w:r w:rsidR="00350938">
        <w:rPr>
          <w:rFonts w:cs="Calibri"/>
          <w:lang w:val="sq-AL"/>
        </w:rPr>
        <w:t>skupin</w:t>
      </w:r>
      <w:r w:rsidR="00DE4509">
        <w:rPr>
          <w:rFonts w:cs="Calibri"/>
          <w:lang w:val="sq-AL"/>
        </w:rPr>
        <w:t>a</w:t>
      </w:r>
      <w:r w:rsidRPr="00007B1C">
        <w:rPr>
          <w:rFonts w:cs="Calibri"/>
          <w:lang w:val="sq-AL"/>
        </w:rPr>
        <w:t>.</w:t>
      </w:r>
    </w:p>
    <w:p w14:paraId="72A7D63D" w14:textId="77777777" w:rsidR="006E447D" w:rsidRPr="006E447D" w:rsidRDefault="006E447D" w:rsidP="006E447D">
      <w:pPr>
        <w:autoSpaceDE w:val="0"/>
        <w:autoSpaceDN w:val="0"/>
        <w:adjustRightInd w:val="0"/>
        <w:spacing w:before="0" w:after="120"/>
        <w:ind w:left="709"/>
        <w:contextualSpacing/>
        <w:rPr>
          <w:rFonts w:cs="Calibri"/>
          <w:lang w:val="sq-AL"/>
        </w:rPr>
      </w:pPr>
    </w:p>
    <w:p w14:paraId="7B41FB89" w14:textId="03073F4E" w:rsidR="00911C11" w:rsidRPr="00911C11" w:rsidRDefault="00911C11" w:rsidP="00911C11">
      <w:pPr>
        <w:autoSpaceDE w:val="0"/>
        <w:autoSpaceDN w:val="0"/>
        <w:adjustRightInd w:val="0"/>
        <w:spacing w:after="160" w:line="240" w:lineRule="auto"/>
        <w:rPr>
          <w:rFonts w:cs="Calibri"/>
          <w:color w:val="000000"/>
          <w:szCs w:val="22"/>
          <w:lang w:val="en-GB"/>
        </w:rPr>
      </w:pPr>
      <w:r w:rsidRPr="00911C11">
        <w:rPr>
          <w:rFonts w:cs="Calibri"/>
          <w:color w:val="000000"/>
          <w:szCs w:val="22"/>
          <w:lang w:val="en-GB"/>
        </w:rPr>
        <w:t>Gore navedeni kriterijumi uključuju specifikacije i standardizovane metode za proc</w:t>
      </w:r>
      <w:r>
        <w:rPr>
          <w:rFonts w:cs="Calibri"/>
          <w:color w:val="000000"/>
          <w:szCs w:val="22"/>
          <w:lang w:val="en-GB"/>
        </w:rPr>
        <w:t>j</w:t>
      </w:r>
      <w:r w:rsidRPr="00911C11">
        <w:rPr>
          <w:rFonts w:cs="Calibri"/>
          <w:color w:val="000000"/>
          <w:szCs w:val="22"/>
          <w:lang w:val="en-GB"/>
        </w:rPr>
        <w:t>enu</w:t>
      </w:r>
      <w:r w:rsidR="005D055E">
        <w:rPr>
          <w:rFonts w:cs="Calibri"/>
          <w:color w:val="000000"/>
          <w:szCs w:val="22"/>
          <w:lang w:val="en-GB"/>
        </w:rPr>
        <w:t xml:space="preserve"> kako slijedi</w:t>
      </w:r>
      <w:r w:rsidRPr="00911C11">
        <w:rPr>
          <w:rFonts w:cs="Calibri"/>
          <w:color w:val="000000"/>
          <w:szCs w:val="22"/>
          <w:lang w:val="en-GB"/>
        </w:rPr>
        <w:t>:</w:t>
      </w:r>
    </w:p>
    <w:p w14:paraId="0EE60041" w14:textId="248D1B51" w:rsidR="000C07CD" w:rsidRPr="00911C11" w:rsidRDefault="00911C11" w:rsidP="00911C11">
      <w:pPr>
        <w:autoSpaceDE w:val="0"/>
        <w:autoSpaceDN w:val="0"/>
        <w:adjustRightInd w:val="0"/>
        <w:spacing w:after="160" w:line="240" w:lineRule="auto"/>
        <w:rPr>
          <w:rFonts w:cs="Calibri"/>
          <w:color w:val="000000"/>
          <w:szCs w:val="22"/>
          <w:lang w:val="en-GB"/>
        </w:rPr>
      </w:pPr>
      <w:r w:rsidRPr="00911C11">
        <w:rPr>
          <w:rFonts w:cs="Calibri"/>
          <w:color w:val="000000"/>
          <w:szCs w:val="22"/>
          <w:lang w:val="en-GB"/>
        </w:rPr>
        <w:t>1. Sastav vrsta treba da se odnosi na najniži taksonomski nivo prikladan za proc</w:t>
      </w:r>
      <w:r>
        <w:rPr>
          <w:rFonts w:cs="Calibri"/>
          <w:color w:val="000000"/>
          <w:szCs w:val="22"/>
          <w:lang w:val="en-GB"/>
        </w:rPr>
        <w:t>j</w:t>
      </w:r>
      <w:r w:rsidRPr="00911C11">
        <w:rPr>
          <w:rFonts w:cs="Calibri"/>
          <w:color w:val="000000"/>
          <w:szCs w:val="22"/>
          <w:lang w:val="en-GB"/>
        </w:rPr>
        <w:t>enu.</w:t>
      </w:r>
    </w:p>
    <w:p w14:paraId="2871F092" w14:textId="3214033D" w:rsidR="00911C11" w:rsidRPr="00007B1C" w:rsidRDefault="00911C11" w:rsidP="00911C11">
      <w:pPr>
        <w:spacing w:before="0" w:after="120"/>
        <w:rPr>
          <w:rFonts w:eastAsia="Calibri" w:cs="Calibri"/>
          <w:lang w:val="sq-AL"/>
        </w:rPr>
      </w:pPr>
      <w:r>
        <w:rPr>
          <w:rFonts w:eastAsia="Calibri" w:cs="Calibri"/>
          <w:lang w:val="sq-AL"/>
        </w:rPr>
        <w:t xml:space="preserve">2. </w:t>
      </w:r>
      <w:r w:rsidRPr="00007B1C">
        <w:rPr>
          <w:rFonts w:eastAsia="Calibri" w:cs="Calibri"/>
          <w:lang w:val="sq-AL"/>
        </w:rPr>
        <w:t xml:space="preserve">Trofičke </w:t>
      </w:r>
      <w:r w:rsidR="00350938">
        <w:rPr>
          <w:rFonts w:eastAsia="Calibri" w:cs="Calibri"/>
          <w:lang w:val="sq-AL"/>
        </w:rPr>
        <w:t>skupine</w:t>
      </w:r>
      <w:r w:rsidRPr="00007B1C">
        <w:rPr>
          <w:rFonts w:eastAsia="Calibri" w:cs="Calibri"/>
          <w:lang w:val="sq-AL"/>
        </w:rPr>
        <w:t xml:space="preserve"> odabrane prema elementima kriterijuma uzima</w:t>
      </w:r>
      <w:r w:rsidR="00350938">
        <w:rPr>
          <w:rFonts w:eastAsia="Calibri" w:cs="Calibri"/>
          <w:lang w:val="sq-AL"/>
        </w:rPr>
        <w:t>jući</w:t>
      </w:r>
      <w:r w:rsidRPr="00007B1C">
        <w:rPr>
          <w:rFonts w:eastAsia="Calibri" w:cs="Calibri"/>
          <w:lang w:val="sq-AL"/>
        </w:rPr>
        <w:t xml:space="preserve"> u obzir ICES</w:t>
      </w:r>
      <w:r w:rsidRPr="00007B1C">
        <w:rPr>
          <w:rFonts w:cs="Calibri"/>
          <w:color w:val="000000"/>
          <w:vertAlign w:val="superscript"/>
          <w:lang w:val="sq-AL"/>
        </w:rPr>
        <w:footnoteReference w:id="74"/>
      </w:r>
      <w:r w:rsidRPr="00007B1C">
        <w:rPr>
          <w:rFonts w:cs="Calibri"/>
          <w:color w:val="000000"/>
          <w:lang w:val="sq-AL"/>
        </w:rPr>
        <w:t xml:space="preserve"> </w:t>
      </w:r>
      <w:r w:rsidRPr="00007B1C">
        <w:rPr>
          <w:rFonts w:eastAsia="Calibri" w:cs="Calibri"/>
          <w:lang w:val="sq-AL"/>
        </w:rPr>
        <w:t xml:space="preserve"> listu trofičnih </w:t>
      </w:r>
      <w:r w:rsidR="00350938">
        <w:rPr>
          <w:rFonts w:eastAsia="Calibri" w:cs="Calibri"/>
          <w:lang w:val="sq-AL"/>
        </w:rPr>
        <w:t>skupina</w:t>
      </w:r>
      <w:r w:rsidRPr="00007B1C">
        <w:rPr>
          <w:rFonts w:eastAsia="Calibri" w:cs="Calibri"/>
          <w:lang w:val="sq-AL"/>
        </w:rPr>
        <w:t xml:space="preserve"> </w:t>
      </w:r>
      <w:r w:rsidR="007627D3">
        <w:rPr>
          <w:rFonts w:eastAsia="Calibri" w:cs="Calibri"/>
          <w:lang w:val="sq-AL"/>
        </w:rPr>
        <w:t xml:space="preserve">koje </w:t>
      </w:r>
      <w:r w:rsidR="00DE4509">
        <w:rPr>
          <w:rFonts w:eastAsia="Calibri" w:cs="Calibri"/>
          <w:lang w:val="sq-AL"/>
        </w:rPr>
        <w:t xml:space="preserve">treba </w:t>
      </w:r>
      <w:r w:rsidRPr="00007B1C">
        <w:rPr>
          <w:rFonts w:eastAsia="Calibri" w:cs="Calibri"/>
          <w:lang w:val="sq-AL"/>
        </w:rPr>
        <w:t>da ispunjava</w:t>
      </w:r>
      <w:r w:rsidR="00350938">
        <w:rPr>
          <w:rFonts w:eastAsia="Calibri" w:cs="Calibri"/>
          <w:lang w:val="sq-AL"/>
        </w:rPr>
        <w:t>ju</w:t>
      </w:r>
      <w:r w:rsidRPr="00007B1C">
        <w:rPr>
          <w:rFonts w:eastAsia="Calibri" w:cs="Calibri"/>
          <w:lang w:val="sq-AL"/>
        </w:rPr>
        <w:t xml:space="preserve"> sljedeće uslove:</w:t>
      </w:r>
    </w:p>
    <w:p w14:paraId="3626E542" w14:textId="6B3E8590" w:rsidR="00911C11" w:rsidRPr="00007B1C" w:rsidRDefault="00911C11" w:rsidP="00C52E6F">
      <w:pPr>
        <w:numPr>
          <w:ilvl w:val="0"/>
          <w:numId w:val="73"/>
        </w:numPr>
        <w:autoSpaceDE w:val="0"/>
        <w:autoSpaceDN w:val="0"/>
        <w:adjustRightInd w:val="0"/>
        <w:spacing w:before="0" w:after="120"/>
        <w:contextualSpacing/>
        <w:rPr>
          <w:rFonts w:cs="Calibri"/>
          <w:color w:val="000000"/>
          <w:lang w:val="sq-AL"/>
        </w:rPr>
      </w:pPr>
      <w:r w:rsidRPr="00007B1C">
        <w:rPr>
          <w:rFonts w:cs="Calibri"/>
          <w:color w:val="000000"/>
          <w:lang w:val="sq-AL"/>
        </w:rPr>
        <w:t xml:space="preserve">Uključivanje najmanje tri trofičke </w:t>
      </w:r>
      <w:r w:rsidR="00350938">
        <w:rPr>
          <w:rFonts w:cs="Calibri"/>
          <w:color w:val="000000"/>
          <w:lang w:val="sq-AL"/>
        </w:rPr>
        <w:t>skupine</w:t>
      </w:r>
      <w:r w:rsidRPr="00007B1C">
        <w:rPr>
          <w:rFonts w:cs="Calibri"/>
          <w:color w:val="000000"/>
          <w:lang w:val="sq-AL"/>
        </w:rPr>
        <w:t>;</w:t>
      </w:r>
    </w:p>
    <w:p w14:paraId="0D35F51D" w14:textId="630A0FB5" w:rsidR="00911C11" w:rsidRDefault="00911C11" w:rsidP="00C52E6F">
      <w:pPr>
        <w:numPr>
          <w:ilvl w:val="0"/>
          <w:numId w:val="73"/>
        </w:numPr>
        <w:autoSpaceDE w:val="0"/>
        <w:autoSpaceDN w:val="0"/>
        <w:adjustRightInd w:val="0"/>
        <w:spacing w:before="0" w:after="120"/>
        <w:contextualSpacing/>
        <w:rPr>
          <w:rFonts w:cs="Calibri"/>
          <w:color w:val="000000"/>
          <w:lang w:val="sq-AL"/>
        </w:rPr>
      </w:pPr>
      <w:r w:rsidRPr="00007B1C">
        <w:rPr>
          <w:rFonts w:cs="Calibri"/>
          <w:color w:val="000000"/>
          <w:lang w:val="sq-AL"/>
        </w:rPr>
        <w:t xml:space="preserve">Dvije trofičke </w:t>
      </w:r>
      <w:r w:rsidR="00350938">
        <w:rPr>
          <w:rFonts w:cs="Calibri"/>
          <w:color w:val="000000"/>
          <w:lang w:val="sq-AL"/>
        </w:rPr>
        <w:t>skupine</w:t>
      </w:r>
      <w:r w:rsidRPr="00007B1C">
        <w:rPr>
          <w:rFonts w:cs="Calibri"/>
          <w:color w:val="000000"/>
          <w:lang w:val="sq-AL"/>
        </w:rPr>
        <w:t xml:space="preserve"> </w:t>
      </w:r>
      <w:r w:rsidR="00AA7AC3">
        <w:rPr>
          <w:rFonts w:cs="Calibri"/>
          <w:color w:val="000000"/>
          <w:lang w:val="sq-AL"/>
        </w:rPr>
        <w:t xml:space="preserve">ne uključuju </w:t>
      </w:r>
      <w:r w:rsidRPr="00007B1C">
        <w:rPr>
          <w:rFonts w:cs="Calibri"/>
          <w:color w:val="000000"/>
          <w:lang w:val="sq-AL"/>
        </w:rPr>
        <w:t>ribe;</w:t>
      </w:r>
    </w:p>
    <w:p w14:paraId="23D90953" w14:textId="16B18614" w:rsidR="00911C11" w:rsidRPr="00007B1C" w:rsidRDefault="00911C11" w:rsidP="00C52E6F">
      <w:pPr>
        <w:numPr>
          <w:ilvl w:val="0"/>
          <w:numId w:val="73"/>
        </w:numPr>
        <w:autoSpaceDE w:val="0"/>
        <w:autoSpaceDN w:val="0"/>
        <w:adjustRightInd w:val="0"/>
        <w:spacing w:before="0" w:after="120"/>
        <w:contextualSpacing/>
        <w:rPr>
          <w:rFonts w:cs="Calibri"/>
          <w:color w:val="000000"/>
          <w:lang w:val="sq-AL"/>
        </w:rPr>
      </w:pPr>
      <w:r>
        <w:rPr>
          <w:rFonts w:cs="Calibri"/>
          <w:color w:val="000000"/>
          <w:lang w:val="sq-AL"/>
        </w:rPr>
        <w:t>N</w:t>
      </w:r>
      <w:r w:rsidRPr="00911C11">
        <w:rPr>
          <w:rFonts w:cs="Calibri"/>
          <w:color w:val="000000"/>
          <w:lang w:val="sq-AL"/>
        </w:rPr>
        <w:t>ajmanje jed</w:t>
      </w:r>
      <w:r>
        <w:rPr>
          <w:rFonts w:cs="Calibri"/>
          <w:color w:val="000000"/>
          <w:lang w:val="sq-AL"/>
        </w:rPr>
        <w:t>na</w:t>
      </w:r>
      <w:r w:rsidRPr="00911C11">
        <w:rPr>
          <w:rFonts w:cs="Calibri"/>
          <w:color w:val="000000"/>
          <w:lang w:val="sq-AL"/>
        </w:rPr>
        <w:t xml:space="preserve"> </w:t>
      </w:r>
      <w:r>
        <w:rPr>
          <w:rFonts w:cs="Calibri"/>
          <w:color w:val="000000"/>
          <w:lang w:val="sq-AL"/>
        </w:rPr>
        <w:t xml:space="preserve">trofička </w:t>
      </w:r>
      <w:r w:rsidR="00350938">
        <w:rPr>
          <w:rFonts w:cs="Calibri"/>
          <w:color w:val="000000"/>
          <w:lang w:val="sq-AL"/>
        </w:rPr>
        <w:t>skupina mora biti</w:t>
      </w:r>
      <w:r w:rsidRPr="00007B1C">
        <w:rPr>
          <w:rFonts w:cs="Calibri"/>
          <w:color w:val="000000"/>
          <w:lang w:val="sq-AL"/>
        </w:rPr>
        <w:t xml:space="preserve"> </w:t>
      </w:r>
      <w:r w:rsidRPr="00911C11">
        <w:rPr>
          <w:rFonts w:cs="Calibri"/>
          <w:color w:val="000000"/>
          <w:lang w:val="sq-AL"/>
        </w:rPr>
        <w:t>primarni proizvođač;</w:t>
      </w:r>
    </w:p>
    <w:p w14:paraId="6A090EBB" w14:textId="0A986BC7" w:rsidR="00911C11" w:rsidRPr="00007B1C" w:rsidRDefault="00911C11" w:rsidP="00C52E6F">
      <w:pPr>
        <w:numPr>
          <w:ilvl w:val="0"/>
          <w:numId w:val="73"/>
        </w:numPr>
        <w:autoSpaceDE w:val="0"/>
        <w:autoSpaceDN w:val="0"/>
        <w:adjustRightInd w:val="0"/>
        <w:spacing w:before="0" w:after="120"/>
        <w:contextualSpacing/>
        <w:rPr>
          <w:rFonts w:cs="Calibri"/>
          <w:color w:val="000000"/>
          <w:lang w:val="sq-AL"/>
        </w:rPr>
      </w:pPr>
      <w:r w:rsidRPr="00007B1C">
        <w:rPr>
          <w:rFonts w:cs="Calibri"/>
          <w:color w:val="000000"/>
          <w:lang w:val="sq-AL"/>
        </w:rPr>
        <w:t>Poželjn</w:t>
      </w:r>
      <w:r w:rsidR="00DE4509">
        <w:rPr>
          <w:rFonts w:cs="Calibri"/>
          <w:color w:val="000000"/>
          <w:lang w:val="sq-AL"/>
        </w:rPr>
        <w:t>o</w:t>
      </w:r>
      <w:r w:rsidRPr="00007B1C">
        <w:rPr>
          <w:rFonts w:cs="Calibri"/>
          <w:color w:val="000000"/>
          <w:lang w:val="sq-AL"/>
        </w:rPr>
        <w:t xml:space="preserve"> </w:t>
      </w:r>
      <w:r w:rsidR="00DE4509">
        <w:rPr>
          <w:rFonts w:cs="Calibri"/>
          <w:color w:val="000000"/>
          <w:lang w:val="sq-AL"/>
        </w:rPr>
        <w:t xml:space="preserve">da predstavljaju najmanje početak, sredinu i kraj prehrambenog lanca </w:t>
      </w:r>
    </w:p>
    <w:p w14:paraId="565D8E5D" w14:textId="77777777" w:rsidR="000A077C" w:rsidRDefault="000A077C" w:rsidP="00C712BD">
      <w:pPr>
        <w:autoSpaceDE w:val="0"/>
        <w:autoSpaceDN w:val="0"/>
        <w:adjustRightInd w:val="0"/>
        <w:spacing w:before="0" w:after="120"/>
        <w:rPr>
          <w:rFonts w:cs="Calibri"/>
          <w:b/>
          <w:color w:val="000000"/>
          <w:lang w:val="sq-AL"/>
        </w:rPr>
      </w:pPr>
    </w:p>
    <w:p w14:paraId="4C0551BA" w14:textId="4C36335F" w:rsidR="00C712BD" w:rsidRPr="00007B1C" w:rsidRDefault="00C712BD" w:rsidP="00C712BD">
      <w:pPr>
        <w:autoSpaceDE w:val="0"/>
        <w:autoSpaceDN w:val="0"/>
        <w:adjustRightInd w:val="0"/>
        <w:spacing w:before="0" w:after="120"/>
        <w:rPr>
          <w:rFonts w:cs="Calibri"/>
          <w:b/>
          <w:color w:val="000000"/>
          <w:lang w:val="sq-AL"/>
        </w:rPr>
      </w:pPr>
      <w:r w:rsidRPr="00C712BD">
        <w:rPr>
          <w:rFonts w:cs="Calibri"/>
          <w:b/>
          <w:color w:val="000000"/>
          <w:lang w:val="sq-AL"/>
        </w:rPr>
        <w:t xml:space="preserve">Prema navedenim specifikacijama </w:t>
      </w:r>
      <w:r>
        <w:rPr>
          <w:rFonts w:cs="Calibri"/>
          <w:b/>
          <w:color w:val="000000"/>
          <w:lang w:val="sq-AL"/>
        </w:rPr>
        <w:t>o</w:t>
      </w:r>
      <w:r w:rsidRPr="00007B1C">
        <w:rPr>
          <w:rFonts w:cs="Calibri"/>
          <w:b/>
          <w:color w:val="000000"/>
          <w:lang w:val="sq-AL"/>
        </w:rPr>
        <w:t xml:space="preserve">dabrani elementi za procjenu pelagične </w:t>
      </w:r>
      <w:r>
        <w:rPr>
          <w:rFonts w:cs="Calibri"/>
          <w:b/>
          <w:color w:val="000000"/>
          <w:lang w:val="sq-AL"/>
        </w:rPr>
        <w:t>prehrambene mreže</w:t>
      </w:r>
      <w:r w:rsidR="006A5F0F">
        <w:rPr>
          <w:rFonts w:cs="Calibri"/>
          <w:b/>
          <w:color w:val="000000"/>
          <w:lang w:val="sq-AL"/>
        </w:rPr>
        <w:t xml:space="preserve"> su</w:t>
      </w:r>
      <w:r w:rsidRPr="00007B1C">
        <w:rPr>
          <w:rFonts w:cs="Calibri"/>
          <w:b/>
          <w:color w:val="000000"/>
          <w:lang w:val="sq-AL"/>
        </w:rPr>
        <w:t>:</w:t>
      </w:r>
    </w:p>
    <w:p w14:paraId="031D19E6" w14:textId="44CD0677" w:rsidR="00C712BD" w:rsidRPr="00007B1C" w:rsidRDefault="00C712BD" w:rsidP="00C52E6F">
      <w:pPr>
        <w:numPr>
          <w:ilvl w:val="0"/>
          <w:numId w:val="38"/>
        </w:numPr>
        <w:autoSpaceDE w:val="0"/>
        <w:autoSpaceDN w:val="0"/>
        <w:adjustRightInd w:val="0"/>
        <w:spacing w:before="0" w:after="120"/>
        <w:contextualSpacing/>
        <w:rPr>
          <w:rFonts w:cs="Calibri"/>
          <w:color w:val="000000"/>
          <w:lang w:val="sq-AL"/>
        </w:rPr>
      </w:pPr>
      <w:r w:rsidRPr="00007B1C">
        <w:rPr>
          <w:rFonts w:cs="Calibri"/>
          <w:color w:val="000000"/>
          <w:lang w:val="sq-AL"/>
        </w:rPr>
        <w:t xml:space="preserve">Fitoplankton </w:t>
      </w:r>
      <w:r w:rsidRPr="00C712BD">
        <w:rPr>
          <w:rFonts w:cs="Calibri"/>
          <w:color w:val="000000"/>
          <w:lang w:val="sq-AL"/>
        </w:rPr>
        <w:t>kao primarni proizvođač</w:t>
      </w:r>
    </w:p>
    <w:p w14:paraId="0E77516B" w14:textId="087DDA27" w:rsidR="00C712BD" w:rsidRDefault="00C712BD" w:rsidP="00C52E6F">
      <w:pPr>
        <w:numPr>
          <w:ilvl w:val="0"/>
          <w:numId w:val="38"/>
        </w:numPr>
        <w:autoSpaceDE w:val="0"/>
        <w:autoSpaceDN w:val="0"/>
        <w:adjustRightInd w:val="0"/>
        <w:spacing w:before="0" w:after="120"/>
        <w:contextualSpacing/>
        <w:rPr>
          <w:rFonts w:cs="Calibri"/>
          <w:color w:val="000000"/>
          <w:lang w:val="sq-AL"/>
        </w:rPr>
      </w:pPr>
      <w:r w:rsidRPr="00C712BD">
        <w:rPr>
          <w:rFonts w:cs="Calibri"/>
          <w:color w:val="000000"/>
          <w:lang w:val="sq-AL"/>
        </w:rPr>
        <w:t xml:space="preserve">Mezozooplankton kao </w:t>
      </w:r>
      <w:r>
        <w:rPr>
          <w:rFonts w:cs="Calibri"/>
          <w:color w:val="000000"/>
          <w:lang w:val="sq-AL"/>
        </w:rPr>
        <w:t>sekundarni</w:t>
      </w:r>
      <w:r w:rsidRPr="00C712BD">
        <w:rPr>
          <w:rFonts w:cs="Calibri"/>
          <w:color w:val="000000"/>
          <w:lang w:val="sq-AL"/>
        </w:rPr>
        <w:t xml:space="preserve"> proizvođač </w:t>
      </w:r>
    </w:p>
    <w:p w14:paraId="127B2694" w14:textId="1B4909B0" w:rsidR="00C712BD" w:rsidRPr="00C712BD" w:rsidRDefault="00C712BD" w:rsidP="00C52E6F">
      <w:pPr>
        <w:numPr>
          <w:ilvl w:val="0"/>
          <w:numId w:val="69"/>
        </w:numPr>
        <w:autoSpaceDE w:val="0"/>
        <w:autoSpaceDN w:val="0"/>
        <w:adjustRightInd w:val="0"/>
        <w:spacing w:before="0" w:after="120"/>
        <w:contextualSpacing/>
        <w:rPr>
          <w:rFonts w:cs="Calibri"/>
          <w:color w:val="000000"/>
          <w:lang w:val="sq-AL"/>
        </w:rPr>
      </w:pPr>
      <w:r w:rsidRPr="00C712BD">
        <w:rPr>
          <w:rFonts w:cs="Calibri"/>
          <w:color w:val="000000"/>
          <w:lang w:val="sq-AL"/>
        </w:rPr>
        <w:t>Mala pelagična riba</w:t>
      </w:r>
      <w:r>
        <w:rPr>
          <w:rFonts w:cs="Calibri"/>
          <w:color w:val="000000"/>
          <w:lang w:val="sq-AL"/>
        </w:rPr>
        <w:t xml:space="preserve"> kao p</w:t>
      </w:r>
      <w:r w:rsidRPr="00007B1C">
        <w:rPr>
          <w:rFonts w:cs="Calibri"/>
          <w:color w:val="000000"/>
          <w:lang w:val="sq-AL"/>
        </w:rPr>
        <w:t>lanktivor</w:t>
      </w:r>
      <w:r w:rsidR="006A5F0F">
        <w:rPr>
          <w:rFonts w:cs="Calibri"/>
          <w:color w:val="000000"/>
          <w:lang w:val="sq-AL"/>
        </w:rPr>
        <w:t>na skupina</w:t>
      </w:r>
      <w:r w:rsidRPr="00C712BD">
        <w:rPr>
          <w:rFonts w:cs="Calibri"/>
          <w:color w:val="000000"/>
          <w:lang w:val="sq-AL"/>
        </w:rPr>
        <w:t xml:space="preserve"> </w:t>
      </w:r>
      <w:r w:rsidR="005D055E">
        <w:rPr>
          <w:rFonts w:cs="Calibri"/>
          <w:color w:val="000000"/>
          <w:lang w:val="sq-AL"/>
        </w:rPr>
        <w:t xml:space="preserve">organizama </w:t>
      </w:r>
      <w:r w:rsidRPr="00C712BD">
        <w:rPr>
          <w:rFonts w:cs="Calibri"/>
          <w:color w:val="000000"/>
          <w:lang w:val="sq-AL"/>
        </w:rPr>
        <w:t>(ciljn</w:t>
      </w:r>
      <w:r w:rsidR="00D62F43">
        <w:rPr>
          <w:rFonts w:cs="Calibri"/>
          <w:color w:val="000000"/>
          <w:lang w:val="sq-AL"/>
        </w:rPr>
        <w:t>a</w:t>
      </w:r>
      <w:r w:rsidRPr="00C712BD">
        <w:rPr>
          <w:rFonts w:cs="Calibri"/>
          <w:color w:val="000000"/>
          <w:lang w:val="sq-AL"/>
        </w:rPr>
        <w:t xml:space="preserve"> vrst</w:t>
      </w:r>
      <w:r w:rsidR="00D62F43">
        <w:rPr>
          <w:rFonts w:cs="Calibri"/>
          <w:color w:val="000000"/>
          <w:lang w:val="sq-AL"/>
        </w:rPr>
        <w:t>a</w:t>
      </w:r>
      <w:r w:rsidRPr="00C712BD">
        <w:rPr>
          <w:rFonts w:cs="Calibri"/>
          <w:color w:val="000000"/>
          <w:lang w:val="sq-AL"/>
        </w:rPr>
        <w:t xml:space="preserve">: sardina) </w:t>
      </w:r>
    </w:p>
    <w:p w14:paraId="1983C8CB" w14:textId="1576C547" w:rsidR="00C712BD" w:rsidRPr="00007B1C" w:rsidRDefault="000A077C" w:rsidP="00C52E6F">
      <w:pPr>
        <w:numPr>
          <w:ilvl w:val="0"/>
          <w:numId w:val="38"/>
        </w:numPr>
        <w:autoSpaceDE w:val="0"/>
        <w:autoSpaceDN w:val="0"/>
        <w:adjustRightInd w:val="0"/>
        <w:spacing w:before="0" w:after="120"/>
        <w:contextualSpacing/>
        <w:rPr>
          <w:rFonts w:cs="Calibri"/>
          <w:color w:val="000000"/>
          <w:lang w:val="sq-AL"/>
        </w:rPr>
      </w:pPr>
      <w:r w:rsidRPr="007627D3">
        <w:rPr>
          <w:rFonts w:cs="Calibri"/>
          <w:color w:val="000000"/>
          <w:lang w:val="sq-AL"/>
        </w:rPr>
        <w:t xml:space="preserve">Krajnji  </w:t>
      </w:r>
      <w:r w:rsidR="00D71066">
        <w:rPr>
          <w:rFonts w:cs="Calibri"/>
          <w:color w:val="000000"/>
          <w:lang w:val="sq-AL"/>
        </w:rPr>
        <w:t>grabežljivac</w:t>
      </w:r>
      <w:r w:rsidR="00C712BD" w:rsidRPr="00007B1C">
        <w:rPr>
          <w:rFonts w:cs="Calibri"/>
          <w:color w:val="000000"/>
          <w:lang w:val="sq-AL"/>
        </w:rPr>
        <w:t xml:space="preserve"> (ciljna vrsta: tuna). </w:t>
      </w:r>
    </w:p>
    <w:p w14:paraId="0709E4AC" w14:textId="77777777" w:rsidR="00F62184" w:rsidRPr="001C6CCA" w:rsidRDefault="00F62184" w:rsidP="00F62184">
      <w:pPr>
        <w:autoSpaceDE w:val="0"/>
        <w:autoSpaceDN w:val="0"/>
        <w:adjustRightInd w:val="0"/>
        <w:spacing w:line="240" w:lineRule="auto"/>
        <w:contextualSpacing/>
        <w:rPr>
          <w:rFonts w:cs="Calibri"/>
          <w:color w:val="000000"/>
          <w:szCs w:val="22"/>
          <w:lang w:val="en-GB"/>
        </w:rPr>
      </w:pPr>
      <w:bookmarkStart w:id="390" w:name="_Hlk67932746"/>
      <w:bookmarkStart w:id="391" w:name="_Hlk67929435"/>
    </w:p>
    <w:p w14:paraId="02CD6424" w14:textId="77777777" w:rsidR="00C712BD" w:rsidRPr="00007B1C" w:rsidRDefault="00C712BD" w:rsidP="00C712BD">
      <w:pPr>
        <w:autoSpaceDE w:val="0"/>
        <w:autoSpaceDN w:val="0"/>
        <w:adjustRightInd w:val="0"/>
        <w:spacing w:before="0" w:after="120"/>
        <w:rPr>
          <w:rFonts w:cs="Calibri"/>
          <w:b/>
          <w:color w:val="000000"/>
          <w:lang w:val="sq-AL"/>
        </w:rPr>
      </w:pPr>
      <w:r w:rsidRPr="00007B1C">
        <w:rPr>
          <w:rFonts w:cs="Calibri"/>
          <w:b/>
          <w:color w:val="000000"/>
          <w:lang w:val="sq-AL"/>
        </w:rPr>
        <w:t>Indikatori:</w:t>
      </w:r>
    </w:p>
    <w:p w14:paraId="1C876F1B" w14:textId="77777777" w:rsidR="00C712BD" w:rsidRPr="00007B1C" w:rsidRDefault="00C712BD" w:rsidP="00C52E6F">
      <w:pPr>
        <w:numPr>
          <w:ilvl w:val="0"/>
          <w:numId w:val="69"/>
        </w:numPr>
        <w:autoSpaceDE w:val="0"/>
        <w:autoSpaceDN w:val="0"/>
        <w:adjustRightInd w:val="0"/>
        <w:spacing w:before="0" w:after="120"/>
        <w:contextualSpacing/>
        <w:rPr>
          <w:rFonts w:cs="Calibri"/>
          <w:color w:val="000000"/>
          <w:lang w:val="sq-AL"/>
        </w:rPr>
      </w:pPr>
      <w:r w:rsidRPr="00007B1C">
        <w:rPr>
          <w:rFonts w:cs="Calibri"/>
          <w:color w:val="000000"/>
          <w:lang w:val="sq-AL"/>
        </w:rPr>
        <w:t>Indikator 1: Vrijednosti unutar prirodnog opsega</w:t>
      </w:r>
    </w:p>
    <w:p w14:paraId="12BE10DE" w14:textId="60BF8845" w:rsidR="00C712BD" w:rsidRPr="00007B1C" w:rsidRDefault="00C712BD" w:rsidP="00C712BD">
      <w:pPr>
        <w:autoSpaceDE w:val="0"/>
        <w:autoSpaceDN w:val="0"/>
        <w:adjustRightInd w:val="0"/>
        <w:spacing w:before="0" w:after="120"/>
        <w:ind w:left="1080"/>
        <w:contextualSpacing/>
        <w:rPr>
          <w:rFonts w:cs="Calibri"/>
          <w:color w:val="000000"/>
          <w:lang w:val="sq-AL"/>
        </w:rPr>
      </w:pPr>
      <w:r w:rsidRPr="00007B1C">
        <w:rPr>
          <w:rFonts w:cs="Calibri"/>
          <w:color w:val="000000"/>
          <w:lang w:val="sq-AL"/>
        </w:rPr>
        <w:t xml:space="preserve">Relativni odnos vrijednosti parametara </w:t>
      </w:r>
      <w:r w:rsidR="000A077C">
        <w:rPr>
          <w:szCs w:val="22"/>
        </w:rPr>
        <w:t>prema višegodišnjim vrijednostima na temelju kojih je rađena Početna procjena.</w:t>
      </w:r>
    </w:p>
    <w:p w14:paraId="2099C5A7" w14:textId="77777777" w:rsidR="00C712BD" w:rsidRPr="00007B1C" w:rsidRDefault="00C712BD" w:rsidP="00C52E6F">
      <w:pPr>
        <w:numPr>
          <w:ilvl w:val="0"/>
          <w:numId w:val="69"/>
        </w:numPr>
        <w:autoSpaceDE w:val="0"/>
        <w:autoSpaceDN w:val="0"/>
        <w:adjustRightInd w:val="0"/>
        <w:spacing w:before="0" w:after="120"/>
        <w:contextualSpacing/>
        <w:rPr>
          <w:rFonts w:cs="Calibri"/>
          <w:color w:val="000000"/>
          <w:lang w:val="sq-AL"/>
        </w:rPr>
      </w:pPr>
      <w:r w:rsidRPr="00007B1C">
        <w:rPr>
          <w:rFonts w:cs="Calibri"/>
          <w:color w:val="000000"/>
          <w:lang w:val="sq-AL"/>
        </w:rPr>
        <w:t>Indikator 2: Trend</w:t>
      </w:r>
    </w:p>
    <w:p w14:paraId="46406991" w14:textId="545FC934" w:rsidR="00C712BD" w:rsidRPr="00007B1C" w:rsidRDefault="00C712BD" w:rsidP="00C712BD">
      <w:pPr>
        <w:autoSpaceDE w:val="0"/>
        <w:autoSpaceDN w:val="0"/>
        <w:adjustRightInd w:val="0"/>
        <w:spacing w:before="0" w:after="120"/>
        <w:ind w:left="1080"/>
        <w:contextualSpacing/>
        <w:rPr>
          <w:rFonts w:cs="Calibri"/>
          <w:color w:val="000000"/>
          <w:lang w:val="sq-AL"/>
        </w:rPr>
      </w:pPr>
      <w:r w:rsidRPr="00007B1C">
        <w:rPr>
          <w:rFonts w:cs="Calibri"/>
          <w:color w:val="000000"/>
          <w:lang w:val="sq-AL"/>
        </w:rPr>
        <w:t>Situacija je stabilna ako ne postoji statistički značajan trend povećanja/smanjenja vrijednosti</w:t>
      </w:r>
    </w:p>
    <w:p w14:paraId="37D3A393" w14:textId="77777777" w:rsidR="00C712BD" w:rsidRDefault="00C712BD" w:rsidP="000C07CD">
      <w:pPr>
        <w:autoSpaceDE w:val="0"/>
        <w:autoSpaceDN w:val="0"/>
        <w:adjustRightInd w:val="0"/>
        <w:spacing w:before="0"/>
        <w:rPr>
          <w:rFonts w:cs="Calibri"/>
          <w:color w:val="000000"/>
          <w:szCs w:val="22"/>
          <w:lang w:val="en-GB"/>
        </w:rPr>
      </w:pPr>
    </w:p>
    <w:p w14:paraId="1F15A841" w14:textId="357108E6" w:rsidR="00911C11" w:rsidRPr="00911C11" w:rsidRDefault="00911C11" w:rsidP="00911C11">
      <w:pPr>
        <w:autoSpaceDE w:val="0"/>
        <w:autoSpaceDN w:val="0"/>
        <w:adjustRightInd w:val="0"/>
        <w:spacing w:before="0"/>
        <w:rPr>
          <w:rFonts w:cs="Calibri"/>
          <w:i/>
          <w:szCs w:val="22"/>
          <w:lang w:val="en-GB"/>
        </w:rPr>
      </w:pPr>
      <w:r w:rsidRPr="00007B1C">
        <w:rPr>
          <w:rFonts w:cs="Calibri"/>
          <w:color w:val="000000"/>
          <w:lang w:val="sq-AL"/>
        </w:rPr>
        <w:t xml:space="preserve">Imajući u vidu da su karakteristike elemenata </w:t>
      </w:r>
      <w:r>
        <w:rPr>
          <w:rFonts w:cs="Calibri"/>
          <w:color w:val="000000"/>
          <w:lang w:val="sq-AL"/>
        </w:rPr>
        <w:t>prehrambene mreže</w:t>
      </w:r>
      <w:r w:rsidRPr="00007B1C">
        <w:rPr>
          <w:rFonts w:cs="Calibri"/>
          <w:color w:val="000000"/>
          <w:lang w:val="sq-AL"/>
        </w:rPr>
        <w:t xml:space="preserve"> za morsko područje Crne Gore u skladu sa podacima za čitav istočni Jadran (posebno za pelagičn</w:t>
      </w:r>
      <w:r>
        <w:rPr>
          <w:rFonts w:cs="Calibri"/>
          <w:color w:val="000000"/>
          <w:lang w:val="sq-AL"/>
        </w:rPr>
        <w:t>e</w:t>
      </w:r>
      <w:r w:rsidRPr="00007B1C">
        <w:rPr>
          <w:rFonts w:cs="Calibri"/>
          <w:color w:val="000000"/>
          <w:lang w:val="sq-AL"/>
        </w:rPr>
        <w:t xml:space="preserve"> </w:t>
      </w:r>
      <w:r>
        <w:rPr>
          <w:rFonts w:cs="Calibri"/>
          <w:color w:val="000000"/>
          <w:lang w:val="sq-AL"/>
        </w:rPr>
        <w:t>prehrambene mreže</w:t>
      </w:r>
      <w:r w:rsidRPr="00007B1C">
        <w:rPr>
          <w:rFonts w:cs="Calibri"/>
          <w:color w:val="000000"/>
          <w:lang w:val="sq-AL"/>
        </w:rPr>
        <w:t xml:space="preserve">), GES procjena </w:t>
      </w:r>
      <w:r>
        <w:rPr>
          <w:rFonts w:cs="Calibri"/>
          <w:color w:val="000000"/>
          <w:lang w:val="sq-AL"/>
        </w:rPr>
        <w:t>prehrambene mreže</w:t>
      </w:r>
      <w:r w:rsidRPr="00007B1C">
        <w:rPr>
          <w:rFonts w:cs="Calibri"/>
          <w:color w:val="000000"/>
          <w:lang w:val="sq-AL"/>
        </w:rPr>
        <w:t xml:space="preserve"> </w:t>
      </w:r>
      <w:r w:rsidR="005D055E">
        <w:rPr>
          <w:rFonts w:cs="Calibri"/>
          <w:color w:val="000000"/>
          <w:lang w:val="sq-AL"/>
        </w:rPr>
        <w:t>izrađena je n</w:t>
      </w:r>
      <w:r w:rsidRPr="00007B1C">
        <w:rPr>
          <w:rFonts w:cs="Calibri"/>
          <w:color w:val="000000"/>
          <w:lang w:val="sq-AL"/>
        </w:rPr>
        <w:t>a pod-regionalnom (jadranskom) nivo</w:t>
      </w:r>
      <w:r>
        <w:rPr>
          <w:rFonts w:cs="Calibri"/>
          <w:color w:val="000000"/>
          <w:lang w:val="sq-AL"/>
        </w:rPr>
        <w:t>u</w:t>
      </w:r>
      <w:r w:rsidRPr="00007B1C">
        <w:rPr>
          <w:rFonts w:cs="Calibri"/>
          <w:color w:val="000000"/>
          <w:lang w:val="sq-AL"/>
        </w:rPr>
        <w:t xml:space="preserve"> </w:t>
      </w:r>
      <w:r w:rsidRPr="00911C11">
        <w:rPr>
          <w:rFonts w:cs="Calibri"/>
          <w:szCs w:val="22"/>
          <w:lang w:val="en-GB"/>
        </w:rPr>
        <w:t>prema podacima predstavljenim u „</w:t>
      </w:r>
      <w:r w:rsidR="00E35E89" w:rsidRPr="00E35E89">
        <w:rPr>
          <w:rFonts w:cs="Calibri"/>
          <w:i/>
          <w:szCs w:val="22"/>
          <w:lang w:val="en-GB"/>
        </w:rPr>
        <w:t>Početnoj</w:t>
      </w:r>
      <w:r w:rsidRPr="00E35E89">
        <w:rPr>
          <w:rFonts w:cs="Calibri"/>
          <w:i/>
          <w:szCs w:val="22"/>
          <w:lang w:val="en-GB"/>
        </w:rPr>
        <w:t xml:space="preserve"> </w:t>
      </w:r>
      <w:r w:rsidRPr="00911C11">
        <w:rPr>
          <w:rFonts w:cs="Calibri"/>
          <w:i/>
          <w:szCs w:val="22"/>
          <w:lang w:val="en-GB"/>
        </w:rPr>
        <w:t xml:space="preserve">procjeni </w:t>
      </w:r>
      <w:r w:rsidR="005D055E">
        <w:rPr>
          <w:rFonts w:cs="Calibri"/>
          <w:i/>
          <w:szCs w:val="22"/>
          <w:lang w:val="en-GB"/>
        </w:rPr>
        <w:t xml:space="preserve">stanja </w:t>
      </w:r>
      <w:r w:rsidRPr="00911C11">
        <w:rPr>
          <w:rFonts w:cs="Calibri"/>
          <w:i/>
          <w:szCs w:val="22"/>
          <w:lang w:val="en-GB"/>
        </w:rPr>
        <w:t xml:space="preserve">morske sredine Crne Gore, 2020“ i „Ažuriranju dokumenata morske strategije u </w:t>
      </w:r>
      <w:r w:rsidRPr="00B0576A">
        <w:rPr>
          <w:rFonts w:cs="Calibri"/>
          <w:i/>
          <w:szCs w:val="22"/>
          <w:lang w:val="en-GB"/>
        </w:rPr>
        <w:t>Hrvatskoj, 2019.“</w:t>
      </w:r>
      <w:r w:rsidRPr="00B0576A">
        <w:rPr>
          <w:rStyle w:val="FootnoteReference"/>
          <w:rFonts w:eastAsia="Calibri"/>
          <w:iCs/>
          <w:szCs w:val="22"/>
          <w:lang w:val="en-GB" w:eastAsia="en-US"/>
        </w:rPr>
        <w:t xml:space="preserve"> </w:t>
      </w:r>
      <w:r w:rsidRPr="00B0576A">
        <w:rPr>
          <w:rStyle w:val="FootnoteReference"/>
          <w:rFonts w:eastAsia="Calibri"/>
          <w:iCs/>
          <w:szCs w:val="22"/>
          <w:lang w:val="en-GB" w:eastAsia="en-US"/>
        </w:rPr>
        <w:footnoteReference w:id="75"/>
      </w:r>
      <w:r w:rsidRPr="00B0576A">
        <w:rPr>
          <w:rFonts w:cs="Calibri"/>
          <w:i/>
          <w:szCs w:val="22"/>
          <w:lang w:val="en-GB"/>
        </w:rPr>
        <w:t xml:space="preserve"> (član 8. ODMS).</w:t>
      </w:r>
    </w:p>
    <w:bookmarkEnd w:id="390"/>
    <w:bookmarkEnd w:id="391"/>
    <w:p w14:paraId="2BDD9199" w14:textId="2DFB9E35" w:rsidR="00B0576A" w:rsidRPr="00911C11" w:rsidRDefault="00B0576A" w:rsidP="00B0576A">
      <w:pPr>
        <w:autoSpaceDE w:val="0"/>
        <w:autoSpaceDN w:val="0"/>
        <w:adjustRightInd w:val="0"/>
        <w:spacing w:before="0"/>
        <w:rPr>
          <w:rFonts w:cs="Calibri"/>
          <w:szCs w:val="22"/>
          <w:lang w:val="en-GB"/>
        </w:rPr>
      </w:pPr>
      <w:r w:rsidRPr="00911C11">
        <w:rPr>
          <w:rFonts w:cs="Calibri"/>
          <w:szCs w:val="22"/>
          <w:lang w:val="en-GB"/>
        </w:rPr>
        <w:t xml:space="preserve">U nedostatku važećih </w:t>
      </w:r>
      <w:r>
        <w:rPr>
          <w:rFonts w:cs="Calibri"/>
          <w:szCs w:val="22"/>
          <w:lang w:val="en-GB"/>
        </w:rPr>
        <w:t>graničnih vrijednosti</w:t>
      </w:r>
      <w:r w:rsidRPr="00911C11">
        <w:rPr>
          <w:rFonts w:cs="Calibri"/>
          <w:szCs w:val="22"/>
          <w:lang w:val="en-GB"/>
        </w:rPr>
        <w:t>, koj</w:t>
      </w:r>
      <w:r>
        <w:rPr>
          <w:rFonts w:cs="Calibri"/>
          <w:szCs w:val="22"/>
          <w:lang w:val="en-GB"/>
        </w:rPr>
        <w:t>e</w:t>
      </w:r>
      <w:r w:rsidRPr="00911C11">
        <w:rPr>
          <w:rFonts w:cs="Calibri"/>
          <w:szCs w:val="22"/>
          <w:lang w:val="en-GB"/>
        </w:rPr>
        <w:t xml:space="preserve"> još uv</w:t>
      </w:r>
      <w:r>
        <w:rPr>
          <w:rFonts w:cs="Calibri"/>
          <w:szCs w:val="22"/>
          <w:lang w:val="en-GB"/>
        </w:rPr>
        <w:t>ij</w:t>
      </w:r>
      <w:r w:rsidRPr="00911C11">
        <w:rPr>
          <w:rFonts w:cs="Calibri"/>
          <w:szCs w:val="22"/>
          <w:lang w:val="en-GB"/>
        </w:rPr>
        <w:t>ek nisu definisan</w:t>
      </w:r>
      <w:r w:rsidR="00E35E89">
        <w:rPr>
          <w:rFonts w:cs="Calibri"/>
          <w:szCs w:val="22"/>
          <w:lang w:val="en-GB"/>
        </w:rPr>
        <w:t>e</w:t>
      </w:r>
      <w:r w:rsidRPr="00911C11">
        <w:rPr>
          <w:rFonts w:cs="Calibri"/>
          <w:szCs w:val="22"/>
          <w:lang w:val="en-GB"/>
        </w:rPr>
        <w:t xml:space="preserve"> za svaki element prehrambene mreže na</w:t>
      </w:r>
      <w:r>
        <w:rPr>
          <w:rFonts w:cs="Calibri"/>
          <w:szCs w:val="22"/>
          <w:lang w:val="en-GB"/>
        </w:rPr>
        <w:t xml:space="preserve"> nivou regije/podregije</w:t>
      </w:r>
      <w:r w:rsidRPr="00911C11">
        <w:rPr>
          <w:rFonts w:cs="Calibri"/>
          <w:szCs w:val="22"/>
          <w:lang w:val="en-GB"/>
        </w:rPr>
        <w:t>, prim</w:t>
      </w:r>
      <w:r>
        <w:rPr>
          <w:rFonts w:cs="Calibri"/>
          <w:szCs w:val="22"/>
          <w:lang w:val="en-GB"/>
        </w:rPr>
        <w:t>j</w:t>
      </w:r>
      <w:r w:rsidRPr="00911C11">
        <w:rPr>
          <w:rFonts w:cs="Calibri"/>
          <w:szCs w:val="22"/>
          <w:lang w:val="en-GB"/>
        </w:rPr>
        <w:t>enjuje se stručna proc</w:t>
      </w:r>
      <w:r>
        <w:rPr>
          <w:rFonts w:cs="Calibri"/>
          <w:szCs w:val="22"/>
          <w:lang w:val="en-GB"/>
        </w:rPr>
        <w:t>j</w:t>
      </w:r>
      <w:r w:rsidRPr="00911C11">
        <w:rPr>
          <w:rFonts w:cs="Calibri"/>
          <w:szCs w:val="22"/>
          <w:lang w:val="en-GB"/>
        </w:rPr>
        <w:t xml:space="preserve">ena </w:t>
      </w:r>
      <w:r w:rsidR="00AE4136">
        <w:rPr>
          <w:rFonts w:cs="Calibri"/>
          <w:szCs w:val="22"/>
          <w:lang w:val="en-GB"/>
        </w:rPr>
        <w:t>odstupanja utvrđenog stanja od referentnih uvjeta.</w:t>
      </w:r>
    </w:p>
    <w:p w14:paraId="0E95F63F" w14:textId="6DCF420F" w:rsidR="00B0576A" w:rsidRDefault="00911C11" w:rsidP="00AE4136">
      <w:pPr>
        <w:autoSpaceDE w:val="0"/>
        <w:autoSpaceDN w:val="0"/>
        <w:adjustRightInd w:val="0"/>
        <w:spacing w:before="0"/>
        <w:rPr>
          <w:rFonts w:cs="Calibri"/>
          <w:b/>
          <w:color w:val="365F91" w:themeColor="accent1" w:themeShade="BF"/>
          <w:sz w:val="24"/>
          <w:lang w:val="en-GB"/>
        </w:rPr>
      </w:pPr>
      <w:r w:rsidRPr="00B0576A">
        <w:rPr>
          <w:rFonts w:cs="Calibri"/>
          <w:i/>
          <w:szCs w:val="22"/>
          <w:lang w:val="en-GB"/>
        </w:rPr>
        <w:t xml:space="preserve">„Nivo koji se može smatrati prirodnim </w:t>
      </w:r>
      <w:r w:rsidRPr="00B0576A">
        <w:rPr>
          <w:rFonts w:cs="Calibri"/>
          <w:b/>
          <w:i/>
          <w:szCs w:val="22"/>
          <w:lang w:val="en-GB"/>
        </w:rPr>
        <w:t>(referentni uslovi)</w:t>
      </w:r>
      <w:r w:rsidRPr="00B0576A">
        <w:rPr>
          <w:rFonts w:cs="Calibri"/>
          <w:i/>
          <w:szCs w:val="22"/>
          <w:lang w:val="en-GB"/>
        </w:rPr>
        <w:t xml:space="preserve"> zasnovan je na dugoročnim</w:t>
      </w:r>
      <w:r w:rsidR="00AE4136">
        <w:rPr>
          <w:rFonts w:cs="Calibri"/>
          <w:i/>
          <w:szCs w:val="22"/>
          <w:lang w:val="en-GB"/>
        </w:rPr>
        <w:t xml:space="preserve"> podacima</w:t>
      </w:r>
      <w:r w:rsidRPr="00B0576A">
        <w:rPr>
          <w:rFonts w:cs="Calibri"/>
          <w:i/>
          <w:szCs w:val="22"/>
          <w:lang w:val="en-GB"/>
        </w:rPr>
        <w:t xml:space="preserve"> i/ili </w:t>
      </w:r>
      <w:r w:rsidR="00AE4136">
        <w:rPr>
          <w:rFonts w:cs="Calibri"/>
          <w:i/>
          <w:szCs w:val="22"/>
          <w:lang w:val="en-GB"/>
        </w:rPr>
        <w:t xml:space="preserve">podacima </w:t>
      </w:r>
      <w:r w:rsidRPr="00B0576A">
        <w:rPr>
          <w:rFonts w:cs="Calibri"/>
          <w:i/>
          <w:szCs w:val="22"/>
          <w:lang w:val="en-GB"/>
        </w:rPr>
        <w:t>iz drugih područja sa sličnim ekološkim karakteristikama (isti ekoregion i tip staništa) koj</w:t>
      </w:r>
      <w:r w:rsidR="00AE4136">
        <w:rPr>
          <w:rFonts w:cs="Calibri"/>
          <w:i/>
          <w:szCs w:val="22"/>
          <w:lang w:val="en-GB"/>
        </w:rPr>
        <w:t xml:space="preserve">a su netaknuta ili minimalno zahvaćena pritiscima pod </w:t>
      </w:r>
      <w:r w:rsidR="00095672">
        <w:rPr>
          <w:rFonts w:cs="Calibri"/>
          <w:i/>
          <w:szCs w:val="22"/>
          <w:lang w:val="en-GB"/>
        </w:rPr>
        <w:t>u</w:t>
      </w:r>
      <w:r w:rsidR="00AE4136">
        <w:rPr>
          <w:rFonts w:cs="Calibri"/>
          <w:i/>
          <w:szCs w:val="22"/>
          <w:lang w:val="en-GB"/>
        </w:rPr>
        <w:t>ticajem ljudski</w:t>
      </w:r>
      <w:r w:rsidR="00095672">
        <w:rPr>
          <w:rFonts w:cs="Calibri"/>
          <w:i/>
          <w:szCs w:val="22"/>
          <w:lang w:val="en-GB"/>
        </w:rPr>
        <w:t>h</w:t>
      </w:r>
      <w:r w:rsidR="00AE4136">
        <w:rPr>
          <w:rFonts w:cs="Calibri"/>
          <w:i/>
          <w:szCs w:val="22"/>
          <w:lang w:val="en-GB"/>
        </w:rPr>
        <w:t xml:space="preserve"> aktivnosti.</w:t>
      </w:r>
      <w:r w:rsidR="00AE4136">
        <w:rPr>
          <w:rFonts w:cs="Calibri"/>
          <w:b/>
          <w:color w:val="365F91" w:themeColor="accent1" w:themeShade="BF"/>
          <w:sz w:val="24"/>
          <w:lang w:val="en-GB"/>
        </w:rPr>
        <w:t xml:space="preserve"> </w:t>
      </w:r>
    </w:p>
    <w:p w14:paraId="01F92B85" w14:textId="77777777" w:rsidR="00AE4136" w:rsidRDefault="00AE4136" w:rsidP="00F65CFF">
      <w:pPr>
        <w:autoSpaceDE w:val="0"/>
        <w:autoSpaceDN w:val="0"/>
        <w:adjustRightInd w:val="0"/>
        <w:spacing w:after="0" w:line="240" w:lineRule="auto"/>
        <w:contextualSpacing/>
        <w:rPr>
          <w:rFonts w:cs="Calibri"/>
          <w:b/>
          <w:color w:val="365F91" w:themeColor="accent1" w:themeShade="BF"/>
          <w:sz w:val="24"/>
          <w:lang w:val="en-GB"/>
        </w:rPr>
      </w:pPr>
    </w:p>
    <w:p w14:paraId="493434DA" w14:textId="4A41C650" w:rsidR="00457ED2" w:rsidRDefault="00A10B56" w:rsidP="007001AA">
      <w:pPr>
        <w:pStyle w:val="Heading3"/>
        <w:autoSpaceDE w:val="0"/>
        <w:autoSpaceDN w:val="0"/>
        <w:adjustRightInd w:val="0"/>
        <w:spacing w:after="0" w:line="240" w:lineRule="auto"/>
        <w:contextualSpacing/>
        <w:rPr>
          <w:lang w:val="en-GB"/>
        </w:rPr>
      </w:pPr>
      <w:bookmarkStart w:id="392" w:name="_Toc83630992"/>
      <w:r w:rsidRPr="00A10B56">
        <w:rPr>
          <w:lang w:val="en-GB"/>
        </w:rPr>
        <w:t>Rezime k</w:t>
      </w:r>
      <w:r w:rsidR="00911C11" w:rsidRPr="00A10B56">
        <w:rPr>
          <w:lang w:val="en-GB"/>
        </w:rPr>
        <w:t>arakteristik</w:t>
      </w:r>
      <w:r w:rsidRPr="00A10B56">
        <w:rPr>
          <w:lang w:val="en-GB"/>
        </w:rPr>
        <w:t>a</w:t>
      </w:r>
      <w:r w:rsidR="00911C11" w:rsidRPr="00A10B56">
        <w:rPr>
          <w:lang w:val="en-GB"/>
        </w:rPr>
        <w:t xml:space="preserve"> izabranih elemenata </w:t>
      </w:r>
      <w:r w:rsidRPr="00A10B56">
        <w:rPr>
          <w:lang w:val="en-GB"/>
        </w:rPr>
        <w:t>D4</w:t>
      </w:r>
      <w:r>
        <w:rPr>
          <w:rStyle w:val="FootnoteReference"/>
          <w:lang w:val="en-GB"/>
        </w:rPr>
        <w:footnoteReference w:id="76"/>
      </w:r>
      <w:bookmarkEnd w:id="392"/>
      <w:r w:rsidRPr="00A10B56">
        <w:rPr>
          <w:lang w:val="en-GB"/>
        </w:rPr>
        <w:t xml:space="preserve"> </w:t>
      </w:r>
    </w:p>
    <w:p w14:paraId="5861D097" w14:textId="77777777" w:rsidR="007001AA" w:rsidRPr="007001AA" w:rsidRDefault="007001AA" w:rsidP="007001AA">
      <w:pPr>
        <w:rPr>
          <w:lang w:val="en-GB"/>
        </w:rPr>
      </w:pPr>
    </w:p>
    <w:p w14:paraId="4557E1F6" w14:textId="3B8C0F6A" w:rsidR="00457ED2" w:rsidRPr="007001AA" w:rsidRDefault="00457ED2" w:rsidP="007001AA">
      <w:pPr>
        <w:spacing w:after="0"/>
        <w:rPr>
          <w:rFonts w:eastAsia="Calibri" w:cs="Calibri"/>
          <w:szCs w:val="22"/>
          <w:lang w:val="en-GB" w:bidi="ta-IN"/>
        </w:rPr>
      </w:pPr>
      <w:r w:rsidRPr="00457ED2">
        <w:rPr>
          <w:rFonts w:eastAsia="Calibri" w:cs="Calibri"/>
          <w:szCs w:val="22"/>
          <w:lang w:val="en-GB" w:bidi="ta-IN"/>
        </w:rPr>
        <w:t>Za proc</w:t>
      </w:r>
      <w:r>
        <w:rPr>
          <w:rFonts w:eastAsia="Calibri" w:cs="Calibri"/>
          <w:szCs w:val="22"/>
          <w:lang w:val="en-GB" w:bidi="ta-IN"/>
        </w:rPr>
        <w:t>j</w:t>
      </w:r>
      <w:r w:rsidRPr="00457ED2">
        <w:rPr>
          <w:rFonts w:eastAsia="Calibri" w:cs="Calibri"/>
          <w:szCs w:val="22"/>
          <w:lang w:val="en-GB" w:bidi="ta-IN"/>
        </w:rPr>
        <w:t xml:space="preserve">enu komponente </w:t>
      </w:r>
      <w:r>
        <w:rPr>
          <w:rFonts w:eastAsia="Calibri" w:cs="Calibri"/>
          <w:szCs w:val="22"/>
          <w:lang w:val="en-GB" w:bidi="ta-IN"/>
        </w:rPr>
        <w:t>fitoplanktona</w:t>
      </w:r>
      <w:r w:rsidRPr="00457ED2">
        <w:rPr>
          <w:rFonts w:eastAsia="Calibri" w:cs="Calibri"/>
          <w:szCs w:val="22"/>
          <w:lang w:val="en-GB" w:bidi="ta-IN"/>
        </w:rPr>
        <w:t xml:space="preserve"> kao elementa prehrambene mreže prim</w:t>
      </w:r>
      <w:r>
        <w:rPr>
          <w:rFonts w:eastAsia="Calibri" w:cs="Calibri"/>
          <w:szCs w:val="22"/>
          <w:lang w:val="en-GB" w:bidi="ta-IN"/>
        </w:rPr>
        <w:t>j</w:t>
      </w:r>
      <w:r w:rsidRPr="00457ED2">
        <w:rPr>
          <w:rFonts w:eastAsia="Calibri" w:cs="Calibri"/>
          <w:szCs w:val="22"/>
          <w:lang w:val="en-GB" w:bidi="ta-IN"/>
        </w:rPr>
        <w:t>enjeni su primarni kriterijumi D4C1 i D4C2.</w:t>
      </w:r>
    </w:p>
    <w:p w14:paraId="4393838B" w14:textId="4DD4AD3E" w:rsidR="00C712BD" w:rsidRDefault="00C712BD" w:rsidP="00C712BD">
      <w:pPr>
        <w:autoSpaceDE w:val="0"/>
        <w:autoSpaceDN w:val="0"/>
        <w:adjustRightInd w:val="0"/>
        <w:spacing w:before="0" w:after="120"/>
        <w:rPr>
          <w:rFonts w:eastAsia="Calibri" w:cs="Calibri"/>
          <w:lang w:val="sq-AL"/>
        </w:rPr>
      </w:pPr>
      <w:r w:rsidRPr="00007B1C">
        <w:rPr>
          <w:rFonts w:eastAsia="Calibri" w:cs="Calibri"/>
          <w:b/>
          <w:lang w:val="sq-AL"/>
        </w:rPr>
        <w:t>Fitoplankton</w:t>
      </w:r>
      <w:r w:rsidR="00C15B90">
        <w:rPr>
          <w:rFonts w:eastAsia="Calibri" w:cs="Calibri"/>
          <w:b/>
          <w:lang w:val="sq-AL"/>
        </w:rPr>
        <w:t>ski organizmi</w:t>
      </w:r>
      <w:r w:rsidRPr="00007B1C">
        <w:rPr>
          <w:rFonts w:eastAsia="Calibri" w:cs="Calibri"/>
          <w:b/>
          <w:lang w:val="sq-AL"/>
        </w:rPr>
        <w:t xml:space="preserve"> </w:t>
      </w:r>
      <w:r w:rsidR="00C15B90">
        <w:rPr>
          <w:rFonts w:eastAsia="Calibri" w:cs="Calibri"/>
          <w:b/>
          <w:lang w:val="sq-AL"/>
        </w:rPr>
        <w:t>(mikro</w:t>
      </w:r>
      <w:r w:rsidRPr="00007B1C">
        <w:rPr>
          <w:rFonts w:eastAsia="Calibri" w:cs="Calibri"/>
          <w:b/>
          <w:lang w:val="sq-AL"/>
        </w:rPr>
        <w:t>alge</w:t>
      </w:r>
      <w:r w:rsidR="00C15B90">
        <w:rPr>
          <w:rFonts w:eastAsia="Calibri" w:cs="Calibri"/>
          <w:b/>
          <w:lang w:val="sq-AL"/>
        </w:rPr>
        <w:t>)</w:t>
      </w:r>
      <w:r w:rsidRPr="00007B1C">
        <w:rPr>
          <w:rFonts w:eastAsia="Calibri" w:cs="Calibri"/>
          <w:lang w:val="sq-AL"/>
        </w:rPr>
        <w:t xml:space="preserve"> </w:t>
      </w:r>
      <w:r w:rsidR="00C15B90">
        <w:rPr>
          <w:rFonts w:eastAsia="Calibri" w:cs="Calibri"/>
          <w:lang w:val="sq-AL"/>
        </w:rPr>
        <w:t>su p</w:t>
      </w:r>
      <w:r w:rsidRPr="00007B1C">
        <w:rPr>
          <w:rFonts w:eastAsia="Calibri" w:cs="Calibri"/>
          <w:lang w:val="sq-AL"/>
        </w:rPr>
        <w:t xml:space="preserve">rimarni </w:t>
      </w:r>
      <w:r w:rsidR="00C15B90">
        <w:rPr>
          <w:rFonts w:eastAsia="Calibri" w:cs="Calibri"/>
          <w:lang w:val="sq-AL"/>
        </w:rPr>
        <w:t>p</w:t>
      </w:r>
      <w:r w:rsidRPr="00007B1C">
        <w:rPr>
          <w:rFonts w:eastAsia="Calibri" w:cs="Calibri"/>
          <w:lang w:val="sq-AL"/>
        </w:rPr>
        <w:t xml:space="preserve">roizvođači </w:t>
      </w:r>
      <w:r w:rsidR="00C15B90">
        <w:rPr>
          <w:rFonts w:eastAsia="Calibri" w:cs="Calibri"/>
          <w:lang w:val="sq-AL"/>
        </w:rPr>
        <w:t xml:space="preserve">organske tvari </w:t>
      </w:r>
      <w:r w:rsidRPr="00007B1C">
        <w:rPr>
          <w:rFonts w:eastAsia="Calibri" w:cs="Calibri"/>
          <w:lang w:val="sq-AL"/>
        </w:rPr>
        <w:t xml:space="preserve">na kojima se, direktno ili indirektno, održavaju </w:t>
      </w:r>
      <w:r w:rsidR="00C15B90">
        <w:rPr>
          <w:rFonts w:eastAsia="Calibri" w:cs="Calibri"/>
          <w:lang w:val="sq-AL"/>
        </w:rPr>
        <w:t>svi</w:t>
      </w:r>
      <w:r w:rsidRPr="00007B1C">
        <w:rPr>
          <w:rFonts w:eastAsia="Calibri" w:cs="Calibri"/>
          <w:lang w:val="sq-AL"/>
        </w:rPr>
        <w:t xml:space="preserve"> živi organizmi u vodi. Obilje fitoplanktona, biomase i primarne proizvodnje su u opsegu uobičajenom za Jadransko i Sredozemno more, sa kapacitetom da obezbijede dovoljan protok energije ka višim trofičkim nivoima. Razlike između obalnih i otvorenih morskih voda su unutar normalnih i očekivanih raspona zbog smanjenog uticaja kopna i antropogenog pritiska u pravcu mora. Uobičajeni bimodalni sezonski ciklus sa maksimumima </w:t>
      </w:r>
      <w:r w:rsidR="007627D3">
        <w:rPr>
          <w:rFonts w:eastAsia="Calibri" w:cs="Calibri"/>
          <w:lang w:val="sq-AL"/>
        </w:rPr>
        <w:t xml:space="preserve">u </w:t>
      </w:r>
      <w:r w:rsidRPr="00007B1C">
        <w:rPr>
          <w:rFonts w:eastAsia="Calibri" w:cs="Calibri"/>
          <w:lang w:val="sq-AL"/>
        </w:rPr>
        <w:t>proljeć</w:t>
      </w:r>
      <w:r w:rsidR="007627D3">
        <w:rPr>
          <w:rFonts w:eastAsia="Calibri" w:cs="Calibri"/>
          <w:lang w:val="sq-AL"/>
        </w:rPr>
        <w:t>e</w:t>
      </w:r>
      <w:r w:rsidRPr="00007B1C">
        <w:rPr>
          <w:rFonts w:eastAsia="Calibri" w:cs="Calibri"/>
          <w:lang w:val="sq-AL"/>
        </w:rPr>
        <w:t xml:space="preserve"> i jeseni/zim</w:t>
      </w:r>
      <w:r w:rsidR="007627D3">
        <w:rPr>
          <w:rFonts w:eastAsia="Calibri" w:cs="Calibri"/>
          <w:lang w:val="sq-AL"/>
        </w:rPr>
        <w:t>a</w:t>
      </w:r>
      <w:r w:rsidRPr="00007B1C">
        <w:rPr>
          <w:rFonts w:eastAsia="Calibri" w:cs="Calibri"/>
          <w:lang w:val="sq-AL"/>
        </w:rPr>
        <w:t xml:space="preserve">, prisustvo svih glavnih taksonomskih fitoplanktonskih grupa u zajednici, dominacija dijatomeja, odnosa dijatomeja/dinoflagelata u skladu </w:t>
      </w:r>
      <w:r w:rsidR="00C15B90">
        <w:rPr>
          <w:rFonts w:eastAsia="Calibri" w:cs="Calibri"/>
          <w:lang w:val="sq-AL"/>
        </w:rPr>
        <w:t xml:space="preserve">su </w:t>
      </w:r>
      <w:r w:rsidRPr="00007B1C">
        <w:rPr>
          <w:rFonts w:eastAsia="Calibri" w:cs="Calibri"/>
          <w:lang w:val="sq-AL"/>
        </w:rPr>
        <w:t>sa njihovim sezonskim p</w:t>
      </w:r>
      <w:r w:rsidR="00C15B90">
        <w:rPr>
          <w:rFonts w:eastAsia="Calibri" w:cs="Calibri"/>
          <w:lang w:val="sq-AL"/>
        </w:rPr>
        <w:t>romjenama</w:t>
      </w:r>
      <w:r>
        <w:rPr>
          <w:rFonts w:eastAsia="Calibri" w:cs="Calibri"/>
          <w:lang w:val="sq-AL"/>
        </w:rPr>
        <w:t>.</w:t>
      </w:r>
    </w:p>
    <w:p w14:paraId="1084BA39" w14:textId="77777777" w:rsidR="00BD2937" w:rsidRPr="00BD2937" w:rsidRDefault="00BD2937" w:rsidP="00BD2937">
      <w:pPr>
        <w:autoSpaceDE w:val="0"/>
        <w:autoSpaceDN w:val="0"/>
        <w:adjustRightInd w:val="0"/>
        <w:spacing w:before="0" w:after="160"/>
        <w:rPr>
          <w:rFonts w:eastAsia="Calibri" w:cs="Calibri"/>
          <w:szCs w:val="22"/>
          <w:lang w:val="en-GB"/>
        </w:rPr>
      </w:pPr>
      <w:r w:rsidRPr="00BD2937">
        <w:rPr>
          <w:rFonts w:eastAsia="Calibri" w:cs="Calibri"/>
          <w:szCs w:val="22"/>
          <w:lang w:val="en-GB"/>
        </w:rPr>
        <w:t>Dijatomeji i nanoflagelati najviše doprinose ukupnom obilju fitoplanktonskih zajednica. Najveći doprinos dijatomeja (60 - 80%) zab</w:t>
      </w:r>
      <w:r>
        <w:rPr>
          <w:rFonts w:eastAsia="Calibri" w:cs="Calibri"/>
          <w:szCs w:val="22"/>
          <w:lang w:val="en-GB"/>
        </w:rPr>
        <w:t xml:space="preserve">ilježen je </w:t>
      </w:r>
      <w:r w:rsidRPr="00BD2937">
        <w:rPr>
          <w:rFonts w:eastAsia="Calibri" w:cs="Calibri"/>
          <w:szCs w:val="22"/>
          <w:lang w:val="en-GB"/>
        </w:rPr>
        <w:t>zimi i u jesen kada je vodeni stub obogaćen hranjivim sastojcima, dok su dinoflagelati najbrojniji u toplijem d</w:t>
      </w:r>
      <w:r>
        <w:rPr>
          <w:rFonts w:eastAsia="Calibri" w:cs="Calibri"/>
          <w:szCs w:val="22"/>
          <w:lang w:val="en-GB"/>
        </w:rPr>
        <w:t>ij</w:t>
      </w:r>
      <w:r w:rsidRPr="00BD2937">
        <w:rPr>
          <w:rFonts w:eastAsia="Calibri" w:cs="Calibri"/>
          <w:szCs w:val="22"/>
          <w:lang w:val="en-GB"/>
        </w:rPr>
        <w:t>elu godine.</w:t>
      </w:r>
    </w:p>
    <w:p w14:paraId="03BE557E" w14:textId="07942285" w:rsidR="00BD2937" w:rsidRPr="00BD2937" w:rsidRDefault="00BD2937" w:rsidP="00BD2937">
      <w:pPr>
        <w:autoSpaceDE w:val="0"/>
        <w:autoSpaceDN w:val="0"/>
        <w:adjustRightInd w:val="0"/>
        <w:spacing w:before="0" w:after="160"/>
        <w:rPr>
          <w:rFonts w:eastAsia="Calibri" w:cs="Calibri"/>
          <w:szCs w:val="22"/>
          <w:lang w:val="en-GB"/>
        </w:rPr>
      </w:pPr>
      <w:r w:rsidRPr="00BD2937">
        <w:rPr>
          <w:rFonts w:eastAsia="Calibri" w:cs="Calibri"/>
          <w:szCs w:val="22"/>
          <w:lang w:val="en-GB"/>
        </w:rPr>
        <w:t xml:space="preserve">S obzirom na raznolikost fitoplanktonske zajednice, postignuto je dobro stanje </w:t>
      </w:r>
      <w:r w:rsidR="007627D3">
        <w:rPr>
          <w:rFonts w:eastAsia="Calibri" w:cs="Calibri"/>
          <w:szCs w:val="22"/>
          <w:lang w:val="en-GB"/>
        </w:rPr>
        <w:t>morske</w:t>
      </w:r>
      <w:r w:rsidRPr="00BD2937">
        <w:rPr>
          <w:rFonts w:eastAsia="Calibri" w:cs="Calibri"/>
          <w:szCs w:val="22"/>
          <w:lang w:val="en-GB"/>
        </w:rPr>
        <w:t xml:space="preserve"> sredine budući da su sastav vrsta i njihova relativna brojnost uobičajeni na Jadranu i neznatno prom</w:t>
      </w:r>
      <w:r>
        <w:rPr>
          <w:rFonts w:eastAsia="Calibri" w:cs="Calibri"/>
          <w:szCs w:val="22"/>
          <w:lang w:val="en-GB"/>
        </w:rPr>
        <w:t>ij</w:t>
      </w:r>
      <w:r w:rsidRPr="00BD2937">
        <w:rPr>
          <w:rFonts w:eastAsia="Calibri" w:cs="Calibri"/>
          <w:szCs w:val="22"/>
          <w:lang w:val="en-GB"/>
        </w:rPr>
        <w:t>enjeni tokom dugoročnog istraživačkog perioda (od 2002. godine do danas).</w:t>
      </w:r>
    </w:p>
    <w:p w14:paraId="1BFBE108" w14:textId="527971D1" w:rsidR="00BD2937" w:rsidRPr="00BD2937" w:rsidRDefault="00BD2937" w:rsidP="006E447D">
      <w:pPr>
        <w:spacing w:after="120"/>
        <w:rPr>
          <w:rFonts w:eastAsia="Calibri" w:cs="Calibri"/>
          <w:szCs w:val="22"/>
          <w:lang w:val="en-GB" w:eastAsia="en-US"/>
        </w:rPr>
      </w:pPr>
      <w:r w:rsidRPr="00BD2937">
        <w:rPr>
          <w:rFonts w:eastAsia="Calibri" w:cs="Calibri"/>
          <w:szCs w:val="22"/>
          <w:lang w:val="en-GB" w:eastAsia="en-US"/>
        </w:rPr>
        <w:t xml:space="preserve">Ukupna biomasa fitoplanktonske zajednice zasnovana na koncentraciji hlorofila kretala se od 0,01 do 0,98 </w:t>
      </w:r>
      <w:r w:rsidRPr="00BD2937">
        <w:rPr>
          <w:rFonts w:eastAsia="Calibri" w:cs="Calibri"/>
          <w:szCs w:val="22"/>
          <w:lang w:val="en-GB"/>
        </w:rPr>
        <w:t>mg m</w:t>
      </w:r>
      <w:r w:rsidRPr="00BD2937">
        <w:rPr>
          <w:rFonts w:eastAsia="Calibri" w:cs="Calibri"/>
          <w:szCs w:val="22"/>
          <w:vertAlign w:val="superscript"/>
          <w:lang w:val="en-GB"/>
        </w:rPr>
        <w:t>-3</w:t>
      </w:r>
      <w:r w:rsidRPr="00BD2937">
        <w:rPr>
          <w:rFonts w:eastAsia="Calibri" w:cs="Calibri"/>
          <w:szCs w:val="22"/>
          <w:lang w:val="en-GB"/>
        </w:rPr>
        <w:t xml:space="preserve"> </w:t>
      </w:r>
      <w:r w:rsidRPr="00BD2937">
        <w:rPr>
          <w:rFonts w:eastAsia="Calibri" w:cs="Calibri"/>
          <w:szCs w:val="22"/>
          <w:lang w:val="en-GB" w:eastAsia="en-US"/>
        </w:rPr>
        <w:t xml:space="preserve">u otvorenim vodama, od 0,06 do 7,76 </w:t>
      </w:r>
      <w:r w:rsidRPr="00BD2937">
        <w:rPr>
          <w:rFonts w:eastAsia="Calibri" w:cs="Calibri"/>
          <w:szCs w:val="22"/>
          <w:lang w:val="en-GB"/>
        </w:rPr>
        <w:t>mg m</w:t>
      </w:r>
      <w:r w:rsidRPr="00BD2937">
        <w:rPr>
          <w:rFonts w:eastAsia="Calibri" w:cs="Calibri"/>
          <w:szCs w:val="22"/>
          <w:vertAlign w:val="superscript"/>
          <w:lang w:val="en-GB"/>
        </w:rPr>
        <w:t>-3</w:t>
      </w:r>
      <w:r w:rsidRPr="00BD2937">
        <w:rPr>
          <w:rFonts w:eastAsia="Calibri" w:cs="Calibri"/>
          <w:szCs w:val="22"/>
          <w:lang w:val="en-GB"/>
        </w:rPr>
        <w:t xml:space="preserve"> </w:t>
      </w:r>
      <w:r w:rsidRPr="00BD2937">
        <w:rPr>
          <w:rFonts w:eastAsia="Calibri" w:cs="Calibri"/>
          <w:szCs w:val="22"/>
          <w:lang w:val="en-GB" w:eastAsia="en-US"/>
        </w:rPr>
        <w:t xml:space="preserve">u priobalnom području. Vrijednosti koncentracije hlorofila u priobalnim vodama najčešće su bile ispod 1 </w:t>
      </w:r>
      <w:r w:rsidRPr="00BD2937">
        <w:rPr>
          <w:rFonts w:eastAsia="Calibri" w:cs="Calibri"/>
          <w:szCs w:val="22"/>
          <w:lang w:val="en-GB"/>
        </w:rPr>
        <w:t>mg m</w:t>
      </w:r>
      <w:r w:rsidRPr="00BD2937">
        <w:rPr>
          <w:rFonts w:eastAsia="Calibri" w:cs="Calibri"/>
          <w:szCs w:val="22"/>
          <w:vertAlign w:val="superscript"/>
          <w:lang w:val="en-GB"/>
        </w:rPr>
        <w:t>-3</w:t>
      </w:r>
      <w:r w:rsidRPr="00BD2937">
        <w:rPr>
          <w:rFonts w:eastAsia="Calibri" w:cs="Calibri"/>
          <w:szCs w:val="22"/>
          <w:lang w:val="en-GB" w:eastAsia="en-US"/>
        </w:rPr>
        <w:t>.</w:t>
      </w:r>
    </w:p>
    <w:p w14:paraId="4BB9531E" w14:textId="42DA75D7" w:rsidR="00A258FF" w:rsidRPr="001C6CCA" w:rsidRDefault="00BD2937" w:rsidP="006E447D">
      <w:pPr>
        <w:spacing w:after="120"/>
        <w:rPr>
          <w:rFonts w:eastAsia="Calibri" w:cs="Calibri"/>
          <w:szCs w:val="22"/>
          <w:lang w:val="en-GB" w:eastAsia="en-US"/>
        </w:rPr>
      </w:pPr>
      <w:r>
        <w:rPr>
          <w:rFonts w:eastAsia="Calibri" w:cs="Calibri"/>
          <w:szCs w:val="22"/>
          <w:lang w:val="en-GB" w:eastAsia="en-US"/>
        </w:rPr>
        <w:t xml:space="preserve">S obzirom na brojnost </w:t>
      </w:r>
      <w:r w:rsidRPr="00BD2937">
        <w:rPr>
          <w:rFonts w:eastAsia="Calibri" w:cs="Calibri"/>
          <w:szCs w:val="22"/>
          <w:lang w:val="en-GB" w:eastAsia="en-US"/>
        </w:rPr>
        <w:t xml:space="preserve">i biomasu fitoplanktonskih zajednica, postignuto je dobro stanje </w:t>
      </w:r>
      <w:r w:rsidR="00C15B90">
        <w:rPr>
          <w:rFonts w:eastAsia="Calibri" w:cs="Calibri"/>
          <w:szCs w:val="22"/>
          <w:lang w:val="en-GB" w:eastAsia="en-US"/>
        </w:rPr>
        <w:t>morske</w:t>
      </w:r>
      <w:r w:rsidRPr="00BD2937">
        <w:rPr>
          <w:rFonts w:eastAsia="Calibri" w:cs="Calibri"/>
          <w:szCs w:val="22"/>
          <w:lang w:val="en-GB" w:eastAsia="en-US"/>
        </w:rPr>
        <w:t xml:space="preserve"> sredine budući da </w:t>
      </w:r>
      <w:r>
        <w:rPr>
          <w:rFonts w:eastAsia="Calibri" w:cs="Calibri"/>
          <w:szCs w:val="22"/>
          <w:lang w:val="en-GB" w:eastAsia="en-US"/>
        </w:rPr>
        <w:t>su brojnost</w:t>
      </w:r>
      <w:r w:rsidRPr="00BD2937">
        <w:rPr>
          <w:rFonts w:eastAsia="Calibri" w:cs="Calibri"/>
          <w:szCs w:val="22"/>
          <w:lang w:val="en-GB" w:eastAsia="en-US"/>
        </w:rPr>
        <w:t xml:space="preserve"> i biomasa fitoplanktonske zajednice uobičajeni na Jadranu i nisu značajno prom</w:t>
      </w:r>
      <w:r>
        <w:rPr>
          <w:rFonts w:eastAsia="Calibri" w:cs="Calibri"/>
          <w:szCs w:val="22"/>
          <w:lang w:val="en-GB" w:eastAsia="en-US"/>
        </w:rPr>
        <w:t>ij</w:t>
      </w:r>
      <w:r w:rsidRPr="00BD2937">
        <w:rPr>
          <w:rFonts w:eastAsia="Calibri" w:cs="Calibri"/>
          <w:szCs w:val="22"/>
          <w:lang w:val="en-GB" w:eastAsia="en-US"/>
        </w:rPr>
        <w:t xml:space="preserve">enjeni u poređenju sa </w:t>
      </w:r>
      <w:r w:rsidR="00F46DC5">
        <w:rPr>
          <w:rFonts w:eastAsia="Calibri" w:cs="Calibri"/>
          <w:szCs w:val="22"/>
          <w:lang w:val="en-GB" w:eastAsia="en-US"/>
        </w:rPr>
        <w:t xml:space="preserve">podacima </w:t>
      </w:r>
      <w:r w:rsidRPr="00BD2937">
        <w:rPr>
          <w:rFonts w:eastAsia="Calibri" w:cs="Calibri"/>
          <w:szCs w:val="22"/>
          <w:lang w:val="en-GB" w:eastAsia="en-US"/>
        </w:rPr>
        <w:t>dugoročn</w:t>
      </w:r>
      <w:r w:rsidR="00F46DC5">
        <w:rPr>
          <w:rFonts w:eastAsia="Calibri" w:cs="Calibri"/>
          <w:szCs w:val="22"/>
          <w:lang w:val="en-GB" w:eastAsia="en-US"/>
        </w:rPr>
        <w:t>og</w:t>
      </w:r>
      <w:r w:rsidRPr="00BD2937">
        <w:rPr>
          <w:rFonts w:eastAsia="Calibri" w:cs="Calibri"/>
          <w:szCs w:val="22"/>
          <w:lang w:val="en-GB" w:eastAsia="en-US"/>
        </w:rPr>
        <w:t xml:space="preserve"> period</w:t>
      </w:r>
      <w:r w:rsidR="00F46DC5">
        <w:rPr>
          <w:rFonts w:eastAsia="Calibri" w:cs="Calibri"/>
          <w:szCs w:val="22"/>
          <w:lang w:val="en-GB" w:eastAsia="en-US"/>
        </w:rPr>
        <w:t>a</w:t>
      </w:r>
      <w:r w:rsidRPr="00BD2937">
        <w:rPr>
          <w:rFonts w:eastAsia="Calibri" w:cs="Calibri"/>
          <w:szCs w:val="22"/>
          <w:lang w:val="en-GB" w:eastAsia="en-US"/>
        </w:rPr>
        <w:t xml:space="preserve"> </w:t>
      </w:r>
      <w:r w:rsidR="00F46DC5">
        <w:rPr>
          <w:rFonts w:eastAsia="Calibri" w:cs="Calibri"/>
          <w:szCs w:val="22"/>
          <w:lang w:val="en-GB" w:eastAsia="en-US"/>
        </w:rPr>
        <w:t xml:space="preserve">istraživanja </w:t>
      </w:r>
      <w:r w:rsidRPr="00BD2937">
        <w:rPr>
          <w:rFonts w:eastAsia="Calibri" w:cs="Calibri"/>
          <w:szCs w:val="22"/>
          <w:lang w:val="en-GB" w:eastAsia="en-US"/>
        </w:rPr>
        <w:t>posl</w:t>
      </w:r>
      <w:r>
        <w:rPr>
          <w:rFonts w:eastAsia="Calibri" w:cs="Calibri"/>
          <w:szCs w:val="22"/>
          <w:lang w:val="en-GB" w:eastAsia="en-US"/>
        </w:rPr>
        <w:t>j</w:t>
      </w:r>
      <w:r w:rsidRPr="00BD2937">
        <w:rPr>
          <w:rFonts w:eastAsia="Calibri" w:cs="Calibri"/>
          <w:szCs w:val="22"/>
          <w:lang w:val="en-GB" w:eastAsia="en-US"/>
        </w:rPr>
        <w:t xml:space="preserve">ednjih 10 godina. Sezonska i vertikalna </w:t>
      </w:r>
      <w:r>
        <w:rPr>
          <w:rFonts w:eastAsia="Calibri" w:cs="Calibri"/>
          <w:szCs w:val="22"/>
          <w:lang w:val="en-GB" w:eastAsia="en-US"/>
        </w:rPr>
        <w:t>rasprostranjenost brojnosti</w:t>
      </w:r>
      <w:r w:rsidRPr="00BD2937">
        <w:rPr>
          <w:rFonts w:eastAsia="Calibri" w:cs="Calibri"/>
          <w:szCs w:val="22"/>
          <w:lang w:val="en-GB" w:eastAsia="en-US"/>
        </w:rPr>
        <w:t xml:space="preserve"> i biomase uslovljeni su prirodnim procesima poput m</w:t>
      </w:r>
      <w:r>
        <w:rPr>
          <w:rFonts w:eastAsia="Calibri" w:cs="Calibri"/>
          <w:szCs w:val="22"/>
          <w:lang w:val="en-GB" w:eastAsia="en-US"/>
        </w:rPr>
        <w:t>ij</w:t>
      </w:r>
      <w:r w:rsidRPr="00BD2937">
        <w:rPr>
          <w:rFonts w:eastAsia="Calibri" w:cs="Calibri"/>
          <w:szCs w:val="22"/>
          <w:lang w:val="en-GB" w:eastAsia="en-US"/>
        </w:rPr>
        <w:t>ešanja vodenog stuba zimi i jeseni i raslojavanja tokom l</w:t>
      </w:r>
      <w:r>
        <w:rPr>
          <w:rFonts w:eastAsia="Calibri" w:cs="Calibri"/>
          <w:szCs w:val="22"/>
          <w:lang w:val="en-GB" w:eastAsia="en-US"/>
        </w:rPr>
        <w:t>j</w:t>
      </w:r>
      <w:r w:rsidRPr="00BD2937">
        <w:rPr>
          <w:rFonts w:eastAsia="Calibri" w:cs="Calibri"/>
          <w:szCs w:val="22"/>
          <w:lang w:val="en-GB" w:eastAsia="en-US"/>
        </w:rPr>
        <w:t>etnjeg perioda.</w:t>
      </w:r>
    </w:p>
    <w:p w14:paraId="2238A149" w14:textId="77777777" w:rsidR="00BD2937" w:rsidRDefault="00BD2937" w:rsidP="006E447D">
      <w:pPr>
        <w:spacing w:after="120"/>
        <w:rPr>
          <w:rFonts w:eastAsia="Calibri" w:cs="Calibri"/>
          <w:b/>
          <w:szCs w:val="22"/>
          <w:lang w:val="en-GB"/>
        </w:rPr>
      </w:pPr>
      <w:bookmarkStart w:id="393" w:name="_Hlk67261999"/>
      <w:bookmarkStart w:id="394" w:name="_Hlk68818077"/>
    </w:p>
    <w:p w14:paraId="1F9515AB" w14:textId="51E78E86" w:rsidR="00457ED2" w:rsidRPr="00457ED2" w:rsidRDefault="00457ED2" w:rsidP="006E447D">
      <w:pPr>
        <w:spacing w:after="120"/>
        <w:rPr>
          <w:rFonts w:eastAsia="Calibri" w:cs="Calibri"/>
          <w:b/>
          <w:szCs w:val="22"/>
          <w:lang w:val="en-GB" w:bidi="ta-IN"/>
        </w:rPr>
      </w:pPr>
      <w:r w:rsidRPr="00457ED2">
        <w:rPr>
          <w:rFonts w:eastAsia="Calibri" w:cs="Calibri"/>
          <w:b/>
          <w:szCs w:val="22"/>
          <w:lang w:val="en-GB"/>
        </w:rPr>
        <w:t>Mezozooplankton</w:t>
      </w:r>
      <w:r w:rsidRPr="00457ED2">
        <w:rPr>
          <w:rFonts w:eastAsia="Calibri" w:cs="Calibri"/>
          <w:b/>
          <w:szCs w:val="22"/>
          <w:lang w:val="en-GB" w:bidi="ta-IN"/>
        </w:rPr>
        <w:t xml:space="preserve"> </w:t>
      </w:r>
    </w:p>
    <w:bookmarkEnd w:id="393"/>
    <w:p w14:paraId="5F4C2B11" w14:textId="3DDF689C" w:rsidR="00457ED2" w:rsidRPr="001C6CCA" w:rsidRDefault="00457ED2" w:rsidP="006E447D">
      <w:pPr>
        <w:spacing w:after="120"/>
        <w:rPr>
          <w:rFonts w:eastAsia="Calibri" w:cs="Calibri"/>
          <w:szCs w:val="22"/>
          <w:lang w:val="en-GB" w:bidi="ta-IN"/>
        </w:rPr>
      </w:pPr>
      <w:r w:rsidRPr="00457ED2">
        <w:rPr>
          <w:rFonts w:eastAsia="Calibri" w:cs="Calibri"/>
          <w:szCs w:val="22"/>
          <w:lang w:val="en-GB" w:bidi="ta-IN"/>
        </w:rPr>
        <w:t>Za proc</w:t>
      </w:r>
      <w:r>
        <w:rPr>
          <w:rFonts w:eastAsia="Calibri" w:cs="Calibri"/>
          <w:szCs w:val="22"/>
          <w:lang w:val="en-GB" w:bidi="ta-IN"/>
        </w:rPr>
        <w:t>j</w:t>
      </w:r>
      <w:r w:rsidRPr="00457ED2">
        <w:rPr>
          <w:rFonts w:eastAsia="Calibri" w:cs="Calibri"/>
          <w:szCs w:val="22"/>
          <w:lang w:val="en-GB" w:bidi="ta-IN"/>
        </w:rPr>
        <w:t>enu mezozooplanktona kao elementa prehrambene mreže prim</w:t>
      </w:r>
      <w:r>
        <w:rPr>
          <w:rFonts w:eastAsia="Calibri" w:cs="Calibri"/>
          <w:szCs w:val="22"/>
          <w:lang w:val="en-GB" w:bidi="ta-IN"/>
        </w:rPr>
        <w:t>j</w:t>
      </w:r>
      <w:r w:rsidRPr="00457ED2">
        <w:rPr>
          <w:rFonts w:eastAsia="Calibri" w:cs="Calibri"/>
          <w:szCs w:val="22"/>
          <w:lang w:val="en-GB" w:bidi="ta-IN"/>
        </w:rPr>
        <w:t>enjeni su primarni kriterijumi D4C1 i D4C2.</w:t>
      </w:r>
    </w:p>
    <w:p w14:paraId="3D21A286" w14:textId="0E5A0FA4" w:rsidR="00C712BD" w:rsidRPr="00457ED2" w:rsidRDefault="00C712BD" w:rsidP="006E447D">
      <w:pPr>
        <w:autoSpaceDE w:val="0"/>
        <w:autoSpaceDN w:val="0"/>
        <w:adjustRightInd w:val="0"/>
        <w:spacing w:after="120"/>
        <w:rPr>
          <w:rFonts w:eastAsia="Calibri" w:cs="Calibri"/>
          <w:szCs w:val="22"/>
          <w:lang w:val="en-GB"/>
        </w:rPr>
      </w:pPr>
      <w:r w:rsidRPr="00C712BD">
        <w:rPr>
          <w:rFonts w:eastAsia="Calibri" w:cs="Calibri"/>
          <w:szCs w:val="22"/>
          <w:lang w:val="en-GB"/>
        </w:rPr>
        <w:t>Mezozooplankton</w:t>
      </w:r>
      <w:r w:rsidR="00F46DC5">
        <w:rPr>
          <w:rFonts w:eastAsia="Calibri" w:cs="Calibri"/>
          <w:szCs w:val="22"/>
          <w:lang w:val="en-GB"/>
        </w:rPr>
        <w:t xml:space="preserve">ski organizmi </w:t>
      </w:r>
      <w:r w:rsidRPr="00C712BD">
        <w:rPr>
          <w:rFonts w:eastAsia="Calibri" w:cs="Calibri"/>
          <w:szCs w:val="22"/>
          <w:lang w:val="en-GB"/>
        </w:rPr>
        <w:t xml:space="preserve">u rasponu veličina 0,2-20 mm, predstavljaju suštinski dio morske mreže ishrane i dominantnu trofičku vezu između primarne proizvodnje i ribe. </w:t>
      </w:r>
    </w:p>
    <w:p w14:paraId="44ACCEDC" w14:textId="4100AB93" w:rsidR="00C712BD" w:rsidRPr="00007B1C" w:rsidRDefault="00C712BD" w:rsidP="006E447D">
      <w:pPr>
        <w:autoSpaceDE w:val="0"/>
        <w:autoSpaceDN w:val="0"/>
        <w:adjustRightInd w:val="0"/>
        <w:spacing w:before="0" w:after="120"/>
        <w:rPr>
          <w:rFonts w:eastAsia="Calibri" w:cs="Calibri"/>
          <w:iCs/>
          <w:color w:val="000000"/>
          <w:lang w:val="sq-AL"/>
        </w:rPr>
      </w:pPr>
      <w:r w:rsidRPr="00007B1C">
        <w:rPr>
          <w:rFonts w:eastAsia="Calibri" w:cs="Calibri"/>
          <w:iCs/>
          <w:color w:val="000000"/>
          <w:lang w:val="sq-AL"/>
        </w:rPr>
        <w:t xml:space="preserve">Istraživanja u priobalnim i otvorenim vodama Jadranskog mora ukazuju na dugoročnu stabilnost ukupnog mezozooplanktona i, posebno, obilja kopepoda. Jadranska obalna područja pokazuju veću varijabilnost u obilju kopepoda, uglavnom povezanu sa </w:t>
      </w:r>
      <w:r w:rsidR="00F46DC5">
        <w:rPr>
          <w:rFonts w:eastAsia="Calibri" w:cs="Calibri"/>
          <w:iCs/>
          <w:color w:val="000000"/>
          <w:lang w:val="sq-AL"/>
        </w:rPr>
        <w:t xml:space="preserve">oceanografskim uslovima </w:t>
      </w:r>
      <w:r w:rsidRPr="00007B1C">
        <w:rPr>
          <w:rFonts w:eastAsia="Calibri" w:cs="Calibri"/>
          <w:iCs/>
          <w:color w:val="000000"/>
          <w:lang w:val="sq-AL"/>
        </w:rPr>
        <w:t>(lokalna temperatura i salinitet) i trofičkim statusom (hranljive materije, Hlorofil a), ali bez negativnih trendova ili velikih i opsežnih promjena koje bi ukazivale na neprihvatljive nivoe antropogenog uticaja. Odnosi između holozooplanktona i merozooplanktona (tj. kopepod</w:t>
      </w:r>
      <w:r w:rsidR="00F46DC5">
        <w:rPr>
          <w:rFonts w:eastAsia="Calibri" w:cs="Calibri"/>
          <w:iCs/>
          <w:color w:val="000000"/>
          <w:lang w:val="sq-AL"/>
        </w:rPr>
        <w:t>a</w:t>
      </w:r>
      <w:r w:rsidRPr="00007B1C">
        <w:rPr>
          <w:rFonts w:eastAsia="Calibri" w:cs="Calibri"/>
          <w:iCs/>
          <w:color w:val="000000"/>
          <w:lang w:val="sq-AL"/>
        </w:rPr>
        <w:t xml:space="preserve"> naspram larvi meroplanktona) su u normalnim omjerima, pri čemu kopepode predstavljaju glavninu populacije u oba sistema, a meroplanktoni  srazmerno obilnije u obalnim vodama neg</w:t>
      </w:r>
      <w:r>
        <w:rPr>
          <w:rFonts w:eastAsia="Calibri" w:cs="Calibri"/>
          <w:iCs/>
          <w:color w:val="000000"/>
          <w:lang w:val="sq-AL"/>
        </w:rPr>
        <w:t>o na otvorenom moru</w:t>
      </w:r>
      <w:r w:rsidRPr="00007B1C">
        <w:rPr>
          <w:rFonts w:eastAsia="Calibri" w:cs="Calibri"/>
          <w:iCs/>
          <w:color w:val="000000"/>
          <w:lang w:val="sq-AL"/>
        </w:rPr>
        <w:t xml:space="preserve">. Komponenta rakova dominira nad želatinoznim organizmima, koju uglavnom predstavljaju male hidromeduze (npr. calycophoran siphonophorae). Pojava većih želatinoznih organizama (scyphomedusae, ctenophores itd.) je sporadična </w:t>
      </w:r>
      <w:r w:rsidR="00457ED2">
        <w:rPr>
          <w:rFonts w:eastAsia="Calibri" w:cs="Calibri"/>
          <w:iCs/>
          <w:color w:val="000000"/>
          <w:lang w:val="sq-AL"/>
        </w:rPr>
        <w:t>i lokalno/regionalno ograničena.</w:t>
      </w:r>
    </w:p>
    <w:p w14:paraId="6C335A78" w14:textId="04D21413" w:rsidR="00457ED2" w:rsidRDefault="00457ED2" w:rsidP="006E447D">
      <w:pPr>
        <w:autoSpaceDE w:val="0"/>
        <w:autoSpaceDN w:val="0"/>
        <w:adjustRightInd w:val="0"/>
        <w:spacing w:before="0" w:after="120"/>
        <w:rPr>
          <w:rFonts w:eastAsia="Calibri" w:cs="Calibri"/>
          <w:iCs/>
          <w:color w:val="000000"/>
          <w:lang w:val="sq-AL"/>
        </w:rPr>
      </w:pPr>
      <w:r w:rsidRPr="00007B1C">
        <w:rPr>
          <w:rFonts w:eastAsia="Calibri" w:cs="Calibri"/>
          <w:iCs/>
          <w:color w:val="000000"/>
          <w:lang w:val="sq-AL"/>
        </w:rPr>
        <w:t>Unutar zajednice kopepoda, struktura populacije i relativni značaj pojedinih vrsta ukazuju na karakteristično visoko rangiranje malih i srednjih takso</w:t>
      </w:r>
      <w:r w:rsidR="00F46DC5">
        <w:rPr>
          <w:rFonts w:eastAsia="Calibri" w:cs="Calibri"/>
          <w:iCs/>
          <w:color w:val="000000"/>
          <w:lang w:val="sq-AL"/>
        </w:rPr>
        <w:t>n</w:t>
      </w:r>
      <w:r w:rsidRPr="00007B1C">
        <w:rPr>
          <w:rFonts w:eastAsia="Calibri" w:cs="Calibri"/>
          <w:iCs/>
          <w:color w:val="000000"/>
          <w:lang w:val="sq-AL"/>
        </w:rPr>
        <w:t xml:space="preserve">a, uobičajeno na Mediteranu (Kršinić i Grbec 2012; Siokou-Frangou i sar. 2010; Vidjak i sar. 2012). </w:t>
      </w:r>
    </w:p>
    <w:p w14:paraId="2EAB3577" w14:textId="2BBB46F8" w:rsidR="00457ED2" w:rsidRDefault="00457ED2" w:rsidP="006E447D">
      <w:pPr>
        <w:autoSpaceDE w:val="0"/>
        <w:autoSpaceDN w:val="0"/>
        <w:adjustRightInd w:val="0"/>
        <w:spacing w:before="0" w:after="120"/>
        <w:rPr>
          <w:rFonts w:eastAsia="Calibri" w:cs="Calibri"/>
          <w:iCs/>
          <w:color w:val="000000"/>
          <w:lang w:val="sq-AL"/>
        </w:rPr>
      </w:pPr>
      <w:r w:rsidRPr="00007B1C">
        <w:rPr>
          <w:rFonts w:eastAsia="Calibri" w:cs="Calibri"/>
          <w:iCs/>
          <w:color w:val="000000"/>
          <w:lang w:val="sq-AL"/>
        </w:rPr>
        <w:t xml:space="preserve">Raznolikost vrsta </w:t>
      </w:r>
      <w:r w:rsidR="00A53C7D">
        <w:rPr>
          <w:rFonts w:eastAsia="Calibri" w:cs="Calibri"/>
          <w:iCs/>
          <w:color w:val="000000"/>
          <w:lang w:val="sq-AL"/>
        </w:rPr>
        <w:t xml:space="preserve">raste od obalnog područja prema </w:t>
      </w:r>
      <w:r w:rsidRPr="00007B1C">
        <w:rPr>
          <w:rFonts w:eastAsia="Calibri" w:cs="Calibri"/>
          <w:iCs/>
          <w:color w:val="000000"/>
          <w:lang w:val="sq-AL"/>
        </w:rPr>
        <w:t xml:space="preserve">otvorenom moru </w:t>
      </w:r>
      <w:r w:rsidR="00A73DCA">
        <w:rPr>
          <w:rFonts w:eastAsia="Calibri" w:cs="Calibri"/>
          <w:iCs/>
          <w:color w:val="000000"/>
          <w:lang w:val="sq-AL"/>
        </w:rPr>
        <w:t xml:space="preserve">gdje je vrlo </w:t>
      </w:r>
      <w:r w:rsidRPr="00007B1C">
        <w:rPr>
          <w:rFonts w:eastAsia="Calibri" w:cs="Calibri"/>
          <w:iCs/>
          <w:color w:val="000000"/>
          <w:lang w:val="sq-AL"/>
        </w:rPr>
        <w:t xml:space="preserve">visoka. Sezonski obrasci strukture populacije i sukcesije vrsta su </w:t>
      </w:r>
      <w:r w:rsidR="00F46DC5">
        <w:rPr>
          <w:rFonts w:eastAsia="Calibri" w:cs="Calibri"/>
          <w:iCs/>
          <w:color w:val="000000"/>
          <w:lang w:val="sq-AL"/>
        </w:rPr>
        <w:t>uobičajeni</w:t>
      </w:r>
      <w:r w:rsidRPr="00007B1C">
        <w:rPr>
          <w:rFonts w:eastAsia="Calibri" w:cs="Calibri"/>
          <w:iCs/>
          <w:color w:val="000000"/>
          <w:lang w:val="sq-AL"/>
        </w:rPr>
        <w:t xml:space="preserve">, posebno u mezozooplanktonskim grupama koje zavise od temperature (npr.cladocerans) ili vrstama koje pripadaju kopepodama (npr. </w:t>
      </w:r>
      <w:r w:rsidRPr="00007B1C">
        <w:rPr>
          <w:rFonts w:eastAsia="Calibri" w:cs="Calibri"/>
          <w:i/>
          <w:color w:val="000000"/>
          <w:lang w:val="sq-AL"/>
        </w:rPr>
        <w:t>Centropages</w:t>
      </w:r>
      <w:r w:rsidRPr="00007B1C">
        <w:rPr>
          <w:rFonts w:eastAsia="Calibri" w:cs="Calibri"/>
          <w:iCs/>
          <w:color w:val="000000"/>
          <w:lang w:val="sq-AL"/>
        </w:rPr>
        <w:t xml:space="preserve"> </w:t>
      </w:r>
      <w:r w:rsidRPr="00007B1C">
        <w:rPr>
          <w:rFonts w:eastAsia="Calibri" w:cs="Calibri"/>
          <w:i/>
          <w:color w:val="000000"/>
          <w:lang w:val="sq-AL"/>
        </w:rPr>
        <w:t>typicus</w:t>
      </w:r>
      <w:r w:rsidRPr="00007B1C">
        <w:rPr>
          <w:rFonts w:eastAsia="Calibri" w:cs="Calibri"/>
          <w:iCs/>
          <w:color w:val="000000"/>
          <w:lang w:val="sq-AL"/>
        </w:rPr>
        <w:t>/</w:t>
      </w:r>
      <w:r w:rsidRPr="00007B1C">
        <w:rPr>
          <w:rFonts w:eastAsia="Calibri" w:cs="Calibri"/>
          <w:i/>
          <w:color w:val="000000"/>
          <w:lang w:val="sq-AL"/>
        </w:rPr>
        <w:t>C. kroyeri</w:t>
      </w:r>
      <w:r w:rsidRPr="00007B1C">
        <w:rPr>
          <w:rFonts w:eastAsia="Calibri" w:cs="Calibri"/>
          <w:iCs/>
          <w:color w:val="000000"/>
          <w:lang w:val="sq-AL"/>
        </w:rPr>
        <w:t xml:space="preserve">; </w:t>
      </w:r>
      <w:r w:rsidRPr="00007B1C">
        <w:rPr>
          <w:rFonts w:eastAsia="Calibri" w:cs="Calibri"/>
          <w:i/>
          <w:color w:val="000000"/>
          <w:lang w:val="sq-AL"/>
        </w:rPr>
        <w:t>Temora longicornis</w:t>
      </w:r>
      <w:r w:rsidRPr="00007B1C">
        <w:rPr>
          <w:rFonts w:eastAsia="Calibri" w:cs="Calibri"/>
          <w:iCs/>
          <w:color w:val="000000"/>
          <w:lang w:val="sq-AL"/>
        </w:rPr>
        <w:t>/</w:t>
      </w:r>
      <w:r w:rsidRPr="00007B1C">
        <w:rPr>
          <w:rFonts w:eastAsia="Calibri" w:cs="Calibri"/>
          <w:i/>
          <w:color w:val="000000"/>
          <w:lang w:val="sq-AL"/>
        </w:rPr>
        <w:t>T. stylifera</w:t>
      </w:r>
      <w:r w:rsidRPr="00007B1C">
        <w:rPr>
          <w:rFonts w:eastAsia="Calibri" w:cs="Calibri"/>
          <w:iCs/>
          <w:color w:val="000000"/>
          <w:lang w:val="sq-AL"/>
        </w:rPr>
        <w:t>)</w:t>
      </w:r>
      <w:r w:rsidR="00A73DCA">
        <w:rPr>
          <w:rFonts w:eastAsia="Calibri" w:cs="Calibri"/>
          <w:iCs/>
          <w:color w:val="000000"/>
          <w:lang w:val="sq-AL"/>
        </w:rPr>
        <w:t>.</w:t>
      </w:r>
      <w:r w:rsidRPr="00007B1C">
        <w:rPr>
          <w:rFonts w:eastAsia="Calibri" w:cs="Calibri"/>
          <w:iCs/>
          <w:color w:val="000000"/>
          <w:lang w:val="sq-AL"/>
        </w:rPr>
        <w:t xml:space="preserve"> </w:t>
      </w:r>
    </w:p>
    <w:p w14:paraId="7E21688A" w14:textId="4E49E0D8" w:rsidR="00457ED2" w:rsidRDefault="00457ED2" w:rsidP="006E447D">
      <w:pPr>
        <w:spacing w:after="120"/>
        <w:rPr>
          <w:rFonts w:eastAsia="Calibri" w:cs="Calibri"/>
          <w:szCs w:val="22"/>
          <w:lang w:val="en-GB" w:bidi="ta-IN"/>
        </w:rPr>
      </w:pPr>
      <w:r w:rsidRPr="00457ED2">
        <w:rPr>
          <w:rFonts w:eastAsia="Calibri" w:cs="Calibri"/>
          <w:szCs w:val="22"/>
          <w:lang w:val="en-GB" w:bidi="ta-IN"/>
        </w:rPr>
        <w:t>Na osnovu navedenog zaključujemo da relativni broj grupa mezozooplanktona odgovara prirodnim rasprostranjenjima i nije se značajno prom</w:t>
      </w:r>
      <w:r>
        <w:rPr>
          <w:rFonts w:eastAsia="Calibri" w:cs="Calibri"/>
          <w:szCs w:val="22"/>
          <w:lang w:val="en-GB" w:bidi="ta-IN"/>
        </w:rPr>
        <w:t>ij</w:t>
      </w:r>
      <w:r w:rsidRPr="00457ED2">
        <w:rPr>
          <w:rFonts w:eastAsia="Calibri" w:cs="Calibri"/>
          <w:szCs w:val="22"/>
          <w:lang w:val="en-GB" w:bidi="ta-IN"/>
        </w:rPr>
        <w:t>enio pod negativnim antropogenim uticajima.</w:t>
      </w:r>
    </w:p>
    <w:bookmarkEnd w:id="394"/>
    <w:p w14:paraId="6B35F32B" w14:textId="77777777" w:rsidR="00457ED2" w:rsidRDefault="00457ED2" w:rsidP="006B1940">
      <w:pPr>
        <w:autoSpaceDE w:val="0"/>
        <w:autoSpaceDN w:val="0"/>
        <w:adjustRightInd w:val="0"/>
        <w:spacing w:before="0" w:after="0"/>
        <w:rPr>
          <w:rFonts w:eastAsia="Calibri" w:cs="Calibri"/>
          <w:bCs/>
          <w:color w:val="000000"/>
          <w:szCs w:val="22"/>
          <w:lang w:val="en-GB" w:eastAsia="en-US"/>
        </w:rPr>
      </w:pPr>
    </w:p>
    <w:p w14:paraId="6506D859" w14:textId="7492BEDE" w:rsidR="00457ED2" w:rsidRDefault="00457ED2" w:rsidP="00457ED2">
      <w:pPr>
        <w:autoSpaceDE w:val="0"/>
        <w:autoSpaceDN w:val="0"/>
        <w:adjustRightInd w:val="0"/>
        <w:spacing w:before="0" w:after="120"/>
        <w:rPr>
          <w:rFonts w:eastAsia="Calibri" w:cs="Calibri"/>
          <w:iCs/>
          <w:color w:val="000000"/>
          <w:lang w:val="sq-AL"/>
        </w:rPr>
      </w:pPr>
      <w:r w:rsidRPr="00007B1C">
        <w:rPr>
          <w:rFonts w:eastAsia="Calibri" w:cs="Calibri"/>
          <w:b/>
          <w:iCs/>
          <w:color w:val="000000"/>
          <w:lang w:val="sq-AL"/>
        </w:rPr>
        <w:t>Male pelagične vrste riba</w:t>
      </w:r>
      <w:r w:rsidRPr="00007B1C">
        <w:rPr>
          <w:rFonts w:eastAsia="Calibri" w:cs="Calibri"/>
          <w:iCs/>
          <w:color w:val="000000"/>
          <w:lang w:val="sq-AL"/>
        </w:rPr>
        <w:t xml:space="preserve"> </w:t>
      </w:r>
      <w:r w:rsidRPr="00C712BD">
        <w:rPr>
          <w:rFonts w:cs="Calibri"/>
          <w:color w:val="000000"/>
          <w:lang w:val="sq-AL"/>
        </w:rPr>
        <w:t xml:space="preserve">(ciljne vrste: sardina) </w:t>
      </w:r>
      <w:r w:rsidRPr="00007B1C">
        <w:rPr>
          <w:rFonts w:eastAsia="Calibri" w:cs="Calibri"/>
          <w:iCs/>
          <w:color w:val="000000"/>
          <w:lang w:val="sq-AL"/>
        </w:rPr>
        <w:t>su ekonomski važne komponente mnogih morskih ekosistema, koje su takođe presudne sa ekološkog stanovišta, jer omogućavaju prenos energije sa nižih na više trofičk</w:t>
      </w:r>
      <w:r w:rsidR="002A5081">
        <w:rPr>
          <w:rFonts w:eastAsia="Calibri" w:cs="Calibri"/>
          <w:iCs/>
          <w:color w:val="000000"/>
          <w:lang w:val="sq-AL"/>
        </w:rPr>
        <w:t xml:space="preserve">e </w:t>
      </w:r>
      <w:r w:rsidRPr="00007B1C">
        <w:rPr>
          <w:rFonts w:eastAsia="Calibri" w:cs="Calibri"/>
          <w:iCs/>
          <w:color w:val="000000"/>
          <w:lang w:val="sq-AL"/>
        </w:rPr>
        <w:t>nivo</w:t>
      </w:r>
      <w:r w:rsidR="002A5081">
        <w:rPr>
          <w:rFonts w:eastAsia="Calibri" w:cs="Calibri"/>
          <w:iCs/>
          <w:color w:val="000000"/>
          <w:lang w:val="sq-AL"/>
        </w:rPr>
        <w:t>e</w:t>
      </w:r>
      <w:r w:rsidRPr="00007B1C">
        <w:rPr>
          <w:rFonts w:eastAsia="Calibri" w:cs="Calibri"/>
          <w:iCs/>
          <w:color w:val="000000"/>
          <w:lang w:val="sq-AL"/>
        </w:rPr>
        <w:t xml:space="preserve"> (Curi i sar., 2000). Naime, male pelagične vrste riba važan su plijen mesoždera </w:t>
      </w:r>
      <w:r w:rsidR="00D71066">
        <w:rPr>
          <w:rFonts w:eastAsia="Calibri" w:cs="Calibri"/>
          <w:iCs/>
          <w:color w:val="000000"/>
          <w:lang w:val="sq-AL"/>
        </w:rPr>
        <w:t xml:space="preserve">grabežljivaca </w:t>
      </w:r>
      <w:r w:rsidRPr="00007B1C">
        <w:rPr>
          <w:rFonts w:eastAsia="Calibri" w:cs="Calibri"/>
          <w:iCs/>
          <w:color w:val="000000"/>
          <w:lang w:val="sq-AL"/>
        </w:rPr>
        <w:t xml:space="preserve"> i važni predatori kada je riječ o planktonima, što ih čini mogućim indikatorom koji može pružiti korisne informacije u vezi sa strukturom mreže ishrane i samim ekosistemom. </w:t>
      </w:r>
    </w:p>
    <w:p w14:paraId="3A96429F" w14:textId="5EC0C7C5" w:rsidR="00BD2937" w:rsidRPr="00BD2937" w:rsidRDefault="00BD2937" w:rsidP="00457ED2">
      <w:pPr>
        <w:spacing w:before="0" w:line="259" w:lineRule="auto"/>
        <w:rPr>
          <w:rFonts w:eastAsia="Calibri" w:cs="Calibri"/>
          <w:iCs/>
          <w:szCs w:val="22"/>
          <w:lang w:val="en-GB" w:eastAsia="en-US"/>
        </w:rPr>
      </w:pPr>
      <w:r w:rsidRPr="00BD2937">
        <w:rPr>
          <w:rFonts w:eastAsia="Calibri" w:cs="Calibri"/>
          <w:iCs/>
          <w:szCs w:val="22"/>
          <w:lang w:val="en-GB" w:eastAsia="en-US"/>
        </w:rPr>
        <w:t>Rasprostranjen</w:t>
      </w:r>
      <w:r>
        <w:rPr>
          <w:rFonts w:eastAsia="Calibri" w:cs="Calibri"/>
          <w:iCs/>
          <w:szCs w:val="22"/>
          <w:lang w:val="en-GB" w:eastAsia="en-US"/>
        </w:rPr>
        <w:t>e su p</w:t>
      </w:r>
      <w:r w:rsidRPr="00BD2937">
        <w:rPr>
          <w:rFonts w:eastAsia="Calibri" w:cs="Calibri"/>
          <w:iCs/>
          <w:szCs w:val="22"/>
          <w:lang w:val="en-GB" w:eastAsia="en-US"/>
        </w:rPr>
        <w:t xml:space="preserve">o čitavom Jadranskom moru, ali češće u </w:t>
      </w:r>
      <w:r>
        <w:rPr>
          <w:rFonts w:eastAsia="Calibri" w:cs="Calibri"/>
          <w:iCs/>
          <w:szCs w:val="22"/>
          <w:lang w:val="en-GB" w:eastAsia="en-US"/>
        </w:rPr>
        <w:t>pri</w:t>
      </w:r>
      <w:r w:rsidRPr="00BD2937">
        <w:rPr>
          <w:rFonts w:eastAsia="Calibri" w:cs="Calibri"/>
          <w:iCs/>
          <w:szCs w:val="22"/>
          <w:lang w:val="en-GB" w:eastAsia="en-US"/>
        </w:rPr>
        <w:t xml:space="preserve">obalnom i kanalskom području, </w:t>
      </w:r>
      <w:r>
        <w:rPr>
          <w:rFonts w:eastAsia="Calibri" w:cs="Calibri"/>
          <w:iCs/>
          <w:szCs w:val="22"/>
          <w:lang w:val="en-GB" w:eastAsia="en-US"/>
        </w:rPr>
        <w:t>nego na</w:t>
      </w:r>
      <w:r w:rsidRPr="00BD2937">
        <w:rPr>
          <w:rFonts w:eastAsia="Calibri" w:cs="Calibri"/>
          <w:iCs/>
          <w:szCs w:val="22"/>
          <w:lang w:val="en-GB" w:eastAsia="en-US"/>
        </w:rPr>
        <w:t xml:space="preserve"> otvorenom moru. Takođe, obilnije </w:t>
      </w:r>
      <w:r>
        <w:rPr>
          <w:rFonts w:eastAsia="Calibri" w:cs="Calibri"/>
          <w:iCs/>
          <w:szCs w:val="22"/>
          <w:lang w:val="en-GB" w:eastAsia="en-US"/>
        </w:rPr>
        <w:t xml:space="preserve">su </w:t>
      </w:r>
      <w:r w:rsidRPr="00BD2937">
        <w:rPr>
          <w:rFonts w:eastAsia="Calibri" w:cs="Calibri"/>
          <w:iCs/>
          <w:szCs w:val="22"/>
          <w:lang w:val="en-GB" w:eastAsia="en-US"/>
        </w:rPr>
        <w:t>na sjevernom i srednjem Jadranu u odnosu na njegov južni dio</w:t>
      </w:r>
      <w:r>
        <w:rPr>
          <w:rFonts w:eastAsia="Calibri" w:cs="Calibri"/>
          <w:iCs/>
          <w:szCs w:val="22"/>
          <w:lang w:val="en-GB" w:eastAsia="en-US"/>
        </w:rPr>
        <w:t>.</w:t>
      </w:r>
    </w:p>
    <w:p w14:paraId="0683164C" w14:textId="4E231966" w:rsidR="00457ED2" w:rsidRPr="00007B1C" w:rsidRDefault="00457ED2" w:rsidP="00457ED2">
      <w:pPr>
        <w:autoSpaceDE w:val="0"/>
        <w:autoSpaceDN w:val="0"/>
        <w:adjustRightInd w:val="0"/>
        <w:spacing w:before="0" w:after="120"/>
        <w:rPr>
          <w:rFonts w:eastAsia="Calibri" w:cs="Calibri"/>
          <w:iCs/>
          <w:color w:val="000000"/>
          <w:lang w:val="sq-AL"/>
        </w:rPr>
      </w:pPr>
      <w:r w:rsidRPr="00007B1C">
        <w:rPr>
          <w:rFonts w:eastAsia="Calibri" w:cs="Calibri"/>
          <w:iCs/>
          <w:color w:val="000000"/>
          <w:lang w:val="sq-AL"/>
        </w:rPr>
        <w:t xml:space="preserve">Tokom godina primjećene su značajne promjene u biomasi i ulovu </w:t>
      </w:r>
      <w:r w:rsidR="00095672">
        <w:rPr>
          <w:rFonts w:eastAsia="Calibri" w:cs="Calibri"/>
          <w:iCs/>
          <w:color w:val="000000"/>
          <w:lang w:val="sq-AL"/>
        </w:rPr>
        <w:t>male pelagične ribe</w:t>
      </w:r>
      <w:r w:rsidRPr="00007B1C">
        <w:rPr>
          <w:rFonts w:eastAsia="Calibri" w:cs="Calibri"/>
          <w:iCs/>
          <w:color w:val="000000"/>
          <w:lang w:val="sq-AL"/>
        </w:rPr>
        <w:t xml:space="preserve"> ne samo u Jadranskom moru već i širom svijeta. Te fluktuacije biomase usmjeravaju naučne studije ka </w:t>
      </w:r>
      <w:r w:rsidR="00CE02F1">
        <w:rPr>
          <w:rFonts w:eastAsia="Calibri" w:cs="Calibri"/>
          <w:iCs/>
          <w:color w:val="000000"/>
          <w:lang w:val="sq-AL"/>
        </w:rPr>
        <w:t>ekosistemskom pristupu</w:t>
      </w:r>
      <w:r w:rsidRPr="00007B1C">
        <w:rPr>
          <w:rFonts w:eastAsia="Calibri" w:cs="Calibri"/>
          <w:iCs/>
          <w:color w:val="000000"/>
          <w:lang w:val="sq-AL"/>
        </w:rPr>
        <w:t xml:space="preserve">, koji sugeriše da je ograničenje hrane jedan od procesa koji bi vjerovatno mogao prouzrokovati izmjene </w:t>
      </w:r>
      <w:r w:rsidR="00CE02F1">
        <w:rPr>
          <w:rFonts w:eastAsia="Calibri" w:cs="Calibri"/>
          <w:iCs/>
          <w:color w:val="000000"/>
          <w:lang w:val="sq-AL"/>
        </w:rPr>
        <w:t xml:space="preserve">u </w:t>
      </w:r>
      <w:r w:rsidRPr="00007B1C">
        <w:rPr>
          <w:rFonts w:eastAsia="Calibri" w:cs="Calibri"/>
          <w:iCs/>
          <w:color w:val="000000"/>
          <w:lang w:val="sq-AL"/>
        </w:rPr>
        <w:t>obilj</w:t>
      </w:r>
      <w:r w:rsidR="00CE02F1">
        <w:rPr>
          <w:rFonts w:eastAsia="Calibri" w:cs="Calibri"/>
          <w:iCs/>
          <w:color w:val="000000"/>
          <w:lang w:val="sq-AL"/>
        </w:rPr>
        <w:t>u male pelagične ribe</w:t>
      </w:r>
      <w:r w:rsidRPr="00007B1C">
        <w:rPr>
          <w:rFonts w:eastAsia="Calibri" w:cs="Calibri"/>
          <w:iCs/>
          <w:color w:val="000000"/>
          <w:lang w:val="sq-AL"/>
        </w:rPr>
        <w:t xml:space="preserve"> (Curi i sar., 2000; Agostini i Bakun, 2002; Lloret i sar., 2004; Santojanni i sar., 2006; McLeod i sar., 2012; Zorica i sar., 2013).</w:t>
      </w:r>
    </w:p>
    <w:p w14:paraId="02CC5649" w14:textId="4481CFDC" w:rsidR="00BD2937" w:rsidRPr="00457ED2" w:rsidRDefault="00BD2937" w:rsidP="00457ED2">
      <w:pPr>
        <w:autoSpaceDE w:val="0"/>
        <w:autoSpaceDN w:val="0"/>
        <w:adjustRightInd w:val="0"/>
        <w:spacing w:before="0" w:after="0"/>
        <w:rPr>
          <w:rFonts w:eastAsia="Calibri" w:cs="Calibri"/>
          <w:bCs/>
          <w:color w:val="0070C0"/>
          <w:szCs w:val="22"/>
          <w:lang w:val="en-GB" w:eastAsia="en-US"/>
        </w:rPr>
      </w:pPr>
      <w:r w:rsidRPr="00560048">
        <w:rPr>
          <w:rFonts w:eastAsia="Calibri" w:cs="Calibri"/>
          <w:bCs/>
          <w:szCs w:val="22"/>
          <w:lang w:val="en-GB" w:eastAsia="en-US"/>
        </w:rPr>
        <w:t xml:space="preserve">Za zalihe sardina u Jadranskom moru trenutni nivo biomase od 157.251 t je iznad </w:t>
      </w:r>
      <w:r w:rsidR="00560048" w:rsidRPr="00560048">
        <w:rPr>
          <w:rFonts w:eastAsia="Calibri" w:cs="Calibri"/>
          <w:bCs/>
          <w:szCs w:val="22"/>
          <w:lang w:val="en-GB" w:eastAsia="en-US"/>
        </w:rPr>
        <w:t>najniže granične vrijednosti biomase reproduktivnog dijela populacije (Blim) koji iznosi 125.318 t</w:t>
      </w:r>
      <w:r w:rsidRPr="00560048">
        <w:rPr>
          <w:rFonts w:eastAsia="Calibri" w:cs="Calibri"/>
          <w:bCs/>
          <w:szCs w:val="22"/>
          <w:lang w:val="en-GB" w:eastAsia="en-US"/>
        </w:rPr>
        <w:t xml:space="preserve">, ali ispod referentnih tačaka Bpa (250.636 t). </w:t>
      </w:r>
      <w:r w:rsidR="00A73DCA">
        <w:rPr>
          <w:rFonts w:asciiTheme="minorHAnsi" w:eastAsia="Calibri" w:hAnsiTheme="minorHAnsi" w:cs="Calibri"/>
          <w:iCs/>
          <w:szCs w:val="22"/>
          <w:lang w:val="sr-Latn-ME" w:eastAsia="en-US"/>
        </w:rPr>
        <w:t xml:space="preserve">Podmladak (jednike sa 0 starosti) prati trend </w:t>
      </w:r>
      <w:r w:rsidR="00A73DCA" w:rsidRPr="00A73DCA">
        <w:rPr>
          <w:rFonts w:asciiTheme="minorHAnsi" w:eastAsia="Calibri" w:hAnsiTheme="minorHAnsi" w:cs="Calibri"/>
          <w:iCs/>
          <w:szCs w:val="22"/>
          <w:lang w:val="sr-Latn-ME" w:eastAsia="en-US"/>
        </w:rPr>
        <w:t>SSB</w:t>
      </w:r>
      <w:r w:rsidR="00A73DCA" w:rsidRPr="00A73DCA">
        <w:rPr>
          <w:rFonts w:eastAsia="Calibri" w:cs="Calibri"/>
          <w:bCs/>
          <w:szCs w:val="22"/>
          <w:lang w:val="en-GB" w:eastAsia="en-US"/>
        </w:rPr>
        <w:t>-a</w:t>
      </w:r>
      <w:r w:rsidRPr="00560048">
        <w:rPr>
          <w:rFonts w:eastAsia="Calibri" w:cs="Calibri"/>
          <w:bCs/>
          <w:szCs w:val="22"/>
          <w:lang w:val="en-GB" w:eastAsia="en-US"/>
        </w:rPr>
        <w:t>, pokazujući ipak snažniji oporavak u posl</w:t>
      </w:r>
      <w:r w:rsidR="0038740E" w:rsidRPr="00560048">
        <w:rPr>
          <w:rFonts w:eastAsia="Calibri" w:cs="Calibri"/>
          <w:bCs/>
          <w:szCs w:val="22"/>
          <w:lang w:val="en-GB" w:eastAsia="en-US"/>
        </w:rPr>
        <w:t>j</w:t>
      </w:r>
      <w:r w:rsidRPr="00560048">
        <w:rPr>
          <w:rFonts w:eastAsia="Calibri" w:cs="Calibri"/>
          <w:bCs/>
          <w:szCs w:val="22"/>
          <w:lang w:val="en-GB" w:eastAsia="en-US"/>
        </w:rPr>
        <w:t>ednjoj deceniji</w:t>
      </w:r>
      <w:r w:rsidRPr="00560048">
        <w:rPr>
          <w:rFonts w:eastAsia="Calibri" w:cs="Calibri"/>
          <w:bCs/>
          <w:color w:val="0070C0"/>
          <w:szCs w:val="22"/>
          <w:lang w:val="en-GB" w:eastAsia="en-US"/>
        </w:rPr>
        <w:t>.</w:t>
      </w:r>
    </w:p>
    <w:p w14:paraId="0225FDB7" w14:textId="77777777" w:rsidR="00457ED2" w:rsidRPr="001C6CCA" w:rsidRDefault="00457ED2" w:rsidP="006B1940">
      <w:pPr>
        <w:autoSpaceDE w:val="0"/>
        <w:autoSpaceDN w:val="0"/>
        <w:adjustRightInd w:val="0"/>
        <w:spacing w:before="0" w:after="0"/>
        <w:rPr>
          <w:rFonts w:eastAsia="Calibri" w:cs="Calibri"/>
          <w:bCs/>
          <w:color w:val="000000"/>
          <w:szCs w:val="22"/>
          <w:lang w:val="en-GB" w:eastAsia="en-US"/>
        </w:rPr>
      </w:pPr>
    </w:p>
    <w:p w14:paraId="0D9780C0" w14:textId="2F37D76E" w:rsidR="00457ED2" w:rsidRPr="00C414E0" w:rsidRDefault="00881DB5" w:rsidP="00457ED2">
      <w:pPr>
        <w:autoSpaceDE w:val="0"/>
        <w:autoSpaceDN w:val="0"/>
        <w:adjustRightInd w:val="0"/>
        <w:spacing w:after="0"/>
        <w:rPr>
          <w:rFonts w:cs="Calibri"/>
          <w:b/>
          <w:color w:val="000000"/>
          <w:lang w:val="sq-AL"/>
        </w:rPr>
      </w:pPr>
      <w:r>
        <w:rPr>
          <w:rFonts w:cs="Calibri"/>
          <w:b/>
          <w:color w:val="000000"/>
          <w:lang w:val="sq-AL"/>
        </w:rPr>
        <w:t>Krajnji</w:t>
      </w:r>
      <w:r w:rsidR="00457ED2" w:rsidRPr="00C414E0">
        <w:rPr>
          <w:rFonts w:cs="Calibri"/>
          <w:b/>
          <w:color w:val="000000"/>
          <w:lang w:val="sq-AL"/>
        </w:rPr>
        <w:t xml:space="preserve"> </w:t>
      </w:r>
      <w:r w:rsidR="00D71066">
        <w:rPr>
          <w:rFonts w:cs="Calibri"/>
          <w:b/>
          <w:color w:val="000000"/>
          <w:lang w:val="sq-AL"/>
        </w:rPr>
        <w:t>grabežljivci</w:t>
      </w:r>
    </w:p>
    <w:p w14:paraId="0833067E" w14:textId="5532F1AC" w:rsidR="00457ED2" w:rsidRPr="00007B1C" w:rsidRDefault="00457ED2" w:rsidP="006E447D">
      <w:pPr>
        <w:autoSpaceDE w:val="0"/>
        <w:autoSpaceDN w:val="0"/>
        <w:adjustRightInd w:val="0"/>
        <w:spacing w:before="0" w:after="120"/>
        <w:rPr>
          <w:rFonts w:cs="Calibri"/>
          <w:color w:val="000000"/>
          <w:lang w:val="sq-AL"/>
        </w:rPr>
      </w:pPr>
      <w:r w:rsidRPr="00007B1C">
        <w:rPr>
          <w:rFonts w:cs="Calibri"/>
          <w:color w:val="000000"/>
          <w:lang w:val="sq-AL"/>
        </w:rPr>
        <w:t xml:space="preserve">Tuna je jedan od </w:t>
      </w:r>
      <w:r w:rsidR="00D71066">
        <w:rPr>
          <w:rFonts w:cs="Calibri"/>
          <w:color w:val="000000"/>
          <w:lang w:val="sq-AL"/>
        </w:rPr>
        <w:t>grabežljivaca</w:t>
      </w:r>
      <w:r w:rsidRPr="00007B1C">
        <w:rPr>
          <w:rFonts w:cs="Calibri"/>
          <w:color w:val="000000"/>
          <w:lang w:val="sq-AL"/>
        </w:rPr>
        <w:t xml:space="preserve"> koji zauzimaju visok trofički nivo u morskim staništima, zajedno sa morskim sisarima i ajkulama. </w:t>
      </w:r>
      <w:r w:rsidR="002668C9">
        <w:rPr>
          <w:rFonts w:cs="Calibri"/>
          <w:color w:val="000000"/>
          <w:lang w:val="sq-AL"/>
        </w:rPr>
        <w:t>Zahvaljujući  o</w:t>
      </w:r>
      <w:r w:rsidRPr="00007B1C">
        <w:rPr>
          <w:rFonts w:cs="Calibri"/>
          <w:color w:val="000000"/>
          <w:lang w:val="sq-AL"/>
        </w:rPr>
        <w:t>drživo</w:t>
      </w:r>
      <w:r w:rsidR="002668C9">
        <w:rPr>
          <w:rFonts w:cs="Calibri"/>
          <w:color w:val="000000"/>
          <w:lang w:val="sq-AL"/>
        </w:rPr>
        <w:t>m</w:t>
      </w:r>
      <w:r w:rsidRPr="00007B1C">
        <w:rPr>
          <w:rFonts w:cs="Calibri"/>
          <w:color w:val="000000"/>
          <w:lang w:val="sq-AL"/>
        </w:rPr>
        <w:t xml:space="preserve"> nivo</w:t>
      </w:r>
      <w:r w:rsidR="002668C9">
        <w:rPr>
          <w:rFonts w:cs="Calibri"/>
          <w:color w:val="000000"/>
          <w:lang w:val="sq-AL"/>
        </w:rPr>
        <w:t>u</w:t>
      </w:r>
      <w:r w:rsidRPr="00007B1C">
        <w:rPr>
          <w:rFonts w:cs="Calibri"/>
          <w:color w:val="000000"/>
          <w:lang w:val="sq-AL"/>
        </w:rPr>
        <w:t xml:space="preserve"> biomase</w:t>
      </w:r>
      <w:r w:rsidR="00915515">
        <w:rPr>
          <w:rFonts w:cs="Calibri"/>
          <w:color w:val="000000"/>
          <w:lang w:val="sq-AL"/>
        </w:rPr>
        <w:t xml:space="preserve"> </w:t>
      </w:r>
      <w:r w:rsidRPr="00007B1C">
        <w:rPr>
          <w:rFonts w:cs="Calibri"/>
          <w:color w:val="000000"/>
          <w:lang w:val="sq-AL"/>
        </w:rPr>
        <w:t xml:space="preserve">malih pelagičnih vrsta riba, Jadransko more je </w:t>
      </w:r>
      <w:r w:rsidR="002668C9">
        <w:rPr>
          <w:rFonts w:cs="Calibri"/>
          <w:color w:val="000000"/>
          <w:lang w:val="sq-AL"/>
        </w:rPr>
        <w:t xml:space="preserve">jedno od </w:t>
      </w:r>
      <w:r w:rsidRPr="00007B1C">
        <w:rPr>
          <w:rFonts w:cs="Calibri"/>
          <w:color w:val="000000"/>
          <w:lang w:val="sq-AL"/>
        </w:rPr>
        <w:t>važn</w:t>
      </w:r>
      <w:r w:rsidR="002668C9">
        <w:rPr>
          <w:rFonts w:cs="Calibri"/>
          <w:color w:val="000000"/>
          <w:lang w:val="sq-AL"/>
        </w:rPr>
        <w:t>ih</w:t>
      </w:r>
      <w:r w:rsidRPr="00007B1C">
        <w:rPr>
          <w:rFonts w:cs="Calibri"/>
          <w:color w:val="000000"/>
          <w:lang w:val="sq-AL"/>
        </w:rPr>
        <w:t xml:space="preserve"> </w:t>
      </w:r>
      <w:r w:rsidR="00C345D6">
        <w:rPr>
          <w:rFonts w:cs="Calibri"/>
          <w:color w:val="000000"/>
          <w:lang w:val="sq-AL"/>
        </w:rPr>
        <w:t xml:space="preserve">rastilišta </w:t>
      </w:r>
      <w:r w:rsidRPr="00C345D6">
        <w:rPr>
          <w:rFonts w:cs="Calibri"/>
          <w:color w:val="000000"/>
          <w:lang w:val="sq-AL"/>
        </w:rPr>
        <w:t>za populaciju tuna</w:t>
      </w:r>
      <w:r w:rsidRPr="00007B1C">
        <w:rPr>
          <w:rFonts w:cs="Calibri"/>
          <w:color w:val="000000"/>
          <w:lang w:val="sq-AL"/>
        </w:rPr>
        <w:t xml:space="preserve"> koje se mrijeste na području Sredozemnog mora. Populacij</w:t>
      </w:r>
      <w:r w:rsidR="002668C9">
        <w:rPr>
          <w:rFonts w:cs="Calibri"/>
          <w:color w:val="000000"/>
          <w:lang w:val="sq-AL"/>
        </w:rPr>
        <w:t>e</w:t>
      </w:r>
      <w:r w:rsidRPr="00007B1C">
        <w:rPr>
          <w:rFonts w:cs="Calibri"/>
          <w:color w:val="000000"/>
          <w:lang w:val="sq-AL"/>
        </w:rPr>
        <w:t xml:space="preserve"> tuna (Thunnus thynnus) koj</w:t>
      </w:r>
      <w:r w:rsidR="002668C9">
        <w:rPr>
          <w:rFonts w:cs="Calibri"/>
          <w:color w:val="000000"/>
          <w:lang w:val="sq-AL"/>
        </w:rPr>
        <w:t xml:space="preserve">e </w:t>
      </w:r>
      <w:r w:rsidRPr="00007B1C">
        <w:rPr>
          <w:rFonts w:cs="Calibri"/>
          <w:color w:val="000000"/>
          <w:lang w:val="sq-AL"/>
        </w:rPr>
        <w:t>naseljava</w:t>
      </w:r>
      <w:r w:rsidR="002668C9">
        <w:rPr>
          <w:rFonts w:cs="Calibri"/>
          <w:color w:val="000000"/>
          <w:lang w:val="sq-AL"/>
        </w:rPr>
        <w:t>ju</w:t>
      </w:r>
      <w:r w:rsidRPr="00007B1C">
        <w:rPr>
          <w:rFonts w:cs="Calibri"/>
          <w:color w:val="000000"/>
          <w:lang w:val="sq-AL"/>
        </w:rPr>
        <w:t xml:space="preserve"> Jadransko more </w:t>
      </w:r>
      <w:r w:rsidR="002A5081">
        <w:rPr>
          <w:rFonts w:cs="Calibri"/>
          <w:color w:val="000000"/>
          <w:lang w:val="sq-AL"/>
        </w:rPr>
        <w:t>su</w:t>
      </w:r>
      <w:r w:rsidRPr="00007B1C">
        <w:rPr>
          <w:rFonts w:cs="Calibri"/>
          <w:color w:val="000000"/>
          <w:lang w:val="sq-AL"/>
        </w:rPr>
        <w:t xml:space="preserve"> pod ovlašćenjem ICCAT-a (Međunarodne komisije za zaštitu atlantskih tuna).</w:t>
      </w:r>
    </w:p>
    <w:p w14:paraId="288CC0DA" w14:textId="6628C639" w:rsidR="00457ED2" w:rsidRPr="00007B1C" w:rsidRDefault="00457ED2" w:rsidP="006E447D">
      <w:pPr>
        <w:autoSpaceDE w:val="0"/>
        <w:autoSpaceDN w:val="0"/>
        <w:adjustRightInd w:val="0"/>
        <w:spacing w:before="0" w:after="120"/>
        <w:rPr>
          <w:rFonts w:cs="Calibri"/>
          <w:color w:val="000000"/>
          <w:lang w:val="sq-AL"/>
        </w:rPr>
      </w:pPr>
      <w:r w:rsidRPr="00007B1C">
        <w:rPr>
          <w:rFonts w:cs="Calibri"/>
          <w:color w:val="000000"/>
          <w:lang w:val="sq-AL"/>
        </w:rPr>
        <w:t xml:space="preserve">U posljednjoj deceniji kvota </w:t>
      </w:r>
      <w:r w:rsidR="002668C9">
        <w:rPr>
          <w:rFonts w:cs="Calibri"/>
          <w:color w:val="000000"/>
          <w:lang w:val="sq-AL"/>
        </w:rPr>
        <w:t xml:space="preserve">za tune koju je ICCAT </w:t>
      </w:r>
      <w:r w:rsidRPr="00007B1C">
        <w:rPr>
          <w:rFonts w:cs="Calibri"/>
          <w:color w:val="000000"/>
          <w:lang w:val="sq-AL"/>
        </w:rPr>
        <w:t>definisa</w:t>
      </w:r>
      <w:r w:rsidR="002668C9">
        <w:rPr>
          <w:rFonts w:cs="Calibri"/>
          <w:color w:val="000000"/>
          <w:lang w:val="sq-AL"/>
        </w:rPr>
        <w:t>o</w:t>
      </w:r>
      <w:r w:rsidRPr="00007B1C">
        <w:rPr>
          <w:rFonts w:cs="Calibri"/>
          <w:color w:val="000000"/>
          <w:lang w:val="sq-AL"/>
        </w:rPr>
        <w:t xml:space="preserve"> za Hrvatsku, var</w:t>
      </w:r>
      <w:r>
        <w:rPr>
          <w:rFonts w:cs="Calibri"/>
          <w:color w:val="000000"/>
          <w:lang w:val="sq-AL"/>
        </w:rPr>
        <w:t>irala je od 376,01 do 862,31 t. S</w:t>
      </w:r>
      <w:r w:rsidRPr="00007B1C">
        <w:rPr>
          <w:rFonts w:cs="Calibri"/>
          <w:color w:val="000000"/>
          <w:lang w:val="sq-AL"/>
        </w:rPr>
        <w:t xml:space="preserve"> obzirom na to da je dodijeljena kvot</w:t>
      </w:r>
      <w:r w:rsidR="00764872">
        <w:rPr>
          <w:rFonts w:cs="Calibri"/>
          <w:color w:val="000000"/>
          <w:lang w:val="sq-AL"/>
        </w:rPr>
        <w:t>a</w:t>
      </w:r>
      <w:r w:rsidRPr="00007B1C">
        <w:rPr>
          <w:rFonts w:cs="Calibri"/>
          <w:color w:val="000000"/>
          <w:lang w:val="sq-AL"/>
        </w:rPr>
        <w:t xml:space="preserve"> </w:t>
      </w:r>
      <w:r w:rsidR="00881DB5">
        <w:rPr>
          <w:rFonts w:cs="Calibri"/>
          <w:color w:val="000000"/>
          <w:lang w:val="sq-AL"/>
        </w:rPr>
        <w:t xml:space="preserve">značajno </w:t>
      </w:r>
      <w:r w:rsidRPr="00007B1C">
        <w:rPr>
          <w:rFonts w:cs="Calibri"/>
          <w:color w:val="000000"/>
          <w:lang w:val="sq-AL"/>
        </w:rPr>
        <w:t xml:space="preserve">porasla tokom </w:t>
      </w:r>
      <w:r w:rsidR="00764872">
        <w:rPr>
          <w:rFonts w:cs="Calibri"/>
          <w:color w:val="000000"/>
          <w:lang w:val="sq-AL"/>
        </w:rPr>
        <w:t xml:space="preserve">posljednjih </w:t>
      </w:r>
      <w:r w:rsidRPr="00007B1C">
        <w:rPr>
          <w:rFonts w:cs="Calibri"/>
          <w:color w:val="000000"/>
          <w:lang w:val="sq-AL"/>
        </w:rPr>
        <w:t>godina, očigledno je da postoje opravdani pokazatelji oporavka populacije jadranske tune.</w:t>
      </w:r>
    </w:p>
    <w:p w14:paraId="76841B4B" w14:textId="77777777" w:rsidR="00A67394" w:rsidRDefault="00A67394" w:rsidP="00F65CFF">
      <w:pPr>
        <w:autoSpaceDE w:val="0"/>
        <w:autoSpaceDN w:val="0"/>
        <w:adjustRightInd w:val="0"/>
        <w:spacing w:after="0"/>
        <w:rPr>
          <w:rFonts w:cs="Calibri"/>
          <w:color w:val="000000"/>
          <w:szCs w:val="22"/>
          <w:lang w:val="en-GB"/>
        </w:rPr>
      </w:pPr>
    </w:p>
    <w:p w14:paraId="720F13FA" w14:textId="77777777" w:rsidR="00BB3EF5" w:rsidRDefault="00BB3EF5" w:rsidP="00F65CFF">
      <w:pPr>
        <w:autoSpaceDE w:val="0"/>
        <w:autoSpaceDN w:val="0"/>
        <w:adjustRightInd w:val="0"/>
        <w:spacing w:after="0"/>
        <w:rPr>
          <w:rFonts w:cs="Calibri"/>
          <w:color w:val="000000"/>
          <w:szCs w:val="22"/>
          <w:lang w:val="en-GB"/>
        </w:rPr>
      </w:pPr>
    </w:p>
    <w:p w14:paraId="477E47B2" w14:textId="77777777" w:rsidR="00BB3EF5" w:rsidRDefault="00BB3EF5" w:rsidP="00F65CFF">
      <w:pPr>
        <w:autoSpaceDE w:val="0"/>
        <w:autoSpaceDN w:val="0"/>
        <w:adjustRightInd w:val="0"/>
        <w:spacing w:after="0"/>
        <w:rPr>
          <w:rFonts w:cs="Calibri"/>
          <w:color w:val="000000"/>
          <w:szCs w:val="22"/>
          <w:lang w:val="en-GB"/>
        </w:rPr>
      </w:pPr>
    </w:p>
    <w:p w14:paraId="52915001" w14:textId="77777777" w:rsidR="00BB3EF5" w:rsidRDefault="00BB3EF5" w:rsidP="00F65CFF">
      <w:pPr>
        <w:autoSpaceDE w:val="0"/>
        <w:autoSpaceDN w:val="0"/>
        <w:adjustRightInd w:val="0"/>
        <w:spacing w:after="0"/>
        <w:rPr>
          <w:rFonts w:cs="Calibri"/>
          <w:color w:val="000000"/>
          <w:szCs w:val="22"/>
          <w:lang w:val="en-GB"/>
        </w:rPr>
      </w:pPr>
    </w:p>
    <w:p w14:paraId="2BB71620" w14:textId="77777777" w:rsidR="00BB3EF5" w:rsidRDefault="00BB3EF5" w:rsidP="00F65CFF">
      <w:pPr>
        <w:autoSpaceDE w:val="0"/>
        <w:autoSpaceDN w:val="0"/>
        <w:adjustRightInd w:val="0"/>
        <w:spacing w:after="0"/>
        <w:rPr>
          <w:rFonts w:cs="Calibri"/>
          <w:color w:val="000000"/>
          <w:szCs w:val="22"/>
          <w:lang w:val="en-GB"/>
        </w:rPr>
      </w:pPr>
    </w:p>
    <w:p w14:paraId="29D88259" w14:textId="77777777" w:rsidR="00BB3EF5" w:rsidRDefault="00BB3EF5" w:rsidP="00F65CFF">
      <w:pPr>
        <w:autoSpaceDE w:val="0"/>
        <w:autoSpaceDN w:val="0"/>
        <w:adjustRightInd w:val="0"/>
        <w:spacing w:after="0"/>
        <w:rPr>
          <w:rFonts w:cs="Calibri"/>
          <w:color w:val="000000"/>
          <w:szCs w:val="22"/>
          <w:lang w:val="en-GB"/>
        </w:rPr>
      </w:pPr>
    </w:p>
    <w:p w14:paraId="720D5710" w14:textId="77777777" w:rsidR="00BB3EF5" w:rsidRDefault="00BB3EF5" w:rsidP="00F65CFF">
      <w:pPr>
        <w:autoSpaceDE w:val="0"/>
        <w:autoSpaceDN w:val="0"/>
        <w:adjustRightInd w:val="0"/>
        <w:spacing w:after="0"/>
        <w:rPr>
          <w:rFonts w:cs="Calibri"/>
          <w:color w:val="000000"/>
          <w:szCs w:val="22"/>
          <w:lang w:val="en-GB"/>
        </w:rPr>
      </w:pPr>
    </w:p>
    <w:p w14:paraId="04D1ECA3" w14:textId="77777777" w:rsidR="00BB3EF5" w:rsidRDefault="00BB3EF5" w:rsidP="00F65CFF">
      <w:pPr>
        <w:autoSpaceDE w:val="0"/>
        <w:autoSpaceDN w:val="0"/>
        <w:adjustRightInd w:val="0"/>
        <w:spacing w:after="0"/>
        <w:rPr>
          <w:rFonts w:cs="Calibri"/>
          <w:color w:val="000000"/>
          <w:szCs w:val="22"/>
          <w:lang w:val="en-GB"/>
        </w:rPr>
      </w:pPr>
    </w:p>
    <w:p w14:paraId="5ABE8A36" w14:textId="77777777" w:rsidR="00BB3EF5" w:rsidRDefault="00BB3EF5" w:rsidP="00F65CFF">
      <w:pPr>
        <w:autoSpaceDE w:val="0"/>
        <w:autoSpaceDN w:val="0"/>
        <w:adjustRightInd w:val="0"/>
        <w:spacing w:after="0"/>
        <w:rPr>
          <w:rFonts w:cs="Calibri"/>
          <w:color w:val="000000"/>
          <w:szCs w:val="22"/>
          <w:lang w:val="en-GB"/>
        </w:rPr>
      </w:pPr>
    </w:p>
    <w:p w14:paraId="193EA342" w14:textId="77777777" w:rsidR="00BB3EF5" w:rsidRDefault="00BB3EF5" w:rsidP="00F65CFF">
      <w:pPr>
        <w:autoSpaceDE w:val="0"/>
        <w:autoSpaceDN w:val="0"/>
        <w:adjustRightInd w:val="0"/>
        <w:spacing w:after="0"/>
        <w:rPr>
          <w:rFonts w:cs="Calibri"/>
          <w:color w:val="000000"/>
          <w:szCs w:val="22"/>
          <w:lang w:val="en-GB"/>
        </w:rPr>
      </w:pPr>
    </w:p>
    <w:p w14:paraId="1309EA54" w14:textId="77777777" w:rsidR="00BB3EF5" w:rsidRDefault="00BB3EF5" w:rsidP="00F65CFF">
      <w:pPr>
        <w:autoSpaceDE w:val="0"/>
        <w:autoSpaceDN w:val="0"/>
        <w:adjustRightInd w:val="0"/>
        <w:spacing w:after="0"/>
        <w:rPr>
          <w:rFonts w:cs="Calibri"/>
          <w:color w:val="000000"/>
          <w:szCs w:val="22"/>
          <w:lang w:val="en-GB"/>
        </w:rPr>
      </w:pPr>
    </w:p>
    <w:p w14:paraId="7E6F59B3" w14:textId="77777777" w:rsidR="00BB3EF5" w:rsidRDefault="00BB3EF5" w:rsidP="00F65CFF">
      <w:pPr>
        <w:autoSpaceDE w:val="0"/>
        <w:autoSpaceDN w:val="0"/>
        <w:adjustRightInd w:val="0"/>
        <w:spacing w:after="0"/>
        <w:rPr>
          <w:rFonts w:cs="Calibri"/>
          <w:color w:val="000000"/>
          <w:szCs w:val="22"/>
          <w:lang w:val="en-GB"/>
        </w:rPr>
      </w:pPr>
    </w:p>
    <w:p w14:paraId="046FEB61" w14:textId="77777777" w:rsidR="00BB3EF5" w:rsidRPr="001C6CCA" w:rsidRDefault="00BB3EF5" w:rsidP="00F65CFF">
      <w:pPr>
        <w:autoSpaceDE w:val="0"/>
        <w:autoSpaceDN w:val="0"/>
        <w:adjustRightInd w:val="0"/>
        <w:spacing w:after="0"/>
        <w:rPr>
          <w:rFonts w:cs="Calibri"/>
          <w:color w:val="000000"/>
          <w:szCs w:val="22"/>
          <w:lang w:val="en-GB"/>
        </w:rPr>
      </w:pPr>
    </w:p>
    <w:p w14:paraId="4633E273" w14:textId="2D8BAB17" w:rsidR="00181B21" w:rsidRPr="001C6CCA" w:rsidRDefault="00915515" w:rsidP="001D6B32">
      <w:pPr>
        <w:pStyle w:val="Heading3"/>
        <w:rPr>
          <w:lang w:val="en-GB"/>
        </w:rPr>
      </w:pPr>
      <w:bookmarkStart w:id="395" w:name="_Toc68180846"/>
      <w:bookmarkStart w:id="396" w:name="_Toc83630993"/>
      <w:r>
        <w:rPr>
          <w:lang w:val="en-GB"/>
        </w:rPr>
        <w:t xml:space="preserve">Pristup procjeni </w:t>
      </w:r>
      <w:r w:rsidR="006B1940" w:rsidRPr="001C6CCA">
        <w:rPr>
          <w:lang w:val="en-GB"/>
        </w:rPr>
        <w:t>G</w:t>
      </w:r>
      <w:r w:rsidR="001D6B32" w:rsidRPr="001C6CCA">
        <w:rPr>
          <w:lang w:val="en-GB"/>
        </w:rPr>
        <w:t>ES</w:t>
      </w:r>
      <w:r>
        <w:rPr>
          <w:lang w:val="en-GB"/>
        </w:rPr>
        <w:t>-a</w:t>
      </w:r>
      <w:bookmarkEnd w:id="395"/>
      <w:bookmarkEnd w:id="396"/>
    </w:p>
    <w:p w14:paraId="6E125C37" w14:textId="4A446888" w:rsidR="00842A83" w:rsidRPr="00842A83" w:rsidRDefault="00842A83" w:rsidP="00842A83">
      <w:pPr>
        <w:spacing w:after="160"/>
        <w:rPr>
          <w:rFonts w:eastAsia="Calibri"/>
          <w:lang w:val="en-GB"/>
        </w:rPr>
      </w:pPr>
      <w:r w:rsidRPr="00842A83">
        <w:rPr>
          <w:rFonts w:eastAsia="Calibri"/>
          <w:lang w:val="en-GB"/>
        </w:rPr>
        <w:t>U tabeli 3.30 su pr</w:t>
      </w:r>
      <w:r w:rsidR="005F2588">
        <w:rPr>
          <w:rFonts w:eastAsia="Calibri"/>
          <w:lang w:val="en-GB"/>
        </w:rPr>
        <w:t>ikazani</w:t>
      </w:r>
      <w:r w:rsidRPr="00842A83">
        <w:rPr>
          <w:rFonts w:eastAsia="Calibri"/>
          <w:lang w:val="en-GB"/>
        </w:rPr>
        <w:t xml:space="preserve"> svi elementi</w:t>
      </w:r>
      <w:r>
        <w:rPr>
          <w:rFonts w:eastAsia="Calibri"/>
          <w:lang w:val="en-GB"/>
        </w:rPr>
        <w:t>/</w:t>
      </w:r>
      <w:r w:rsidRPr="00842A83">
        <w:rPr>
          <w:rFonts w:eastAsia="Calibri"/>
          <w:lang w:val="en-GB"/>
        </w:rPr>
        <w:t>parametri prim</w:t>
      </w:r>
      <w:r>
        <w:rPr>
          <w:rFonts w:eastAsia="Calibri"/>
          <w:lang w:val="en-GB"/>
        </w:rPr>
        <w:t>ij</w:t>
      </w:r>
      <w:r w:rsidRPr="00842A83">
        <w:rPr>
          <w:rFonts w:eastAsia="Calibri"/>
          <w:lang w:val="en-GB"/>
        </w:rPr>
        <w:t>enjeni za proc</w:t>
      </w:r>
      <w:r>
        <w:rPr>
          <w:rFonts w:eastAsia="Calibri"/>
          <w:lang w:val="en-GB"/>
        </w:rPr>
        <w:t>j</w:t>
      </w:r>
      <w:r w:rsidRPr="00842A83">
        <w:rPr>
          <w:rFonts w:eastAsia="Calibri"/>
          <w:lang w:val="en-GB"/>
        </w:rPr>
        <w:t>enu D4.</w:t>
      </w:r>
    </w:p>
    <w:p w14:paraId="4B24EC1C" w14:textId="5C428209" w:rsidR="00F4588F" w:rsidRPr="006612D6" w:rsidRDefault="00842A83" w:rsidP="00F4588F">
      <w:pPr>
        <w:tabs>
          <w:tab w:val="left" w:pos="284"/>
        </w:tabs>
        <w:spacing w:before="0" w:after="0" w:line="240" w:lineRule="auto"/>
        <w:rPr>
          <w:rFonts w:eastAsia="Calibri"/>
          <w:b/>
          <w:szCs w:val="22"/>
          <w:lang w:val="sr-Latn-RS" w:eastAsia="en-US"/>
        </w:rPr>
      </w:pPr>
      <w:bookmarkStart w:id="397" w:name="_Toc83643221"/>
      <w:r w:rsidRPr="001C6CCA">
        <w:rPr>
          <w:rFonts w:eastAsia="Calibri" w:cs="Calibri"/>
          <w:b/>
          <w:color w:val="000000"/>
          <w:szCs w:val="22"/>
          <w:lang w:val="en-GB" w:eastAsia="en-US"/>
        </w:rPr>
        <w:t>Tab</w:t>
      </w:r>
      <w:r>
        <w:rPr>
          <w:rFonts w:eastAsia="Calibri" w:cs="Calibri"/>
          <w:b/>
          <w:color w:val="000000"/>
          <w:szCs w:val="22"/>
          <w:lang w:val="en-GB" w:eastAsia="en-US"/>
        </w:rPr>
        <w:t>ela</w:t>
      </w:r>
      <w:r w:rsidRPr="001C6CCA">
        <w:rPr>
          <w:rFonts w:eastAsia="Calibri" w:cs="Calibri"/>
          <w:b/>
          <w:color w:val="000000"/>
          <w:szCs w:val="22"/>
          <w:lang w:val="en-GB" w:eastAsia="en-US"/>
        </w:rPr>
        <w:t xml:space="preserve"> </w:t>
      </w:r>
      <w:r w:rsidRPr="008E5C62">
        <w:rPr>
          <w:b/>
          <w:szCs w:val="22"/>
        </w:rPr>
        <w:fldChar w:fldCharType="begin"/>
      </w:r>
      <w:r w:rsidRPr="008E5C62">
        <w:rPr>
          <w:b/>
          <w:szCs w:val="22"/>
        </w:rPr>
        <w:instrText xml:space="preserve"> STYLEREF 1 \s </w:instrText>
      </w:r>
      <w:r w:rsidRPr="008E5C62">
        <w:rPr>
          <w:b/>
          <w:szCs w:val="22"/>
        </w:rPr>
        <w:fldChar w:fldCharType="separate"/>
      </w:r>
      <w:r w:rsidR="000D1E20">
        <w:rPr>
          <w:b/>
          <w:noProof/>
          <w:szCs w:val="22"/>
        </w:rPr>
        <w:t>3</w:t>
      </w:r>
      <w:r w:rsidRPr="008E5C62">
        <w:rPr>
          <w:b/>
          <w:szCs w:val="22"/>
        </w:rPr>
        <w:fldChar w:fldCharType="end"/>
      </w:r>
      <w:r w:rsidRPr="008E5C62">
        <w:rPr>
          <w:b/>
          <w:szCs w:val="22"/>
        </w:rPr>
        <w:t>.</w:t>
      </w:r>
      <w:r w:rsidRPr="008E5C62">
        <w:rPr>
          <w:b/>
          <w:szCs w:val="22"/>
        </w:rPr>
        <w:fldChar w:fldCharType="begin"/>
      </w:r>
      <w:r w:rsidRPr="008E5C62">
        <w:rPr>
          <w:b/>
          <w:szCs w:val="22"/>
        </w:rPr>
        <w:instrText xml:space="preserve"> SEQ Table \* ARABIC \s 1 </w:instrText>
      </w:r>
      <w:r w:rsidRPr="008E5C62">
        <w:rPr>
          <w:b/>
          <w:szCs w:val="22"/>
        </w:rPr>
        <w:fldChar w:fldCharType="separate"/>
      </w:r>
      <w:r w:rsidR="000D1E20">
        <w:rPr>
          <w:b/>
          <w:noProof/>
          <w:szCs w:val="22"/>
        </w:rPr>
        <w:t>25</w:t>
      </w:r>
      <w:r w:rsidRPr="008E5C62">
        <w:rPr>
          <w:b/>
          <w:szCs w:val="22"/>
        </w:rPr>
        <w:fldChar w:fldCharType="end"/>
      </w:r>
      <w:r w:rsidRPr="008E5C62">
        <w:rPr>
          <w:b/>
          <w:szCs w:val="22"/>
        </w:rPr>
        <w:t>.</w:t>
      </w:r>
      <w:r>
        <w:rPr>
          <w:b/>
          <w:szCs w:val="22"/>
        </w:rPr>
        <w:t xml:space="preserve"> </w:t>
      </w:r>
      <w:r w:rsidRPr="001C6CCA">
        <w:rPr>
          <w:rFonts w:eastAsia="Calibri" w:cs="Calibri"/>
          <w:b/>
          <w:szCs w:val="22"/>
          <w:lang w:val="en-GB" w:eastAsia="en-US"/>
        </w:rPr>
        <w:t xml:space="preserve"> </w:t>
      </w:r>
      <w:r w:rsidR="00F4588F">
        <w:rPr>
          <w:rFonts w:eastAsia="Calibri" w:cs="Calibri"/>
          <w:b/>
          <w:szCs w:val="22"/>
          <w:lang w:val="en-GB" w:eastAsia="en-US"/>
        </w:rPr>
        <w:t>Kriterijumi, e</w:t>
      </w:r>
      <w:r w:rsidR="00F4588F" w:rsidRPr="006612D6">
        <w:rPr>
          <w:rFonts w:eastAsia="Calibri"/>
          <w:b/>
          <w:szCs w:val="22"/>
          <w:lang w:val="sr-Latn-RS" w:eastAsia="en-US"/>
        </w:rPr>
        <w:t>lementi</w:t>
      </w:r>
      <w:r w:rsidR="00F4588F">
        <w:rPr>
          <w:rFonts w:eastAsia="Calibri"/>
          <w:b/>
          <w:szCs w:val="22"/>
          <w:lang w:val="sr-Latn-RS" w:eastAsia="en-US"/>
        </w:rPr>
        <w:t xml:space="preserve">/parametri i </w:t>
      </w:r>
      <w:r w:rsidR="00F4588F" w:rsidRPr="006612D6">
        <w:rPr>
          <w:rFonts w:eastAsia="Calibri"/>
          <w:b/>
          <w:szCs w:val="22"/>
          <w:lang w:val="sr-Latn-RS" w:eastAsia="en-US"/>
        </w:rPr>
        <w:t xml:space="preserve">indikatori </w:t>
      </w:r>
      <w:r w:rsidR="00F4588F">
        <w:rPr>
          <w:rFonts w:eastAsia="Calibri"/>
          <w:b/>
          <w:szCs w:val="22"/>
          <w:lang w:val="sr-Latn-RS" w:eastAsia="en-US"/>
        </w:rPr>
        <w:t xml:space="preserve">za </w:t>
      </w:r>
      <w:r w:rsidR="00F4588F" w:rsidRPr="006612D6">
        <w:rPr>
          <w:rFonts w:eastAsia="Calibri"/>
          <w:b/>
          <w:szCs w:val="22"/>
          <w:lang w:val="sr-Latn-RS" w:eastAsia="en-US"/>
        </w:rPr>
        <w:t xml:space="preserve">procjenu GES-a za </w:t>
      </w:r>
      <w:r w:rsidR="00F4588F">
        <w:rPr>
          <w:rFonts w:eastAsia="Calibri"/>
          <w:b/>
          <w:szCs w:val="22"/>
          <w:lang w:val="sr-Latn-RS" w:eastAsia="en-US"/>
        </w:rPr>
        <w:t>D4.</w:t>
      </w:r>
      <w:bookmarkEnd w:id="397"/>
    </w:p>
    <w:tbl>
      <w:tblPr>
        <w:tblStyle w:val="TableGrid6"/>
        <w:tblpPr w:leftFromText="180" w:rightFromText="180" w:vertAnchor="text" w:tblpY="1"/>
        <w:tblOverlap w:val="nev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2065"/>
        <w:gridCol w:w="2041"/>
        <w:gridCol w:w="1829"/>
        <w:gridCol w:w="2991"/>
      </w:tblGrid>
      <w:tr w:rsidR="00915515" w:rsidRPr="001C6CCA" w14:paraId="3452CD09" w14:textId="77777777" w:rsidTr="00BB3EF5">
        <w:trPr>
          <w:tblHeader/>
        </w:trPr>
        <w:tc>
          <w:tcPr>
            <w:tcW w:w="2065" w:type="dxa"/>
            <w:tcBorders>
              <w:top w:val="single" w:sz="4" w:space="0" w:color="FFFFFF"/>
              <w:left w:val="single" w:sz="4" w:space="0" w:color="FFFFFF"/>
              <w:bottom w:val="single" w:sz="4" w:space="0" w:color="FFFFFF"/>
              <w:right w:val="single" w:sz="4" w:space="0" w:color="FFFFFF"/>
            </w:tcBorders>
            <w:shd w:val="clear" w:color="auto" w:fill="1F497D" w:themeFill="text2"/>
          </w:tcPr>
          <w:p w14:paraId="7825424A" w14:textId="60211789" w:rsidR="00915515" w:rsidRPr="001A2376" w:rsidRDefault="00915515" w:rsidP="00F65CFF">
            <w:pPr>
              <w:autoSpaceDE w:val="0"/>
              <w:autoSpaceDN w:val="0"/>
              <w:adjustRightInd w:val="0"/>
              <w:spacing w:before="0" w:after="0" w:line="240" w:lineRule="auto"/>
              <w:rPr>
                <w:rFonts w:cs="Calibri"/>
                <w:b/>
                <w:color w:val="FFFFFF" w:themeColor="background1"/>
                <w:sz w:val="20"/>
                <w:szCs w:val="20"/>
                <w:lang w:val="en-GB" w:eastAsia="en-US"/>
              </w:rPr>
            </w:pPr>
            <w:r w:rsidRPr="001A2376">
              <w:rPr>
                <w:rFonts w:cs="Calibri"/>
                <w:b/>
                <w:color w:val="FFFFFF" w:themeColor="background1"/>
                <w:sz w:val="20"/>
                <w:szCs w:val="20"/>
                <w:lang w:val="en-GB" w:eastAsia="en-US"/>
              </w:rPr>
              <w:t>Kriterijum</w:t>
            </w:r>
          </w:p>
        </w:tc>
        <w:tc>
          <w:tcPr>
            <w:tcW w:w="2041" w:type="dxa"/>
            <w:tcBorders>
              <w:top w:val="single" w:sz="4" w:space="0" w:color="FFFFFF"/>
              <w:left w:val="single" w:sz="4" w:space="0" w:color="FFFFFF"/>
              <w:bottom w:val="single" w:sz="4" w:space="0" w:color="FFFFFF"/>
              <w:right w:val="single" w:sz="4" w:space="0" w:color="FFFFFF"/>
            </w:tcBorders>
            <w:shd w:val="clear" w:color="auto" w:fill="1F497D" w:themeFill="text2"/>
          </w:tcPr>
          <w:p w14:paraId="486D0C97" w14:textId="37C894D3" w:rsidR="00915515" w:rsidRPr="001A2376" w:rsidRDefault="00915515" w:rsidP="00F65CFF">
            <w:pPr>
              <w:autoSpaceDE w:val="0"/>
              <w:autoSpaceDN w:val="0"/>
              <w:adjustRightInd w:val="0"/>
              <w:spacing w:before="0" w:after="0" w:line="240" w:lineRule="auto"/>
              <w:jc w:val="left"/>
              <w:rPr>
                <w:rFonts w:cs="Calibri"/>
                <w:b/>
                <w:color w:val="FFFFFF" w:themeColor="background1"/>
                <w:sz w:val="20"/>
                <w:szCs w:val="20"/>
                <w:lang w:val="en-GB" w:eastAsia="en-US"/>
              </w:rPr>
            </w:pPr>
            <w:r w:rsidRPr="001A2376">
              <w:rPr>
                <w:rFonts w:cs="Calibri"/>
                <w:b/>
                <w:color w:val="FFFFFF" w:themeColor="background1"/>
                <w:sz w:val="20"/>
                <w:szCs w:val="20"/>
                <w:lang w:val="en-GB" w:eastAsia="en-US"/>
              </w:rPr>
              <w:t>Elementi / parametri za procjenu</w:t>
            </w:r>
          </w:p>
        </w:tc>
        <w:tc>
          <w:tcPr>
            <w:tcW w:w="1829" w:type="dxa"/>
            <w:tcBorders>
              <w:top w:val="single" w:sz="4" w:space="0" w:color="FFFFFF"/>
              <w:left w:val="single" w:sz="4" w:space="0" w:color="FFFFFF"/>
              <w:bottom w:val="single" w:sz="4" w:space="0" w:color="FFFFFF"/>
              <w:right w:val="single" w:sz="4" w:space="0" w:color="FFFFFF"/>
            </w:tcBorders>
            <w:shd w:val="clear" w:color="auto" w:fill="1F497D" w:themeFill="text2"/>
          </w:tcPr>
          <w:p w14:paraId="191A87A1" w14:textId="77777777" w:rsidR="00915515" w:rsidRPr="001A2376" w:rsidRDefault="00915515" w:rsidP="00F86B44">
            <w:pPr>
              <w:autoSpaceDE w:val="0"/>
              <w:autoSpaceDN w:val="0"/>
              <w:adjustRightInd w:val="0"/>
              <w:spacing w:before="0" w:after="0" w:line="240" w:lineRule="auto"/>
              <w:jc w:val="left"/>
              <w:rPr>
                <w:rFonts w:cs="Calibri"/>
                <w:b/>
                <w:color w:val="FFFFFF" w:themeColor="background1"/>
                <w:sz w:val="20"/>
                <w:szCs w:val="20"/>
                <w:lang w:val="en-GB" w:eastAsia="en-US"/>
              </w:rPr>
            </w:pPr>
            <w:r w:rsidRPr="001A2376">
              <w:rPr>
                <w:rFonts w:cs="Calibri"/>
                <w:b/>
                <w:color w:val="FFFFFF" w:themeColor="background1"/>
                <w:sz w:val="20"/>
                <w:szCs w:val="20"/>
                <w:lang w:val="en-GB" w:eastAsia="en-US"/>
              </w:rPr>
              <w:t>Karakteristike</w:t>
            </w:r>
          </w:p>
          <w:p w14:paraId="3B2D5EC1" w14:textId="29D1FD89" w:rsidR="00915515" w:rsidRPr="001A2376" w:rsidRDefault="00915515" w:rsidP="00F86B44">
            <w:pPr>
              <w:autoSpaceDE w:val="0"/>
              <w:autoSpaceDN w:val="0"/>
              <w:adjustRightInd w:val="0"/>
              <w:spacing w:before="0" w:after="0" w:line="240" w:lineRule="auto"/>
              <w:jc w:val="left"/>
              <w:rPr>
                <w:rFonts w:cs="Calibri"/>
                <w:b/>
                <w:color w:val="FFFFFF" w:themeColor="background1"/>
                <w:sz w:val="20"/>
                <w:szCs w:val="20"/>
                <w:lang w:val="en-GB" w:eastAsia="en-US"/>
              </w:rPr>
            </w:pPr>
            <w:r w:rsidRPr="001A2376">
              <w:rPr>
                <w:rFonts w:cs="Calibri"/>
                <w:b/>
                <w:color w:val="FFFFFF" w:themeColor="background1"/>
                <w:sz w:val="20"/>
                <w:szCs w:val="20"/>
                <w:lang w:val="en-GB" w:eastAsia="en-US"/>
              </w:rPr>
              <w:t>(trofična uloga)</w:t>
            </w:r>
          </w:p>
        </w:tc>
        <w:tc>
          <w:tcPr>
            <w:tcW w:w="2991" w:type="dxa"/>
            <w:tcBorders>
              <w:top w:val="single" w:sz="4" w:space="0" w:color="FFFFFF"/>
              <w:left w:val="single" w:sz="4" w:space="0" w:color="FFFFFF"/>
              <w:bottom w:val="single" w:sz="4" w:space="0" w:color="FFFFFF"/>
              <w:right w:val="single" w:sz="4" w:space="0" w:color="FFFFFF"/>
            </w:tcBorders>
            <w:shd w:val="clear" w:color="auto" w:fill="1F497D" w:themeFill="text2"/>
          </w:tcPr>
          <w:p w14:paraId="5698F1B9" w14:textId="7397B4D4" w:rsidR="00915515" w:rsidRPr="001A2376" w:rsidRDefault="00915515" w:rsidP="00F65CFF">
            <w:pPr>
              <w:autoSpaceDE w:val="0"/>
              <w:autoSpaceDN w:val="0"/>
              <w:adjustRightInd w:val="0"/>
              <w:spacing w:before="0" w:after="0" w:line="240" w:lineRule="auto"/>
              <w:rPr>
                <w:rFonts w:cs="Calibri"/>
                <w:b/>
                <w:color w:val="FFFFFF" w:themeColor="background1"/>
                <w:sz w:val="20"/>
                <w:szCs w:val="20"/>
                <w:lang w:val="en-GB" w:eastAsia="en-US"/>
              </w:rPr>
            </w:pPr>
            <w:r w:rsidRPr="001A2376">
              <w:rPr>
                <w:rFonts w:cs="Calibri"/>
                <w:b/>
                <w:color w:val="FFFFFF" w:themeColor="background1"/>
                <w:sz w:val="20"/>
                <w:szCs w:val="20"/>
                <w:lang w:val="en-GB" w:eastAsia="en-US"/>
              </w:rPr>
              <w:t>Indikatori</w:t>
            </w:r>
            <w:r w:rsidR="002515F7" w:rsidRPr="001A2376">
              <w:rPr>
                <w:rFonts w:cs="Calibri"/>
                <w:b/>
                <w:color w:val="FFFFFF" w:themeColor="background1"/>
                <w:sz w:val="20"/>
                <w:szCs w:val="20"/>
                <w:lang w:val="en-GB" w:eastAsia="en-US"/>
              </w:rPr>
              <w:t>/pragovi</w:t>
            </w:r>
          </w:p>
        </w:tc>
      </w:tr>
      <w:tr w:rsidR="00915515" w:rsidRPr="001C6CCA" w14:paraId="73751D76" w14:textId="77777777" w:rsidTr="00BB3EF5">
        <w:tc>
          <w:tcPr>
            <w:tcW w:w="2065" w:type="dxa"/>
            <w:vMerge w:val="restart"/>
            <w:tcBorders>
              <w:top w:val="single" w:sz="4" w:space="0" w:color="FFFFFF"/>
            </w:tcBorders>
          </w:tcPr>
          <w:p w14:paraId="30FCE451" w14:textId="77777777" w:rsidR="00915515" w:rsidRPr="001C6CCA" w:rsidRDefault="00915515" w:rsidP="00F86B44">
            <w:pPr>
              <w:autoSpaceDE w:val="0"/>
              <w:autoSpaceDN w:val="0"/>
              <w:adjustRightInd w:val="0"/>
              <w:spacing w:before="0" w:after="0" w:line="240" w:lineRule="auto"/>
              <w:jc w:val="left"/>
              <w:rPr>
                <w:rFonts w:cs="Calibri"/>
                <w:b/>
                <w:color w:val="000000"/>
                <w:sz w:val="20"/>
                <w:szCs w:val="20"/>
                <w:lang w:val="en-GB" w:eastAsia="en-US"/>
              </w:rPr>
            </w:pPr>
          </w:p>
          <w:p w14:paraId="70CFB5B0" w14:textId="7C2127F7" w:rsidR="00915515" w:rsidRPr="001C6CCA" w:rsidRDefault="00915515" w:rsidP="00F86B44">
            <w:pPr>
              <w:autoSpaceDE w:val="0"/>
              <w:autoSpaceDN w:val="0"/>
              <w:adjustRightInd w:val="0"/>
              <w:spacing w:before="0" w:after="0" w:line="240" w:lineRule="auto"/>
              <w:jc w:val="left"/>
              <w:rPr>
                <w:rFonts w:cs="Calibri"/>
                <w:b/>
                <w:color w:val="000000"/>
                <w:sz w:val="20"/>
                <w:szCs w:val="20"/>
                <w:lang w:val="en-GB" w:eastAsia="en-US"/>
              </w:rPr>
            </w:pPr>
            <w:r w:rsidRPr="001C6CCA">
              <w:rPr>
                <w:rFonts w:cs="Calibri"/>
                <w:b/>
                <w:color w:val="000000"/>
                <w:sz w:val="20"/>
                <w:szCs w:val="20"/>
                <w:lang w:val="en-GB" w:eastAsia="en-US"/>
              </w:rPr>
              <w:t>D4C</w:t>
            </w:r>
            <w:r>
              <w:rPr>
                <w:rFonts w:cs="Calibri"/>
                <w:b/>
                <w:color w:val="000000"/>
                <w:sz w:val="20"/>
                <w:szCs w:val="20"/>
                <w:lang w:val="en-GB" w:eastAsia="en-US"/>
              </w:rPr>
              <w:t>1-Primarni</w:t>
            </w:r>
          </w:p>
          <w:p w14:paraId="6B7A1EF7" w14:textId="7D6AAE45" w:rsidR="00915515" w:rsidRPr="001C6CCA" w:rsidRDefault="00915515" w:rsidP="00F86B44">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Diverzitet</w:t>
            </w:r>
            <w:r w:rsidRPr="00F86B44">
              <w:rPr>
                <w:rFonts w:cs="Calibri"/>
                <w:color w:val="000000"/>
                <w:sz w:val="20"/>
                <w:szCs w:val="20"/>
                <w:lang w:val="en-GB" w:eastAsia="en-US"/>
              </w:rPr>
              <w:t xml:space="preserve"> (sastav vrsta i njihova rel</w:t>
            </w:r>
            <w:r>
              <w:rPr>
                <w:rFonts w:cs="Calibri"/>
                <w:color w:val="000000"/>
                <w:sz w:val="20"/>
                <w:szCs w:val="20"/>
                <w:lang w:val="en-GB" w:eastAsia="en-US"/>
              </w:rPr>
              <w:t>ativna brojnost) trofičke grupe</w:t>
            </w:r>
          </w:p>
        </w:tc>
        <w:tc>
          <w:tcPr>
            <w:tcW w:w="2041" w:type="dxa"/>
            <w:tcBorders>
              <w:top w:val="single" w:sz="4" w:space="0" w:color="FFFFFF"/>
            </w:tcBorders>
          </w:tcPr>
          <w:p w14:paraId="4702D7A6" w14:textId="09A46283" w:rsidR="00915515" w:rsidRPr="001C6CCA" w:rsidRDefault="00915515" w:rsidP="00F86B44">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Udio</w:t>
            </w:r>
            <w:r w:rsidRPr="00F86B44">
              <w:rPr>
                <w:rFonts w:cs="Calibri"/>
                <w:color w:val="000000"/>
                <w:sz w:val="20"/>
                <w:szCs w:val="20"/>
                <w:lang w:val="en-GB" w:eastAsia="en-US"/>
              </w:rPr>
              <w:t xml:space="preserve"> glavnih taksonomskih grupa u ukupnoj popul</w:t>
            </w:r>
            <w:r>
              <w:rPr>
                <w:rFonts w:cs="Calibri"/>
                <w:color w:val="000000"/>
                <w:sz w:val="20"/>
                <w:szCs w:val="20"/>
                <w:lang w:val="en-GB" w:eastAsia="en-US"/>
              </w:rPr>
              <w:t>aciji fitoplanktonske zajednice</w:t>
            </w:r>
          </w:p>
        </w:tc>
        <w:tc>
          <w:tcPr>
            <w:tcW w:w="1829" w:type="dxa"/>
            <w:tcBorders>
              <w:top w:val="single" w:sz="4" w:space="0" w:color="FFFFFF"/>
            </w:tcBorders>
          </w:tcPr>
          <w:p w14:paraId="481AD5C5" w14:textId="05B08CEC" w:rsidR="00915515" w:rsidRDefault="00915515" w:rsidP="00F65CFF">
            <w:pPr>
              <w:autoSpaceDE w:val="0"/>
              <w:autoSpaceDN w:val="0"/>
              <w:adjustRightInd w:val="0"/>
              <w:spacing w:before="0" w:after="0" w:line="240" w:lineRule="auto"/>
              <w:jc w:val="left"/>
              <w:rPr>
                <w:rFonts w:cs="Calibri"/>
                <w:color w:val="000000"/>
                <w:sz w:val="20"/>
                <w:szCs w:val="20"/>
                <w:lang w:val="en-GB" w:eastAsia="en-US"/>
              </w:rPr>
            </w:pPr>
            <w:r w:rsidRPr="00F86B44">
              <w:rPr>
                <w:rFonts w:cs="Calibri"/>
                <w:color w:val="000000"/>
                <w:sz w:val="20"/>
                <w:szCs w:val="20"/>
                <w:lang w:val="en-GB" w:eastAsia="en-US"/>
              </w:rPr>
              <w:t>Primarni proizvođači</w:t>
            </w:r>
          </w:p>
          <w:p w14:paraId="5317E720" w14:textId="096D2E04"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p>
        </w:tc>
        <w:tc>
          <w:tcPr>
            <w:tcW w:w="2991" w:type="dxa"/>
            <w:tcBorders>
              <w:top w:val="single" w:sz="4" w:space="0" w:color="FFFFFF"/>
            </w:tcBorders>
          </w:tcPr>
          <w:p w14:paraId="7720CA30" w14:textId="5CFEC84F" w:rsidR="00915515" w:rsidRDefault="00915515" w:rsidP="007001AA">
            <w:pPr>
              <w:autoSpaceDE w:val="0"/>
              <w:autoSpaceDN w:val="0"/>
              <w:adjustRightInd w:val="0"/>
              <w:spacing w:before="0" w:after="0" w:line="240" w:lineRule="auto"/>
              <w:jc w:val="left"/>
              <w:rPr>
                <w:rFonts w:cs="Calibri"/>
                <w:color w:val="000000"/>
                <w:sz w:val="20"/>
                <w:szCs w:val="20"/>
                <w:lang w:val="en-GB" w:eastAsia="en-US"/>
              </w:rPr>
            </w:pPr>
            <w:r w:rsidRPr="00093973">
              <w:rPr>
                <w:rFonts w:cs="Calibri"/>
                <w:color w:val="000000"/>
                <w:sz w:val="20"/>
                <w:szCs w:val="20"/>
                <w:lang w:val="en-GB" w:eastAsia="en-US"/>
              </w:rPr>
              <w:t>Vr</w:t>
            </w:r>
            <w:r>
              <w:rPr>
                <w:rFonts w:cs="Calibri"/>
                <w:color w:val="000000"/>
                <w:sz w:val="20"/>
                <w:szCs w:val="20"/>
                <w:lang w:val="en-GB" w:eastAsia="en-US"/>
              </w:rPr>
              <w:t>ij</w:t>
            </w:r>
            <w:r w:rsidRPr="00093973">
              <w:rPr>
                <w:rFonts w:cs="Calibri"/>
                <w:color w:val="000000"/>
                <w:sz w:val="20"/>
                <w:szCs w:val="20"/>
                <w:lang w:val="en-GB" w:eastAsia="en-US"/>
              </w:rPr>
              <w:t>ednosti u</w:t>
            </w:r>
            <w:r>
              <w:rPr>
                <w:rFonts w:cs="Calibri"/>
                <w:color w:val="000000"/>
                <w:sz w:val="20"/>
                <w:szCs w:val="20"/>
                <w:lang w:val="en-GB" w:eastAsia="en-US"/>
              </w:rPr>
              <w:t xml:space="preserve"> opsegu  </w:t>
            </w:r>
            <w:r w:rsidRPr="00093973">
              <w:rPr>
                <w:rFonts w:cs="Calibri"/>
                <w:color w:val="000000"/>
                <w:sz w:val="20"/>
                <w:szCs w:val="20"/>
                <w:lang w:val="en-GB" w:eastAsia="en-US"/>
              </w:rPr>
              <w:t xml:space="preserve">višegodišnjih </w:t>
            </w:r>
            <w:r w:rsidRPr="00915515">
              <w:rPr>
                <w:rFonts w:cs="Calibri"/>
                <w:color w:val="000000"/>
                <w:sz w:val="20"/>
                <w:szCs w:val="20"/>
                <w:lang w:val="en-GB" w:eastAsia="en-US"/>
              </w:rPr>
              <w:t>mjerenja</w:t>
            </w:r>
            <w:r w:rsidR="002515F7">
              <w:rPr>
                <w:rFonts w:cs="Calibri"/>
                <w:color w:val="000000"/>
                <w:sz w:val="20"/>
                <w:szCs w:val="20"/>
                <w:lang w:val="en-GB" w:eastAsia="en-US"/>
              </w:rPr>
              <w:t>/</w:t>
            </w:r>
            <w:r w:rsidR="00A73DCA">
              <w:rPr>
                <w:rFonts w:cs="Calibri"/>
                <w:color w:val="000000"/>
                <w:sz w:val="20"/>
                <w:szCs w:val="20"/>
                <w:lang w:val="en-GB" w:eastAsia="en-US"/>
              </w:rPr>
              <w:t xml:space="preserve">stručna procjena </w:t>
            </w:r>
            <w:r>
              <w:rPr>
                <w:rFonts w:cs="Calibri"/>
                <w:color w:val="000000"/>
                <w:sz w:val="20"/>
                <w:szCs w:val="20"/>
                <w:lang w:val="en-GB" w:eastAsia="en-US"/>
              </w:rPr>
              <w:t xml:space="preserve"> </w:t>
            </w:r>
            <w:r w:rsidRPr="00093973">
              <w:rPr>
                <w:rFonts w:cs="Calibri"/>
                <w:color w:val="000000"/>
                <w:sz w:val="20"/>
                <w:szCs w:val="20"/>
                <w:lang w:val="en-GB" w:eastAsia="en-US"/>
              </w:rPr>
              <w:t xml:space="preserve"> </w:t>
            </w:r>
            <w:r w:rsidR="007001AA" w:rsidRPr="00A73DCA">
              <w:rPr>
                <w:rFonts w:cs="Calibri"/>
                <w:color w:val="000000"/>
                <w:sz w:val="20"/>
                <w:szCs w:val="20"/>
                <w:lang w:val="en-GB" w:eastAsia="en-US"/>
              </w:rPr>
              <w:t>prirodnog raspona</w:t>
            </w:r>
            <w:r w:rsidR="007001AA">
              <w:rPr>
                <w:rFonts w:cs="Calibri"/>
                <w:b/>
                <w:color w:val="000000"/>
                <w:sz w:val="20"/>
                <w:szCs w:val="20"/>
                <w:lang w:val="en-GB" w:eastAsia="en-US"/>
              </w:rPr>
              <w:t xml:space="preserve"> </w:t>
            </w:r>
          </w:p>
          <w:p w14:paraId="4D857DAF" w14:textId="03E94BB0" w:rsidR="002515F7" w:rsidRPr="001C6CCA" w:rsidRDefault="002515F7" w:rsidP="007001AA">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Trend</w:t>
            </w:r>
          </w:p>
        </w:tc>
      </w:tr>
      <w:tr w:rsidR="00915515" w:rsidRPr="001C6CCA" w14:paraId="624BAA06" w14:textId="77777777" w:rsidTr="00BB3EF5">
        <w:tc>
          <w:tcPr>
            <w:tcW w:w="2065" w:type="dxa"/>
            <w:vMerge/>
          </w:tcPr>
          <w:p w14:paraId="6EF82DCD" w14:textId="77777777" w:rsidR="00915515" w:rsidRPr="001C6CCA" w:rsidRDefault="00915515" w:rsidP="002229A2">
            <w:pPr>
              <w:spacing w:before="0" w:after="0" w:line="240" w:lineRule="auto"/>
              <w:jc w:val="left"/>
              <w:rPr>
                <w:rFonts w:cs="Calibri"/>
                <w:sz w:val="20"/>
                <w:szCs w:val="20"/>
                <w:lang w:val="en-GB" w:eastAsia="en-US"/>
              </w:rPr>
            </w:pPr>
          </w:p>
        </w:tc>
        <w:tc>
          <w:tcPr>
            <w:tcW w:w="2041" w:type="dxa"/>
          </w:tcPr>
          <w:p w14:paraId="06930DD3" w14:textId="77777777" w:rsidR="00915515" w:rsidRPr="00F86B44" w:rsidRDefault="00915515" w:rsidP="002229A2">
            <w:pPr>
              <w:autoSpaceDE w:val="0"/>
              <w:autoSpaceDN w:val="0"/>
              <w:adjustRightInd w:val="0"/>
              <w:spacing w:before="0" w:after="0" w:line="240" w:lineRule="auto"/>
              <w:jc w:val="left"/>
              <w:rPr>
                <w:rFonts w:cs="Calibri"/>
                <w:color w:val="000000"/>
                <w:sz w:val="20"/>
                <w:szCs w:val="20"/>
                <w:lang w:val="en-GB" w:eastAsia="en-US"/>
              </w:rPr>
            </w:pPr>
            <w:r w:rsidRPr="00F86B44">
              <w:rPr>
                <w:rFonts w:cs="Calibri"/>
                <w:color w:val="000000"/>
                <w:sz w:val="20"/>
                <w:szCs w:val="20"/>
                <w:lang w:val="en-GB" w:eastAsia="en-US"/>
              </w:rPr>
              <w:t>Indeksi biodiverziteta fitoplanktonske zajednice</w:t>
            </w:r>
          </w:p>
          <w:p w14:paraId="42020E14" w14:textId="0C5B2F4A"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p>
        </w:tc>
        <w:tc>
          <w:tcPr>
            <w:tcW w:w="1829" w:type="dxa"/>
          </w:tcPr>
          <w:p w14:paraId="63E2F1CD" w14:textId="77A26413" w:rsidR="00915515" w:rsidRPr="001C6CCA" w:rsidRDefault="00915515" w:rsidP="002515F7">
            <w:pPr>
              <w:autoSpaceDE w:val="0"/>
              <w:autoSpaceDN w:val="0"/>
              <w:adjustRightInd w:val="0"/>
              <w:spacing w:before="0" w:after="0" w:line="240" w:lineRule="auto"/>
              <w:jc w:val="left"/>
              <w:rPr>
                <w:rFonts w:cs="Calibri"/>
                <w:color w:val="000000"/>
                <w:sz w:val="20"/>
                <w:szCs w:val="20"/>
                <w:lang w:val="en-GB" w:eastAsia="en-US"/>
              </w:rPr>
            </w:pPr>
            <w:r w:rsidRPr="00F86B44">
              <w:rPr>
                <w:rFonts w:cs="Calibri"/>
                <w:color w:val="000000"/>
                <w:sz w:val="20"/>
                <w:szCs w:val="20"/>
                <w:lang w:val="en-GB" w:eastAsia="en-US"/>
              </w:rPr>
              <w:t xml:space="preserve">Primarni proizvođači </w:t>
            </w:r>
          </w:p>
        </w:tc>
        <w:tc>
          <w:tcPr>
            <w:tcW w:w="2991" w:type="dxa"/>
          </w:tcPr>
          <w:p w14:paraId="505D7EFF" w14:textId="6742B28E" w:rsidR="002515F7" w:rsidRDefault="00915515" w:rsidP="002515F7">
            <w:pPr>
              <w:autoSpaceDE w:val="0"/>
              <w:autoSpaceDN w:val="0"/>
              <w:adjustRightInd w:val="0"/>
              <w:spacing w:before="0" w:after="0" w:line="240" w:lineRule="auto"/>
              <w:jc w:val="left"/>
              <w:rPr>
                <w:rFonts w:cs="Calibri"/>
                <w:color w:val="000000"/>
                <w:sz w:val="20"/>
                <w:szCs w:val="20"/>
                <w:lang w:val="en-GB" w:eastAsia="en-US"/>
              </w:rPr>
            </w:pPr>
            <w:r w:rsidRPr="00093973">
              <w:rPr>
                <w:rFonts w:cs="Calibri"/>
                <w:color w:val="000000"/>
                <w:sz w:val="20"/>
                <w:szCs w:val="20"/>
                <w:lang w:val="en-GB" w:eastAsia="en-US"/>
              </w:rPr>
              <w:t>Vr</w:t>
            </w:r>
            <w:r>
              <w:rPr>
                <w:rFonts w:cs="Calibri"/>
                <w:color w:val="000000"/>
                <w:sz w:val="20"/>
                <w:szCs w:val="20"/>
                <w:lang w:val="en-GB" w:eastAsia="en-US"/>
              </w:rPr>
              <w:t>ij</w:t>
            </w:r>
            <w:r w:rsidRPr="00093973">
              <w:rPr>
                <w:rFonts w:cs="Calibri"/>
                <w:color w:val="000000"/>
                <w:sz w:val="20"/>
                <w:szCs w:val="20"/>
                <w:lang w:val="en-GB" w:eastAsia="en-US"/>
              </w:rPr>
              <w:t>ednosti u opsegu višegodišnjih m</w:t>
            </w:r>
            <w:r>
              <w:rPr>
                <w:rFonts w:cs="Calibri"/>
                <w:color w:val="000000"/>
                <w:sz w:val="20"/>
                <w:szCs w:val="20"/>
                <w:lang w:val="en-GB" w:eastAsia="en-US"/>
              </w:rPr>
              <w:t>j</w:t>
            </w:r>
            <w:r w:rsidRPr="00093973">
              <w:rPr>
                <w:rFonts w:cs="Calibri"/>
                <w:color w:val="000000"/>
                <w:sz w:val="20"/>
                <w:szCs w:val="20"/>
                <w:lang w:val="en-GB" w:eastAsia="en-US"/>
              </w:rPr>
              <w:t>erenja</w:t>
            </w:r>
            <w:r w:rsidR="002515F7">
              <w:rPr>
                <w:rFonts w:cs="Calibri"/>
                <w:color w:val="000000"/>
                <w:sz w:val="20"/>
                <w:szCs w:val="20"/>
                <w:lang w:val="en-GB" w:eastAsia="en-US"/>
              </w:rPr>
              <w:t>/</w:t>
            </w:r>
            <w:r w:rsidR="00A73DCA">
              <w:rPr>
                <w:rFonts w:cs="Calibri"/>
                <w:color w:val="000000"/>
                <w:sz w:val="20"/>
                <w:szCs w:val="20"/>
                <w:lang w:val="en-GB" w:eastAsia="en-US"/>
              </w:rPr>
              <w:t xml:space="preserve">stručna procjena </w:t>
            </w:r>
            <w:r w:rsidR="002515F7">
              <w:rPr>
                <w:rFonts w:cs="Calibri"/>
                <w:color w:val="000000"/>
                <w:sz w:val="20"/>
                <w:szCs w:val="20"/>
                <w:lang w:val="en-GB" w:eastAsia="en-US"/>
              </w:rPr>
              <w:t>prirodnog raspona</w:t>
            </w:r>
            <w:r w:rsidR="002515F7">
              <w:rPr>
                <w:rFonts w:cs="Calibri"/>
                <w:b/>
                <w:color w:val="000000"/>
                <w:sz w:val="20"/>
                <w:szCs w:val="20"/>
                <w:lang w:val="en-GB" w:eastAsia="en-US"/>
              </w:rPr>
              <w:t xml:space="preserve"> </w:t>
            </w:r>
          </w:p>
          <w:p w14:paraId="3B951C23" w14:textId="3DCE2E4E" w:rsidR="00915515" w:rsidRPr="001C6CCA" w:rsidRDefault="002515F7" w:rsidP="002515F7">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Trend</w:t>
            </w:r>
            <w:r w:rsidRPr="00093973">
              <w:rPr>
                <w:rFonts w:cs="Calibri"/>
                <w:color w:val="000000"/>
                <w:sz w:val="20"/>
                <w:szCs w:val="20"/>
                <w:lang w:val="en-GB" w:eastAsia="en-US"/>
              </w:rPr>
              <w:t xml:space="preserve"> </w:t>
            </w:r>
            <w:r w:rsidR="00915515" w:rsidRPr="00093973">
              <w:rPr>
                <w:rFonts w:cs="Calibri"/>
                <w:color w:val="000000"/>
                <w:sz w:val="20"/>
                <w:szCs w:val="20"/>
                <w:lang w:val="en-GB" w:eastAsia="en-US"/>
              </w:rPr>
              <w:t xml:space="preserve"> </w:t>
            </w:r>
          </w:p>
        </w:tc>
      </w:tr>
      <w:tr w:rsidR="00915515" w:rsidRPr="001C6CCA" w14:paraId="591C2417" w14:textId="77777777" w:rsidTr="00BB3EF5">
        <w:tc>
          <w:tcPr>
            <w:tcW w:w="2065" w:type="dxa"/>
            <w:vMerge/>
          </w:tcPr>
          <w:p w14:paraId="0BC68DA3" w14:textId="77777777" w:rsidR="00915515" w:rsidRPr="001C6CCA" w:rsidRDefault="00915515" w:rsidP="002229A2">
            <w:pPr>
              <w:spacing w:before="0" w:after="0" w:line="240" w:lineRule="auto"/>
              <w:jc w:val="left"/>
              <w:rPr>
                <w:rFonts w:cs="Calibri"/>
                <w:sz w:val="20"/>
                <w:szCs w:val="20"/>
                <w:lang w:val="en-GB" w:eastAsia="en-US"/>
              </w:rPr>
            </w:pPr>
          </w:p>
        </w:tc>
        <w:tc>
          <w:tcPr>
            <w:tcW w:w="2041" w:type="dxa"/>
          </w:tcPr>
          <w:p w14:paraId="5F19EB54" w14:textId="2F27953C" w:rsidR="00915515" w:rsidRPr="00F86B44" w:rsidRDefault="00915515" w:rsidP="002229A2">
            <w:pPr>
              <w:autoSpaceDE w:val="0"/>
              <w:autoSpaceDN w:val="0"/>
              <w:adjustRightInd w:val="0"/>
              <w:spacing w:before="0" w:after="0" w:line="240" w:lineRule="auto"/>
              <w:jc w:val="left"/>
              <w:rPr>
                <w:rFonts w:cs="Calibri"/>
                <w:color w:val="000000"/>
                <w:sz w:val="20"/>
                <w:szCs w:val="20"/>
                <w:lang w:val="en-GB" w:eastAsia="en-US"/>
              </w:rPr>
            </w:pPr>
            <w:r w:rsidRPr="00F86B44">
              <w:rPr>
                <w:rFonts w:cs="Calibri"/>
                <w:color w:val="000000"/>
                <w:sz w:val="20"/>
                <w:szCs w:val="20"/>
                <w:lang w:val="en-GB" w:eastAsia="en-US"/>
              </w:rPr>
              <w:t>Sastav vrsta i indeksi biodiverziteta grupe kopepoda</w:t>
            </w:r>
          </w:p>
          <w:p w14:paraId="5B345771" w14:textId="3F2D25FC"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p>
        </w:tc>
        <w:tc>
          <w:tcPr>
            <w:tcW w:w="1829" w:type="dxa"/>
          </w:tcPr>
          <w:p w14:paraId="7EBA12B3" w14:textId="20A67E98" w:rsidR="00915515" w:rsidRDefault="00915515" w:rsidP="002229A2">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Sekundarni</w:t>
            </w:r>
            <w:r w:rsidRPr="00F86B44">
              <w:rPr>
                <w:rFonts w:cs="Calibri"/>
                <w:color w:val="000000"/>
                <w:sz w:val="20"/>
                <w:szCs w:val="20"/>
                <w:lang w:val="en-GB" w:eastAsia="en-US"/>
              </w:rPr>
              <w:t xml:space="preserve"> proizvođači </w:t>
            </w:r>
          </w:p>
          <w:p w14:paraId="05EE9921" w14:textId="77777777" w:rsidR="00915515" w:rsidRPr="001C6CCA" w:rsidRDefault="00915515" w:rsidP="002229A2">
            <w:pPr>
              <w:autoSpaceDE w:val="0"/>
              <w:autoSpaceDN w:val="0"/>
              <w:adjustRightInd w:val="0"/>
              <w:spacing w:before="0" w:after="0" w:line="240" w:lineRule="auto"/>
              <w:rPr>
                <w:rFonts w:cs="Calibri"/>
                <w:color w:val="000000"/>
                <w:sz w:val="20"/>
                <w:szCs w:val="20"/>
                <w:lang w:val="en-GB" w:eastAsia="en-US"/>
              </w:rPr>
            </w:pPr>
          </w:p>
        </w:tc>
        <w:tc>
          <w:tcPr>
            <w:tcW w:w="2991" w:type="dxa"/>
          </w:tcPr>
          <w:p w14:paraId="3777015A" w14:textId="18F3A55B" w:rsidR="002515F7" w:rsidRDefault="002515F7" w:rsidP="002515F7">
            <w:pPr>
              <w:autoSpaceDE w:val="0"/>
              <w:autoSpaceDN w:val="0"/>
              <w:adjustRightInd w:val="0"/>
              <w:spacing w:before="0" w:after="0" w:line="240" w:lineRule="auto"/>
              <w:jc w:val="left"/>
              <w:rPr>
                <w:rFonts w:cs="Calibri"/>
                <w:color w:val="000000"/>
                <w:sz w:val="20"/>
                <w:szCs w:val="20"/>
                <w:lang w:val="en-GB" w:eastAsia="en-US"/>
              </w:rPr>
            </w:pPr>
            <w:r w:rsidRPr="00093973">
              <w:rPr>
                <w:rFonts w:cs="Calibri"/>
                <w:color w:val="000000"/>
                <w:sz w:val="20"/>
                <w:szCs w:val="20"/>
                <w:lang w:val="en-GB" w:eastAsia="en-US"/>
              </w:rPr>
              <w:t>Vr</w:t>
            </w:r>
            <w:r>
              <w:rPr>
                <w:rFonts w:cs="Calibri"/>
                <w:color w:val="000000"/>
                <w:sz w:val="20"/>
                <w:szCs w:val="20"/>
                <w:lang w:val="en-GB" w:eastAsia="en-US"/>
              </w:rPr>
              <w:t>ij</w:t>
            </w:r>
            <w:r w:rsidRPr="00093973">
              <w:rPr>
                <w:rFonts w:cs="Calibri"/>
                <w:color w:val="000000"/>
                <w:sz w:val="20"/>
                <w:szCs w:val="20"/>
                <w:lang w:val="en-GB" w:eastAsia="en-US"/>
              </w:rPr>
              <w:t>ednosti u opsegu višegodišnjih m</w:t>
            </w:r>
            <w:r>
              <w:rPr>
                <w:rFonts w:cs="Calibri"/>
                <w:color w:val="000000"/>
                <w:sz w:val="20"/>
                <w:szCs w:val="20"/>
                <w:lang w:val="en-GB" w:eastAsia="en-US"/>
              </w:rPr>
              <w:t>j</w:t>
            </w:r>
            <w:r w:rsidRPr="00093973">
              <w:rPr>
                <w:rFonts w:cs="Calibri"/>
                <w:color w:val="000000"/>
                <w:sz w:val="20"/>
                <w:szCs w:val="20"/>
                <w:lang w:val="en-GB" w:eastAsia="en-US"/>
              </w:rPr>
              <w:t>erenja</w:t>
            </w:r>
            <w:r>
              <w:rPr>
                <w:rFonts w:cs="Calibri"/>
                <w:color w:val="000000"/>
                <w:sz w:val="20"/>
                <w:szCs w:val="20"/>
                <w:lang w:val="en-GB" w:eastAsia="en-US"/>
              </w:rPr>
              <w:t>/</w:t>
            </w:r>
            <w:r w:rsidR="00A73DCA">
              <w:rPr>
                <w:rFonts w:cs="Calibri"/>
                <w:color w:val="000000"/>
                <w:sz w:val="20"/>
                <w:szCs w:val="20"/>
                <w:lang w:val="en-GB" w:eastAsia="en-US"/>
              </w:rPr>
              <w:t>stručna procjena</w:t>
            </w:r>
            <w:r>
              <w:rPr>
                <w:rFonts w:cs="Calibri"/>
                <w:color w:val="000000"/>
                <w:sz w:val="20"/>
                <w:szCs w:val="20"/>
                <w:lang w:val="en-GB" w:eastAsia="en-US"/>
              </w:rPr>
              <w:t xml:space="preserve">  prirodnog raspona</w:t>
            </w:r>
            <w:r>
              <w:rPr>
                <w:rFonts w:cs="Calibri"/>
                <w:b/>
                <w:color w:val="000000"/>
                <w:sz w:val="20"/>
                <w:szCs w:val="20"/>
                <w:lang w:val="en-GB" w:eastAsia="en-US"/>
              </w:rPr>
              <w:t xml:space="preserve"> </w:t>
            </w:r>
          </w:p>
          <w:p w14:paraId="05FD3126" w14:textId="18D4EBBE" w:rsidR="006E447D" w:rsidRPr="001C6CCA" w:rsidRDefault="002515F7" w:rsidP="002515F7">
            <w:pPr>
              <w:autoSpaceDE w:val="0"/>
              <w:autoSpaceDN w:val="0"/>
              <w:adjustRightInd w:val="0"/>
              <w:spacing w:before="0" w:after="0" w:line="240" w:lineRule="auto"/>
              <w:rPr>
                <w:rFonts w:cs="Calibri"/>
                <w:color w:val="000000"/>
                <w:sz w:val="20"/>
                <w:szCs w:val="20"/>
                <w:lang w:val="en-GB" w:eastAsia="en-US"/>
              </w:rPr>
            </w:pPr>
            <w:r>
              <w:rPr>
                <w:rFonts w:cs="Calibri"/>
                <w:color w:val="000000"/>
                <w:sz w:val="20"/>
                <w:szCs w:val="20"/>
                <w:lang w:val="en-GB" w:eastAsia="en-US"/>
              </w:rPr>
              <w:t>Trend</w:t>
            </w:r>
            <w:r w:rsidRPr="00093973">
              <w:rPr>
                <w:rFonts w:cs="Calibri"/>
                <w:color w:val="000000"/>
                <w:sz w:val="20"/>
                <w:szCs w:val="20"/>
                <w:lang w:val="en-GB" w:eastAsia="en-US"/>
              </w:rPr>
              <w:t xml:space="preserve">  </w:t>
            </w:r>
          </w:p>
        </w:tc>
      </w:tr>
      <w:tr w:rsidR="00915515" w:rsidRPr="001C6CCA" w14:paraId="65B240A7" w14:textId="77777777" w:rsidTr="00BB3EF5">
        <w:tc>
          <w:tcPr>
            <w:tcW w:w="2065" w:type="dxa"/>
            <w:vMerge w:val="restart"/>
          </w:tcPr>
          <w:p w14:paraId="27A164FE" w14:textId="77777777" w:rsidR="00915515" w:rsidRPr="001C6CCA" w:rsidRDefault="00915515" w:rsidP="002229A2">
            <w:pPr>
              <w:autoSpaceDE w:val="0"/>
              <w:autoSpaceDN w:val="0"/>
              <w:adjustRightInd w:val="0"/>
              <w:spacing w:before="0" w:after="0" w:line="240" w:lineRule="auto"/>
              <w:rPr>
                <w:rFonts w:cs="Calibri"/>
                <w:b/>
                <w:color w:val="000000"/>
                <w:sz w:val="20"/>
                <w:szCs w:val="20"/>
                <w:lang w:val="en-GB" w:eastAsia="en-US"/>
              </w:rPr>
            </w:pPr>
          </w:p>
          <w:p w14:paraId="75AC278E" w14:textId="77777777" w:rsidR="00915515" w:rsidRPr="001C6CCA" w:rsidRDefault="00915515" w:rsidP="002229A2">
            <w:pPr>
              <w:autoSpaceDE w:val="0"/>
              <w:autoSpaceDN w:val="0"/>
              <w:adjustRightInd w:val="0"/>
              <w:spacing w:before="0" w:after="0" w:line="240" w:lineRule="auto"/>
              <w:rPr>
                <w:rFonts w:cs="Calibri"/>
                <w:b/>
                <w:color w:val="000000"/>
                <w:sz w:val="20"/>
                <w:szCs w:val="20"/>
                <w:lang w:val="en-GB" w:eastAsia="en-US"/>
              </w:rPr>
            </w:pPr>
          </w:p>
          <w:p w14:paraId="68767722" w14:textId="77777777" w:rsidR="00915515" w:rsidRPr="001C6CCA" w:rsidRDefault="00915515" w:rsidP="002229A2">
            <w:pPr>
              <w:autoSpaceDE w:val="0"/>
              <w:autoSpaceDN w:val="0"/>
              <w:adjustRightInd w:val="0"/>
              <w:spacing w:before="0" w:after="0" w:line="240" w:lineRule="auto"/>
              <w:rPr>
                <w:rFonts w:cs="Calibri"/>
                <w:b/>
                <w:color w:val="000000"/>
                <w:sz w:val="20"/>
                <w:szCs w:val="20"/>
                <w:lang w:val="en-GB" w:eastAsia="en-US"/>
              </w:rPr>
            </w:pPr>
          </w:p>
          <w:p w14:paraId="23C539A1" w14:textId="77777777" w:rsidR="00915515" w:rsidRPr="001C6CCA" w:rsidRDefault="00915515" w:rsidP="002229A2">
            <w:pPr>
              <w:autoSpaceDE w:val="0"/>
              <w:autoSpaceDN w:val="0"/>
              <w:adjustRightInd w:val="0"/>
              <w:spacing w:before="0" w:after="0" w:line="240" w:lineRule="auto"/>
              <w:rPr>
                <w:rFonts w:cs="Calibri"/>
                <w:b/>
                <w:color w:val="000000"/>
                <w:sz w:val="20"/>
                <w:szCs w:val="20"/>
                <w:lang w:val="en-GB" w:eastAsia="en-US"/>
              </w:rPr>
            </w:pPr>
          </w:p>
          <w:p w14:paraId="6040AD01" w14:textId="77777777" w:rsidR="00915515" w:rsidRPr="001C6CCA" w:rsidRDefault="00915515" w:rsidP="002229A2">
            <w:pPr>
              <w:autoSpaceDE w:val="0"/>
              <w:autoSpaceDN w:val="0"/>
              <w:adjustRightInd w:val="0"/>
              <w:spacing w:before="0" w:after="0" w:line="240" w:lineRule="auto"/>
              <w:rPr>
                <w:rFonts w:cs="Calibri"/>
                <w:b/>
                <w:color w:val="000000"/>
                <w:sz w:val="20"/>
                <w:szCs w:val="20"/>
                <w:lang w:val="en-GB" w:eastAsia="en-US"/>
              </w:rPr>
            </w:pPr>
          </w:p>
          <w:p w14:paraId="2C39DF33" w14:textId="77777777" w:rsidR="00915515" w:rsidRPr="001C6CCA" w:rsidRDefault="00915515" w:rsidP="002229A2">
            <w:pPr>
              <w:autoSpaceDE w:val="0"/>
              <w:autoSpaceDN w:val="0"/>
              <w:adjustRightInd w:val="0"/>
              <w:spacing w:before="0" w:after="0" w:line="240" w:lineRule="auto"/>
              <w:rPr>
                <w:rFonts w:cs="Calibri"/>
                <w:b/>
                <w:color w:val="000000"/>
                <w:sz w:val="20"/>
                <w:szCs w:val="20"/>
                <w:lang w:val="en-GB" w:eastAsia="en-US"/>
              </w:rPr>
            </w:pPr>
          </w:p>
          <w:p w14:paraId="43346737" w14:textId="77777777" w:rsidR="00915515" w:rsidRPr="001C6CCA" w:rsidRDefault="00915515" w:rsidP="002229A2">
            <w:pPr>
              <w:autoSpaceDE w:val="0"/>
              <w:autoSpaceDN w:val="0"/>
              <w:adjustRightInd w:val="0"/>
              <w:spacing w:before="0" w:after="0" w:line="240" w:lineRule="auto"/>
              <w:rPr>
                <w:rFonts w:cs="Calibri"/>
                <w:b/>
                <w:color w:val="000000"/>
                <w:sz w:val="20"/>
                <w:szCs w:val="20"/>
                <w:lang w:val="en-GB" w:eastAsia="en-US"/>
              </w:rPr>
            </w:pPr>
          </w:p>
          <w:p w14:paraId="4C6891F4" w14:textId="77777777" w:rsidR="00915515" w:rsidRPr="001C6CCA" w:rsidRDefault="00915515" w:rsidP="002229A2">
            <w:pPr>
              <w:autoSpaceDE w:val="0"/>
              <w:autoSpaceDN w:val="0"/>
              <w:adjustRightInd w:val="0"/>
              <w:spacing w:before="0" w:after="0" w:line="240" w:lineRule="auto"/>
              <w:rPr>
                <w:rFonts w:cs="Calibri"/>
                <w:b/>
                <w:color w:val="000000"/>
                <w:sz w:val="20"/>
                <w:szCs w:val="20"/>
                <w:lang w:val="en-GB" w:eastAsia="en-US"/>
              </w:rPr>
            </w:pPr>
          </w:p>
          <w:p w14:paraId="62B429D6" w14:textId="77777777" w:rsidR="00915515" w:rsidRPr="001C6CCA" w:rsidRDefault="00915515" w:rsidP="002229A2">
            <w:pPr>
              <w:autoSpaceDE w:val="0"/>
              <w:autoSpaceDN w:val="0"/>
              <w:adjustRightInd w:val="0"/>
              <w:spacing w:before="0" w:after="0" w:line="240" w:lineRule="auto"/>
              <w:rPr>
                <w:rFonts w:cs="Calibri"/>
                <w:b/>
                <w:color w:val="000000"/>
                <w:sz w:val="20"/>
                <w:szCs w:val="20"/>
                <w:lang w:val="en-GB" w:eastAsia="en-US"/>
              </w:rPr>
            </w:pPr>
          </w:p>
          <w:p w14:paraId="34B5DBAC" w14:textId="77777777" w:rsidR="00915515" w:rsidRPr="001C6CCA" w:rsidRDefault="00915515" w:rsidP="002229A2">
            <w:pPr>
              <w:autoSpaceDE w:val="0"/>
              <w:autoSpaceDN w:val="0"/>
              <w:adjustRightInd w:val="0"/>
              <w:spacing w:before="0" w:after="0" w:line="240" w:lineRule="auto"/>
              <w:rPr>
                <w:rFonts w:cs="Calibri"/>
                <w:b/>
                <w:color w:val="000000"/>
                <w:sz w:val="20"/>
                <w:szCs w:val="20"/>
                <w:lang w:val="en-GB" w:eastAsia="en-US"/>
              </w:rPr>
            </w:pPr>
          </w:p>
          <w:p w14:paraId="3FB922A9" w14:textId="77777777" w:rsidR="00915515" w:rsidRPr="001C6CCA" w:rsidRDefault="00915515" w:rsidP="002229A2">
            <w:pPr>
              <w:autoSpaceDE w:val="0"/>
              <w:autoSpaceDN w:val="0"/>
              <w:adjustRightInd w:val="0"/>
              <w:spacing w:before="0" w:after="0" w:line="240" w:lineRule="auto"/>
              <w:rPr>
                <w:rFonts w:cs="Calibri"/>
                <w:b/>
                <w:color w:val="000000"/>
                <w:sz w:val="20"/>
                <w:szCs w:val="20"/>
                <w:lang w:val="en-GB" w:eastAsia="en-US"/>
              </w:rPr>
            </w:pPr>
          </w:p>
          <w:p w14:paraId="3C738AAE" w14:textId="77777777" w:rsidR="00915515" w:rsidRPr="001C6CCA" w:rsidRDefault="00915515" w:rsidP="002229A2">
            <w:pPr>
              <w:autoSpaceDE w:val="0"/>
              <w:autoSpaceDN w:val="0"/>
              <w:adjustRightInd w:val="0"/>
              <w:spacing w:before="0" w:after="0" w:line="240" w:lineRule="auto"/>
              <w:rPr>
                <w:rFonts w:cs="Calibri"/>
                <w:b/>
                <w:color w:val="000000"/>
                <w:sz w:val="20"/>
                <w:szCs w:val="20"/>
                <w:lang w:val="en-GB" w:eastAsia="en-US"/>
              </w:rPr>
            </w:pPr>
          </w:p>
          <w:p w14:paraId="379C1485" w14:textId="77777777" w:rsidR="00915515" w:rsidRPr="001C6CCA" w:rsidRDefault="00915515" w:rsidP="002229A2">
            <w:pPr>
              <w:autoSpaceDE w:val="0"/>
              <w:autoSpaceDN w:val="0"/>
              <w:adjustRightInd w:val="0"/>
              <w:spacing w:before="0" w:after="0" w:line="240" w:lineRule="auto"/>
              <w:rPr>
                <w:rFonts w:cs="Calibri"/>
                <w:b/>
                <w:color w:val="000000"/>
                <w:sz w:val="20"/>
                <w:szCs w:val="20"/>
                <w:lang w:val="en-GB" w:eastAsia="en-US"/>
              </w:rPr>
            </w:pPr>
          </w:p>
          <w:p w14:paraId="79CC0DF3" w14:textId="7441BE01" w:rsidR="00915515" w:rsidRPr="001C6CCA" w:rsidRDefault="00915515" w:rsidP="002229A2">
            <w:pPr>
              <w:autoSpaceDE w:val="0"/>
              <w:autoSpaceDN w:val="0"/>
              <w:adjustRightInd w:val="0"/>
              <w:spacing w:before="0" w:after="0" w:line="240" w:lineRule="auto"/>
              <w:jc w:val="left"/>
              <w:rPr>
                <w:rFonts w:cs="Calibri"/>
                <w:b/>
                <w:color w:val="000000"/>
                <w:sz w:val="20"/>
                <w:szCs w:val="20"/>
                <w:lang w:val="en-GB" w:eastAsia="en-US"/>
              </w:rPr>
            </w:pPr>
            <w:r w:rsidRPr="001C6CCA">
              <w:rPr>
                <w:rFonts w:cs="Calibri"/>
                <w:b/>
                <w:color w:val="000000"/>
                <w:sz w:val="20"/>
                <w:szCs w:val="20"/>
                <w:lang w:val="en-GB" w:eastAsia="en-US"/>
              </w:rPr>
              <w:t>D4C2-Primar</w:t>
            </w:r>
            <w:r>
              <w:rPr>
                <w:rFonts w:cs="Calibri"/>
                <w:b/>
                <w:color w:val="000000"/>
                <w:sz w:val="20"/>
                <w:szCs w:val="20"/>
                <w:lang w:val="en-GB" w:eastAsia="en-US"/>
              </w:rPr>
              <w:t>ni</w:t>
            </w:r>
          </w:p>
          <w:p w14:paraId="74A6FACF" w14:textId="5824E2A7" w:rsidR="00915515" w:rsidRPr="00F86B44" w:rsidRDefault="00915515" w:rsidP="002229A2">
            <w:pPr>
              <w:spacing w:after="0" w:line="240" w:lineRule="auto"/>
              <w:jc w:val="left"/>
              <w:rPr>
                <w:rFonts w:cs="Calibri"/>
                <w:color w:val="000000"/>
                <w:sz w:val="20"/>
                <w:szCs w:val="20"/>
                <w:lang w:val="en-GB" w:eastAsia="en-US"/>
              </w:rPr>
            </w:pPr>
            <w:r>
              <w:rPr>
                <w:rFonts w:cs="Calibri"/>
                <w:color w:val="000000"/>
                <w:sz w:val="20"/>
                <w:szCs w:val="20"/>
                <w:lang w:val="en-GB" w:eastAsia="en-US"/>
              </w:rPr>
              <w:t>Ravnoteža</w:t>
            </w:r>
            <w:r w:rsidRPr="00F86B44">
              <w:rPr>
                <w:rFonts w:cs="Calibri"/>
                <w:color w:val="000000"/>
                <w:sz w:val="20"/>
                <w:szCs w:val="20"/>
                <w:lang w:val="en-GB" w:eastAsia="en-US"/>
              </w:rPr>
              <w:t xml:space="preserve"> ukupne brojnosti</w:t>
            </w:r>
            <w:r>
              <w:rPr>
                <w:rFonts w:cs="Calibri"/>
                <w:color w:val="000000"/>
                <w:sz w:val="20"/>
                <w:szCs w:val="20"/>
                <w:lang w:val="en-GB" w:eastAsia="en-US"/>
              </w:rPr>
              <w:t xml:space="preserve">/biomase </w:t>
            </w:r>
            <w:r w:rsidRPr="00F86B44">
              <w:rPr>
                <w:rFonts w:cs="Calibri"/>
                <w:color w:val="000000"/>
                <w:sz w:val="20"/>
                <w:szCs w:val="20"/>
                <w:lang w:val="en-GB" w:eastAsia="en-US"/>
              </w:rPr>
              <w:t>između trofičkih grupa.</w:t>
            </w:r>
          </w:p>
          <w:p w14:paraId="2440291A" w14:textId="77777777"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p>
        </w:tc>
        <w:tc>
          <w:tcPr>
            <w:tcW w:w="2041" w:type="dxa"/>
          </w:tcPr>
          <w:p w14:paraId="7263D72D" w14:textId="007D0BC5" w:rsidR="00915515" w:rsidRDefault="00915515" w:rsidP="002229A2">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Brojnost</w:t>
            </w:r>
            <w:r w:rsidRPr="00F86B44">
              <w:rPr>
                <w:rFonts w:cs="Calibri"/>
                <w:color w:val="000000"/>
                <w:sz w:val="20"/>
                <w:szCs w:val="20"/>
                <w:lang w:val="en-GB" w:eastAsia="en-US"/>
              </w:rPr>
              <w:t xml:space="preserve"> zajednice fitoplanktona</w:t>
            </w:r>
          </w:p>
          <w:p w14:paraId="58393F02" w14:textId="77777777" w:rsidR="00915515" w:rsidRPr="00F86B44" w:rsidRDefault="00915515" w:rsidP="002229A2">
            <w:pPr>
              <w:autoSpaceDE w:val="0"/>
              <w:autoSpaceDN w:val="0"/>
              <w:adjustRightInd w:val="0"/>
              <w:spacing w:before="0" w:after="0" w:line="240" w:lineRule="auto"/>
              <w:jc w:val="left"/>
              <w:rPr>
                <w:rFonts w:cs="Calibri"/>
                <w:color w:val="000000"/>
                <w:sz w:val="20"/>
                <w:szCs w:val="20"/>
                <w:lang w:val="en-GB" w:eastAsia="en-US"/>
              </w:rPr>
            </w:pPr>
          </w:p>
          <w:p w14:paraId="4C758DCE" w14:textId="67F24408"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p>
        </w:tc>
        <w:tc>
          <w:tcPr>
            <w:tcW w:w="1829" w:type="dxa"/>
          </w:tcPr>
          <w:p w14:paraId="54CDFCFD" w14:textId="49B878FF" w:rsidR="00915515" w:rsidRPr="001C6CCA" w:rsidRDefault="00915515" w:rsidP="00A830CA">
            <w:pPr>
              <w:autoSpaceDE w:val="0"/>
              <w:autoSpaceDN w:val="0"/>
              <w:adjustRightInd w:val="0"/>
              <w:spacing w:before="0" w:after="0" w:line="240" w:lineRule="auto"/>
              <w:jc w:val="left"/>
              <w:rPr>
                <w:rFonts w:cs="Calibri"/>
                <w:color w:val="000000"/>
                <w:sz w:val="20"/>
                <w:szCs w:val="20"/>
                <w:lang w:val="en-GB" w:eastAsia="en-US"/>
              </w:rPr>
            </w:pPr>
            <w:r w:rsidRPr="00F86B44">
              <w:rPr>
                <w:rFonts w:cs="Calibri"/>
                <w:color w:val="000000"/>
                <w:sz w:val="20"/>
                <w:szCs w:val="20"/>
                <w:lang w:val="en-GB" w:eastAsia="en-US"/>
              </w:rPr>
              <w:t xml:space="preserve">Primarni proizvođači </w:t>
            </w:r>
          </w:p>
        </w:tc>
        <w:tc>
          <w:tcPr>
            <w:tcW w:w="2991" w:type="dxa"/>
          </w:tcPr>
          <w:p w14:paraId="050AB048" w14:textId="4FEAFE2C" w:rsidR="002515F7" w:rsidRDefault="002515F7" w:rsidP="002515F7">
            <w:pPr>
              <w:autoSpaceDE w:val="0"/>
              <w:autoSpaceDN w:val="0"/>
              <w:adjustRightInd w:val="0"/>
              <w:spacing w:before="0" w:after="0" w:line="240" w:lineRule="auto"/>
              <w:jc w:val="left"/>
              <w:rPr>
                <w:rFonts w:cs="Calibri"/>
                <w:color w:val="000000"/>
                <w:sz w:val="20"/>
                <w:szCs w:val="20"/>
                <w:lang w:val="en-GB" w:eastAsia="en-US"/>
              </w:rPr>
            </w:pPr>
            <w:r w:rsidRPr="00093973">
              <w:rPr>
                <w:rFonts w:cs="Calibri"/>
                <w:color w:val="000000"/>
                <w:sz w:val="20"/>
                <w:szCs w:val="20"/>
                <w:lang w:val="en-GB" w:eastAsia="en-US"/>
              </w:rPr>
              <w:t>Vr</w:t>
            </w:r>
            <w:r>
              <w:rPr>
                <w:rFonts w:cs="Calibri"/>
                <w:color w:val="000000"/>
                <w:sz w:val="20"/>
                <w:szCs w:val="20"/>
                <w:lang w:val="en-GB" w:eastAsia="en-US"/>
              </w:rPr>
              <w:t>ij</w:t>
            </w:r>
            <w:r w:rsidRPr="00093973">
              <w:rPr>
                <w:rFonts w:cs="Calibri"/>
                <w:color w:val="000000"/>
                <w:sz w:val="20"/>
                <w:szCs w:val="20"/>
                <w:lang w:val="en-GB" w:eastAsia="en-US"/>
              </w:rPr>
              <w:t>ednosti u opsegu višegodišnjih m</w:t>
            </w:r>
            <w:r>
              <w:rPr>
                <w:rFonts w:cs="Calibri"/>
                <w:color w:val="000000"/>
                <w:sz w:val="20"/>
                <w:szCs w:val="20"/>
                <w:lang w:val="en-GB" w:eastAsia="en-US"/>
              </w:rPr>
              <w:t>j</w:t>
            </w:r>
            <w:r w:rsidRPr="00093973">
              <w:rPr>
                <w:rFonts w:cs="Calibri"/>
                <w:color w:val="000000"/>
                <w:sz w:val="20"/>
                <w:szCs w:val="20"/>
                <w:lang w:val="en-GB" w:eastAsia="en-US"/>
              </w:rPr>
              <w:t>erenja</w:t>
            </w:r>
            <w:r>
              <w:rPr>
                <w:rFonts w:cs="Calibri"/>
                <w:color w:val="000000"/>
                <w:sz w:val="20"/>
                <w:szCs w:val="20"/>
                <w:lang w:val="en-GB" w:eastAsia="en-US"/>
              </w:rPr>
              <w:t>/</w:t>
            </w:r>
            <w:r w:rsidR="00A73DCA">
              <w:rPr>
                <w:rFonts w:cs="Calibri"/>
                <w:color w:val="000000"/>
                <w:sz w:val="20"/>
                <w:szCs w:val="20"/>
                <w:lang w:val="en-GB" w:eastAsia="en-US"/>
              </w:rPr>
              <w:t xml:space="preserve">stručna procjena </w:t>
            </w:r>
            <w:r>
              <w:rPr>
                <w:rFonts w:cs="Calibri"/>
                <w:color w:val="000000"/>
                <w:sz w:val="20"/>
                <w:szCs w:val="20"/>
                <w:lang w:val="en-GB" w:eastAsia="en-US"/>
              </w:rPr>
              <w:t>prirodnog raspona</w:t>
            </w:r>
            <w:r>
              <w:rPr>
                <w:rFonts w:cs="Calibri"/>
                <w:b/>
                <w:color w:val="000000"/>
                <w:sz w:val="20"/>
                <w:szCs w:val="20"/>
                <w:lang w:val="en-GB" w:eastAsia="en-US"/>
              </w:rPr>
              <w:t xml:space="preserve"> </w:t>
            </w:r>
          </w:p>
          <w:p w14:paraId="338F7C32" w14:textId="06195CDA" w:rsidR="00915515" w:rsidRPr="001C6CCA" w:rsidRDefault="002515F7" w:rsidP="002515F7">
            <w:pPr>
              <w:autoSpaceDE w:val="0"/>
              <w:autoSpaceDN w:val="0"/>
              <w:adjustRightInd w:val="0"/>
              <w:spacing w:before="0" w:after="0" w:line="240" w:lineRule="auto"/>
              <w:rPr>
                <w:rFonts w:cs="Calibri"/>
                <w:color w:val="000000"/>
                <w:sz w:val="20"/>
                <w:szCs w:val="20"/>
                <w:lang w:val="en-GB" w:eastAsia="en-US"/>
              </w:rPr>
            </w:pPr>
            <w:r>
              <w:rPr>
                <w:rFonts w:cs="Calibri"/>
                <w:color w:val="000000"/>
                <w:sz w:val="20"/>
                <w:szCs w:val="20"/>
                <w:lang w:val="en-GB" w:eastAsia="en-US"/>
              </w:rPr>
              <w:t>Trend</w:t>
            </w:r>
            <w:r w:rsidRPr="00093973">
              <w:rPr>
                <w:rFonts w:cs="Calibri"/>
                <w:color w:val="000000"/>
                <w:sz w:val="20"/>
                <w:szCs w:val="20"/>
                <w:lang w:val="en-GB" w:eastAsia="en-US"/>
              </w:rPr>
              <w:t xml:space="preserve">  </w:t>
            </w:r>
          </w:p>
        </w:tc>
      </w:tr>
      <w:tr w:rsidR="00915515" w:rsidRPr="001C6CCA" w14:paraId="5E92AD83" w14:textId="77777777" w:rsidTr="00BB3EF5">
        <w:tc>
          <w:tcPr>
            <w:tcW w:w="2065" w:type="dxa"/>
            <w:vMerge/>
          </w:tcPr>
          <w:p w14:paraId="0267350B" w14:textId="77777777" w:rsidR="00915515" w:rsidRPr="001C6CCA" w:rsidRDefault="00915515" w:rsidP="002229A2">
            <w:pPr>
              <w:autoSpaceDE w:val="0"/>
              <w:autoSpaceDN w:val="0"/>
              <w:adjustRightInd w:val="0"/>
              <w:spacing w:before="0" w:after="0" w:line="240" w:lineRule="auto"/>
              <w:rPr>
                <w:rFonts w:cs="Calibri"/>
                <w:color w:val="000000"/>
                <w:sz w:val="20"/>
                <w:szCs w:val="20"/>
                <w:lang w:val="en-GB" w:eastAsia="en-US"/>
              </w:rPr>
            </w:pPr>
          </w:p>
        </w:tc>
        <w:tc>
          <w:tcPr>
            <w:tcW w:w="2041" w:type="dxa"/>
          </w:tcPr>
          <w:p w14:paraId="3E28E683" w14:textId="77777777" w:rsidR="00915515" w:rsidRPr="00F86B44" w:rsidRDefault="00915515" w:rsidP="002229A2">
            <w:pPr>
              <w:autoSpaceDE w:val="0"/>
              <w:autoSpaceDN w:val="0"/>
              <w:adjustRightInd w:val="0"/>
              <w:spacing w:before="0" w:after="0" w:line="240" w:lineRule="auto"/>
              <w:jc w:val="left"/>
              <w:rPr>
                <w:rFonts w:cs="Calibri"/>
                <w:color w:val="000000"/>
                <w:sz w:val="20"/>
                <w:szCs w:val="20"/>
                <w:lang w:val="en-GB" w:eastAsia="en-US"/>
              </w:rPr>
            </w:pPr>
            <w:r w:rsidRPr="00F86B44">
              <w:rPr>
                <w:rFonts w:cs="Calibri"/>
                <w:color w:val="000000"/>
                <w:sz w:val="20"/>
                <w:szCs w:val="20"/>
                <w:lang w:val="en-GB" w:eastAsia="en-US"/>
              </w:rPr>
              <w:t>Koncentracija hlorofila a</w:t>
            </w:r>
          </w:p>
          <w:p w14:paraId="4C6A8976" w14:textId="4F3D5A45"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p>
        </w:tc>
        <w:tc>
          <w:tcPr>
            <w:tcW w:w="1829" w:type="dxa"/>
          </w:tcPr>
          <w:p w14:paraId="2E2862FD" w14:textId="65374F02" w:rsidR="00915515" w:rsidRPr="001C6CCA" w:rsidRDefault="00915515" w:rsidP="00A830CA">
            <w:pPr>
              <w:autoSpaceDE w:val="0"/>
              <w:autoSpaceDN w:val="0"/>
              <w:adjustRightInd w:val="0"/>
              <w:spacing w:before="0" w:after="0" w:line="240" w:lineRule="auto"/>
              <w:jc w:val="left"/>
              <w:rPr>
                <w:rFonts w:cs="Calibri"/>
                <w:color w:val="000000"/>
                <w:sz w:val="20"/>
                <w:szCs w:val="20"/>
                <w:lang w:val="en-GB" w:eastAsia="en-US"/>
              </w:rPr>
            </w:pPr>
            <w:r w:rsidRPr="00F86B44">
              <w:rPr>
                <w:rFonts w:cs="Calibri"/>
                <w:color w:val="000000"/>
                <w:sz w:val="20"/>
                <w:szCs w:val="20"/>
                <w:lang w:val="en-GB" w:eastAsia="en-US"/>
              </w:rPr>
              <w:t xml:space="preserve">Primarni proizvođači </w:t>
            </w:r>
          </w:p>
        </w:tc>
        <w:tc>
          <w:tcPr>
            <w:tcW w:w="2991" w:type="dxa"/>
          </w:tcPr>
          <w:p w14:paraId="6412C258" w14:textId="4602D168" w:rsidR="002515F7" w:rsidRDefault="002515F7" w:rsidP="002515F7">
            <w:pPr>
              <w:autoSpaceDE w:val="0"/>
              <w:autoSpaceDN w:val="0"/>
              <w:adjustRightInd w:val="0"/>
              <w:spacing w:before="0" w:after="0" w:line="240" w:lineRule="auto"/>
              <w:jc w:val="left"/>
              <w:rPr>
                <w:rFonts w:cs="Calibri"/>
                <w:color w:val="000000"/>
                <w:sz w:val="20"/>
                <w:szCs w:val="20"/>
                <w:lang w:val="en-GB" w:eastAsia="en-US"/>
              </w:rPr>
            </w:pPr>
            <w:r w:rsidRPr="00093973">
              <w:rPr>
                <w:rFonts w:cs="Calibri"/>
                <w:color w:val="000000"/>
                <w:sz w:val="20"/>
                <w:szCs w:val="20"/>
                <w:lang w:val="en-GB" w:eastAsia="en-US"/>
              </w:rPr>
              <w:t>Vr</w:t>
            </w:r>
            <w:r>
              <w:rPr>
                <w:rFonts w:cs="Calibri"/>
                <w:color w:val="000000"/>
                <w:sz w:val="20"/>
                <w:szCs w:val="20"/>
                <w:lang w:val="en-GB" w:eastAsia="en-US"/>
              </w:rPr>
              <w:t>ij</w:t>
            </w:r>
            <w:r w:rsidRPr="00093973">
              <w:rPr>
                <w:rFonts w:cs="Calibri"/>
                <w:color w:val="000000"/>
                <w:sz w:val="20"/>
                <w:szCs w:val="20"/>
                <w:lang w:val="en-GB" w:eastAsia="en-US"/>
              </w:rPr>
              <w:t>ednosti u opsegu višegodišnjih m</w:t>
            </w:r>
            <w:r>
              <w:rPr>
                <w:rFonts w:cs="Calibri"/>
                <w:color w:val="000000"/>
                <w:sz w:val="20"/>
                <w:szCs w:val="20"/>
                <w:lang w:val="en-GB" w:eastAsia="en-US"/>
              </w:rPr>
              <w:t>j</w:t>
            </w:r>
            <w:r w:rsidRPr="00093973">
              <w:rPr>
                <w:rFonts w:cs="Calibri"/>
                <w:color w:val="000000"/>
                <w:sz w:val="20"/>
                <w:szCs w:val="20"/>
                <w:lang w:val="en-GB" w:eastAsia="en-US"/>
              </w:rPr>
              <w:t>erenja</w:t>
            </w:r>
            <w:r>
              <w:rPr>
                <w:rFonts w:cs="Calibri"/>
                <w:color w:val="000000"/>
                <w:sz w:val="20"/>
                <w:szCs w:val="20"/>
                <w:lang w:val="en-GB" w:eastAsia="en-US"/>
              </w:rPr>
              <w:t>/</w:t>
            </w:r>
            <w:r w:rsidR="00A73DCA">
              <w:rPr>
                <w:rFonts w:cs="Calibri"/>
                <w:color w:val="000000"/>
                <w:sz w:val="20"/>
                <w:szCs w:val="20"/>
                <w:lang w:val="en-GB" w:eastAsia="en-US"/>
              </w:rPr>
              <w:t>stručnaprocjena prirodnog</w:t>
            </w:r>
            <w:r>
              <w:rPr>
                <w:rFonts w:cs="Calibri"/>
                <w:color w:val="000000"/>
                <w:sz w:val="20"/>
                <w:szCs w:val="20"/>
                <w:lang w:val="en-GB" w:eastAsia="en-US"/>
              </w:rPr>
              <w:t>raspona</w:t>
            </w:r>
            <w:r>
              <w:rPr>
                <w:rFonts w:cs="Calibri"/>
                <w:b/>
                <w:color w:val="000000"/>
                <w:sz w:val="20"/>
                <w:szCs w:val="20"/>
                <w:lang w:val="en-GB" w:eastAsia="en-US"/>
              </w:rPr>
              <w:t xml:space="preserve"> </w:t>
            </w:r>
          </w:p>
          <w:p w14:paraId="3173223C" w14:textId="3EB68B4D" w:rsidR="00915515" w:rsidRPr="001C6CCA" w:rsidRDefault="002515F7" w:rsidP="002515F7">
            <w:pPr>
              <w:autoSpaceDE w:val="0"/>
              <w:autoSpaceDN w:val="0"/>
              <w:adjustRightInd w:val="0"/>
              <w:spacing w:before="0" w:after="0" w:line="240" w:lineRule="auto"/>
              <w:rPr>
                <w:rFonts w:cs="Calibri"/>
                <w:color w:val="000000"/>
                <w:sz w:val="20"/>
                <w:szCs w:val="20"/>
                <w:lang w:val="en-GB" w:eastAsia="en-US"/>
              </w:rPr>
            </w:pPr>
            <w:r>
              <w:rPr>
                <w:rFonts w:cs="Calibri"/>
                <w:color w:val="000000"/>
                <w:sz w:val="20"/>
                <w:szCs w:val="20"/>
                <w:lang w:val="en-GB" w:eastAsia="en-US"/>
              </w:rPr>
              <w:t>Trend</w:t>
            </w:r>
            <w:r w:rsidRPr="00093973">
              <w:rPr>
                <w:rFonts w:cs="Calibri"/>
                <w:color w:val="000000"/>
                <w:sz w:val="20"/>
                <w:szCs w:val="20"/>
                <w:lang w:val="en-GB" w:eastAsia="en-US"/>
              </w:rPr>
              <w:t xml:space="preserve">  </w:t>
            </w:r>
          </w:p>
        </w:tc>
      </w:tr>
      <w:tr w:rsidR="00915515" w:rsidRPr="001C6CCA" w14:paraId="18404A4D" w14:textId="77777777" w:rsidTr="00BB3EF5">
        <w:tc>
          <w:tcPr>
            <w:tcW w:w="2065" w:type="dxa"/>
            <w:vMerge/>
          </w:tcPr>
          <w:p w14:paraId="3C175148" w14:textId="77777777" w:rsidR="00915515" w:rsidRPr="001C6CCA" w:rsidRDefault="00915515" w:rsidP="002229A2">
            <w:pPr>
              <w:autoSpaceDE w:val="0"/>
              <w:autoSpaceDN w:val="0"/>
              <w:adjustRightInd w:val="0"/>
              <w:spacing w:before="0" w:after="0" w:line="240" w:lineRule="auto"/>
              <w:rPr>
                <w:rFonts w:cs="Calibri"/>
                <w:color w:val="000000"/>
                <w:sz w:val="20"/>
                <w:szCs w:val="20"/>
                <w:lang w:val="en-GB" w:eastAsia="en-US"/>
              </w:rPr>
            </w:pPr>
          </w:p>
        </w:tc>
        <w:tc>
          <w:tcPr>
            <w:tcW w:w="2041" w:type="dxa"/>
          </w:tcPr>
          <w:p w14:paraId="2AD88D7E" w14:textId="77777777" w:rsidR="00915515" w:rsidRPr="00F86B44" w:rsidRDefault="00915515" w:rsidP="002229A2">
            <w:pPr>
              <w:autoSpaceDE w:val="0"/>
              <w:autoSpaceDN w:val="0"/>
              <w:adjustRightInd w:val="0"/>
              <w:spacing w:before="0" w:after="0" w:line="240" w:lineRule="auto"/>
              <w:jc w:val="left"/>
              <w:rPr>
                <w:rFonts w:cs="Calibri"/>
                <w:color w:val="000000"/>
                <w:sz w:val="20"/>
                <w:szCs w:val="20"/>
                <w:lang w:val="en-GB" w:eastAsia="en-US"/>
              </w:rPr>
            </w:pPr>
            <w:r w:rsidRPr="00F86B44">
              <w:rPr>
                <w:rFonts w:cs="Calibri"/>
                <w:color w:val="000000"/>
                <w:sz w:val="20"/>
                <w:szCs w:val="20"/>
                <w:lang w:val="en-GB" w:eastAsia="en-US"/>
              </w:rPr>
              <w:t>Ukupna brojnost mezozooplanktona</w:t>
            </w:r>
          </w:p>
          <w:p w14:paraId="65961710" w14:textId="61FF1DCD"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p>
        </w:tc>
        <w:tc>
          <w:tcPr>
            <w:tcW w:w="1829" w:type="dxa"/>
          </w:tcPr>
          <w:p w14:paraId="10B52902" w14:textId="110E142C" w:rsidR="00915515" w:rsidRPr="001C6CCA" w:rsidRDefault="00915515" w:rsidP="00A830CA">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Sekundarni</w:t>
            </w:r>
            <w:r w:rsidRPr="00F86B44">
              <w:rPr>
                <w:rFonts w:cs="Calibri"/>
                <w:color w:val="000000"/>
                <w:sz w:val="20"/>
                <w:szCs w:val="20"/>
                <w:lang w:val="en-GB" w:eastAsia="en-US"/>
              </w:rPr>
              <w:t xml:space="preserve"> proizvođači </w:t>
            </w:r>
          </w:p>
        </w:tc>
        <w:tc>
          <w:tcPr>
            <w:tcW w:w="2991" w:type="dxa"/>
          </w:tcPr>
          <w:p w14:paraId="4823DAFF" w14:textId="6A4A807D" w:rsidR="002515F7" w:rsidRDefault="002515F7" w:rsidP="002515F7">
            <w:pPr>
              <w:autoSpaceDE w:val="0"/>
              <w:autoSpaceDN w:val="0"/>
              <w:adjustRightInd w:val="0"/>
              <w:spacing w:before="0" w:after="0" w:line="240" w:lineRule="auto"/>
              <w:jc w:val="left"/>
              <w:rPr>
                <w:rFonts w:cs="Calibri"/>
                <w:color w:val="000000"/>
                <w:sz w:val="20"/>
                <w:szCs w:val="20"/>
                <w:lang w:val="en-GB" w:eastAsia="en-US"/>
              </w:rPr>
            </w:pPr>
            <w:r w:rsidRPr="00093973">
              <w:rPr>
                <w:rFonts w:cs="Calibri"/>
                <w:color w:val="000000"/>
                <w:sz w:val="20"/>
                <w:szCs w:val="20"/>
                <w:lang w:val="en-GB" w:eastAsia="en-US"/>
              </w:rPr>
              <w:t>Vr</w:t>
            </w:r>
            <w:r>
              <w:rPr>
                <w:rFonts w:cs="Calibri"/>
                <w:color w:val="000000"/>
                <w:sz w:val="20"/>
                <w:szCs w:val="20"/>
                <w:lang w:val="en-GB" w:eastAsia="en-US"/>
              </w:rPr>
              <w:t>ij</w:t>
            </w:r>
            <w:r w:rsidRPr="00093973">
              <w:rPr>
                <w:rFonts w:cs="Calibri"/>
                <w:color w:val="000000"/>
                <w:sz w:val="20"/>
                <w:szCs w:val="20"/>
                <w:lang w:val="en-GB" w:eastAsia="en-US"/>
              </w:rPr>
              <w:t>ednosti u opsegu višegodišnjih m</w:t>
            </w:r>
            <w:r>
              <w:rPr>
                <w:rFonts w:cs="Calibri"/>
                <w:color w:val="000000"/>
                <w:sz w:val="20"/>
                <w:szCs w:val="20"/>
                <w:lang w:val="en-GB" w:eastAsia="en-US"/>
              </w:rPr>
              <w:t>j</w:t>
            </w:r>
            <w:r w:rsidRPr="00093973">
              <w:rPr>
                <w:rFonts w:cs="Calibri"/>
                <w:color w:val="000000"/>
                <w:sz w:val="20"/>
                <w:szCs w:val="20"/>
                <w:lang w:val="en-GB" w:eastAsia="en-US"/>
              </w:rPr>
              <w:t>erenja</w:t>
            </w:r>
            <w:r>
              <w:rPr>
                <w:rFonts w:cs="Calibri"/>
                <w:color w:val="000000"/>
                <w:sz w:val="20"/>
                <w:szCs w:val="20"/>
                <w:lang w:val="en-GB" w:eastAsia="en-US"/>
              </w:rPr>
              <w:t>/</w:t>
            </w:r>
            <w:r w:rsidR="00A73DCA">
              <w:rPr>
                <w:rFonts w:cs="Calibri"/>
                <w:color w:val="000000"/>
                <w:sz w:val="20"/>
                <w:szCs w:val="20"/>
                <w:lang w:val="en-GB" w:eastAsia="en-US"/>
              </w:rPr>
              <w:t>stručna procjena</w:t>
            </w:r>
            <w:r>
              <w:rPr>
                <w:rFonts w:cs="Calibri"/>
                <w:color w:val="000000"/>
                <w:sz w:val="20"/>
                <w:szCs w:val="20"/>
                <w:lang w:val="en-GB" w:eastAsia="en-US"/>
              </w:rPr>
              <w:t xml:space="preserve"> prirodnog raspona</w:t>
            </w:r>
            <w:r>
              <w:rPr>
                <w:rFonts w:cs="Calibri"/>
                <w:b/>
                <w:color w:val="000000"/>
                <w:sz w:val="20"/>
                <w:szCs w:val="20"/>
                <w:lang w:val="en-GB" w:eastAsia="en-US"/>
              </w:rPr>
              <w:t xml:space="preserve"> </w:t>
            </w:r>
          </w:p>
          <w:p w14:paraId="5275005F" w14:textId="22953477" w:rsidR="00915515" w:rsidRPr="001C6CCA" w:rsidRDefault="002515F7" w:rsidP="002515F7">
            <w:pPr>
              <w:autoSpaceDE w:val="0"/>
              <w:autoSpaceDN w:val="0"/>
              <w:adjustRightInd w:val="0"/>
              <w:spacing w:before="0" w:after="0" w:line="240" w:lineRule="auto"/>
              <w:rPr>
                <w:rFonts w:cs="Calibri"/>
                <w:color w:val="000000"/>
                <w:sz w:val="20"/>
                <w:szCs w:val="20"/>
                <w:lang w:val="en-GB" w:eastAsia="en-US"/>
              </w:rPr>
            </w:pPr>
            <w:r>
              <w:rPr>
                <w:rFonts w:cs="Calibri"/>
                <w:color w:val="000000"/>
                <w:sz w:val="20"/>
                <w:szCs w:val="20"/>
                <w:lang w:val="en-GB" w:eastAsia="en-US"/>
              </w:rPr>
              <w:t>Trend</w:t>
            </w:r>
            <w:r w:rsidRPr="00093973">
              <w:rPr>
                <w:rFonts w:cs="Calibri"/>
                <w:color w:val="000000"/>
                <w:sz w:val="20"/>
                <w:szCs w:val="20"/>
                <w:lang w:val="en-GB" w:eastAsia="en-US"/>
              </w:rPr>
              <w:t xml:space="preserve">  </w:t>
            </w:r>
          </w:p>
        </w:tc>
      </w:tr>
      <w:tr w:rsidR="00915515" w:rsidRPr="001C6CCA" w14:paraId="3068BFC1" w14:textId="77777777" w:rsidTr="00BB3EF5">
        <w:tc>
          <w:tcPr>
            <w:tcW w:w="2065" w:type="dxa"/>
            <w:vMerge/>
          </w:tcPr>
          <w:p w14:paraId="756F29EF" w14:textId="77777777" w:rsidR="00915515" w:rsidRPr="001C6CCA" w:rsidRDefault="00915515" w:rsidP="002229A2">
            <w:pPr>
              <w:autoSpaceDE w:val="0"/>
              <w:autoSpaceDN w:val="0"/>
              <w:adjustRightInd w:val="0"/>
              <w:spacing w:before="0" w:after="0" w:line="240" w:lineRule="auto"/>
              <w:rPr>
                <w:rFonts w:cs="Calibri"/>
                <w:color w:val="000000"/>
                <w:sz w:val="20"/>
                <w:szCs w:val="20"/>
                <w:lang w:val="en-GB" w:eastAsia="en-US"/>
              </w:rPr>
            </w:pPr>
          </w:p>
        </w:tc>
        <w:tc>
          <w:tcPr>
            <w:tcW w:w="2041" w:type="dxa"/>
          </w:tcPr>
          <w:p w14:paraId="270CCFCB" w14:textId="77777777" w:rsidR="00915515" w:rsidRPr="00F86B44" w:rsidRDefault="00915515" w:rsidP="002229A2">
            <w:pPr>
              <w:autoSpaceDE w:val="0"/>
              <w:autoSpaceDN w:val="0"/>
              <w:adjustRightInd w:val="0"/>
              <w:spacing w:before="0" w:after="0" w:line="240" w:lineRule="auto"/>
              <w:jc w:val="left"/>
              <w:rPr>
                <w:rFonts w:cs="Calibri"/>
                <w:color w:val="000000"/>
                <w:sz w:val="20"/>
                <w:szCs w:val="20"/>
                <w:lang w:val="en-GB" w:eastAsia="en-US"/>
              </w:rPr>
            </w:pPr>
            <w:r w:rsidRPr="00F86B44">
              <w:rPr>
                <w:rFonts w:cs="Calibri"/>
                <w:color w:val="000000"/>
                <w:sz w:val="20"/>
                <w:szCs w:val="20"/>
                <w:lang w:val="en-GB" w:eastAsia="en-US"/>
              </w:rPr>
              <w:t>Ukupan broj kopepoda</w:t>
            </w:r>
          </w:p>
          <w:p w14:paraId="44A8BE58" w14:textId="19E28BD9"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p>
        </w:tc>
        <w:tc>
          <w:tcPr>
            <w:tcW w:w="1829" w:type="dxa"/>
          </w:tcPr>
          <w:p w14:paraId="2CE2FF69" w14:textId="730330BB" w:rsidR="00915515" w:rsidRDefault="00915515" w:rsidP="002229A2">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Sekundarni</w:t>
            </w:r>
            <w:r w:rsidRPr="00F86B44">
              <w:rPr>
                <w:rFonts w:cs="Calibri"/>
                <w:color w:val="000000"/>
                <w:sz w:val="20"/>
                <w:szCs w:val="20"/>
                <w:lang w:val="en-GB" w:eastAsia="en-US"/>
              </w:rPr>
              <w:t xml:space="preserve"> proizvođači </w:t>
            </w:r>
          </w:p>
          <w:p w14:paraId="2216DC07" w14:textId="478AA4D9" w:rsidR="00915515" w:rsidRPr="001C6CCA" w:rsidRDefault="00915515" w:rsidP="002229A2">
            <w:pPr>
              <w:autoSpaceDE w:val="0"/>
              <w:autoSpaceDN w:val="0"/>
              <w:adjustRightInd w:val="0"/>
              <w:spacing w:before="0" w:after="0" w:line="240" w:lineRule="auto"/>
              <w:rPr>
                <w:rFonts w:cs="Calibri"/>
                <w:color w:val="000000"/>
                <w:sz w:val="20"/>
                <w:szCs w:val="20"/>
                <w:lang w:val="en-GB" w:eastAsia="en-US"/>
              </w:rPr>
            </w:pPr>
          </w:p>
        </w:tc>
        <w:tc>
          <w:tcPr>
            <w:tcW w:w="2991" w:type="dxa"/>
          </w:tcPr>
          <w:p w14:paraId="2BA34947" w14:textId="0B3AE238" w:rsidR="002515F7" w:rsidRDefault="002515F7" w:rsidP="002515F7">
            <w:pPr>
              <w:autoSpaceDE w:val="0"/>
              <w:autoSpaceDN w:val="0"/>
              <w:adjustRightInd w:val="0"/>
              <w:spacing w:before="0" w:after="0" w:line="240" w:lineRule="auto"/>
              <w:jc w:val="left"/>
              <w:rPr>
                <w:rFonts w:cs="Calibri"/>
                <w:color w:val="000000"/>
                <w:sz w:val="20"/>
                <w:szCs w:val="20"/>
                <w:lang w:val="en-GB" w:eastAsia="en-US"/>
              </w:rPr>
            </w:pPr>
            <w:r w:rsidRPr="00093973">
              <w:rPr>
                <w:rFonts w:cs="Calibri"/>
                <w:color w:val="000000"/>
                <w:sz w:val="20"/>
                <w:szCs w:val="20"/>
                <w:lang w:val="en-GB" w:eastAsia="en-US"/>
              </w:rPr>
              <w:t>Vr</w:t>
            </w:r>
            <w:r>
              <w:rPr>
                <w:rFonts w:cs="Calibri"/>
                <w:color w:val="000000"/>
                <w:sz w:val="20"/>
                <w:szCs w:val="20"/>
                <w:lang w:val="en-GB" w:eastAsia="en-US"/>
              </w:rPr>
              <w:t>ij</w:t>
            </w:r>
            <w:r w:rsidRPr="00093973">
              <w:rPr>
                <w:rFonts w:cs="Calibri"/>
                <w:color w:val="000000"/>
                <w:sz w:val="20"/>
                <w:szCs w:val="20"/>
                <w:lang w:val="en-GB" w:eastAsia="en-US"/>
              </w:rPr>
              <w:t>ednosti u opsegu višegodišnjih m</w:t>
            </w:r>
            <w:r>
              <w:rPr>
                <w:rFonts w:cs="Calibri"/>
                <w:color w:val="000000"/>
                <w:sz w:val="20"/>
                <w:szCs w:val="20"/>
                <w:lang w:val="en-GB" w:eastAsia="en-US"/>
              </w:rPr>
              <w:t>j</w:t>
            </w:r>
            <w:r w:rsidRPr="00093973">
              <w:rPr>
                <w:rFonts w:cs="Calibri"/>
                <w:color w:val="000000"/>
                <w:sz w:val="20"/>
                <w:szCs w:val="20"/>
                <w:lang w:val="en-GB" w:eastAsia="en-US"/>
              </w:rPr>
              <w:t>erenja</w:t>
            </w:r>
            <w:r>
              <w:rPr>
                <w:rFonts w:cs="Calibri"/>
                <w:color w:val="000000"/>
                <w:sz w:val="20"/>
                <w:szCs w:val="20"/>
                <w:lang w:val="en-GB" w:eastAsia="en-US"/>
              </w:rPr>
              <w:t>/</w:t>
            </w:r>
            <w:r w:rsidR="00A73DCA">
              <w:rPr>
                <w:rFonts w:cs="Calibri"/>
                <w:color w:val="000000"/>
                <w:sz w:val="20"/>
                <w:szCs w:val="20"/>
                <w:lang w:val="en-GB" w:eastAsia="en-US"/>
              </w:rPr>
              <w:t>stručna procjena prirodnog</w:t>
            </w:r>
            <w:r w:rsidR="00DC1266">
              <w:rPr>
                <w:rFonts w:cs="Calibri"/>
                <w:color w:val="000000"/>
                <w:sz w:val="20"/>
                <w:szCs w:val="20"/>
                <w:lang w:val="en-GB" w:eastAsia="en-US"/>
              </w:rPr>
              <w:t xml:space="preserve"> </w:t>
            </w:r>
            <w:r>
              <w:rPr>
                <w:rFonts w:cs="Calibri"/>
                <w:color w:val="000000"/>
                <w:sz w:val="20"/>
                <w:szCs w:val="20"/>
                <w:lang w:val="en-GB" w:eastAsia="en-US"/>
              </w:rPr>
              <w:t>raspona</w:t>
            </w:r>
            <w:r>
              <w:rPr>
                <w:rFonts w:cs="Calibri"/>
                <w:b/>
                <w:color w:val="000000"/>
                <w:sz w:val="20"/>
                <w:szCs w:val="20"/>
                <w:lang w:val="en-GB" w:eastAsia="en-US"/>
              </w:rPr>
              <w:t xml:space="preserve"> </w:t>
            </w:r>
          </w:p>
          <w:p w14:paraId="44944ED7" w14:textId="323EF6CB" w:rsidR="00915515" w:rsidRPr="001C6CCA" w:rsidRDefault="002515F7" w:rsidP="002515F7">
            <w:pPr>
              <w:autoSpaceDE w:val="0"/>
              <w:autoSpaceDN w:val="0"/>
              <w:adjustRightInd w:val="0"/>
              <w:spacing w:before="0" w:after="0" w:line="240" w:lineRule="auto"/>
              <w:rPr>
                <w:rFonts w:cs="Calibri"/>
                <w:color w:val="000000"/>
                <w:sz w:val="20"/>
                <w:szCs w:val="20"/>
                <w:lang w:val="en-GB" w:eastAsia="en-US"/>
              </w:rPr>
            </w:pPr>
            <w:r>
              <w:rPr>
                <w:rFonts w:cs="Calibri"/>
                <w:color w:val="000000"/>
                <w:sz w:val="20"/>
                <w:szCs w:val="20"/>
                <w:lang w:val="en-GB" w:eastAsia="en-US"/>
              </w:rPr>
              <w:t>Trend</w:t>
            </w:r>
            <w:r w:rsidRPr="00093973">
              <w:rPr>
                <w:rFonts w:cs="Calibri"/>
                <w:color w:val="000000"/>
                <w:sz w:val="20"/>
                <w:szCs w:val="20"/>
                <w:lang w:val="en-GB" w:eastAsia="en-US"/>
              </w:rPr>
              <w:t xml:space="preserve">  </w:t>
            </w:r>
          </w:p>
        </w:tc>
      </w:tr>
      <w:tr w:rsidR="00915515" w:rsidRPr="001C6CCA" w14:paraId="6AE0985A" w14:textId="77777777" w:rsidTr="00BB3EF5">
        <w:tc>
          <w:tcPr>
            <w:tcW w:w="2065" w:type="dxa"/>
            <w:vMerge/>
          </w:tcPr>
          <w:p w14:paraId="3D91243B" w14:textId="77777777" w:rsidR="00915515" w:rsidRPr="001C6CCA" w:rsidRDefault="00915515" w:rsidP="002229A2">
            <w:pPr>
              <w:autoSpaceDE w:val="0"/>
              <w:autoSpaceDN w:val="0"/>
              <w:adjustRightInd w:val="0"/>
              <w:spacing w:before="0" w:after="0" w:line="240" w:lineRule="auto"/>
              <w:rPr>
                <w:rFonts w:cs="Calibri"/>
                <w:color w:val="000000"/>
                <w:sz w:val="20"/>
                <w:szCs w:val="20"/>
                <w:lang w:val="en-GB" w:eastAsia="en-US"/>
              </w:rPr>
            </w:pPr>
          </w:p>
        </w:tc>
        <w:tc>
          <w:tcPr>
            <w:tcW w:w="2041" w:type="dxa"/>
          </w:tcPr>
          <w:p w14:paraId="6B0977F9" w14:textId="77777777" w:rsidR="00915515" w:rsidRPr="00F86B44" w:rsidRDefault="00915515" w:rsidP="002229A2">
            <w:pPr>
              <w:autoSpaceDE w:val="0"/>
              <w:autoSpaceDN w:val="0"/>
              <w:adjustRightInd w:val="0"/>
              <w:spacing w:before="0" w:after="0" w:line="240" w:lineRule="auto"/>
              <w:jc w:val="left"/>
              <w:rPr>
                <w:rFonts w:cs="Calibri"/>
                <w:color w:val="000000"/>
                <w:sz w:val="20"/>
                <w:szCs w:val="20"/>
                <w:lang w:val="en-GB" w:eastAsia="en-US"/>
              </w:rPr>
            </w:pPr>
            <w:r w:rsidRPr="00F86B44">
              <w:rPr>
                <w:rFonts w:cs="Calibri"/>
                <w:color w:val="000000"/>
                <w:sz w:val="20"/>
                <w:szCs w:val="20"/>
                <w:lang w:val="en-GB" w:eastAsia="en-US"/>
              </w:rPr>
              <w:t>Relativna brojnost mezozooplanktonskih grupa</w:t>
            </w:r>
          </w:p>
          <w:p w14:paraId="0427D277" w14:textId="75836BD2"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p>
        </w:tc>
        <w:tc>
          <w:tcPr>
            <w:tcW w:w="1829" w:type="dxa"/>
          </w:tcPr>
          <w:p w14:paraId="223BE9A8" w14:textId="1EFFE326" w:rsidR="00915515" w:rsidRPr="001C6CCA" w:rsidRDefault="00915515" w:rsidP="002515F7">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Sekundarni</w:t>
            </w:r>
            <w:r w:rsidRPr="00F86B44">
              <w:rPr>
                <w:rFonts w:cs="Calibri"/>
                <w:color w:val="000000"/>
                <w:sz w:val="20"/>
                <w:szCs w:val="20"/>
                <w:lang w:val="en-GB" w:eastAsia="en-US"/>
              </w:rPr>
              <w:t xml:space="preserve"> proizvođači </w:t>
            </w:r>
          </w:p>
        </w:tc>
        <w:tc>
          <w:tcPr>
            <w:tcW w:w="2991" w:type="dxa"/>
          </w:tcPr>
          <w:p w14:paraId="45E358BA" w14:textId="2BDE5190" w:rsidR="002515F7" w:rsidRDefault="002515F7" w:rsidP="002515F7">
            <w:pPr>
              <w:autoSpaceDE w:val="0"/>
              <w:autoSpaceDN w:val="0"/>
              <w:adjustRightInd w:val="0"/>
              <w:spacing w:before="0" w:after="0" w:line="240" w:lineRule="auto"/>
              <w:jc w:val="left"/>
              <w:rPr>
                <w:rFonts w:cs="Calibri"/>
                <w:color w:val="000000"/>
                <w:sz w:val="20"/>
                <w:szCs w:val="20"/>
                <w:lang w:val="en-GB" w:eastAsia="en-US"/>
              </w:rPr>
            </w:pPr>
            <w:r w:rsidRPr="00093973">
              <w:rPr>
                <w:rFonts w:cs="Calibri"/>
                <w:color w:val="000000"/>
                <w:sz w:val="20"/>
                <w:szCs w:val="20"/>
                <w:lang w:val="en-GB" w:eastAsia="en-US"/>
              </w:rPr>
              <w:t>Vr</w:t>
            </w:r>
            <w:r>
              <w:rPr>
                <w:rFonts w:cs="Calibri"/>
                <w:color w:val="000000"/>
                <w:sz w:val="20"/>
                <w:szCs w:val="20"/>
                <w:lang w:val="en-GB" w:eastAsia="en-US"/>
              </w:rPr>
              <w:t>ij</w:t>
            </w:r>
            <w:r w:rsidRPr="00093973">
              <w:rPr>
                <w:rFonts w:cs="Calibri"/>
                <w:color w:val="000000"/>
                <w:sz w:val="20"/>
                <w:szCs w:val="20"/>
                <w:lang w:val="en-GB" w:eastAsia="en-US"/>
              </w:rPr>
              <w:t>ednosti u opsegu višegodišnjih m</w:t>
            </w:r>
            <w:r>
              <w:rPr>
                <w:rFonts w:cs="Calibri"/>
                <w:color w:val="000000"/>
                <w:sz w:val="20"/>
                <w:szCs w:val="20"/>
                <w:lang w:val="en-GB" w:eastAsia="en-US"/>
              </w:rPr>
              <w:t>j</w:t>
            </w:r>
            <w:r w:rsidRPr="00093973">
              <w:rPr>
                <w:rFonts w:cs="Calibri"/>
                <w:color w:val="000000"/>
                <w:sz w:val="20"/>
                <w:szCs w:val="20"/>
                <w:lang w:val="en-GB" w:eastAsia="en-US"/>
              </w:rPr>
              <w:t>erenja</w:t>
            </w:r>
            <w:r>
              <w:rPr>
                <w:rFonts w:cs="Calibri"/>
                <w:color w:val="000000"/>
                <w:sz w:val="20"/>
                <w:szCs w:val="20"/>
                <w:lang w:val="en-GB" w:eastAsia="en-US"/>
              </w:rPr>
              <w:t>/</w:t>
            </w:r>
            <w:r w:rsidR="00DC1266">
              <w:rPr>
                <w:rFonts w:cs="Calibri"/>
                <w:color w:val="000000"/>
                <w:sz w:val="20"/>
                <w:szCs w:val="20"/>
                <w:lang w:val="en-GB" w:eastAsia="en-US"/>
              </w:rPr>
              <w:t>stručna procjena p</w:t>
            </w:r>
            <w:r>
              <w:rPr>
                <w:rFonts w:cs="Calibri"/>
                <w:color w:val="000000"/>
                <w:sz w:val="20"/>
                <w:szCs w:val="20"/>
                <w:lang w:val="en-GB" w:eastAsia="en-US"/>
              </w:rPr>
              <w:t>rirodnog raspona</w:t>
            </w:r>
            <w:r>
              <w:rPr>
                <w:rFonts w:cs="Calibri"/>
                <w:b/>
                <w:color w:val="000000"/>
                <w:sz w:val="20"/>
                <w:szCs w:val="20"/>
                <w:lang w:val="en-GB" w:eastAsia="en-US"/>
              </w:rPr>
              <w:t xml:space="preserve"> </w:t>
            </w:r>
          </w:p>
          <w:p w14:paraId="0CEEFE59" w14:textId="3DCFB6A8" w:rsidR="00915515" w:rsidRPr="001C6CCA" w:rsidRDefault="002515F7" w:rsidP="002515F7">
            <w:pPr>
              <w:autoSpaceDE w:val="0"/>
              <w:autoSpaceDN w:val="0"/>
              <w:adjustRightInd w:val="0"/>
              <w:spacing w:before="0" w:after="0" w:line="240" w:lineRule="auto"/>
              <w:rPr>
                <w:rFonts w:cs="Calibri"/>
                <w:color w:val="000000"/>
                <w:sz w:val="20"/>
                <w:szCs w:val="20"/>
                <w:lang w:val="en-GB" w:eastAsia="en-US"/>
              </w:rPr>
            </w:pPr>
            <w:r>
              <w:rPr>
                <w:rFonts w:cs="Calibri"/>
                <w:color w:val="000000"/>
                <w:sz w:val="20"/>
                <w:szCs w:val="20"/>
                <w:lang w:val="en-GB" w:eastAsia="en-US"/>
              </w:rPr>
              <w:t>Trend</w:t>
            </w:r>
            <w:r w:rsidRPr="00093973">
              <w:rPr>
                <w:rFonts w:cs="Calibri"/>
                <w:color w:val="000000"/>
                <w:sz w:val="20"/>
                <w:szCs w:val="20"/>
                <w:lang w:val="en-GB" w:eastAsia="en-US"/>
              </w:rPr>
              <w:t xml:space="preserve">  </w:t>
            </w:r>
          </w:p>
        </w:tc>
      </w:tr>
      <w:tr w:rsidR="00915515" w:rsidRPr="001C6CCA" w14:paraId="736B4789" w14:textId="77777777" w:rsidTr="00BB3EF5">
        <w:tc>
          <w:tcPr>
            <w:tcW w:w="2065" w:type="dxa"/>
            <w:vMerge/>
          </w:tcPr>
          <w:p w14:paraId="4541B5A6" w14:textId="77777777" w:rsidR="00915515" w:rsidRPr="001C6CCA" w:rsidRDefault="00915515" w:rsidP="002229A2">
            <w:pPr>
              <w:autoSpaceDE w:val="0"/>
              <w:autoSpaceDN w:val="0"/>
              <w:adjustRightInd w:val="0"/>
              <w:spacing w:before="0" w:after="0" w:line="240" w:lineRule="auto"/>
              <w:rPr>
                <w:rFonts w:cs="Calibri"/>
                <w:color w:val="000000"/>
                <w:sz w:val="20"/>
                <w:szCs w:val="20"/>
                <w:lang w:val="en-GB" w:eastAsia="en-US"/>
              </w:rPr>
            </w:pPr>
          </w:p>
        </w:tc>
        <w:tc>
          <w:tcPr>
            <w:tcW w:w="2041" w:type="dxa"/>
          </w:tcPr>
          <w:p w14:paraId="31C6FFCC" w14:textId="77777777" w:rsidR="00915515" w:rsidRPr="00F86B44" w:rsidRDefault="00915515" w:rsidP="002229A2">
            <w:pPr>
              <w:autoSpaceDE w:val="0"/>
              <w:autoSpaceDN w:val="0"/>
              <w:adjustRightInd w:val="0"/>
              <w:spacing w:before="0" w:after="0" w:line="240" w:lineRule="auto"/>
              <w:jc w:val="left"/>
              <w:rPr>
                <w:rFonts w:cs="Calibri"/>
                <w:color w:val="000000"/>
                <w:sz w:val="20"/>
                <w:szCs w:val="20"/>
                <w:lang w:val="en-GB" w:eastAsia="en-US"/>
              </w:rPr>
            </w:pPr>
            <w:r w:rsidRPr="00F86B44">
              <w:rPr>
                <w:rFonts w:cs="Calibri"/>
                <w:color w:val="000000"/>
                <w:sz w:val="20"/>
                <w:szCs w:val="20"/>
                <w:lang w:val="en-GB" w:eastAsia="en-US"/>
              </w:rPr>
              <w:t>Biomasa sardine</w:t>
            </w:r>
          </w:p>
          <w:p w14:paraId="04E26C03" w14:textId="44DABAD9" w:rsidR="00915515" w:rsidRPr="001C6CCA" w:rsidRDefault="00915515" w:rsidP="002229A2">
            <w:pPr>
              <w:autoSpaceDE w:val="0"/>
              <w:autoSpaceDN w:val="0"/>
              <w:adjustRightInd w:val="0"/>
              <w:spacing w:before="0" w:after="0" w:line="240" w:lineRule="auto"/>
              <w:rPr>
                <w:rFonts w:cs="Calibri"/>
                <w:color w:val="000000"/>
                <w:sz w:val="20"/>
                <w:szCs w:val="20"/>
                <w:lang w:val="en-GB" w:eastAsia="en-US"/>
              </w:rPr>
            </w:pPr>
          </w:p>
        </w:tc>
        <w:tc>
          <w:tcPr>
            <w:tcW w:w="1829" w:type="dxa"/>
          </w:tcPr>
          <w:p w14:paraId="6A365FDE" w14:textId="42282B3F"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Plantktivori</w:t>
            </w:r>
          </w:p>
          <w:p w14:paraId="769D0002" w14:textId="3140D388"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p>
        </w:tc>
        <w:tc>
          <w:tcPr>
            <w:tcW w:w="2991" w:type="dxa"/>
          </w:tcPr>
          <w:p w14:paraId="649F11C3" w14:textId="14D78B3F" w:rsidR="002515F7" w:rsidRDefault="002515F7" w:rsidP="002515F7">
            <w:pPr>
              <w:autoSpaceDE w:val="0"/>
              <w:autoSpaceDN w:val="0"/>
              <w:adjustRightInd w:val="0"/>
              <w:spacing w:before="0" w:after="0" w:line="240" w:lineRule="auto"/>
              <w:jc w:val="left"/>
              <w:rPr>
                <w:rFonts w:cs="Calibri"/>
                <w:color w:val="000000"/>
                <w:sz w:val="20"/>
                <w:szCs w:val="20"/>
                <w:lang w:val="en-GB" w:eastAsia="en-US"/>
              </w:rPr>
            </w:pPr>
            <w:r w:rsidRPr="00093973">
              <w:rPr>
                <w:rFonts w:cs="Calibri"/>
                <w:color w:val="000000"/>
                <w:sz w:val="20"/>
                <w:szCs w:val="20"/>
                <w:lang w:val="en-GB" w:eastAsia="en-US"/>
              </w:rPr>
              <w:t>Vr</w:t>
            </w:r>
            <w:r>
              <w:rPr>
                <w:rFonts w:cs="Calibri"/>
                <w:color w:val="000000"/>
                <w:sz w:val="20"/>
                <w:szCs w:val="20"/>
                <w:lang w:val="en-GB" w:eastAsia="en-US"/>
              </w:rPr>
              <w:t>ij</w:t>
            </w:r>
            <w:r w:rsidRPr="00093973">
              <w:rPr>
                <w:rFonts w:cs="Calibri"/>
                <w:color w:val="000000"/>
                <w:sz w:val="20"/>
                <w:szCs w:val="20"/>
                <w:lang w:val="en-GB" w:eastAsia="en-US"/>
              </w:rPr>
              <w:t>ednosti u opsegu višegodišnjih m</w:t>
            </w:r>
            <w:r>
              <w:rPr>
                <w:rFonts w:cs="Calibri"/>
                <w:color w:val="000000"/>
                <w:sz w:val="20"/>
                <w:szCs w:val="20"/>
                <w:lang w:val="en-GB" w:eastAsia="en-US"/>
              </w:rPr>
              <w:t>j</w:t>
            </w:r>
            <w:r w:rsidRPr="00093973">
              <w:rPr>
                <w:rFonts w:cs="Calibri"/>
                <w:color w:val="000000"/>
                <w:sz w:val="20"/>
                <w:szCs w:val="20"/>
                <w:lang w:val="en-GB" w:eastAsia="en-US"/>
              </w:rPr>
              <w:t>erenja</w:t>
            </w:r>
            <w:r>
              <w:rPr>
                <w:rFonts w:cs="Calibri"/>
                <w:color w:val="000000"/>
                <w:sz w:val="20"/>
                <w:szCs w:val="20"/>
                <w:lang w:val="en-GB" w:eastAsia="en-US"/>
              </w:rPr>
              <w:t>/</w:t>
            </w:r>
            <w:r w:rsidR="00DC1266">
              <w:rPr>
                <w:rFonts w:cs="Calibri"/>
                <w:color w:val="000000"/>
                <w:sz w:val="20"/>
                <w:szCs w:val="20"/>
                <w:lang w:val="en-GB" w:eastAsia="en-US"/>
              </w:rPr>
              <w:t>stručna procjena prirodnog raspona</w:t>
            </w:r>
            <w:r>
              <w:rPr>
                <w:rFonts w:cs="Calibri"/>
                <w:b/>
                <w:color w:val="000000"/>
                <w:sz w:val="20"/>
                <w:szCs w:val="20"/>
                <w:lang w:val="en-GB" w:eastAsia="en-US"/>
              </w:rPr>
              <w:t xml:space="preserve"> </w:t>
            </w:r>
          </w:p>
          <w:p w14:paraId="70FFAA50" w14:textId="457951A9" w:rsidR="00915515" w:rsidRPr="001C6CCA" w:rsidRDefault="002515F7" w:rsidP="002515F7">
            <w:pPr>
              <w:autoSpaceDE w:val="0"/>
              <w:autoSpaceDN w:val="0"/>
              <w:adjustRightInd w:val="0"/>
              <w:spacing w:before="0" w:after="0" w:line="240" w:lineRule="auto"/>
              <w:rPr>
                <w:rFonts w:cs="Calibri"/>
                <w:color w:val="000000"/>
                <w:sz w:val="20"/>
                <w:szCs w:val="20"/>
                <w:lang w:val="en-GB" w:eastAsia="en-US"/>
              </w:rPr>
            </w:pPr>
            <w:r>
              <w:rPr>
                <w:rFonts w:cs="Calibri"/>
                <w:color w:val="000000"/>
                <w:sz w:val="20"/>
                <w:szCs w:val="20"/>
                <w:lang w:val="en-GB" w:eastAsia="en-US"/>
              </w:rPr>
              <w:t>Trend</w:t>
            </w:r>
            <w:r w:rsidRPr="00093973">
              <w:rPr>
                <w:rFonts w:cs="Calibri"/>
                <w:color w:val="000000"/>
                <w:sz w:val="20"/>
                <w:szCs w:val="20"/>
                <w:lang w:val="en-GB" w:eastAsia="en-US"/>
              </w:rPr>
              <w:t xml:space="preserve">  </w:t>
            </w:r>
          </w:p>
        </w:tc>
      </w:tr>
      <w:tr w:rsidR="00915515" w:rsidRPr="001C6CCA" w14:paraId="207C6EA2" w14:textId="77777777" w:rsidTr="00BB3EF5">
        <w:tc>
          <w:tcPr>
            <w:tcW w:w="2065" w:type="dxa"/>
            <w:vMerge/>
          </w:tcPr>
          <w:p w14:paraId="75A44FBF" w14:textId="77777777" w:rsidR="00915515" w:rsidRPr="001C6CCA" w:rsidRDefault="00915515" w:rsidP="002229A2">
            <w:pPr>
              <w:autoSpaceDE w:val="0"/>
              <w:autoSpaceDN w:val="0"/>
              <w:adjustRightInd w:val="0"/>
              <w:spacing w:before="0" w:after="0" w:line="240" w:lineRule="auto"/>
              <w:rPr>
                <w:rFonts w:cs="Calibri"/>
                <w:color w:val="000000"/>
                <w:sz w:val="20"/>
                <w:szCs w:val="20"/>
                <w:lang w:val="en-GB" w:eastAsia="en-US"/>
              </w:rPr>
            </w:pPr>
          </w:p>
        </w:tc>
        <w:tc>
          <w:tcPr>
            <w:tcW w:w="2041" w:type="dxa"/>
          </w:tcPr>
          <w:p w14:paraId="092F1D58" w14:textId="77777777" w:rsidR="00915515" w:rsidRPr="00F86B44" w:rsidRDefault="00915515" w:rsidP="002229A2">
            <w:pPr>
              <w:autoSpaceDE w:val="0"/>
              <w:autoSpaceDN w:val="0"/>
              <w:adjustRightInd w:val="0"/>
              <w:spacing w:before="0" w:after="0" w:line="240" w:lineRule="auto"/>
              <w:jc w:val="left"/>
              <w:rPr>
                <w:rFonts w:cs="Calibri"/>
                <w:color w:val="000000"/>
                <w:sz w:val="20"/>
                <w:szCs w:val="20"/>
                <w:lang w:val="en-GB" w:eastAsia="en-US"/>
              </w:rPr>
            </w:pPr>
            <w:r w:rsidRPr="00F86B44">
              <w:rPr>
                <w:rFonts w:cs="Calibri"/>
                <w:color w:val="000000"/>
                <w:sz w:val="20"/>
                <w:szCs w:val="20"/>
                <w:lang w:val="en-GB" w:eastAsia="en-US"/>
              </w:rPr>
              <w:t>Kvota ICCAT</w:t>
            </w:r>
          </w:p>
          <w:p w14:paraId="6F85683F" w14:textId="77777777" w:rsidR="00915515" w:rsidRPr="00F86B44" w:rsidRDefault="00915515" w:rsidP="002229A2">
            <w:pPr>
              <w:autoSpaceDE w:val="0"/>
              <w:autoSpaceDN w:val="0"/>
              <w:adjustRightInd w:val="0"/>
              <w:spacing w:before="0" w:after="0" w:line="240" w:lineRule="auto"/>
              <w:jc w:val="left"/>
              <w:rPr>
                <w:rFonts w:cs="Calibri"/>
                <w:color w:val="000000"/>
                <w:sz w:val="20"/>
                <w:szCs w:val="20"/>
                <w:lang w:val="en-GB" w:eastAsia="en-US"/>
              </w:rPr>
            </w:pPr>
            <w:r w:rsidRPr="00F86B44">
              <w:rPr>
                <w:rFonts w:cs="Calibri"/>
                <w:color w:val="000000"/>
                <w:sz w:val="20"/>
                <w:szCs w:val="20"/>
                <w:lang w:val="en-GB" w:eastAsia="en-US"/>
              </w:rPr>
              <w:t>(izraženo u masi)</w:t>
            </w:r>
          </w:p>
          <w:p w14:paraId="6BFD2A53" w14:textId="77777777" w:rsidR="00915515" w:rsidRPr="00F86B44" w:rsidRDefault="00915515" w:rsidP="002229A2">
            <w:pPr>
              <w:autoSpaceDE w:val="0"/>
              <w:autoSpaceDN w:val="0"/>
              <w:adjustRightInd w:val="0"/>
              <w:spacing w:before="0" w:after="0" w:line="240" w:lineRule="auto"/>
              <w:jc w:val="left"/>
              <w:rPr>
                <w:rFonts w:cs="Calibri"/>
                <w:color w:val="000000"/>
                <w:sz w:val="20"/>
                <w:szCs w:val="20"/>
                <w:lang w:val="en-GB" w:eastAsia="en-US"/>
              </w:rPr>
            </w:pPr>
            <w:r w:rsidRPr="00F86B44">
              <w:rPr>
                <w:rFonts w:cs="Calibri"/>
                <w:color w:val="000000"/>
                <w:sz w:val="20"/>
                <w:szCs w:val="20"/>
                <w:lang w:val="en-GB" w:eastAsia="en-US"/>
              </w:rPr>
              <w:t>Tuna</w:t>
            </w:r>
          </w:p>
          <w:p w14:paraId="04A1C99E" w14:textId="5358CA3F" w:rsidR="00915515" w:rsidRPr="001C6CCA" w:rsidRDefault="00915515" w:rsidP="002229A2">
            <w:pPr>
              <w:autoSpaceDE w:val="0"/>
              <w:autoSpaceDN w:val="0"/>
              <w:adjustRightInd w:val="0"/>
              <w:spacing w:before="0" w:after="0" w:line="240" w:lineRule="auto"/>
              <w:rPr>
                <w:rFonts w:cs="Calibri"/>
                <w:color w:val="000000"/>
                <w:sz w:val="20"/>
                <w:szCs w:val="20"/>
                <w:lang w:val="en-GB" w:eastAsia="en-US"/>
              </w:rPr>
            </w:pPr>
          </w:p>
        </w:tc>
        <w:tc>
          <w:tcPr>
            <w:tcW w:w="1829" w:type="dxa"/>
          </w:tcPr>
          <w:p w14:paraId="4DC07802" w14:textId="6BD739DC"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Krajnji grabežljivci</w:t>
            </w:r>
          </w:p>
          <w:p w14:paraId="6BC8B4BF" w14:textId="7185B36A"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p>
        </w:tc>
        <w:tc>
          <w:tcPr>
            <w:tcW w:w="2991" w:type="dxa"/>
          </w:tcPr>
          <w:p w14:paraId="5A3EA8D8" w14:textId="7179E74D" w:rsidR="002515F7" w:rsidRDefault="002515F7" w:rsidP="002515F7">
            <w:pPr>
              <w:autoSpaceDE w:val="0"/>
              <w:autoSpaceDN w:val="0"/>
              <w:adjustRightInd w:val="0"/>
              <w:spacing w:before="0" w:after="0" w:line="240" w:lineRule="auto"/>
              <w:jc w:val="left"/>
              <w:rPr>
                <w:rFonts w:cs="Calibri"/>
                <w:color w:val="000000"/>
                <w:sz w:val="20"/>
                <w:szCs w:val="20"/>
                <w:lang w:val="en-GB" w:eastAsia="en-US"/>
              </w:rPr>
            </w:pPr>
            <w:r w:rsidRPr="00093973">
              <w:rPr>
                <w:rFonts w:cs="Calibri"/>
                <w:color w:val="000000"/>
                <w:sz w:val="20"/>
                <w:szCs w:val="20"/>
                <w:lang w:val="en-GB" w:eastAsia="en-US"/>
              </w:rPr>
              <w:t>Vr</w:t>
            </w:r>
            <w:r>
              <w:rPr>
                <w:rFonts w:cs="Calibri"/>
                <w:color w:val="000000"/>
                <w:sz w:val="20"/>
                <w:szCs w:val="20"/>
                <w:lang w:val="en-GB" w:eastAsia="en-US"/>
              </w:rPr>
              <w:t>ij</w:t>
            </w:r>
            <w:r w:rsidRPr="00093973">
              <w:rPr>
                <w:rFonts w:cs="Calibri"/>
                <w:color w:val="000000"/>
                <w:sz w:val="20"/>
                <w:szCs w:val="20"/>
                <w:lang w:val="en-GB" w:eastAsia="en-US"/>
              </w:rPr>
              <w:t>ednosti u opsegu višegodišnjih m</w:t>
            </w:r>
            <w:r>
              <w:rPr>
                <w:rFonts w:cs="Calibri"/>
                <w:color w:val="000000"/>
                <w:sz w:val="20"/>
                <w:szCs w:val="20"/>
                <w:lang w:val="en-GB" w:eastAsia="en-US"/>
              </w:rPr>
              <w:t>j</w:t>
            </w:r>
            <w:r w:rsidRPr="00093973">
              <w:rPr>
                <w:rFonts w:cs="Calibri"/>
                <w:color w:val="000000"/>
                <w:sz w:val="20"/>
                <w:szCs w:val="20"/>
                <w:lang w:val="en-GB" w:eastAsia="en-US"/>
              </w:rPr>
              <w:t>erenja</w:t>
            </w:r>
            <w:r>
              <w:rPr>
                <w:rFonts w:cs="Calibri"/>
                <w:color w:val="000000"/>
                <w:sz w:val="20"/>
                <w:szCs w:val="20"/>
                <w:lang w:val="en-GB" w:eastAsia="en-US"/>
              </w:rPr>
              <w:t>/</w:t>
            </w:r>
            <w:r w:rsidR="00DC1266">
              <w:rPr>
                <w:rFonts w:cs="Calibri"/>
                <w:color w:val="000000"/>
                <w:sz w:val="20"/>
                <w:szCs w:val="20"/>
                <w:lang w:val="en-GB" w:eastAsia="en-US"/>
              </w:rPr>
              <w:t xml:space="preserve">stručna procjena </w:t>
            </w:r>
            <w:r>
              <w:rPr>
                <w:rFonts w:cs="Calibri"/>
                <w:color w:val="000000"/>
                <w:sz w:val="20"/>
                <w:szCs w:val="20"/>
                <w:lang w:val="en-GB" w:eastAsia="en-US"/>
              </w:rPr>
              <w:t>prirodnog raspona</w:t>
            </w:r>
            <w:r>
              <w:rPr>
                <w:rFonts w:cs="Calibri"/>
                <w:b/>
                <w:color w:val="000000"/>
                <w:sz w:val="20"/>
                <w:szCs w:val="20"/>
                <w:lang w:val="en-GB" w:eastAsia="en-US"/>
              </w:rPr>
              <w:t xml:space="preserve"> </w:t>
            </w:r>
          </w:p>
          <w:p w14:paraId="404A0A1F" w14:textId="30E04840" w:rsidR="00915515" w:rsidRPr="001C6CCA" w:rsidRDefault="002515F7" w:rsidP="002515F7">
            <w:pPr>
              <w:autoSpaceDE w:val="0"/>
              <w:autoSpaceDN w:val="0"/>
              <w:adjustRightInd w:val="0"/>
              <w:spacing w:before="0" w:after="0" w:line="240" w:lineRule="auto"/>
              <w:jc w:val="left"/>
              <w:rPr>
                <w:rFonts w:cs="Calibri"/>
                <w:b/>
                <w:color w:val="000000"/>
                <w:sz w:val="20"/>
                <w:szCs w:val="20"/>
                <w:lang w:val="en-GB" w:eastAsia="en-US"/>
              </w:rPr>
            </w:pPr>
            <w:r>
              <w:rPr>
                <w:rFonts w:cs="Calibri"/>
                <w:color w:val="000000"/>
                <w:sz w:val="20"/>
                <w:szCs w:val="20"/>
                <w:lang w:val="en-GB" w:eastAsia="en-US"/>
              </w:rPr>
              <w:t>Trend</w:t>
            </w:r>
            <w:r w:rsidRPr="00093973">
              <w:rPr>
                <w:rFonts w:cs="Calibri"/>
                <w:color w:val="000000"/>
                <w:sz w:val="20"/>
                <w:szCs w:val="20"/>
                <w:lang w:val="en-GB" w:eastAsia="en-US"/>
              </w:rPr>
              <w:t xml:space="preserve">  </w:t>
            </w:r>
          </w:p>
        </w:tc>
      </w:tr>
      <w:tr w:rsidR="00915515" w:rsidRPr="001C6CCA" w14:paraId="4671B5BA" w14:textId="77777777" w:rsidTr="00BB3EF5">
        <w:tc>
          <w:tcPr>
            <w:tcW w:w="2065" w:type="dxa"/>
          </w:tcPr>
          <w:p w14:paraId="26FD08BA" w14:textId="0DC4BD7E" w:rsidR="00915515" w:rsidRPr="00F86B44" w:rsidRDefault="00915515" w:rsidP="002229A2">
            <w:pPr>
              <w:autoSpaceDE w:val="0"/>
              <w:autoSpaceDN w:val="0"/>
              <w:adjustRightInd w:val="0"/>
              <w:spacing w:before="0" w:after="0" w:line="240" w:lineRule="auto"/>
              <w:jc w:val="left"/>
              <w:rPr>
                <w:rFonts w:cs="Calibri"/>
                <w:color w:val="000000"/>
                <w:sz w:val="20"/>
                <w:szCs w:val="20"/>
                <w:lang w:val="en-GB" w:eastAsia="en-US"/>
              </w:rPr>
            </w:pPr>
            <w:r w:rsidRPr="001C6CCA">
              <w:rPr>
                <w:rFonts w:cs="Calibri"/>
                <w:b/>
                <w:color w:val="000000"/>
                <w:sz w:val="20"/>
                <w:szCs w:val="20"/>
                <w:lang w:val="en-GB" w:eastAsia="en-US"/>
              </w:rPr>
              <w:t>D4C3-</w:t>
            </w:r>
            <w:r w:rsidRPr="001C6CCA">
              <w:rPr>
                <w:rFonts w:cs="Calibri"/>
                <w:color w:val="000000"/>
                <w:sz w:val="20"/>
                <w:szCs w:val="20"/>
                <w:lang w:val="en-GB" w:eastAsia="en-US"/>
              </w:rPr>
              <w:t xml:space="preserve"> </w:t>
            </w:r>
            <w:r w:rsidRPr="00F86B44">
              <w:rPr>
                <w:rFonts w:cs="Calibri"/>
                <w:b/>
                <w:color w:val="000000"/>
                <w:sz w:val="20"/>
                <w:szCs w:val="20"/>
                <w:lang w:val="en-GB" w:eastAsia="en-US"/>
              </w:rPr>
              <w:t>Sekundarni:</w:t>
            </w:r>
          </w:p>
          <w:p w14:paraId="659DD769" w14:textId="3B6494A4" w:rsidR="00915515" w:rsidRPr="001C6CCA" w:rsidRDefault="00915515" w:rsidP="006E447D">
            <w:pPr>
              <w:spacing w:after="0" w:line="240" w:lineRule="auto"/>
              <w:jc w:val="left"/>
              <w:rPr>
                <w:rFonts w:cs="Calibri"/>
                <w:color w:val="000000"/>
                <w:sz w:val="20"/>
                <w:szCs w:val="20"/>
                <w:lang w:val="en-GB" w:eastAsia="en-US"/>
              </w:rPr>
            </w:pPr>
            <w:r>
              <w:rPr>
                <w:rFonts w:cs="Calibri"/>
                <w:color w:val="000000"/>
                <w:sz w:val="20"/>
                <w:szCs w:val="20"/>
                <w:lang w:val="en-GB" w:eastAsia="en-US"/>
              </w:rPr>
              <w:t xml:space="preserve">Raspodjela </w:t>
            </w:r>
            <w:r w:rsidRPr="00F86B44">
              <w:rPr>
                <w:rFonts w:cs="Calibri"/>
                <w:color w:val="000000"/>
                <w:sz w:val="20"/>
                <w:szCs w:val="20"/>
                <w:lang w:val="en-GB" w:eastAsia="en-US"/>
              </w:rPr>
              <w:t>jedinki prema veličini unutar trofičke grupe.</w:t>
            </w:r>
          </w:p>
        </w:tc>
        <w:tc>
          <w:tcPr>
            <w:tcW w:w="2041" w:type="dxa"/>
          </w:tcPr>
          <w:p w14:paraId="0A8AFBC6" w14:textId="1CC218A0" w:rsidR="00915515" w:rsidRPr="00F86B44" w:rsidRDefault="001E7B87" w:rsidP="002229A2">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Dužinska r</w:t>
            </w:r>
            <w:r w:rsidR="00915515" w:rsidRPr="00F86B44">
              <w:rPr>
                <w:rFonts w:cs="Calibri"/>
                <w:color w:val="000000"/>
                <w:sz w:val="20"/>
                <w:szCs w:val="20"/>
                <w:lang w:val="en-GB" w:eastAsia="en-US"/>
              </w:rPr>
              <w:t>aspodela jedinki sardine</w:t>
            </w:r>
          </w:p>
          <w:p w14:paraId="6E556E74" w14:textId="10E98AD0" w:rsidR="00915515" w:rsidRPr="001C6CCA" w:rsidRDefault="00915515" w:rsidP="002229A2">
            <w:pPr>
              <w:autoSpaceDE w:val="0"/>
              <w:autoSpaceDN w:val="0"/>
              <w:adjustRightInd w:val="0"/>
              <w:spacing w:before="0" w:after="0" w:line="240" w:lineRule="auto"/>
              <w:rPr>
                <w:rFonts w:cs="Calibri"/>
                <w:color w:val="000000"/>
                <w:sz w:val="20"/>
                <w:szCs w:val="20"/>
                <w:lang w:val="en-GB" w:eastAsia="en-US"/>
              </w:rPr>
            </w:pPr>
            <w:r w:rsidRPr="00F86B44">
              <w:rPr>
                <w:rFonts w:cs="Calibri"/>
                <w:color w:val="000000"/>
                <w:sz w:val="20"/>
                <w:szCs w:val="20"/>
                <w:lang w:val="en-GB" w:eastAsia="en-US"/>
              </w:rPr>
              <w:t>(Sardina)</w:t>
            </w:r>
          </w:p>
        </w:tc>
        <w:tc>
          <w:tcPr>
            <w:tcW w:w="1829" w:type="dxa"/>
          </w:tcPr>
          <w:p w14:paraId="4C0D8820" w14:textId="4F55C579"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Plantktivori</w:t>
            </w:r>
          </w:p>
          <w:p w14:paraId="3D777407" w14:textId="0B40F5F8" w:rsidR="00915515" w:rsidRPr="001C6CCA" w:rsidRDefault="00915515" w:rsidP="002229A2">
            <w:pPr>
              <w:autoSpaceDE w:val="0"/>
              <w:autoSpaceDN w:val="0"/>
              <w:adjustRightInd w:val="0"/>
              <w:spacing w:before="0" w:after="0" w:line="240" w:lineRule="auto"/>
              <w:jc w:val="left"/>
              <w:rPr>
                <w:rFonts w:cs="Calibri"/>
                <w:color w:val="000000"/>
                <w:sz w:val="20"/>
                <w:szCs w:val="20"/>
                <w:lang w:val="en-GB" w:eastAsia="en-US"/>
              </w:rPr>
            </w:pPr>
          </w:p>
        </w:tc>
        <w:tc>
          <w:tcPr>
            <w:tcW w:w="2991" w:type="dxa"/>
          </w:tcPr>
          <w:p w14:paraId="27409AAA" w14:textId="24D0F218" w:rsidR="002515F7" w:rsidRDefault="002515F7" w:rsidP="002515F7">
            <w:pPr>
              <w:autoSpaceDE w:val="0"/>
              <w:autoSpaceDN w:val="0"/>
              <w:adjustRightInd w:val="0"/>
              <w:spacing w:before="0" w:after="0" w:line="240" w:lineRule="auto"/>
              <w:jc w:val="left"/>
              <w:rPr>
                <w:rFonts w:cs="Calibri"/>
                <w:color w:val="000000"/>
                <w:sz w:val="20"/>
                <w:szCs w:val="20"/>
                <w:lang w:val="en-GB" w:eastAsia="en-US"/>
              </w:rPr>
            </w:pPr>
            <w:r w:rsidRPr="00093973">
              <w:rPr>
                <w:rFonts w:cs="Calibri"/>
                <w:color w:val="000000"/>
                <w:sz w:val="20"/>
                <w:szCs w:val="20"/>
                <w:lang w:val="en-GB" w:eastAsia="en-US"/>
              </w:rPr>
              <w:t>Vr</w:t>
            </w:r>
            <w:r>
              <w:rPr>
                <w:rFonts w:cs="Calibri"/>
                <w:color w:val="000000"/>
                <w:sz w:val="20"/>
                <w:szCs w:val="20"/>
                <w:lang w:val="en-GB" w:eastAsia="en-US"/>
              </w:rPr>
              <w:t>ij</w:t>
            </w:r>
            <w:r w:rsidRPr="00093973">
              <w:rPr>
                <w:rFonts w:cs="Calibri"/>
                <w:color w:val="000000"/>
                <w:sz w:val="20"/>
                <w:szCs w:val="20"/>
                <w:lang w:val="en-GB" w:eastAsia="en-US"/>
              </w:rPr>
              <w:t>ednosti u opsegu višegodišnjih m</w:t>
            </w:r>
            <w:r>
              <w:rPr>
                <w:rFonts w:cs="Calibri"/>
                <w:color w:val="000000"/>
                <w:sz w:val="20"/>
                <w:szCs w:val="20"/>
                <w:lang w:val="en-GB" w:eastAsia="en-US"/>
              </w:rPr>
              <w:t>j</w:t>
            </w:r>
            <w:r w:rsidRPr="00093973">
              <w:rPr>
                <w:rFonts w:cs="Calibri"/>
                <w:color w:val="000000"/>
                <w:sz w:val="20"/>
                <w:szCs w:val="20"/>
                <w:lang w:val="en-GB" w:eastAsia="en-US"/>
              </w:rPr>
              <w:t>erenja</w:t>
            </w:r>
            <w:r>
              <w:rPr>
                <w:rFonts w:cs="Calibri"/>
                <w:color w:val="000000"/>
                <w:sz w:val="20"/>
                <w:szCs w:val="20"/>
                <w:lang w:val="en-GB" w:eastAsia="en-US"/>
              </w:rPr>
              <w:t>/</w:t>
            </w:r>
            <w:r w:rsidR="00DC1266">
              <w:rPr>
                <w:rFonts w:cs="Calibri"/>
                <w:color w:val="000000"/>
                <w:sz w:val="20"/>
                <w:szCs w:val="20"/>
                <w:lang w:val="en-GB" w:eastAsia="en-US"/>
              </w:rPr>
              <w:t xml:space="preserve">stručna procjena </w:t>
            </w:r>
            <w:r>
              <w:rPr>
                <w:rFonts w:cs="Calibri"/>
                <w:color w:val="000000"/>
                <w:sz w:val="20"/>
                <w:szCs w:val="20"/>
                <w:lang w:val="en-GB" w:eastAsia="en-US"/>
              </w:rPr>
              <w:t>prirodnog raspona</w:t>
            </w:r>
            <w:r>
              <w:rPr>
                <w:rFonts w:cs="Calibri"/>
                <w:b/>
                <w:color w:val="000000"/>
                <w:sz w:val="20"/>
                <w:szCs w:val="20"/>
                <w:lang w:val="en-GB" w:eastAsia="en-US"/>
              </w:rPr>
              <w:t xml:space="preserve"> </w:t>
            </w:r>
          </w:p>
          <w:p w14:paraId="7B86E821" w14:textId="747A364F" w:rsidR="00915515" w:rsidRPr="001C6CCA" w:rsidRDefault="002515F7" w:rsidP="002515F7">
            <w:pPr>
              <w:autoSpaceDE w:val="0"/>
              <w:autoSpaceDN w:val="0"/>
              <w:adjustRightInd w:val="0"/>
              <w:spacing w:before="0" w:after="0" w:line="240" w:lineRule="auto"/>
              <w:rPr>
                <w:rFonts w:cs="Calibri"/>
                <w:color w:val="000000"/>
                <w:sz w:val="20"/>
                <w:szCs w:val="20"/>
                <w:lang w:val="en-GB" w:eastAsia="en-US"/>
              </w:rPr>
            </w:pPr>
            <w:r>
              <w:rPr>
                <w:rFonts w:cs="Calibri"/>
                <w:color w:val="000000"/>
                <w:sz w:val="20"/>
                <w:szCs w:val="20"/>
                <w:lang w:val="en-GB" w:eastAsia="en-US"/>
              </w:rPr>
              <w:t>Trend</w:t>
            </w:r>
            <w:r w:rsidRPr="00093973">
              <w:rPr>
                <w:rFonts w:cs="Calibri"/>
                <w:color w:val="000000"/>
                <w:sz w:val="20"/>
                <w:szCs w:val="20"/>
                <w:lang w:val="en-GB" w:eastAsia="en-US"/>
              </w:rPr>
              <w:t xml:space="preserve">  </w:t>
            </w:r>
          </w:p>
        </w:tc>
      </w:tr>
      <w:tr w:rsidR="00F4588F" w:rsidRPr="001C6CCA" w14:paraId="716BED62" w14:textId="77777777" w:rsidTr="00BB3EF5">
        <w:tc>
          <w:tcPr>
            <w:tcW w:w="2065" w:type="dxa"/>
          </w:tcPr>
          <w:p w14:paraId="49A42903" w14:textId="0353CAB0" w:rsidR="00F4588F" w:rsidRDefault="00F4588F" w:rsidP="002229A2">
            <w:pPr>
              <w:autoSpaceDE w:val="0"/>
              <w:autoSpaceDN w:val="0"/>
              <w:adjustRightInd w:val="0"/>
              <w:spacing w:before="0" w:after="0" w:line="240" w:lineRule="auto"/>
              <w:jc w:val="left"/>
              <w:rPr>
                <w:rFonts w:cs="Calibri"/>
                <w:b/>
                <w:color w:val="000000"/>
                <w:sz w:val="20"/>
                <w:szCs w:val="20"/>
                <w:lang w:val="en-GB" w:eastAsia="en-US"/>
              </w:rPr>
            </w:pPr>
            <w:r>
              <w:rPr>
                <w:rFonts w:cs="Calibri"/>
                <w:b/>
                <w:color w:val="000000"/>
                <w:sz w:val="20"/>
                <w:szCs w:val="20"/>
                <w:lang w:val="en-GB" w:eastAsia="en-US"/>
              </w:rPr>
              <w:t>D4C4 – Sekundarni</w:t>
            </w:r>
          </w:p>
          <w:p w14:paraId="525181A1" w14:textId="40546972" w:rsidR="00F4588F" w:rsidRPr="007001AA" w:rsidRDefault="00F4588F" w:rsidP="002229A2">
            <w:pPr>
              <w:autoSpaceDE w:val="0"/>
              <w:autoSpaceDN w:val="0"/>
              <w:adjustRightInd w:val="0"/>
              <w:spacing w:before="0" w:after="0" w:line="240" w:lineRule="auto"/>
              <w:jc w:val="left"/>
              <w:rPr>
                <w:rFonts w:cs="Calibri"/>
                <w:color w:val="000000"/>
                <w:sz w:val="20"/>
                <w:szCs w:val="20"/>
                <w:lang w:val="en-GB" w:eastAsia="en-US"/>
              </w:rPr>
            </w:pPr>
            <w:r w:rsidRPr="007001AA">
              <w:rPr>
                <w:rFonts w:cs="Calibri"/>
                <w:color w:val="000000"/>
                <w:sz w:val="20"/>
                <w:szCs w:val="20"/>
                <w:lang w:val="en-GB" w:eastAsia="en-US"/>
              </w:rPr>
              <w:t xml:space="preserve">Produktivnost trofičkih </w:t>
            </w:r>
            <w:r w:rsidR="007001AA" w:rsidRPr="007001AA">
              <w:rPr>
                <w:rFonts w:cs="Calibri"/>
                <w:color w:val="000000"/>
                <w:sz w:val="20"/>
                <w:szCs w:val="20"/>
                <w:lang w:val="en-GB" w:eastAsia="en-US"/>
              </w:rPr>
              <w:t>grupa</w:t>
            </w:r>
          </w:p>
        </w:tc>
        <w:tc>
          <w:tcPr>
            <w:tcW w:w="6861" w:type="dxa"/>
            <w:gridSpan w:val="3"/>
          </w:tcPr>
          <w:p w14:paraId="672429FE" w14:textId="7A2CDA7B" w:rsidR="00F4588F" w:rsidRPr="00093973" w:rsidRDefault="00F4588F" w:rsidP="002229A2">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Ne postoje podaci za crnogorski dio Jadrana</w:t>
            </w:r>
          </w:p>
        </w:tc>
      </w:tr>
    </w:tbl>
    <w:p w14:paraId="0EA730FF" w14:textId="45B48787" w:rsidR="00A10B56" w:rsidRDefault="00A10B56" w:rsidP="003C18E4">
      <w:pPr>
        <w:pStyle w:val="Heading3"/>
      </w:pPr>
      <w:bookmarkStart w:id="398" w:name="_Toc83630994"/>
      <w:r>
        <w:t>Postizanje GES-a</w:t>
      </w:r>
      <w:bookmarkEnd w:id="398"/>
      <w:r>
        <w:t xml:space="preserve"> </w:t>
      </w:r>
    </w:p>
    <w:p w14:paraId="1801B064" w14:textId="54A5AAA0" w:rsidR="006E447D" w:rsidRPr="00BB3EF5" w:rsidRDefault="00093973" w:rsidP="00BB3EF5">
      <w:pPr>
        <w:rPr>
          <w:lang w:val="en-GB" w:eastAsia="en-US"/>
        </w:rPr>
      </w:pPr>
      <w:r>
        <w:t xml:space="preserve">U tabeli </w:t>
      </w:r>
      <w:r w:rsidR="00B61A98">
        <w:t xml:space="preserve">3.31 </w:t>
      </w:r>
      <w:r>
        <w:t xml:space="preserve">dat je </w:t>
      </w:r>
      <w:r w:rsidR="00915515">
        <w:t xml:space="preserve">sumirani </w:t>
      </w:r>
      <w:r>
        <w:t>pregled</w:t>
      </w:r>
      <w:r w:rsidRPr="00093973">
        <w:rPr>
          <w:lang w:val="en-GB" w:eastAsia="en-US"/>
        </w:rPr>
        <w:t xml:space="preserve"> </w:t>
      </w:r>
      <w:r w:rsidR="00B61A98">
        <w:rPr>
          <w:lang w:val="en-GB" w:eastAsia="en-US"/>
        </w:rPr>
        <w:t xml:space="preserve">procjene </w:t>
      </w:r>
      <w:r w:rsidRPr="00093973">
        <w:rPr>
          <w:lang w:val="en-GB" w:eastAsia="en-US"/>
        </w:rPr>
        <w:t>GES</w:t>
      </w:r>
      <w:r w:rsidR="00B61A98">
        <w:rPr>
          <w:lang w:val="en-GB" w:eastAsia="en-US"/>
        </w:rPr>
        <w:t xml:space="preserve">-a za </w:t>
      </w:r>
      <w:r w:rsidRPr="00093973">
        <w:rPr>
          <w:lang w:val="en-GB" w:eastAsia="en-US"/>
        </w:rPr>
        <w:t>D4 prema Odluci Komisije 2017/848/EU.</w:t>
      </w:r>
    </w:p>
    <w:p w14:paraId="13D8B65C" w14:textId="77777777" w:rsidR="006E447D" w:rsidRDefault="006E447D" w:rsidP="00BC78ED">
      <w:pPr>
        <w:spacing w:before="0" w:line="240" w:lineRule="auto"/>
        <w:rPr>
          <w:rFonts w:cs="Arial"/>
          <w:b/>
          <w:color w:val="333333"/>
          <w:szCs w:val="22"/>
          <w:lang w:val="en-GB" w:eastAsia="hr-HR"/>
        </w:rPr>
      </w:pPr>
    </w:p>
    <w:p w14:paraId="0589DE00" w14:textId="5DC62CCA" w:rsidR="00181B21" w:rsidRPr="006E447D" w:rsidRDefault="008E5C62" w:rsidP="00BC78ED">
      <w:pPr>
        <w:spacing w:before="0" w:line="240" w:lineRule="auto"/>
        <w:rPr>
          <w:rFonts w:eastAsia="Calibri" w:cs="Calibri"/>
          <w:szCs w:val="22"/>
          <w:lang w:val="en-GB" w:eastAsia="en-US"/>
        </w:rPr>
      </w:pPr>
      <w:bookmarkStart w:id="399" w:name="_Toc83643222"/>
      <w:r w:rsidRPr="006E447D">
        <w:rPr>
          <w:rFonts w:cs="Arial"/>
          <w:b/>
          <w:szCs w:val="22"/>
          <w:lang w:val="en-GB" w:eastAsia="hr-HR"/>
        </w:rPr>
        <w:t>Tab</w:t>
      </w:r>
      <w:r w:rsidR="00093973" w:rsidRPr="006E447D">
        <w:rPr>
          <w:rFonts w:cs="Arial"/>
          <w:b/>
          <w:szCs w:val="22"/>
          <w:lang w:val="en-GB" w:eastAsia="hr-HR"/>
        </w:rPr>
        <w:t>ela</w:t>
      </w:r>
      <w:r w:rsidRPr="006E447D">
        <w:rPr>
          <w:rFonts w:cs="Arial"/>
          <w:b/>
          <w:szCs w:val="22"/>
          <w:lang w:val="en-GB" w:eastAsia="hr-HR"/>
        </w:rPr>
        <w:t xml:space="preserve"> </w:t>
      </w:r>
      <w:r w:rsidR="008A6C2D" w:rsidRPr="006E447D">
        <w:rPr>
          <w:b/>
          <w:szCs w:val="22"/>
        </w:rPr>
        <w:fldChar w:fldCharType="begin"/>
      </w:r>
      <w:r w:rsidR="008A6C2D" w:rsidRPr="006E447D">
        <w:rPr>
          <w:b/>
          <w:szCs w:val="22"/>
        </w:rPr>
        <w:instrText xml:space="preserve"> STYLEREF 1 \s </w:instrText>
      </w:r>
      <w:r w:rsidR="008A6C2D" w:rsidRPr="006E447D">
        <w:rPr>
          <w:b/>
          <w:szCs w:val="22"/>
        </w:rPr>
        <w:fldChar w:fldCharType="separate"/>
      </w:r>
      <w:r w:rsidR="000D1E20">
        <w:rPr>
          <w:b/>
          <w:noProof/>
          <w:szCs w:val="22"/>
        </w:rPr>
        <w:t>3</w:t>
      </w:r>
      <w:r w:rsidR="008A6C2D" w:rsidRPr="006E447D">
        <w:rPr>
          <w:b/>
          <w:szCs w:val="22"/>
        </w:rPr>
        <w:fldChar w:fldCharType="end"/>
      </w:r>
      <w:r w:rsidR="008A6C2D" w:rsidRPr="006E447D">
        <w:rPr>
          <w:b/>
          <w:szCs w:val="22"/>
        </w:rPr>
        <w:t>.</w:t>
      </w:r>
      <w:r w:rsidR="008A6C2D" w:rsidRPr="006E447D">
        <w:rPr>
          <w:b/>
          <w:szCs w:val="22"/>
        </w:rPr>
        <w:fldChar w:fldCharType="begin"/>
      </w:r>
      <w:r w:rsidR="008A6C2D" w:rsidRPr="006E447D">
        <w:rPr>
          <w:b/>
          <w:szCs w:val="22"/>
        </w:rPr>
        <w:instrText xml:space="preserve"> SEQ Table \* ARABIC \s 1 </w:instrText>
      </w:r>
      <w:r w:rsidR="008A6C2D" w:rsidRPr="006E447D">
        <w:rPr>
          <w:b/>
          <w:szCs w:val="22"/>
        </w:rPr>
        <w:fldChar w:fldCharType="separate"/>
      </w:r>
      <w:r w:rsidR="000D1E20">
        <w:rPr>
          <w:b/>
          <w:noProof/>
          <w:szCs w:val="22"/>
        </w:rPr>
        <w:t>26</w:t>
      </w:r>
      <w:r w:rsidR="008A6C2D" w:rsidRPr="006E447D">
        <w:rPr>
          <w:b/>
          <w:szCs w:val="22"/>
        </w:rPr>
        <w:fldChar w:fldCharType="end"/>
      </w:r>
      <w:r w:rsidR="008A6C2D" w:rsidRPr="006E447D">
        <w:rPr>
          <w:b/>
          <w:szCs w:val="22"/>
        </w:rPr>
        <w:t xml:space="preserve">. </w:t>
      </w:r>
      <w:r w:rsidR="002515F7" w:rsidRPr="006E447D">
        <w:rPr>
          <w:b/>
          <w:szCs w:val="22"/>
        </w:rPr>
        <w:t xml:space="preserve">Procjena GES-a za D4 </w:t>
      </w:r>
      <w:r w:rsidR="006D084C" w:rsidRPr="006E447D">
        <w:rPr>
          <w:b/>
          <w:szCs w:val="22"/>
        </w:rPr>
        <w:t>prema kriterijim</w:t>
      </w:r>
      <w:r w:rsidR="00DC1266" w:rsidRPr="006E447D">
        <w:rPr>
          <w:b/>
          <w:szCs w:val="22"/>
        </w:rPr>
        <w:t>a</w:t>
      </w:r>
      <w:r w:rsidR="006D084C" w:rsidRPr="006E447D">
        <w:rPr>
          <w:b/>
          <w:szCs w:val="22"/>
        </w:rPr>
        <w:t xml:space="preserve"> Odluke Komisije 2017/848/EU</w:t>
      </w:r>
      <w:bookmarkEnd w:id="399"/>
      <w:r w:rsidR="006B1940" w:rsidRPr="006E447D">
        <w:rPr>
          <w:rFonts w:eastAsia="Calibri" w:cs="Calibri"/>
          <w:b/>
          <w:szCs w:val="22"/>
          <w:lang w:val="en-GB" w:eastAsia="en-US"/>
        </w:rPr>
        <w:t xml:space="preserve"> </w:t>
      </w:r>
    </w:p>
    <w:tbl>
      <w:tblPr>
        <w:tblStyle w:val="GolderTable3"/>
        <w:tblW w:w="0" w:type="auto"/>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552"/>
        <w:gridCol w:w="6469"/>
      </w:tblGrid>
      <w:tr w:rsidR="005827C2" w:rsidRPr="001C6CCA" w14:paraId="7A55C4F2" w14:textId="77777777" w:rsidTr="006B75DD">
        <w:trPr>
          <w:tblHeader/>
        </w:trPr>
        <w:tc>
          <w:tcPr>
            <w:tcW w:w="902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182D9D70" w14:textId="77777777" w:rsidR="005827C2" w:rsidRDefault="005827C2" w:rsidP="005827C2">
            <w:pPr>
              <w:spacing w:before="0" w:after="0" w:line="240" w:lineRule="auto"/>
              <w:jc w:val="center"/>
              <w:rPr>
                <w:rFonts w:eastAsia="Calibri"/>
                <w:b/>
                <w:color w:val="FFFFFF" w:themeColor="background1"/>
                <w:sz w:val="20"/>
                <w:szCs w:val="20"/>
                <w:lang w:val="en-GB" w:eastAsia="en-US"/>
              </w:rPr>
            </w:pPr>
            <w:r>
              <w:rPr>
                <w:rFonts w:eastAsia="Calibri"/>
                <w:b/>
                <w:color w:val="FFFFFF" w:themeColor="background1"/>
                <w:sz w:val="20"/>
                <w:szCs w:val="20"/>
                <w:lang w:val="en-GB" w:eastAsia="en-US"/>
              </w:rPr>
              <w:t xml:space="preserve">Područjre procjene: </w:t>
            </w:r>
            <w:r w:rsidR="007B0A22">
              <w:rPr>
                <w:rFonts w:eastAsia="Calibri"/>
                <w:b/>
                <w:color w:val="FFFFFF" w:themeColor="background1"/>
                <w:sz w:val="20"/>
                <w:szCs w:val="20"/>
                <w:lang w:val="en-GB" w:eastAsia="en-US"/>
              </w:rPr>
              <w:t>subregionalni nivo</w:t>
            </w:r>
            <w:r>
              <w:rPr>
                <w:rFonts w:eastAsia="Calibri"/>
                <w:b/>
                <w:color w:val="FFFFFF" w:themeColor="background1"/>
                <w:sz w:val="20"/>
                <w:szCs w:val="20"/>
                <w:lang w:val="en-GB" w:eastAsia="en-US"/>
              </w:rPr>
              <w:t xml:space="preserve"> – Jadran</w:t>
            </w:r>
            <w:r w:rsidR="007B0A22">
              <w:rPr>
                <w:rFonts w:eastAsia="Calibri"/>
                <w:b/>
                <w:color w:val="FFFFFF" w:themeColor="background1"/>
                <w:sz w:val="20"/>
                <w:szCs w:val="20"/>
                <w:lang w:val="en-GB" w:eastAsia="en-US"/>
              </w:rPr>
              <w:t>sko more</w:t>
            </w:r>
          </w:p>
          <w:p w14:paraId="0F6D9765" w14:textId="10F167F3" w:rsidR="006B75DD" w:rsidRPr="005827C2" w:rsidRDefault="006B75DD" w:rsidP="005827C2">
            <w:pPr>
              <w:spacing w:before="0" w:after="0" w:line="240" w:lineRule="auto"/>
              <w:jc w:val="center"/>
              <w:rPr>
                <w:rFonts w:eastAsia="Calibri"/>
                <w:b/>
                <w:color w:val="FFFFFF" w:themeColor="background1"/>
                <w:sz w:val="20"/>
                <w:szCs w:val="20"/>
                <w:lang w:val="en-GB" w:eastAsia="en-US"/>
              </w:rPr>
            </w:pPr>
          </w:p>
        </w:tc>
      </w:tr>
      <w:tr w:rsidR="00181B21" w:rsidRPr="001C6CCA" w14:paraId="46D494B2" w14:textId="77777777" w:rsidTr="006B75DD">
        <w:trPr>
          <w:tblHeader/>
        </w:trPr>
        <w:tc>
          <w:tcPr>
            <w:tcW w:w="2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15165728" w14:textId="7051D8C3" w:rsidR="00181B21" w:rsidRPr="005827C2" w:rsidRDefault="0038740E" w:rsidP="00F65CFF">
            <w:pPr>
              <w:spacing w:before="0" w:after="0" w:line="240" w:lineRule="auto"/>
              <w:rPr>
                <w:rFonts w:eastAsia="Calibri"/>
                <w:b/>
                <w:color w:val="FFFFFF" w:themeColor="background1"/>
                <w:sz w:val="20"/>
                <w:szCs w:val="20"/>
                <w:lang w:val="en-GB" w:eastAsia="en-US"/>
              </w:rPr>
            </w:pPr>
            <w:r w:rsidRPr="005827C2">
              <w:rPr>
                <w:rFonts w:eastAsia="Calibri"/>
                <w:b/>
                <w:color w:val="FFFFFF" w:themeColor="background1"/>
                <w:sz w:val="20"/>
                <w:szCs w:val="20"/>
                <w:lang w:val="en-GB" w:eastAsia="en-US"/>
              </w:rPr>
              <w:t>Kriterijum</w:t>
            </w:r>
          </w:p>
        </w:tc>
        <w:tc>
          <w:tcPr>
            <w:tcW w:w="64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151A5301" w14:textId="3677ADB8" w:rsidR="00181B21" w:rsidRPr="005827C2" w:rsidRDefault="00560048" w:rsidP="00F65CFF">
            <w:pPr>
              <w:spacing w:before="0" w:after="0" w:line="240" w:lineRule="auto"/>
              <w:rPr>
                <w:rFonts w:eastAsia="Calibri"/>
                <w:b/>
                <w:color w:val="FFFFFF" w:themeColor="background1"/>
                <w:sz w:val="20"/>
                <w:szCs w:val="20"/>
                <w:lang w:val="en-GB" w:eastAsia="en-US"/>
              </w:rPr>
            </w:pPr>
            <w:r w:rsidRPr="005827C2">
              <w:rPr>
                <w:rFonts w:eastAsia="Calibri"/>
                <w:b/>
                <w:color w:val="FFFFFF" w:themeColor="background1"/>
                <w:sz w:val="20"/>
                <w:szCs w:val="20"/>
                <w:lang w:val="en-GB" w:eastAsia="en-US"/>
              </w:rPr>
              <w:t>GES</w:t>
            </w:r>
            <w:r w:rsidR="00181B21" w:rsidRPr="005827C2">
              <w:rPr>
                <w:rFonts w:eastAsia="Calibri"/>
                <w:b/>
                <w:color w:val="FFFFFF" w:themeColor="background1"/>
                <w:sz w:val="20"/>
                <w:szCs w:val="20"/>
                <w:lang w:val="en-GB" w:eastAsia="en-US"/>
              </w:rPr>
              <w:t xml:space="preserve"> </w:t>
            </w:r>
          </w:p>
          <w:p w14:paraId="2DEF0D0E" w14:textId="77777777" w:rsidR="00181B21" w:rsidRPr="005827C2" w:rsidRDefault="00181B21" w:rsidP="00F65CFF">
            <w:pPr>
              <w:spacing w:before="0" w:after="0" w:line="240" w:lineRule="auto"/>
              <w:rPr>
                <w:rFonts w:eastAsia="Calibri"/>
                <w:b/>
                <w:color w:val="FFFFFF" w:themeColor="background1"/>
                <w:sz w:val="20"/>
                <w:szCs w:val="20"/>
                <w:lang w:val="en-GB" w:eastAsia="en-US"/>
              </w:rPr>
            </w:pPr>
          </w:p>
        </w:tc>
      </w:tr>
      <w:tr w:rsidR="00181B21" w:rsidRPr="001C6CCA" w14:paraId="62C47704" w14:textId="77777777" w:rsidTr="006B75DD">
        <w:tc>
          <w:tcPr>
            <w:tcW w:w="2552" w:type="dxa"/>
            <w:tcBorders>
              <w:top w:val="single" w:sz="4" w:space="0" w:color="FFFFFF" w:themeColor="background1"/>
            </w:tcBorders>
          </w:tcPr>
          <w:p w14:paraId="78FED993" w14:textId="77777777" w:rsidR="00093973" w:rsidRPr="00093973" w:rsidRDefault="00093973" w:rsidP="00093973">
            <w:pPr>
              <w:spacing w:after="0" w:line="240" w:lineRule="auto"/>
              <w:rPr>
                <w:rFonts w:eastAsia="Calibri"/>
                <w:b/>
                <w:sz w:val="20"/>
                <w:szCs w:val="20"/>
                <w:lang w:val="en-GB" w:eastAsia="en-US"/>
              </w:rPr>
            </w:pPr>
            <w:r w:rsidRPr="00093973">
              <w:rPr>
                <w:rFonts w:eastAsia="Calibri"/>
                <w:b/>
                <w:sz w:val="20"/>
                <w:szCs w:val="20"/>
                <w:lang w:val="en-GB" w:eastAsia="en-US"/>
              </w:rPr>
              <w:t>D4C1 – Primarni:</w:t>
            </w:r>
          </w:p>
          <w:p w14:paraId="63EDD077" w14:textId="0D6D9525" w:rsidR="00093973" w:rsidRPr="00093973" w:rsidRDefault="00093973" w:rsidP="00093973">
            <w:pPr>
              <w:spacing w:after="0" w:line="240" w:lineRule="auto"/>
              <w:rPr>
                <w:rFonts w:eastAsia="Calibri"/>
                <w:sz w:val="20"/>
                <w:szCs w:val="20"/>
                <w:lang w:val="en-GB" w:eastAsia="en-US"/>
              </w:rPr>
            </w:pPr>
            <w:r w:rsidRPr="00093973">
              <w:rPr>
                <w:rFonts w:eastAsia="Calibri"/>
                <w:sz w:val="20"/>
                <w:szCs w:val="20"/>
                <w:lang w:val="en-GB" w:eastAsia="en-US"/>
              </w:rPr>
              <w:t>Antropogeni pritisci n</w:t>
            </w:r>
            <w:r>
              <w:rPr>
                <w:rFonts w:eastAsia="Calibri"/>
                <w:sz w:val="20"/>
                <w:szCs w:val="20"/>
                <w:lang w:val="en-GB" w:eastAsia="en-US"/>
              </w:rPr>
              <w:t>isu</w:t>
            </w:r>
            <w:r w:rsidRPr="00093973">
              <w:rPr>
                <w:rFonts w:eastAsia="Calibri"/>
                <w:sz w:val="20"/>
                <w:szCs w:val="20"/>
                <w:lang w:val="en-GB" w:eastAsia="en-US"/>
              </w:rPr>
              <w:t xml:space="preserve"> štetno uticali na raznolikost (sastav vrsta i njihova relativna brojnost) trofičke grupe.</w:t>
            </w:r>
          </w:p>
          <w:p w14:paraId="534C48D9" w14:textId="69D6025A" w:rsidR="00093973" w:rsidRPr="001C6CCA" w:rsidRDefault="00093973" w:rsidP="00093973">
            <w:pPr>
              <w:spacing w:before="0" w:after="0" w:line="240" w:lineRule="auto"/>
              <w:jc w:val="left"/>
              <w:rPr>
                <w:rFonts w:eastAsia="Calibri"/>
                <w:sz w:val="20"/>
                <w:szCs w:val="20"/>
                <w:lang w:val="en-GB" w:eastAsia="en-US"/>
              </w:rPr>
            </w:pPr>
          </w:p>
        </w:tc>
        <w:tc>
          <w:tcPr>
            <w:tcW w:w="6469" w:type="dxa"/>
            <w:tcBorders>
              <w:top w:val="single" w:sz="4" w:space="0" w:color="FFFFFF" w:themeColor="background1"/>
            </w:tcBorders>
          </w:tcPr>
          <w:p w14:paraId="3093A05F" w14:textId="225E5281" w:rsidR="00181B21" w:rsidRPr="001C6CCA" w:rsidRDefault="0038740E" w:rsidP="00097D78">
            <w:pPr>
              <w:spacing w:after="0"/>
              <w:rPr>
                <w:rFonts w:eastAsia="Calibri"/>
                <w:sz w:val="20"/>
                <w:szCs w:val="20"/>
                <w:lang w:val="en-GB" w:eastAsia="en-US"/>
              </w:rPr>
            </w:pPr>
            <w:r>
              <w:rPr>
                <w:rFonts w:eastAsia="Calibri"/>
                <w:sz w:val="20"/>
                <w:szCs w:val="20"/>
                <w:lang w:val="en-GB" w:eastAsia="en-US"/>
              </w:rPr>
              <w:t>GES je postignut</w:t>
            </w:r>
          </w:p>
          <w:p w14:paraId="0437A02E" w14:textId="3B80C386" w:rsidR="008F04D8" w:rsidRPr="008F04D8" w:rsidRDefault="008F04D8" w:rsidP="008F04D8">
            <w:pPr>
              <w:autoSpaceDE w:val="0"/>
              <w:autoSpaceDN w:val="0"/>
              <w:adjustRightInd w:val="0"/>
              <w:spacing w:before="0" w:after="0"/>
              <w:rPr>
                <w:rFonts w:cs="Calibri"/>
                <w:iCs/>
                <w:color w:val="000000"/>
                <w:sz w:val="20"/>
                <w:szCs w:val="20"/>
                <w:lang w:val="en-GB" w:eastAsia="en-US"/>
              </w:rPr>
            </w:pPr>
            <w:r w:rsidRPr="008F04D8">
              <w:rPr>
                <w:rFonts w:cs="Calibri"/>
                <w:iCs/>
                <w:color w:val="000000"/>
                <w:sz w:val="20"/>
                <w:szCs w:val="20"/>
                <w:lang w:val="en-GB" w:eastAsia="en-US"/>
              </w:rPr>
              <w:t xml:space="preserve">Sastav vrsta i raznolikost fitoplanktona (primarni proizvođači) i mezozooplanktona (sekundarni proizvođači) i njihova relativna brojnost smatraju se prirodnim </w:t>
            </w:r>
            <w:r w:rsidR="006A5F0F">
              <w:rPr>
                <w:rFonts w:cs="Calibri"/>
                <w:iCs/>
                <w:color w:val="000000"/>
                <w:sz w:val="20"/>
                <w:szCs w:val="20"/>
                <w:lang w:val="en-GB" w:eastAsia="en-US"/>
              </w:rPr>
              <w:t>za</w:t>
            </w:r>
            <w:r w:rsidRPr="008F04D8">
              <w:rPr>
                <w:rFonts w:cs="Calibri"/>
                <w:iCs/>
                <w:color w:val="000000"/>
                <w:sz w:val="20"/>
                <w:szCs w:val="20"/>
                <w:lang w:val="en-GB" w:eastAsia="en-US"/>
              </w:rPr>
              <w:t xml:space="preserve"> Jadran i neznatno se mijenjaju tokom dugoročnog istraživačkog perioda od 10 godina.</w:t>
            </w:r>
          </w:p>
          <w:p w14:paraId="6508BFE7" w14:textId="4D5134E7" w:rsidR="008F04D8" w:rsidRPr="008F04D8" w:rsidRDefault="008F04D8" w:rsidP="008F04D8">
            <w:pPr>
              <w:autoSpaceDE w:val="0"/>
              <w:autoSpaceDN w:val="0"/>
              <w:adjustRightInd w:val="0"/>
              <w:spacing w:before="0" w:after="0"/>
              <w:rPr>
                <w:rFonts w:cs="Calibri"/>
                <w:iCs/>
                <w:color w:val="000000"/>
                <w:sz w:val="20"/>
                <w:szCs w:val="20"/>
                <w:lang w:val="en-GB" w:eastAsia="en-US"/>
              </w:rPr>
            </w:pPr>
            <w:r w:rsidRPr="008F04D8">
              <w:rPr>
                <w:rFonts w:cs="Calibri"/>
                <w:iCs/>
                <w:color w:val="000000"/>
                <w:sz w:val="20"/>
                <w:szCs w:val="20"/>
                <w:lang w:val="en-GB" w:eastAsia="en-US"/>
              </w:rPr>
              <w:t xml:space="preserve">Unutar zajednice copepoda, struktura populacije i relativni značaj pojedinih vrsta ukazuju na karakteristično visoko rangiranje malih i srednjih </w:t>
            </w:r>
            <w:r>
              <w:rPr>
                <w:rFonts w:cs="Calibri"/>
                <w:iCs/>
                <w:color w:val="000000"/>
                <w:sz w:val="20"/>
                <w:szCs w:val="20"/>
                <w:lang w:val="en-GB" w:eastAsia="en-US"/>
              </w:rPr>
              <w:t>taksoma</w:t>
            </w:r>
            <w:r w:rsidRPr="008F04D8">
              <w:rPr>
                <w:rFonts w:cs="Calibri"/>
                <w:iCs/>
                <w:color w:val="000000"/>
                <w:sz w:val="20"/>
                <w:szCs w:val="20"/>
                <w:lang w:val="en-GB" w:eastAsia="en-US"/>
              </w:rPr>
              <w:t xml:space="preserve">, </w:t>
            </w:r>
            <w:r>
              <w:rPr>
                <w:rFonts w:cs="Calibri"/>
                <w:iCs/>
                <w:color w:val="000000"/>
                <w:sz w:val="20"/>
                <w:szCs w:val="20"/>
                <w:lang w:val="en-GB" w:eastAsia="en-US"/>
              </w:rPr>
              <w:t xml:space="preserve">kao što je i </w:t>
            </w:r>
            <w:r w:rsidRPr="008F04D8">
              <w:rPr>
                <w:rFonts w:cs="Calibri"/>
                <w:iCs/>
                <w:color w:val="000000"/>
                <w:sz w:val="20"/>
                <w:szCs w:val="20"/>
                <w:lang w:val="en-GB" w:eastAsia="en-US"/>
              </w:rPr>
              <w:t>uobičajeno na Mediteranu.</w:t>
            </w:r>
          </w:p>
          <w:p w14:paraId="50F504C2" w14:textId="3DD57BF4" w:rsidR="00181B21" w:rsidRPr="006E447D" w:rsidRDefault="008F04D8" w:rsidP="006E447D">
            <w:pPr>
              <w:autoSpaceDE w:val="0"/>
              <w:autoSpaceDN w:val="0"/>
              <w:adjustRightInd w:val="0"/>
              <w:spacing w:before="0" w:after="0"/>
              <w:rPr>
                <w:rFonts w:cs="Calibri"/>
                <w:iCs/>
                <w:color w:val="000000"/>
                <w:sz w:val="20"/>
                <w:szCs w:val="20"/>
                <w:lang w:val="en-GB" w:eastAsia="en-US"/>
              </w:rPr>
            </w:pPr>
            <w:r w:rsidRPr="008F04D8">
              <w:rPr>
                <w:rFonts w:cs="Calibri"/>
                <w:iCs/>
                <w:color w:val="000000"/>
                <w:sz w:val="20"/>
                <w:szCs w:val="20"/>
                <w:lang w:val="en-GB" w:eastAsia="en-US"/>
              </w:rPr>
              <w:t xml:space="preserve">Raznolikost vrsta održava se u priobalnim područjima, a na otvorenom moru </w:t>
            </w:r>
            <w:r>
              <w:rPr>
                <w:rFonts w:cs="Calibri"/>
                <w:iCs/>
                <w:color w:val="000000"/>
                <w:sz w:val="20"/>
                <w:szCs w:val="20"/>
                <w:lang w:val="en-GB" w:eastAsia="en-US"/>
              </w:rPr>
              <w:t xml:space="preserve">je </w:t>
            </w:r>
            <w:r w:rsidRPr="008F04D8">
              <w:rPr>
                <w:rFonts w:cs="Calibri"/>
                <w:iCs/>
                <w:color w:val="000000"/>
                <w:sz w:val="20"/>
                <w:szCs w:val="20"/>
                <w:lang w:val="en-GB" w:eastAsia="en-US"/>
              </w:rPr>
              <w:t xml:space="preserve">vrlo visoka. Sezonski obrasci strukture populacije i sukcesije vrsta su redovni, posebno u </w:t>
            </w:r>
            <w:r>
              <w:rPr>
                <w:rFonts w:cs="Calibri"/>
                <w:iCs/>
                <w:color w:val="000000"/>
                <w:sz w:val="20"/>
                <w:szCs w:val="20"/>
                <w:lang w:val="en-GB" w:eastAsia="en-US"/>
              </w:rPr>
              <w:t>mezozooplanktonskim</w:t>
            </w:r>
            <w:r w:rsidRPr="008F04D8">
              <w:rPr>
                <w:rFonts w:cs="Calibri"/>
                <w:iCs/>
                <w:color w:val="000000"/>
                <w:sz w:val="20"/>
                <w:szCs w:val="20"/>
                <w:lang w:val="en-GB" w:eastAsia="en-US"/>
              </w:rPr>
              <w:t xml:space="preserve"> grupa</w:t>
            </w:r>
            <w:r>
              <w:rPr>
                <w:rFonts w:cs="Calibri"/>
                <w:iCs/>
                <w:color w:val="000000"/>
                <w:sz w:val="20"/>
                <w:szCs w:val="20"/>
                <w:lang w:val="en-GB" w:eastAsia="en-US"/>
              </w:rPr>
              <w:t xml:space="preserve">ma koje zavise od temperature </w:t>
            </w:r>
            <w:r w:rsidRPr="008F04D8">
              <w:rPr>
                <w:rFonts w:cs="Calibri"/>
                <w:iCs/>
                <w:color w:val="000000"/>
                <w:sz w:val="20"/>
                <w:szCs w:val="20"/>
                <w:lang w:val="en-GB" w:eastAsia="en-US"/>
              </w:rPr>
              <w:t>(npr. Cladocerans) ili kopepodični</w:t>
            </w:r>
            <w:r>
              <w:rPr>
                <w:rFonts w:cs="Calibri"/>
                <w:iCs/>
                <w:color w:val="000000"/>
                <w:sz w:val="20"/>
                <w:szCs w:val="20"/>
                <w:lang w:val="en-GB" w:eastAsia="en-US"/>
              </w:rPr>
              <w:t>m</w:t>
            </w:r>
            <w:r w:rsidRPr="008F04D8">
              <w:rPr>
                <w:rFonts w:cs="Calibri"/>
                <w:iCs/>
                <w:color w:val="000000"/>
                <w:sz w:val="20"/>
                <w:szCs w:val="20"/>
                <w:lang w:val="en-GB" w:eastAsia="en-US"/>
              </w:rPr>
              <w:t xml:space="preserve"> vrsta</w:t>
            </w:r>
            <w:r>
              <w:rPr>
                <w:rFonts w:cs="Calibri"/>
                <w:iCs/>
                <w:color w:val="000000"/>
                <w:sz w:val="20"/>
                <w:szCs w:val="20"/>
                <w:lang w:val="en-GB" w:eastAsia="en-US"/>
              </w:rPr>
              <w:t>ma</w:t>
            </w:r>
            <w:r w:rsidRPr="008F04D8">
              <w:rPr>
                <w:rFonts w:cs="Calibri"/>
                <w:iCs/>
                <w:color w:val="000000"/>
                <w:sz w:val="20"/>
                <w:szCs w:val="20"/>
                <w:lang w:val="en-GB" w:eastAsia="en-US"/>
              </w:rPr>
              <w:t xml:space="preserve"> (npr. </w:t>
            </w:r>
            <w:r w:rsidRPr="001C6CCA">
              <w:rPr>
                <w:rFonts w:cs="Calibri"/>
                <w:i/>
                <w:color w:val="000000"/>
                <w:sz w:val="20"/>
                <w:szCs w:val="20"/>
                <w:lang w:val="en-GB" w:eastAsia="en-US"/>
              </w:rPr>
              <w:t>Centropages</w:t>
            </w:r>
            <w:r w:rsidRPr="001C6CCA">
              <w:rPr>
                <w:rFonts w:cs="Calibri"/>
                <w:iCs/>
                <w:color w:val="000000"/>
                <w:sz w:val="20"/>
                <w:szCs w:val="20"/>
                <w:lang w:val="en-GB" w:eastAsia="en-US"/>
              </w:rPr>
              <w:t xml:space="preserve"> </w:t>
            </w:r>
            <w:r w:rsidRPr="001C6CCA">
              <w:rPr>
                <w:rFonts w:cs="Calibri"/>
                <w:i/>
                <w:color w:val="000000"/>
                <w:sz w:val="20"/>
                <w:szCs w:val="20"/>
                <w:lang w:val="en-GB" w:eastAsia="en-US"/>
              </w:rPr>
              <w:t>typicus</w:t>
            </w:r>
            <w:r w:rsidRPr="001C6CCA">
              <w:rPr>
                <w:rFonts w:cs="Calibri"/>
                <w:iCs/>
                <w:color w:val="000000"/>
                <w:sz w:val="20"/>
                <w:szCs w:val="20"/>
                <w:lang w:val="en-GB" w:eastAsia="en-US"/>
              </w:rPr>
              <w:t>/</w:t>
            </w:r>
            <w:r w:rsidRPr="001C6CCA">
              <w:rPr>
                <w:rFonts w:cs="Calibri"/>
                <w:i/>
                <w:color w:val="000000"/>
                <w:sz w:val="20"/>
                <w:szCs w:val="20"/>
                <w:lang w:val="en-GB" w:eastAsia="en-US"/>
              </w:rPr>
              <w:t>C. kroyeri</w:t>
            </w:r>
            <w:r w:rsidRPr="001C6CCA">
              <w:rPr>
                <w:rFonts w:cs="Calibri"/>
                <w:iCs/>
                <w:color w:val="000000"/>
                <w:sz w:val="20"/>
                <w:szCs w:val="20"/>
                <w:lang w:val="en-GB" w:eastAsia="en-US"/>
              </w:rPr>
              <w:t xml:space="preserve">; </w:t>
            </w:r>
            <w:r w:rsidRPr="001C6CCA">
              <w:rPr>
                <w:rFonts w:cs="Calibri"/>
                <w:i/>
                <w:color w:val="000000"/>
                <w:sz w:val="20"/>
                <w:szCs w:val="20"/>
                <w:lang w:val="en-GB" w:eastAsia="en-US"/>
              </w:rPr>
              <w:t>Temora longicornis</w:t>
            </w:r>
            <w:r w:rsidRPr="001C6CCA">
              <w:rPr>
                <w:rFonts w:cs="Calibri"/>
                <w:iCs/>
                <w:color w:val="000000"/>
                <w:sz w:val="20"/>
                <w:szCs w:val="20"/>
                <w:lang w:val="en-GB" w:eastAsia="en-US"/>
              </w:rPr>
              <w:t>/</w:t>
            </w:r>
            <w:r w:rsidRPr="001C6CCA">
              <w:rPr>
                <w:rFonts w:cs="Calibri"/>
                <w:i/>
                <w:color w:val="000000"/>
                <w:sz w:val="20"/>
                <w:szCs w:val="20"/>
                <w:lang w:val="en-GB" w:eastAsia="en-US"/>
              </w:rPr>
              <w:t>T. stylifera</w:t>
            </w:r>
            <w:r w:rsidRPr="001C6CCA">
              <w:rPr>
                <w:rFonts w:cs="Calibri"/>
                <w:iCs/>
                <w:color w:val="000000"/>
                <w:sz w:val="20"/>
                <w:szCs w:val="20"/>
                <w:lang w:val="en-GB" w:eastAsia="en-US"/>
              </w:rPr>
              <w:t>)</w:t>
            </w:r>
            <w:r w:rsidRPr="008F04D8">
              <w:rPr>
                <w:rFonts w:cs="Calibri"/>
                <w:iCs/>
                <w:color w:val="000000"/>
                <w:sz w:val="20"/>
                <w:szCs w:val="20"/>
                <w:lang w:val="en-GB" w:eastAsia="en-US"/>
              </w:rPr>
              <w:t xml:space="preserve">, i bez dokaza </w:t>
            </w:r>
            <w:r w:rsidR="00915515">
              <w:rPr>
                <w:rFonts w:cs="Calibri"/>
                <w:iCs/>
                <w:color w:val="000000"/>
                <w:sz w:val="20"/>
                <w:szCs w:val="20"/>
                <w:lang w:val="en-GB" w:eastAsia="en-US"/>
              </w:rPr>
              <w:t xml:space="preserve">formiranja </w:t>
            </w:r>
            <w:r w:rsidRPr="008F04D8">
              <w:rPr>
                <w:rFonts w:cs="Calibri"/>
                <w:iCs/>
                <w:color w:val="000000"/>
                <w:sz w:val="20"/>
                <w:szCs w:val="20"/>
                <w:lang w:val="en-GB" w:eastAsia="en-US"/>
              </w:rPr>
              <w:t>negativnog trenda</w:t>
            </w:r>
            <w:r w:rsidR="00915515">
              <w:rPr>
                <w:rFonts w:cs="Calibri"/>
                <w:iCs/>
                <w:color w:val="000000"/>
                <w:sz w:val="20"/>
                <w:szCs w:val="20"/>
                <w:lang w:val="en-GB" w:eastAsia="en-US"/>
              </w:rPr>
              <w:t>.</w:t>
            </w:r>
          </w:p>
        </w:tc>
      </w:tr>
      <w:tr w:rsidR="00181B21" w:rsidRPr="001C6CCA" w14:paraId="6C307113" w14:textId="77777777" w:rsidTr="00D1226C">
        <w:tc>
          <w:tcPr>
            <w:tcW w:w="2552" w:type="dxa"/>
          </w:tcPr>
          <w:p w14:paraId="3C624C49" w14:textId="77777777" w:rsidR="00093973" w:rsidRDefault="00093973" w:rsidP="00F65CFF">
            <w:pPr>
              <w:spacing w:before="0" w:after="0" w:line="240" w:lineRule="auto"/>
              <w:jc w:val="left"/>
              <w:rPr>
                <w:rFonts w:eastAsia="Calibri"/>
                <w:sz w:val="20"/>
                <w:szCs w:val="20"/>
                <w:lang w:val="en-GB" w:eastAsia="en-US"/>
              </w:rPr>
            </w:pPr>
          </w:p>
          <w:p w14:paraId="22156636" w14:textId="77777777" w:rsidR="00093973" w:rsidRPr="00093973" w:rsidRDefault="00093973" w:rsidP="00093973">
            <w:pPr>
              <w:spacing w:after="0" w:line="240" w:lineRule="auto"/>
              <w:rPr>
                <w:rFonts w:eastAsia="Calibri"/>
                <w:b/>
                <w:sz w:val="20"/>
                <w:szCs w:val="20"/>
                <w:lang w:val="en-GB" w:eastAsia="en-US"/>
              </w:rPr>
            </w:pPr>
            <w:r w:rsidRPr="00093973">
              <w:rPr>
                <w:rFonts w:eastAsia="Calibri"/>
                <w:b/>
                <w:sz w:val="20"/>
                <w:szCs w:val="20"/>
                <w:lang w:val="en-GB" w:eastAsia="en-US"/>
              </w:rPr>
              <w:t>D4C2 – Primarni:</w:t>
            </w:r>
          </w:p>
          <w:p w14:paraId="29FEE95B" w14:textId="7159F49C" w:rsidR="00093973" w:rsidRPr="00093973" w:rsidRDefault="00093973" w:rsidP="00093973">
            <w:pPr>
              <w:spacing w:after="0" w:line="240" w:lineRule="auto"/>
              <w:rPr>
                <w:rFonts w:eastAsia="Calibri"/>
                <w:sz w:val="20"/>
                <w:szCs w:val="20"/>
                <w:lang w:val="en-GB" w:eastAsia="en-US"/>
              </w:rPr>
            </w:pPr>
            <w:r w:rsidRPr="00093973">
              <w:rPr>
                <w:rFonts w:eastAsia="Calibri"/>
                <w:sz w:val="20"/>
                <w:szCs w:val="20"/>
                <w:lang w:val="en-GB" w:eastAsia="en-US"/>
              </w:rPr>
              <w:t>Antropogeni pritisci nisu štetno uticali na ravnotežu ukupne brojnosti grupe između trofičkih grupa.</w:t>
            </w:r>
          </w:p>
          <w:p w14:paraId="53E64E57" w14:textId="77777777" w:rsidR="00093973" w:rsidRPr="001C6CCA" w:rsidRDefault="00093973" w:rsidP="00F65CFF">
            <w:pPr>
              <w:spacing w:before="0" w:after="0" w:line="240" w:lineRule="auto"/>
              <w:jc w:val="left"/>
              <w:rPr>
                <w:rFonts w:eastAsia="Calibri"/>
                <w:sz w:val="20"/>
                <w:szCs w:val="20"/>
                <w:lang w:val="en-GB" w:eastAsia="en-US"/>
              </w:rPr>
            </w:pPr>
          </w:p>
        </w:tc>
        <w:tc>
          <w:tcPr>
            <w:tcW w:w="6469" w:type="dxa"/>
          </w:tcPr>
          <w:p w14:paraId="488D17AF" w14:textId="77777777" w:rsidR="008F04D8" w:rsidRPr="001C6CCA" w:rsidRDefault="008F04D8" w:rsidP="008F04D8">
            <w:pPr>
              <w:spacing w:after="0"/>
              <w:rPr>
                <w:rFonts w:eastAsia="Calibri"/>
                <w:sz w:val="20"/>
                <w:szCs w:val="20"/>
                <w:lang w:val="en-GB" w:eastAsia="en-US"/>
              </w:rPr>
            </w:pPr>
            <w:r>
              <w:rPr>
                <w:rFonts w:eastAsia="Calibri"/>
                <w:sz w:val="20"/>
                <w:szCs w:val="20"/>
                <w:lang w:val="en-GB" w:eastAsia="en-US"/>
              </w:rPr>
              <w:t>GES je postignut</w:t>
            </w:r>
          </w:p>
          <w:p w14:paraId="6B1FCF24" w14:textId="77777777" w:rsidR="00BF65EE" w:rsidRDefault="00093973" w:rsidP="00BF65EE">
            <w:pPr>
              <w:autoSpaceDE w:val="0"/>
              <w:autoSpaceDN w:val="0"/>
              <w:adjustRightInd w:val="0"/>
              <w:spacing w:after="0"/>
              <w:rPr>
                <w:rFonts w:cs="Calibri"/>
                <w:color w:val="000000"/>
                <w:sz w:val="20"/>
                <w:szCs w:val="20"/>
                <w:lang w:val="en-GB"/>
              </w:rPr>
            </w:pPr>
            <w:r w:rsidRPr="00093973">
              <w:rPr>
                <w:rFonts w:eastAsia="Calibri"/>
                <w:sz w:val="20"/>
                <w:szCs w:val="20"/>
                <w:lang w:val="en-GB" w:eastAsia="en-US"/>
              </w:rPr>
              <w:t>Ukupna brojnost i biomasa fitoplanktonskih zajednica su u opsegu višegodišnjih m</w:t>
            </w:r>
            <w:r>
              <w:rPr>
                <w:rFonts w:eastAsia="Calibri"/>
                <w:sz w:val="20"/>
                <w:szCs w:val="20"/>
                <w:lang w:val="en-GB" w:eastAsia="en-US"/>
              </w:rPr>
              <w:t>j</w:t>
            </w:r>
            <w:r w:rsidRPr="00093973">
              <w:rPr>
                <w:rFonts w:eastAsia="Calibri"/>
                <w:sz w:val="20"/>
                <w:szCs w:val="20"/>
                <w:lang w:val="en-GB" w:eastAsia="en-US"/>
              </w:rPr>
              <w:t xml:space="preserve">erenja. Sezonska </w:t>
            </w:r>
            <w:r w:rsidR="00BF65EE">
              <w:rPr>
                <w:rFonts w:eastAsia="Calibri"/>
                <w:sz w:val="20"/>
                <w:szCs w:val="20"/>
                <w:lang w:val="en-GB" w:eastAsia="en-US"/>
              </w:rPr>
              <w:t>rasprostranjenost</w:t>
            </w:r>
            <w:r w:rsidRPr="00093973">
              <w:rPr>
                <w:rFonts w:eastAsia="Calibri"/>
                <w:sz w:val="20"/>
                <w:szCs w:val="20"/>
                <w:lang w:val="en-GB" w:eastAsia="en-US"/>
              </w:rPr>
              <w:t xml:space="preserve"> biomase fitoplanktona u skladu je sa sezonskim ciklusom uslovljenim prirodnim procesima poput m</w:t>
            </w:r>
            <w:r w:rsidR="00BF65EE">
              <w:rPr>
                <w:rFonts w:eastAsia="Calibri"/>
                <w:sz w:val="20"/>
                <w:szCs w:val="20"/>
                <w:lang w:val="en-GB" w:eastAsia="en-US"/>
              </w:rPr>
              <w:t>ij</w:t>
            </w:r>
            <w:r w:rsidRPr="00093973">
              <w:rPr>
                <w:rFonts w:eastAsia="Calibri"/>
                <w:sz w:val="20"/>
                <w:szCs w:val="20"/>
                <w:lang w:val="en-GB" w:eastAsia="en-US"/>
              </w:rPr>
              <w:t xml:space="preserve">ešanja </w:t>
            </w:r>
            <w:r w:rsidR="00BF65EE">
              <w:rPr>
                <w:rFonts w:eastAsia="Calibri"/>
                <w:sz w:val="20"/>
                <w:szCs w:val="20"/>
                <w:lang w:val="en-GB" w:eastAsia="en-US"/>
              </w:rPr>
              <w:t xml:space="preserve">vode </w:t>
            </w:r>
            <w:r w:rsidRPr="00093973">
              <w:rPr>
                <w:rFonts w:eastAsia="Calibri"/>
                <w:sz w:val="20"/>
                <w:szCs w:val="20"/>
                <w:lang w:val="en-GB" w:eastAsia="en-US"/>
              </w:rPr>
              <w:t>vodenog stuba zimi i jeseni i raslojavanja tokom l</w:t>
            </w:r>
            <w:r w:rsidR="00BF65EE">
              <w:rPr>
                <w:rFonts w:eastAsia="Calibri"/>
                <w:sz w:val="20"/>
                <w:szCs w:val="20"/>
                <w:lang w:val="en-GB" w:eastAsia="en-US"/>
              </w:rPr>
              <w:t>j</w:t>
            </w:r>
            <w:r w:rsidRPr="00093973">
              <w:rPr>
                <w:rFonts w:eastAsia="Calibri"/>
                <w:sz w:val="20"/>
                <w:szCs w:val="20"/>
                <w:lang w:val="en-GB" w:eastAsia="en-US"/>
              </w:rPr>
              <w:t>etnjeg perioda.</w:t>
            </w:r>
          </w:p>
          <w:p w14:paraId="54DC0FAE" w14:textId="77777777" w:rsidR="00BF65EE" w:rsidRDefault="00093973" w:rsidP="00BF65EE">
            <w:pPr>
              <w:autoSpaceDE w:val="0"/>
              <w:autoSpaceDN w:val="0"/>
              <w:adjustRightInd w:val="0"/>
              <w:spacing w:after="0"/>
              <w:rPr>
                <w:rFonts w:cs="Calibri"/>
                <w:color w:val="000000"/>
                <w:sz w:val="20"/>
                <w:szCs w:val="20"/>
                <w:lang w:val="en-GB"/>
              </w:rPr>
            </w:pPr>
            <w:r w:rsidRPr="00093973">
              <w:rPr>
                <w:rFonts w:eastAsia="Calibri"/>
                <w:sz w:val="20"/>
                <w:szCs w:val="20"/>
                <w:lang w:val="en-GB" w:eastAsia="en-US"/>
              </w:rPr>
              <w:t>Relativni broj grupa mezozooplanktona odgovara prirodnim rasponima i nije se značajno prom</w:t>
            </w:r>
            <w:r w:rsidR="00BF65EE">
              <w:rPr>
                <w:rFonts w:eastAsia="Calibri"/>
                <w:sz w:val="20"/>
                <w:szCs w:val="20"/>
                <w:lang w:val="en-GB" w:eastAsia="en-US"/>
              </w:rPr>
              <w:t>ij</w:t>
            </w:r>
            <w:r w:rsidRPr="00093973">
              <w:rPr>
                <w:rFonts w:eastAsia="Calibri"/>
                <w:sz w:val="20"/>
                <w:szCs w:val="20"/>
                <w:lang w:val="en-GB" w:eastAsia="en-US"/>
              </w:rPr>
              <w:t>enio pod negativnim antropogenim pritiscima.</w:t>
            </w:r>
          </w:p>
          <w:p w14:paraId="6BFD29F9" w14:textId="77777777" w:rsidR="00BF65EE" w:rsidRDefault="00093973" w:rsidP="00BF65EE">
            <w:pPr>
              <w:autoSpaceDE w:val="0"/>
              <w:autoSpaceDN w:val="0"/>
              <w:adjustRightInd w:val="0"/>
              <w:spacing w:after="0"/>
              <w:rPr>
                <w:rFonts w:eastAsia="Calibri"/>
                <w:sz w:val="20"/>
                <w:szCs w:val="20"/>
                <w:lang w:val="en-GB" w:eastAsia="en-US"/>
              </w:rPr>
            </w:pPr>
            <w:r w:rsidRPr="00093973">
              <w:rPr>
                <w:rFonts w:eastAsia="Calibri"/>
                <w:sz w:val="20"/>
                <w:szCs w:val="20"/>
                <w:lang w:val="en-GB" w:eastAsia="en-US"/>
              </w:rPr>
              <w:t>Tokom godina uočene su značajne prom</w:t>
            </w:r>
            <w:r w:rsidR="00BF65EE">
              <w:rPr>
                <w:rFonts w:eastAsia="Calibri"/>
                <w:sz w:val="20"/>
                <w:szCs w:val="20"/>
                <w:lang w:val="en-GB" w:eastAsia="en-US"/>
              </w:rPr>
              <w:t>j</w:t>
            </w:r>
            <w:r w:rsidRPr="00093973">
              <w:rPr>
                <w:rFonts w:eastAsia="Calibri"/>
                <w:sz w:val="20"/>
                <w:szCs w:val="20"/>
                <w:lang w:val="en-GB" w:eastAsia="en-US"/>
              </w:rPr>
              <w:t>ene u biomasi sitnih pelagičnih riba (sardina), ne samo u Jadranskom moru već i širom sv</w:t>
            </w:r>
            <w:r w:rsidR="00BF65EE">
              <w:rPr>
                <w:rFonts w:eastAsia="Calibri"/>
                <w:sz w:val="20"/>
                <w:szCs w:val="20"/>
                <w:lang w:val="en-GB" w:eastAsia="en-US"/>
              </w:rPr>
              <w:t>ij</w:t>
            </w:r>
            <w:r w:rsidRPr="00093973">
              <w:rPr>
                <w:rFonts w:eastAsia="Calibri"/>
                <w:sz w:val="20"/>
                <w:szCs w:val="20"/>
                <w:lang w:val="en-GB" w:eastAsia="en-US"/>
              </w:rPr>
              <w:t xml:space="preserve">eta. Međutim, trenutni nivo biomase i </w:t>
            </w:r>
            <w:r w:rsidR="00BF65EE" w:rsidRPr="001A2376">
              <w:rPr>
                <w:rFonts w:eastAsia="Calibri"/>
                <w:sz w:val="20"/>
                <w:szCs w:val="20"/>
                <w:lang w:val="en-GB" w:eastAsia="en-US"/>
              </w:rPr>
              <w:t>podmladak</w:t>
            </w:r>
            <w:r w:rsidRPr="00093973">
              <w:rPr>
                <w:rFonts w:eastAsia="Calibri"/>
                <w:sz w:val="20"/>
                <w:szCs w:val="20"/>
                <w:lang w:val="en-GB" w:eastAsia="en-US"/>
              </w:rPr>
              <w:t xml:space="preserve"> ukazuju na oporavak </w:t>
            </w:r>
            <w:r w:rsidR="00BF65EE">
              <w:rPr>
                <w:rFonts w:eastAsia="Calibri"/>
                <w:sz w:val="20"/>
                <w:szCs w:val="20"/>
                <w:lang w:val="en-GB" w:eastAsia="en-US"/>
              </w:rPr>
              <w:t>u posljednjoj deceniji.</w:t>
            </w:r>
          </w:p>
          <w:p w14:paraId="3B8EB131" w14:textId="52CFA00B" w:rsidR="00093973" w:rsidRPr="00BF65EE" w:rsidRDefault="00093973" w:rsidP="00BF65EE">
            <w:pPr>
              <w:autoSpaceDE w:val="0"/>
              <w:autoSpaceDN w:val="0"/>
              <w:adjustRightInd w:val="0"/>
              <w:spacing w:after="0"/>
              <w:rPr>
                <w:rFonts w:cs="Calibri"/>
                <w:color w:val="000000"/>
                <w:lang w:val="sq-AL"/>
              </w:rPr>
            </w:pPr>
            <w:r w:rsidRPr="00093973">
              <w:rPr>
                <w:rFonts w:eastAsia="Calibri"/>
                <w:sz w:val="20"/>
                <w:szCs w:val="20"/>
                <w:lang w:val="en-GB" w:eastAsia="en-US"/>
              </w:rPr>
              <w:t xml:space="preserve">Populacija tuna </w:t>
            </w:r>
            <w:r w:rsidR="00BF65EE" w:rsidRPr="001C6CCA">
              <w:rPr>
                <w:rFonts w:cs="Calibri"/>
                <w:color w:val="000000"/>
                <w:sz w:val="20"/>
                <w:szCs w:val="20"/>
                <w:lang w:val="en-GB"/>
              </w:rPr>
              <w:t xml:space="preserve">(Thunnus thynnus) </w:t>
            </w:r>
            <w:r w:rsidRPr="00093973">
              <w:rPr>
                <w:rFonts w:eastAsia="Calibri"/>
                <w:sz w:val="20"/>
                <w:szCs w:val="20"/>
                <w:lang w:val="en-GB" w:eastAsia="en-US"/>
              </w:rPr>
              <w:t xml:space="preserve">koja naseljava Jadransko more je pod jurisdikcijom ICCAT. </w:t>
            </w:r>
            <w:r w:rsidR="00BF65EE" w:rsidRPr="00BF65EE">
              <w:rPr>
                <w:rFonts w:cs="Calibri"/>
                <w:color w:val="000000"/>
                <w:sz w:val="20"/>
                <w:szCs w:val="20"/>
                <w:lang w:val="sq-AL"/>
              </w:rPr>
              <w:t>U posljednjoj deceniji kvota definisana za tune za Hrvatsku var</w:t>
            </w:r>
            <w:r w:rsidR="00BF65EE">
              <w:rPr>
                <w:rFonts w:cs="Calibri"/>
                <w:color w:val="000000"/>
                <w:sz w:val="20"/>
                <w:szCs w:val="20"/>
                <w:lang w:val="sq-AL"/>
              </w:rPr>
              <w:t xml:space="preserve">irala je od 376,01 do 862,31 t. </w:t>
            </w:r>
            <w:r w:rsidR="00BF65EE" w:rsidRPr="00BF65EE">
              <w:rPr>
                <w:rFonts w:cs="Calibri"/>
                <w:color w:val="000000"/>
                <w:sz w:val="20"/>
                <w:szCs w:val="20"/>
                <w:lang w:val="sq-AL"/>
              </w:rPr>
              <w:t>S obzirom na to da je dodijeljena vrijednost kvote porasla tokom godina, očigledno je da postoje opravdani pokazatelji oporavka populacije jadranske tune.</w:t>
            </w:r>
          </w:p>
        </w:tc>
      </w:tr>
      <w:tr w:rsidR="00181B21" w:rsidRPr="001C6CCA" w14:paraId="2DB8A4F9" w14:textId="77777777" w:rsidTr="00D1226C">
        <w:tc>
          <w:tcPr>
            <w:tcW w:w="2552" w:type="dxa"/>
          </w:tcPr>
          <w:p w14:paraId="75200652" w14:textId="77777777" w:rsidR="00093973" w:rsidRPr="00093973" w:rsidRDefault="00093973" w:rsidP="00093973">
            <w:pPr>
              <w:spacing w:after="0" w:line="240" w:lineRule="auto"/>
              <w:rPr>
                <w:rFonts w:eastAsia="Calibri"/>
                <w:b/>
                <w:sz w:val="20"/>
                <w:szCs w:val="20"/>
                <w:lang w:val="en-GB" w:eastAsia="en-US"/>
              </w:rPr>
            </w:pPr>
            <w:r w:rsidRPr="00093973">
              <w:rPr>
                <w:rFonts w:eastAsia="Calibri"/>
                <w:b/>
                <w:sz w:val="20"/>
                <w:szCs w:val="20"/>
                <w:lang w:val="en-GB" w:eastAsia="en-US"/>
              </w:rPr>
              <w:t>D4C3 – Sekundarni:</w:t>
            </w:r>
          </w:p>
          <w:p w14:paraId="689F7F1B" w14:textId="4CF51601" w:rsidR="00093973" w:rsidRPr="00093973" w:rsidRDefault="00093973" w:rsidP="00093973">
            <w:pPr>
              <w:spacing w:after="0" w:line="240" w:lineRule="auto"/>
              <w:rPr>
                <w:rFonts w:eastAsia="Calibri"/>
                <w:sz w:val="20"/>
                <w:szCs w:val="20"/>
                <w:lang w:val="en-GB" w:eastAsia="en-US"/>
              </w:rPr>
            </w:pPr>
            <w:r>
              <w:rPr>
                <w:rFonts w:eastAsia="Calibri"/>
                <w:sz w:val="20"/>
                <w:szCs w:val="20"/>
                <w:lang w:val="en-GB" w:eastAsia="en-US"/>
              </w:rPr>
              <w:t>Antropogeni pritisci ni</w:t>
            </w:r>
            <w:r w:rsidRPr="00093973">
              <w:rPr>
                <w:rFonts w:eastAsia="Calibri"/>
                <w:sz w:val="20"/>
                <w:szCs w:val="20"/>
                <w:lang w:val="en-GB" w:eastAsia="en-US"/>
              </w:rPr>
              <w:t>su štetno uticali na raspodjelu jedinki prema veličini unutar trofičke grupe.</w:t>
            </w:r>
          </w:p>
          <w:p w14:paraId="4DFA3181" w14:textId="77777777" w:rsidR="00093973" w:rsidRPr="001C6CCA" w:rsidRDefault="00093973" w:rsidP="00F65CFF">
            <w:pPr>
              <w:spacing w:before="0" w:after="0" w:line="240" w:lineRule="auto"/>
              <w:jc w:val="left"/>
              <w:rPr>
                <w:rFonts w:eastAsia="Calibri"/>
                <w:sz w:val="20"/>
                <w:szCs w:val="20"/>
                <w:lang w:val="en-GB" w:eastAsia="en-US"/>
              </w:rPr>
            </w:pPr>
          </w:p>
        </w:tc>
        <w:tc>
          <w:tcPr>
            <w:tcW w:w="6469" w:type="dxa"/>
          </w:tcPr>
          <w:p w14:paraId="3678A39C" w14:textId="77777777" w:rsidR="00BF65EE" w:rsidRPr="00BF65EE" w:rsidRDefault="00BF65EE" w:rsidP="00F65CFF">
            <w:pPr>
              <w:spacing w:before="0" w:after="0"/>
              <w:rPr>
                <w:rFonts w:cs="Calibri"/>
                <w:sz w:val="20"/>
                <w:szCs w:val="20"/>
                <w:lang w:val="en-GB" w:eastAsia="en-US"/>
              </w:rPr>
            </w:pPr>
          </w:p>
          <w:p w14:paraId="4D295D6E" w14:textId="0C087E6D" w:rsidR="00BF65EE" w:rsidRPr="00BF65EE" w:rsidRDefault="00BF65EE" w:rsidP="00F65CFF">
            <w:pPr>
              <w:spacing w:before="0" w:after="0"/>
              <w:rPr>
                <w:rFonts w:cs="Calibri"/>
                <w:sz w:val="20"/>
                <w:szCs w:val="20"/>
                <w:lang w:val="en-GB" w:eastAsia="en-US"/>
              </w:rPr>
            </w:pPr>
            <w:r w:rsidRPr="00BF65EE">
              <w:rPr>
                <w:rFonts w:eastAsia="Calibri" w:cs="Calibri"/>
                <w:sz w:val="20"/>
                <w:szCs w:val="20"/>
                <w:lang w:eastAsia="en-US"/>
              </w:rPr>
              <w:t>Podaci iz nacionalnog monitoringa ribarstva (ciljna vrsta - sardina)</w:t>
            </w:r>
            <w:r>
              <w:rPr>
                <w:rFonts w:eastAsia="Calibri" w:cs="Calibri"/>
                <w:sz w:val="20"/>
                <w:szCs w:val="20"/>
                <w:lang w:eastAsia="en-US"/>
              </w:rPr>
              <w:t xml:space="preserve"> </w:t>
            </w:r>
            <w:r w:rsidRPr="00BF65EE">
              <w:rPr>
                <w:rFonts w:eastAsia="Calibri" w:cs="Calibri"/>
                <w:sz w:val="20"/>
                <w:szCs w:val="20"/>
                <w:lang w:eastAsia="en-US"/>
              </w:rPr>
              <w:t xml:space="preserve">pokazuju da znatan dio ulova pripada jedinkama </w:t>
            </w:r>
            <w:r>
              <w:rPr>
                <w:rFonts w:eastAsia="Calibri" w:cs="Calibri"/>
                <w:sz w:val="20"/>
                <w:szCs w:val="20"/>
                <w:lang w:eastAsia="en-US"/>
              </w:rPr>
              <w:t>koje premašuju</w:t>
            </w:r>
            <w:r w:rsidRPr="00BF65EE">
              <w:rPr>
                <w:rFonts w:eastAsia="Calibri" w:cs="Calibri"/>
                <w:sz w:val="20"/>
                <w:szCs w:val="20"/>
                <w:lang w:eastAsia="en-US"/>
              </w:rPr>
              <w:t xml:space="preserve"> vrijednost L50.</w:t>
            </w:r>
          </w:p>
          <w:p w14:paraId="3BEDD2B1" w14:textId="77777777" w:rsidR="00181B21" w:rsidRPr="001C6CCA" w:rsidRDefault="00181B21" w:rsidP="00F65CFF">
            <w:pPr>
              <w:spacing w:before="0" w:after="0" w:line="240" w:lineRule="auto"/>
              <w:rPr>
                <w:rFonts w:eastAsia="Calibri" w:cs="Calibri"/>
                <w:bCs/>
                <w:sz w:val="20"/>
                <w:szCs w:val="20"/>
                <w:lang w:val="en-GB" w:eastAsia="en-US"/>
              </w:rPr>
            </w:pPr>
          </w:p>
        </w:tc>
      </w:tr>
      <w:tr w:rsidR="002A5081" w:rsidRPr="001C6CCA" w14:paraId="498D970C" w14:textId="77777777" w:rsidTr="00D1226C">
        <w:tc>
          <w:tcPr>
            <w:tcW w:w="2552" w:type="dxa"/>
          </w:tcPr>
          <w:p w14:paraId="3BCE2135" w14:textId="42010207" w:rsidR="002A5081" w:rsidRPr="006E447D" w:rsidRDefault="009E0D16" w:rsidP="006E447D">
            <w:pPr>
              <w:autoSpaceDE w:val="0"/>
              <w:autoSpaceDN w:val="0"/>
              <w:adjustRightInd w:val="0"/>
              <w:spacing w:before="0" w:after="0" w:line="240" w:lineRule="auto"/>
              <w:jc w:val="left"/>
              <w:rPr>
                <w:rFonts w:cs="Calibri"/>
                <w:color w:val="000000"/>
                <w:sz w:val="20"/>
                <w:szCs w:val="20"/>
                <w:lang w:val="en-GB" w:eastAsia="en-US"/>
              </w:rPr>
            </w:pPr>
            <w:r w:rsidRPr="00F86B44">
              <w:rPr>
                <w:rFonts w:cs="Calibri"/>
                <w:b/>
                <w:color w:val="000000"/>
                <w:sz w:val="20"/>
                <w:szCs w:val="20"/>
                <w:lang w:val="en-GB" w:eastAsia="en-US"/>
              </w:rPr>
              <w:t>D4C4 – Sekundarni</w:t>
            </w:r>
            <w:r w:rsidRPr="00F86B44">
              <w:rPr>
                <w:rFonts w:cs="Calibri"/>
                <w:color w:val="000000"/>
                <w:sz w:val="20"/>
                <w:szCs w:val="20"/>
                <w:lang w:val="en-GB" w:eastAsia="en-US"/>
              </w:rPr>
              <w:t xml:space="preserve"> </w:t>
            </w:r>
            <w:r>
              <w:rPr>
                <w:rFonts w:cs="Calibri"/>
                <w:color w:val="000000"/>
                <w:sz w:val="20"/>
                <w:szCs w:val="20"/>
                <w:lang w:val="en-GB" w:eastAsia="en-US"/>
              </w:rPr>
              <w:t>produktivnost trofičkih skupina</w:t>
            </w:r>
          </w:p>
        </w:tc>
        <w:tc>
          <w:tcPr>
            <w:tcW w:w="6469" w:type="dxa"/>
          </w:tcPr>
          <w:p w14:paraId="6DDCC565" w14:textId="5C128F77" w:rsidR="002A5081" w:rsidRPr="00BF65EE" w:rsidRDefault="009E0D16" w:rsidP="00F65CFF">
            <w:pPr>
              <w:spacing w:before="0" w:after="0"/>
              <w:rPr>
                <w:rFonts w:cs="Calibri"/>
                <w:sz w:val="20"/>
                <w:szCs w:val="20"/>
                <w:lang w:val="en-GB" w:eastAsia="en-US"/>
              </w:rPr>
            </w:pPr>
            <w:r>
              <w:rPr>
                <w:rFonts w:cs="Calibri"/>
                <w:sz w:val="20"/>
                <w:szCs w:val="20"/>
                <w:lang w:val="en-GB" w:eastAsia="en-US"/>
              </w:rPr>
              <w:t xml:space="preserve">Procjena nije moguća na nivou podregiona s obzirom da za ovaj kriterijum ne postoje podaci </w:t>
            </w:r>
            <w:r w:rsidRPr="00093973">
              <w:rPr>
                <w:rFonts w:cs="Calibri"/>
                <w:color w:val="000000"/>
                <w:sz w:val="20"/>
                <w:szCs w:val="20"/>
                <w:lang w:val="en-GB" w:eastAsia="en-US"/>
              </w:rPr>
              <w:t>za crnogorski dio Jadranskog mora</w:t>
            </w:r>
            <w:r>
              <w:rPr>
                <w:rFonts w:cs="Calibri"/>
                <w:color w:val="000000"/>
                <w:sz w:val="20"/>
                <w:szCs w:val="20"/>
                <w:lang w:val="en-GB" w:eastAsia="en-US"/>
              </w:rPr>
              <w:t>.</w:t>
            </w:r>
          </w:p>
        </w:tc>
      </w:tr>
    </w:tbl>
    <w:p w14:paraId="15BED951" w14:textId="77777777" w:rsidR="00181B21" w:rsidRDefault="00181B21" w:rsidP="00F65CFF">
      <w:pPr>
        <w:autoSpaceDE w:val="0"/>
        <w:autoSpaceDN w:val="0"/>
        <w:adjustRightInd w:val="0"/>
        <w:spacing w:before="0" w:after="0" w:line="240" w:lineRule="auto"/>
        <w:rPr>
          <w:rFonts w:eastAsia="Calibri" w:cs="Calibri"/>
          <w:b/>
          <w:color w:val="000000"/>
          <w:sz w:val="20"/>
          <w:szCs w:val="20"/>
          <w:lang w:val="en-GB" w:eastAsia="en-US"/>
        </w:rPr>
      </w:pPr>
    </w:p>
    <w:p w14:paraId="79B39E89" w14:textId="47AF27F3" w:rsidR="00BF65EE" w:rsidRPr="00887049" w:rsidRDefault="00BF65EE" w:rsidP="001A2376">
      <w:pPr>
        <w:pStyle w:val="Heading3"/>
        <w:ind w:left="1701" w:hanging="708"/>
        <w:rPr>
          <w:rFonts w:eastAsia="Calibri"/>
          <w:lang w:val="en-GB" w:eastAsia="en-US"/>
        </w:rPr>
      </w:pPr>
      <w:bookmarkStart w:id="400" w:name="_Toc83630995"/>
      <w:r w:rsidRPr="00887049">
        <w:rPr>
          <w:rFonts w:eastAsia="Calibri"/>
          <w:lang w:val="en-GB" w:eastAsia="en-US"/>
        </w:rPr>
        <w:t xml:space="preserve">Pristup </w:t>
      </w:r>
      <w:r w:rsidR="006D084C" w:rsidRPr="00887049">
        <w:rPr>
          <w:rFonts w:eastAsia="Calibri"/>
          <w:lang w:val="en-GB" w:eastAsia="en-US"/>
        </w:rPr>
        <w:t>definisanju ciljeva za ostvarivanje/održavanje GES-a za D4</w:t>
      </w:r>
      <w:bookmarkEnd w:id="400"/>
    </w:p>
    <w:p w14:paraId="0D2AFD86" w14:textId="77777777" w:rsidR="00BF65EE" w:rsidRDefault="00BF65EE" w:rsidP="00F65CFF">
      <w:pPr>
        <w:autoSpaceDE w:val="0"/>
        <w:autoSpaceDN w:val="0"/>
        <w:adjustRightInd w:val="0"/>
        <w:spacing w:before="0" w:after="0"/>
        <w:rPr>
          <w:rFonts w:eastAsia="Calibri" w:cs="Calibri"/>
          <w:color w:val="000000"/>
          <w:szCs w:val="22"/>
          <w:lang w:val="en-GB" w:eastAsia="en-US"/>
        </w:rPr>
      </w:pPr>
    </w:p>
    <w:p w14:paraId="454CABFD" w14:textId="3A54782E" w:rsidR="00BF65EE" w:rsidRPr="001C6CCA" w:rsidRDefault="00BF65EE" w:rsidP="00F65CFF">
      <w:pPr>
        <w:autoSpaceDE w:val="0"/>
        <w:autoSpaceDN w:val="0"/>
        <w:adjustRightInd w:val="0"/>
        <w:spacing w:before="0" w:after="0"/>
        <w:rPr>
          <w:rFonts w:eastAsia="Calibri" w:cs="Calibri"/>
          <w:color w:val="000000"/>
          <w:szCs w:val="22"/>
          <w:lang w:val="en-GB" w:eastAsia="en-US"/>
        </w:rPr>
      </w:pPr>
      <w:r w:rsidRPr="00BF65EE">
        <w:rPr>
          <w:rFonts w:eastAsia="Calibri" w:cs="Calibri"/>
          <w:color w:val="000000"/>
          <w:szCs w:val="22"/>
          <w:lang w:val="en-GB" w:eastAsia="en-US"/>
        </w:rPr>
        <w:t>Pravilno funkcionisanje morske prehrambene mreže presudno je za c</w:t>
      </w:r>
      <w:r>
        <w:rPr>
          <w:rFonts w:eastAsia="Calibri" w:cs="Calibri"/>
          <w:color w:val="000000"/>
          <w:szCs w:val="22"/>
          <w:lang w:val="en-GB" w:eastAsia="en-US"/>
        </w:rPr>
        <w:t>j</w:t>
      </w:r>
      <w:r w:rsidRPr="00BF65EE">
        <w:rPr>
          <w:rFonts w:eastAsia="Calibri" w:cs="Calibri"/>
          <w:color w:val="000000"/>
          <w:szCs w:val="22"/>
          <w:lang w:val="en-GB" w:eastAsia="en-US"/>
        </w:rPr>
        <w:t xml:space="preserve">elokupno zdravlje ekosistema. Ovaj </w:t>
      </w:r>
      <w:r>
        <w:rPr>
          <w:rFonts w:eastAsia="Calibri" w:cs="Calibri"/>
          <w:color w:val="000000"/>
          <w:szCs w:val="22"/>
          <w:lang w:val="en-GB" w:eastAsia="en-US"/>
        </w:rPr>
        <w:t>deskriptor</w:t>
      </w:r>
      <w:r w:rsidRPr="00BF65EE">
        <w:rPr>
          <w:rFonts w:eastAsia="Calibri" w:cs="Calibri"/>
          <w:color w:val="000000"/>
          <w:szCs w:val="22"/>
          <w:lang w:val="en-GB" w:eastAsia="en-US"/>
        </w:rPr>
        <w:t xml:space="preserve"> je nam</w:t>
      </w:r>
      <w:r>
        <w:rPr>
          <w:rFonts w:eastAsia="Calibri" w:cs="Calibri"/>
          <w:color w:val="000000"/>
          <w:szCs w:val="22"/>
          <w:lang w:val="en-GB" w:eastAsia="en-US"/>
        </w:rPr>
        <w:t>j</w:t>
      </w:r>
      <w:r w:rsidRPr="00BF65EE">
        <w:rPr>
          <w:rFonts w:eastAsia="Calibri" w:cs="Calibri"/>
          <w:color w:val="000000"/>
          <w:szCs w:val="22"/>
          <w:lang w:val="en-GB" w:eastAsia="en-US"/>
        </w:rPr>
        <w:t>enjen pokrivanju funkcionalnih aspekata prehrambenih mreža (posebno prenosa energije) i nivoa produktivnosti. Međutim, trenutno ni</w:t>
      </w:r>
      <w:r w:rsidR="00887049">
        <w:rPr>
          <w:rFonts w:eastAsia="Calibri" w:cs="Calibri"/>
          <w:color w:val="000000"/>
          <w:szCs w:val="22"/>
          <w:lang w:val="en-GB" w:eastAsia="en-US"/>
        </w:rPr>
        <w:t xml:space="preserve">su </w:t>
      </w:r>
      <w:r w:rsidRPr="00BF65EE">
        <w:rPr>
          <w:rFonts w:eastAsia="Calibri" w:cs="Calibri"/>
          <w:color w:val="000000"/>
          <w:szCs w:val="22"/>
          <w:lang w:val="en-GB" w:eastAsia="en-US"/>
        </w:rPr>
        <w:t>dovoljno poznat</w:t>
      </w:r>
      <w:r w:rsidR="00887049">
        <w:rPr>
          <w:rFonts w:eastAsia="Calibri" w:cs="Calibri"/>
          <w:color w:val="000000"/>
          <w:szCs w:val="22"/>
          <w:lang w:val="en-GB" w:eastAsia="en-US"/>
        </w:rPr>
        <w:t>i procesi prenosa</w:t>
      </w:r>
      <w:r w:rsidRPr="00BF65EE">
        <w:rPr>
          <w:rFonts w:eastAsia="Calibri" w:cs="Calibri"/>
          <w:color w:val="000000"/>
          <w:szCs w:val="22"/>
          <w:lang w:val="en-GB" w:eastAsia="en-US"/>
        </w:rPr>
        <w:t xml:space="preserve">  energije između trofičnih nivoa </w:t>
      </w:r>
      <w:r w:rsidR="00887049">
        <w:rPr>
          <w:rFonts w:eastAsia="Calibri" w:cs="Calibri"/>
          <w:color w:val="000000"/>
          <w:szCs w:val="22"/>
          <w:lang w:val="en-GB" w:eastAsia="en-US"/>
        </w:rPr>
        <w:t>kao n</w:t>
      </w:r>
      <w:r w:rsidRPr="00BF65EE">
        <w:rPr>
          <w:rFonts w:eastAsia="Calibri" w:cs="Calibri"/>
          <w:color w:val="000000"/>
          <w:szCs w:val="22"/>
          <w:lang w:val="en-GB" w:eastAsia="en-US"/>
        </w:rPr>
        <w:t>i interakcij</w:t>
      </w:r>
      <w:r w:rsidR="00887049">
        <w:rPr>
          <w:rFonts w:eastAsia="Calibri" w:cs="Calibri"/>
          <w:color w:val="000000"/>
          <w:szCs w:val="22"/>
          <w:lang w:val="en-GB" w:eastAsia="en-US"/>
        </w:rPr>
        <w:t>a</w:t>
      </w:r>
      <w:r w:rsidRPr="00BF65EE">
        <w:rPr>
          <w:rFonts w:eastAsia="Calibri" w:cs="Calibri"/>
          <w:color w:val="000000"/>
          <w:szCs w:val="22"/>
          <w:lang w:val="en-GB" w:eastAsia="en-US"/>
        </w:rPr>
        <w:t xml:space="preserve"> vrsta </w:t>
      </w:r>
      <w:r w:rsidR="002C0B9F">
        <w:rPr>
          <w:rFonts w:eastAsia="Calibri" w:cs="Calibri"/>
          <w:color w:val="000000"/>
          <w:szCs w:val="22"/>
          <w:lang w:val="en-GB" w:eastAsia="en-US"/>
        </w:rPr>
        <w:t xml:space="preserve">u trofičkim odnosima </w:t>
      </w:r>
      <w:r w:rsidRPr="00BF65EE">
        <w:rPr>
          <w:rFonts w:eastAsia="Calibri" w:cs="Calibri"/>
          <w:color w:val="000000"/>
          <w:szCs w:val="22"/>
          <w:lang w:val="en-GB" w:eastAsia="en-US"/>
        </w:rPr>
        <w:t xml:space="preserve">da bi se oni smisleno pokrili </w:t>
      </w:r>
      <w:r w:rsidR="002C0B9F">
        <w:rPr>
          <w:rFonts w:eastAsia="Calibri" w:cs="Calibri"/>
          <w:color w:val="000000"/>
          <w:szCs w:val="22"/>
          <w:lang w:val="en-GB" w:eastAsia="en-US"/>
        </w:rPr>
        <w:t xml:space="preserve">ciljevima koji vode ka napretku </w:t>
      </w:r>
      <w:r w:rsidRPr="00BF65EE">
        <w:rPr>
          <w:rFonts w:eastAsia="Calibri" w:cs="Calibri"/>
          <w:color w:val="000000"/>
          <w:szCs w:val="22"/>
          <w:lang w:val="en-GB" w:eastAsia="en-US"/>
        </w:rPr>
        <w:t xml:space="preserve">u </w:t>
      </w:r>
      <w:r w:rsidR="002C0B9F">
        <w:rPr>
          <w:rFonts w:eastAsia="Calibri" w:cs="Calibri"/>
          <w:color w:val="000000"/>
          <w:szCs w:val="22"/>
          <w:lang w:val="en-GB" w:eastAsia="en-US"/>
        </w:rPr>
        <w:t>postizanju dobrog stanja morske sredine u odnosu na o</w:t>
      </w:r>
      <w:r w:rsidRPr="00BF65EE">
        <w:rPr>
          <w:rFonts w:eastAsia="Calibri" w:cs="Calibri"/>
          <w:color w:val="000000"/>
          <w:szCs w:val="22"/>
          <w:lang w:val="en-GB" w:eastAsia="en-US"/>
        </w:rPr>
        <w:t>vaj deskriptor. Srednjoročno</w:t>
      </w:r>
      <w:r>
        <w:rPr>
          <w:rFonts w:eastAsia="Calibri" w:cs="Calibri"/>
          <w:color w:val="000000"/>
          <w:szCs w:val="22"/>
          <w:lang w:val="en-GB" w:eastAsia="en-US"/>
        </w:rPr>
        <w:t xml:space="preserve"> posmatrano</w:t>
      </w:r>
      <w:r w:rsidRPr="00BF65EE">
        <w:rPr>
          <w:rFonts w:eastAsia="Calibri" w:cs="Calibri"/>
          <w:color w:val="000000"/>
          <w:szCs w:val="22"/>
          <w:lang w:val="en-GB" w:eastAsia="en-US"/>
        </w:rPr>
        <w:t xml:space="preserve">, predlaže se pragmatičan pristup koji se fokusira na </w:t>
      </w:r>
      <w:r>
        <w:rPr>
          <w:rFonts w:eastAsia="Calibri" w:cs="Calibri"/>
          <w:color w:val="000000"/>
          <w:szCs w:val="22"/>
          <w:lang w:val="en-GB" w:eastAsia="en-US"/>
        </w:rPr>
        <w:t>brojnost, rasprostranjenost</w:t>
      </w:r>
      <w:r w:rsidRPr="00BF65EE">
        <w:rPr>
          <w:rFonts w:eastAsia="Calibri" w:cs="Calibri"/>
          <w:color w:val="000000"/>
          <w:szCs w:val="22"/>
          <w:lang w:val="en-GB" w:eastAsia="en-US"/>
        </w:rPr>
        <w:t xml:space="preserve"> i produktivnost ključnih vrsta i trofičnih grupa unutar prehrambene mreže (Tabela 3.32). To znači da se </w:t>
      </w:r>
      <w:r w:rsidR="009D53D4">
        <w:rPr>
          <w:rFonts w:eastAsia="Calibri" w:cs="Calibri"/>
          <w:color w:val="000000"/>
          <w:szCs w:val="22"/>
          <w:lang w:val="en-GB" w:eastAsia="en-US"/>
        </w:rPr>
        <w:t xml:space="preserve">D4 </w:t>
      </w:r>
      <w:r w:rsidRPr="00BF65EE">
        <w:rPr>
          <w:rFonts w:eastAsia="Calibri" w:cs="Calibri"/>
          <w:color w:val="000000"/>
          <w:szCs w:val="22"/>
          <w:lang w:val="en-GB" w:eastAsia="en-US"/>
        </w:rPr>
        <w:t>značajno preklapa sa Deskriptorom 1 i predloženi ciljevi za grupe vrsta i staništa prim</w:t>
      </w:r>
      <w:r>
        <w:rPr>
          <w:rFonts w:eastAsia="Calibri" w:cs="Calibri"/>
          <w:color w:val="000000"/>
          <w:szCs w:val="22"/>
          <w:lang w:val="en-GB" w:eastAsia="en-US"/>
        </w:rPr>
        <w:t>j</w:t>
      </w:r>
      <w:r w:rsidRPr="00BF65EE">
        <w:rPr>
          <w:rFonts w:eastAsia="Calibri" w:cs="Calibri"/>
          <w:color w:val="000000"/>
          <w:szCs w:val="22"/>
          <w:lang w:val="en-GB" w:eastAsia="en-US"/>
        </w:rPr>
        <w:t xml:space="preserve">enljivi </w:t>
      </w:r>
      <w:r>
        <w:rPr>
          <w:rFonts w:eastAsia="Calibri" w:cs="Calibri"/>
          <w:color w:val="000000"/>
          <w:szCs w:val="22"/>
          <w:lang w:val="en-GB" w:eastAsia="en-US"/>
        </w:rPr>
        <w:t xml:space="preserve">su </w:t>
      </w:r>
      <w:r w:rsidR="002C0B9F">
        <w:rPr>
          <w:rFonts w:eastAsia="Calibri" w:cs="Calibri"/>
          <w:color w:val="000000"/>
          <w:szCs w:val="22"/>
          <w:lang w:val="en-GB" w:eastAsia="en-US"/>
        </w:rPr>
        <w:t xml:space="preserve">i </w:t>
      </w:r>
      <w:r w:rsidRPr="00BF65EE">
        <w:rPr>
          <w:rFonts w:eastAsia="Calibri" w:cs="Calibri"/>
          <w:color w:val="000000"/>
          <w:szCs w:val="22"/>
          <w:lang w:val="en-GB" w:eastAsia="en-US"/>
        </w:rPr>
        <w:t>za D4.</w:t>
      </w:r>
    </w:p>
    <w:p w14:paraId="441D1E71" w14:textId="77777777" w:rsidR="00425CB1" w:rsidRPr="001C6CCA" w:rsidRDefault="00425CB1" w:rsidP="00F65CFF">
      <w:pPr>
        <w:autoSpaceDE w:val="0"/>
        <w:autoSpaceDN w:val="0"/>
        <w:adjustRightInd w:val="0"/>
        <w:spacing w:before="0" w:after="0"/>
        <w:rPr>
          <w:rFonts w:eastAsia="Calibri" w:cs="Calibri"/>
          <w:color w:val="000000"/>
          <w:sz w:val="20"/>
          <w:szCs w:val="20"/>
          <w:lang w:val="en-GB" w:eastAsia="en-US"/>
        </w:rPr>
      </w:pPr>
    </w:p>
    <w:p w14:paraId="080CFC8F" w14:textId="32C018C3" w:rsidR="00181B21" w:rsidRPr="001C6CCA" w:rsidRDefault="008E5C62" w:rsidP="00425CB1">
      <w:pPr>
        <w:rPr>
          <w:rFonts w:eastAsia="Calibri"/>
          <w:szCs w:val="22"/>
          <w:lang w:val="en-GB" w:eastAsia="en-US"/>
        </w:rPr>
      </w:pPr>
      <w:bookmarkStart w:id="401" w:name="_Toc83643223"/>
      <w:r>
        <w:rPr>
          <w:rFonts w:eastAsia="Calibri" w:cs="Calibri"/>
          <w:b/>
          <w:szCs w:val="22"/>
          <w:lang w:val="en-GB" w:eastAsia="en-US"/>
        </w:rPr>
        <w:t>Ta</w:t>
      </w:r>
      <w:r w:rsidR="00911C11">
        <w:rPr>
          <w:rFonts w:eastAsia="Calibri" w:cs="Calibri"/>
          <w:b/>
          <w:szCs w:val="22"/>
          <w:lang w:val="en-GB" w:eastAsia="en-US"/>
        </w:rPr>
        <w:t>bela</w:t>
      </w:r>
      <w:r>
        <w:rPr>
          <w:rFonts w:eastAsia="Calibri" w:cs="Calibri"/>
          <w:b/>
          <w:szCs w:val="22"/>
          <w:lang w:val="en-GB" w:eastAsia="en-US"/>
        </w:rPr>
        <w:t xml:space="preserve"> </w:t>
      </w:r>
      <w:r w:rsidRPr="00D932B6">
        <w:rPr>
          <w:b/>
          <w:szCs w:val="22"/>
        </w:rPr>
        <w:fldChar w:fldCharType="begin"/>
      </w:r>
      <w:r w:rsidRPr="00D932B6">
        <w:rPr>
          <w:b/>
          <w:szCs w:val="22"/>
        </w:rPr>
        <w:instrText xml:space="preserve"> STYLEREF 1 \s </w:instrText>
      </w:r>
      <w:r w:rsidRPr="00D932B6">
        <w:rPr>
          <w:b/>
          <w:szCs w:val="22"/>
        </w:rPr>
        <w:fldChar w:fldCharType="separate"/>
      </w:r>
      <w:r w:rsidR="000D1E20">
        <w:rPr>
          <w:b/>
          <w:noProof/>
          <w:szCs w:val="22"/>
        </w:rPr>
        <w:t>3</w:t>
      </w:r>
      <w:r w:rsidRPr="00D932B6">
        <w:rPr>
          <w:b/>
          <w:szCs w:val="22"/>
        </w:rPr>
        <w:fldChar w:fldCharType="end"/>
      </w:r>
      <w:r w:rsidRPr="00D932B6">
        <w:rPr>
          <w:b/>
          <w:szCs w:val="22"/>
        </w:rPr>
        <w:t>.</w:t>
      </w:r>
      <w:r w:rsidRPr="00D932B6">
        <w:rPr>
          <w:b/>
          <w:szCs w:val="22"/>
        </w:rPr>
        <w:fldChar w:fldCharType="begin"/>
      </w:r>
      <w:r w:rsidRPr="00D932B6">
        <w:rPr>
          <w:b/>
          <w:szCs w:val="22"/>
        </w:rPr>
        <w:instrText xml:space="preserve"> SEQ Table \* ARABIC \s 1 </w:instrText>
      </w:r>
      <w:r w:rsidRPr="00D932B6">
        <w:rPr>
          <w:b/>
          <w:szCs w:val="22"/>
        </w:rPr>
        <w:fldChar w:fldCharType="separate"/>
      </w:r>
      <w:r w:rsidR="000D1E20">
        <w:rPr>
          <w:b/>
          <w:noProof/>
          <w:szCs w:val="22"/>
        </w:rPr>
        <w:t>27</w:t>
      </w:r>
      <w:r w:rsidRPr="00D932B6">
        <w:rPr>
          <w:b/>
          <w:szCs w:val="22"/>
        </w:rPr>
        <w:fldChar w:fldCharType="end"/>
      </w:r>
      <w:r>
        <w:rPr>
          <w:b/>
          <w:szCs w:val="22"/>
        </w:rPr>
        <w:t>.</w:t>
      </w:r>
      <w:r w:rsidRPr="001C6CCA">
        <w:rPr>
          <w:rFonts w:eastAsia="Calibri" w:cs="Calibri"/>
          <w:b/>
          <w:szCs w:val="22"/>
          <w:lang w:val="en-GB" w:eastAsia="en-US"/>
        </w:rPr>
        <w:t xml:space="preserve"> </w:t>
      </w:r>
      <w:r w:rsidR="00181B21" w:rsidRPr="001C6CCA">
        <w:rPr>
          <w:rFonts w:eastAsia="Calibri" w:cs="Calibri"/>
          <w:b/>
          <w:szCs w:val="22"/>
          <w:lang w:val="en-GB" w:eastAsia="en-US"/>
        </w:rPr>
        <w:t xml:space="preserve"> </w:t>
      </w:r>
      <w:r w:rsidR="002C0B9F">
        <w:rPr>
          <w:rFonts w:eastAsia="Calibri" w:cs="Calibri"/>
          <w:b/>
          <w:szCs w:val="22"/>
          <w:lang w:val="en-GB" w:eastAsia="en-US"/>
        </w:rPr>
        <w:t>C</w:t>
      </w:r>
      <w:r w:rsidR="00911C11" w:rsidRPr="004C1B16">
        <w:rPr>
          <w:rFonts w:eastAsia="Calibri" w:cs="Calibri"/>
          <w:b/>
          <w:szCs w:val="22"/>
          <w:lang w:val="sr-Latn-RS" w:eastAsia="en-US"/>
        </w:rPr>
        <w:t xml:space="preserve">iljevi koji vode ka napretku u postizanju </w:t>
      </w:r>
      <w:r w:rsidR="00425CB1" w:rsidRPr="001C6CCA">
        <w:rPr>
          <w:rFonts w:eastAsia="Calibri" w:cs="Calibri"/>
          <w:b/>
          <w:bCs/>
          <w:szCs w:val="22"/>
          <w:lang w:val="en-GB" w:eastAsia="en-US"/>
        </w:rPr>
        <w:t>GES</w:t>
      </w:r>
      <w:r w:rsidR="002C0B9F">
        <w:rPr>
          <w:rFonts w:eastAsia="Calibri" w:cs="Calibri"/>
          <w:b/>
          <w:bCs/>
          <w:szCs w:val="22"/>
          <w:lang w:val="en-GB" w:eastAsia="en-US"/>
        </w:rPr>
        <w:t>-a</w:t>
      </w:r>
      <w:r w:rsidR="00425CB1" w:rsidRPr="001C6CCA">
        <w:rPr>
          <w:rFonts w:eastAsia="Calibri" w:cs="Calibri"/>
          <w:b/>
          <w:bCs/>
          <w:szCs w:val="22"/>
          <w:lang w:val="en-GB" w:eastAsia="en-US"/>
        </w:rPr>
        <w:t xml:space="preserve"> </w:t>
      </w:r>
      <w:r w:rsidR="00911C11">
        <w:rPr>
          <w:rFonts w:eastAsia="Calibri" w:cs="Calibri"/>
          <w:b/>
          <w:bCs/>
          <w:szCs w:val="22"/>
          <w:lang w:val="en-GB" w:eastAsia="en-US"/>
        </w:rPr>
        <w:t>za</w:t>
      </w:r>
      <w:r w:rsidR="00425CB1" w:rsidRPr="001C6CCA">
        <w:rPr>
          <w:rFonts w:eastAsia="Calibri" w:cs="Calibri"/>
          <w:b/>
          <w:bCs/>
          <w:szCs w:val="22"/>
          <w:lang w:val="en-GB" w:eastAsia="en-US"/>
        </w:rPr>
        <w:t xml:space="preserve"> D4</w:t>
      </w:r>
      <w:bookmarkEnd w:id="401"/>
    </w:p>
    <w:tbl>
      <w:tblPr>
        <w:tblStyle w:val="GolderTable4"/>
        <w:tblW w:w="0" w:type="auto"/>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625"/>
        <w:gridCol w:w="6308"/>
        <w:gridCol w:w="1088"/>
      </w:tblGrid>
      <w:tr w:rsidR="006B75DD" w:rsidRPr="001C6CCA" w14:paraId="18902621" w14:textId="77777777" w:rsidTr="006B75DD">
        <w:tc>
          <w:tcPr>
            <w:tcW w:w="902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C7DAEBF" w14:textId="77777777" w:rsidR="006B75DD" w:rsidRDefault="006B75DD" w:rsidP="006B75DD">
            <w:pPr>
              <w:spacing w:before="0" w:after="0" w:line="240" w:lineRule="auto"/>
              <w:jc w:val="center"/>
              <w:rPr>
                <w:b/>
                <w:color w:val="FFFFFF" w:themeColor="background1"/>
                <w:sz w:val="20"/>
                <w:szCs w:val="20"/>
                <w:lang w:val="en-GB" w:eastAsia="en-US"/>
              </w:rPr>
            </w:pPr>
            <w:r>
              <w:rPr>
                <w:b/>
                <w:color w:val="FFFFFF" w:themeColor="background1"/>
                <w:sz w:val="20"/>
                <w:szCs w:val="20"/>
                <w:lang w:val="en-GB" w:eastAsia="en-US"/>
              </w:rPr>
              <w:t>Područjre procjene: subregionalni nivo – Jadransko more</w:t>
            </w:r>
          </w:p>
          <w:p w14:paraId="3C515E01" w14:textId="77777777" w:rsidR="006B75DD" w:rsidRPr="005827C2" w:rsidRDefault="006B75DD" w:rsidP="00F65CFF">
            <w:pPr>
              <w:autoSpaceDE w:val="0"/>
              <w:autoSpaceDN w:val="0"/>
              <w:adjustRightInd w:val="0"/>
              <w:spacing w:before="0" w:after="0" w:line="240" w:lineRule="auto"/>
              <w:jc w:val="left"/>
              <w:rPr>
                <w:rFonts w:cs="Calibri"/>
                <w:b/>
                <w:color w:val="FFFFFF" w:themeColor="background1"/>
                <w:sz w:val="20"/>
                <w:szCs w:val="20"/>
                <w:lang w:val="en-GB" w:eastAsia="en-US"/>
              </w:rPr>
            </w:pPr>
          </w:p>
        </w:tc>
      </w:tr>
      <w:tr w:rsidR="001F4C1D" w:rsidRPr="001C6CCA" w14:paraId="1D52C976" w14:textId="548E8590" w:rsidTr="006B75DD">
        <w:tc>
          <w:tcPr>
            <w:tcW w:w="1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5419CB7" w14:textId="61E044C5" w:rsidR="001F4C1D" w:rsidRPr="005827C2" w:rsidRDefault="008F04D8" w:rsidP="00F65CFF">
            <w:pPr>
              <w:spacing w:before="0" w:after="0" w:line="240" w:lineRule="auto"/>
              <w:jc w:val="left"/>
              <w:rPr>
                <w:rFonts w:cs="Calibri"/>
                <w:b/>
                <w:color w:val="FFFFFF" w:themeColor="background1"/>
                <w:sz w:val="20"/>
                <w:szCs w:val="20"/>
                <w:lang w:val="en-GB" w:eastAsia="en-US"/>
              </w:rPr>
            </w:pPr>
            <w:r w:rsidRPr="005827C2">
              <w:rPr>
                <w:rFonts w:cs="Calibri"/>
                <w:b/>
                <w:color w:val="FFFFFF" w:themeColor="background1"/>
                <w:sz w:val="20"/>
                <w:szCs w:val="20"/>
                <w:lang w:val="en-GB" w:eastAsia="en-US"/>
              </w:rPr>
              <w:t>Kriterijumi</w:t>
            </w:r>
          </w:p>
        </w:tc>
        <w:tc>
          <w:tcPr>
            <w:tcW w:w="63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125FD1B" w14:textId="253D90F4" w:rsidR="001F4C1D" w:rsidRPr="005827C2" w:rsidRDefault="00BF65EE" w:rsidP="00F65CFF">
            <w:pPr>
              <w:autoSpaceDE w:val="0"/>
              <w:autoSpaceDN w:val="0"/>
              <w:adjustRightInd w:val="0"/>
              <w:spacing w:before="0" w:after="0" w:line="240" w:lineRule="auto"/>
              <w:jc w:val="left"/>
              <w:rPr>
                <w:rFonts w:cs="Calibri"/>
                <w:b/>
                <w:color w:val="FFFFFF" w:themeColor="background1"/>
                <w:sz w:val="20"/>
                <w:szCs w:val="20"/>
                <w:lang w:val="en-GB" w:eastAsia="en-US"/>
              </w:rPr>
            </w:pPr>
            <w:r w:rsidRPr="005827C2">
              <w:rPr>
                <w:rFonts w:cs="Calibri"/>
                <w:b/>
                <w:color w:val="FFFFFF" w:themeColor="background1"/>
                <w:sz w:val="20"/>
                <w:szCs w:val="20"/>
                <w:lang w:val="en-GB" w:eastAsia="en-US"/>
              </w:rPr>
              <w:t>Ciljevi</w:t>
            </w:r>
          </w:p>
          <w:p w14:paraId="596BF2E9" w14:textId="77777777" w:rsidR="001F4C1D" w:rsidRPr="005827C2" w:rsidRDefault="001F4C1D" w:rsidP="00F65CFF">
            <w:pPr>
              <w:autoSpaceDE w:val="0"/>
              <w:autoSpaceDN w:val="0"/>
              <w:adjustRightInd w:val="0"/>
              <w:spacing w:before="0" w:after="0" w:line="240" w:lineRule="auto"/>
              <w:jc w:val="left"/>
              <w:rPr>
                <w:rFonts w:cs="Calibri"/>
                <w:b/>
                <w:color w:val="FFFFFF" w:themeColor="background1"/>
                <w:sz w:val="20"/>
                <w:szCs w:val="20"/>
                <w:lang w:val="en-GB" w:eastAsia="en-US"/>
              </w:rPr>
            </w:pPr>
          </w:p>
        </w:tc>
        <w:tc>
          <w:tcPr>
            <w:tcW w:w="10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tcPr>
          <w:p w14:paraId="7AA6C13F" w14:textId="137C1F9E" w:rsidR="001F4C1D" w:rsidRPr="005827C2" w:rsidRDefault="00BF65EE" w:rsidP="00F65CFF">
            <w:pPr>
              <w:autoSpaceDE w:val="0"/>
              <w:autoSpaceDN w:val="0"/>
              <w:adjustRightInd w:val="0"/>
              <w:spacing w:before="0" w:after="0" w:line="240" w:lineRule="auto"/>
              <w:jc w:val="left"/>
              <w:rPr>
                <w:rFonts w:cs="Calibri"/>
                <w:b/>
                <w:color w:val="FFFFFF" w:themeColor="background1"/>
                <w:sz w:val="20"/>
                <w:szCs w:val="20"/>
                <w:lang w:val="en-GB" w:eastAsia="en-US"/>
              </w:rPr>
            </w:pPr>
            <w:r w:rsidRPr="005827C2">
              <w:rPr>
                <w:rFonts w:cs="Calibri"/>
                <w:b/>
                <w:color w:val="FFFFFF" w:themeColor="background1"/>
                <w:sz w:val="20"/>
                <w:szCs w:val="20"/>
                <w:lang w:val="en-GB" w:eastAsia="en-US"/>
              </w:rPr>
              <w:t>Kod cilja</w:t>
            </w:r>
          </w:p>
        </w:tc>
      </w:tr>
      <w:tr w:rsidR="001F4C1D" w:rsidRPr="001C6CCA" w14:paraId="54B782C5" w14:textId="6A508937" w:rsidTr="006B75DD">
        <w:tc>
          <w:tcPr>
            <w:tcW w:w="1625" w:type="dxa"/>
            <w:tcBorders>
              <w:top w:val="single" w:sz="4" w:space="0" w:color="FFFFFF" w:themeColor="background1"/>
            </w:tcBorders>
          </w:tcPr>
          <w:p w14:paraId="141A00E0" w14:textId="2017972F" w:rsidR="001F4C1D" w:rsidRPr="001C6CCA" w:rsidRDefault="002A59A1" w:rsidP="00F65CFF">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D4C1</w:t>
            </w:r>
          </w:p>
        </w:tc>
        <w:tc>
          <w:tcPr>
            <w:tcW w:w="6308" w:type="dxa"/>
            <w:tcBorders>
              <w:top w:val="single" w:sz="4" w:space="0" w:color="FFFFFF" w:themeColor="background1"/>
            </w:tcBorders>
          </w:tcPr>
          <w:p w14:paraId="44A04D05" w14:textId="74EF6C38" w:rsidR="00BF65EE" w:rsidRPr="001C6CCA" w:rsidRDefault="00BF65EE" w:rsidP="00BF65EE">
            <w:pPr>
              <w:autoSpaceDE w:val="0"/>
              <w:autoSpaceDN w:val="0"/>
              <w:adjustRightInd w:val="0"/>
              <w:spacing w:before="0" w:after="0" w:line="240" w:lineRule="auto"/>
              <w:jc w:val="left"/>
              <w:rPr>
                <w:rFonts w:cs="Calibri"/>
                <w:color w:val="000000"/>
                <w:sz w:val="20"/>
                <w:szCs w:val="20"/>
                <w:lang w:val="en-GB" w:eastAsia="en-US"/>
              </w:rPr>
            </w:pPr>
            <w:r w:rsidRPr="00BF65EE">
              <w:rPr>
                <w:rFonts w:cs="Calibri"/>
                <w:color w:val="000000"/>
                <w:sz w:val="20"/>
                <w:szCs w:val="20"/>
                <w:lang w:val="en-GB" w:eastAsia="en-US"/>
              </w:rPr>
              <w:t>Raznovrsnost i sastav vrsta nisu se bitno prom</w:t>
            </w:r>
            <w:r w:rsidR="002A59A1">
              <w:rPr>
                <w:rFonts w:cs="Calibri"/>
                <w:color w:val="000000"/>
                <w:sz w:val="20"/>
                <w:szCs w:val="20"/>
                <w:lang w:val="en-GB" w:eastAsia="en-US"/>
              </w:rPr>
              <w:t>ijenili.</w:t>
            </w:r>
          </w:p>
        </w:tc>
        <w:tc>
          <w:tcPr>
            <w:tcW w:w="1088" w:type="dxa"/>
            <w:tcBorders>
              <w:top w:val="single" w:sz="4" w:space="0" w:color="FFFFFF" w:themeColor="background1"/>
            </w:tcBorders>
          </w:tcPr>
          <w:p w14:paraId="2EAD0296" w14:textId="71D01D27" w:rsidR="001F4C1D" w:rsidRPr="001C6CCA" w:rsidRDefault="001F4C1D" w:rsidP="00F65CFF">
            <w:pPr>
              <w:autoSpaceDE w:val="0"/>
              <w:autoSpaceDN w:val="0"/>
              <w:adjustRightInd w:val="0"/>
              <w:spacing w:before="0" w:after="0" w:line="240" w:lineRule="auto"/>
              <w:jc w:val="left"/>
              <w:rPr>
                <w:rFonts w:cs="Calibri"/>
                <w:b/>
                <w:color w:val="000000"/>
                <w:sz w:val="20"/>
                <w:szCs w:val="20"/>
                <w:lang w:val="en-GB" w:eastAsia="en-US"/>
              </w:rPr>
            </w:pPr>
            <w:r w:rsidRPr="001C6CCA">
              <w:rPr>
                <w:rFonts w:cs="Calibri"/>
                <w:b/>
                <w:color w:val="000000"/>
                <w:sz w:val="20"/>
                <w:szCs w:val="20"/>
                <w:lang w:val="en-GB" w:eastAsia="en-US"/>
              </w:rPr>
              <w:t>D4T1</w:t>
            </w:r>
          </w:p>
        </w:tc>
      </w:tr>
      <w:tr w:rsidR="001F4C1D" w:rsidRPr="001C6CCA" w14:paraId="120247A1" w14:textId="3E48F4C8" w:rsidTr="004C3A51">
        <w:tc>
          <w:tcPr>
            <w:tcW w:w="1625" w:type="dxa"/>
          </w:tcPr>
          <w:p w14:paraId="1F20A41F" w14:textId="77777777" w:rsidR="001F4C1D" w:rsidRPr="001C6CCA" w:rsidRDefault="001F4C1D" w:rsidP="00F65CFF">
            <w:pPr>
              <w:spacing w:before="0" w:after="0" w:line="240" w:lineRule="auto"/>
              <w:jc w:val="left"/>
              <w:rPr>
                <w:rFonts w:cs="Calibri"/>
                <w:sz w:val="20"/>
                <w:szCs w:val="20"/>
                <w:lang w:val="en-GB" w:eastAsia="en-US"/>
              </w:rPr>
            </w:pPr>
            <w:r w:rsidRPr="001C6CCA">
              <w:rPr>
                <w:rFonts w:cs="Calibri"/>
                <w:sz w:val="20"/>
                <w:szCs w:val="20"/>
                <w:lang w:val="en-GB" w:eastAsia="en-US"/>
              </w:rPr>
              <w:t>D4C2 and D4C4</w:t>
            </w:r>
          </w:p>
        </w:tc>
        <w:tc>
          <w:tcPr>
            <w:tcW w:w="6308" w:type="dxa"/>
          </w:tcPr>
          <w:p w14:paraId="6D9BEDE4" w14:textId="334E30EC" w:rsidR="002A59A1" w:rsidRPr="001C6CCA" w:rsidRDefault="002A59A1" w:rsidP="002A59A1">
            <w:pPr>
              <w:autoSpaceDE w:val="0"/>
              <w:autoSpaceDN w:val="0"/>
              <w:adjustRightInd w:val="0"/>
              <w:spacing w:before="0" w:after="0" w:line="240" w:lineRule="auto"/>
              <w:jc w:val="left"/>
              <w:rPr>
                <w:rFonts w:cs="Calibri"/>
                <w:color w:val="000000"/>
                <w:sz w:val="20"/>
                <w:szCs w:val="20"/>
                <w:lang w:val="en-GB" w:eastAsia="en-US"/>
              </w:rPr>
            </w:pPr>
            <w:r w:rsidRPr="00BF65EE">
              <w:rPr>
                <w:rFonts w:cs="Calibri"/>
                <w:color w:val="000000"/>
                <w:sz w:val="20"/>
                <w:szCs w:val="20"/>
                <w:lang w:val="en-GB" w:eastAsia="en-US"/>
              </w:rPr>
              <w:t xml:space="preserve">Dugoročna stabilnost </w:t>
            </w:r>
            <w:r>
              <w:rPr>
                <w:rFonts w:cs="Calibri"/>
                <w:color w:val="000000"/>
                <w:sz w:val="20"/>
                <w:szCs w:val="20"/>
                <w:lang w:val="en-GB" w:eastAsia="en-US"/>
              </w:rPr>
              <w:t>brojnosti/biomase</w:t>
            </w:r>
            <w:r w:rsidRPr="00BF65EE">
              <w:rPr>
                <w:rFonts w:cs="Calibri"/>
                <w:color w:val="000000"/>
                <w:sz w:val="20"/>
                <w:szCs w:val="20"/>
                <w:lang w:val="en-GB" w:eastAsia="en-US"/>
              </w:rPr>
              <w:t xml:space="preserve"> i produktivnost komponenata prehramben</w:t>
            </w:r>
            <w:r>
              <w:rPr>
                <w:rFonts w:cs="Calibri"/>
                <w:color w:val="000000"/>
                <w:sz w:val="20"/>
                <w:szCs w:val="20"/>
                <w:lang w:val="en-GB" w:eastAsia="en-US"/>
              </w:rPr>
              <w:t>e mreže nije značajno narušena.</w:t>
            </w:r>
          </w:p>
        </w:tc>
        <w:tc>
          <w:tcPr>
            <w:tcW w:w="1088" w:type="dxa"/>
          </w:tcPr>
          <w:p w14:paraId="0FE370A7" w14:textId="3FCBFBB1" w:rsidR="001F4C1D" w:rsidRPr="001C6CCA" w:rsidRDefault="001F4C1D" w:rsidP="00F65CFF">
            <w:pPr>
              <w:autoSpaceDE w:val="0"/>
              <w:autoSpaceDN w:val="0"/>
              <w:adjustRightInd w:val="0"/>
              <w:spacing w:before="0" w:after="0" w:line="240" w:lineRule="auto"/>
              <w:jc w:val="left"/>
              <w:rPr>
                <w:rFonts w:cs="Calibri"/>
                <w:b/>
                <w:color w:val="000000"/>
                <w:sz w:val="20"/>
                <w:szCs w:val="20"/>
                <w:lang w:val="en-GB" w:eastAsia="en-US"/>
              </w:rPr>
            </w:pPr>
            <w:r w:rsidRPr="001C6CCA">
              <w:rPr>
                <w:rFonts w:cs="Calibri"/>
                <w:b/>
                <w:color w:val="000000"/>
                <w:sz w:val="20"/>
                <w:szCs w:val="20"/>
                <w:lang w:val="en-GB" w:eastAsia="en-US"/>
              </w:rPr>
              <w:t>D4T2</w:t>
            </w:r>
          </w:p>
        </w:tc>
      </w:tr>
      <w:tr w:rsidR="001F4C1D" w:rsidRPr="001C6CCA" w14:paraId="748C4387" w14:textId="236581E6" w:rsidTr="004C3A51">
        <w:tc>
          <w:tcPr>
            <w:tcW w:w="1625" w:type="dxa"/>
          </w:tcPr>
          <w:p w14:paraId="7C82B271" w14:textId="77777777" w:rsidR="001F4C1D" w:rsidRPr="001C6CCA" w:rsidRDefault="001F4C1D" w:rsidP="00F65CFF">
            <w:pPr>
              <w:spacing w:before="0" w:after="0" w:line="240" w:lineRule="auto"/>
              <w:rPr>
                <w:rFonts w:cs="Calibri"/>
                <w:sz w:val="20"/>
                <w:szCs w:val="20"/>
                <w:lang w:val="en-GB" w:eastAsia="en-US"/>
              </w:rPr>
            </w:pPr>
            <w:r w:rsidRPr="001C6CCA">
              <w:rPr>
                <w:rFonts w:cs="Calibri"/>
                <w:sz w:val="20"/>
                <w:szCs w:val="20"/>
                <w:lang w:val="en-GB" w:eastAsia="en-US"/>
              </w:rPr>
              <w:t>D4C3</w:t>
            </w:r>
          </w:p>
        </w:tc>
        <w:tc>
          <w:tcPr>
            <w:tcW w:w="6308" w:type="dxa"/>
          </w:tcPr>
          <w:p w14:paraId="3D0499C7" w14:textId="12B8702A" w:rsidR="001F4C1D" w:rsidRPr="001C6CCA" w:rsidRDefault="002A59A1" w:rsidP="002A59A1">
            <w:pPr>
              <w:autoSpaceDE w:val="0"/>
              <w:autoSpaceDN w:val="0"/>
              <w:adjustRightInd w:val="0"/>
              <w:spacing w:before="0" w:after="0" w:line="240" w:lineRule="auto"/>
              <w:jc w:val="left"/>
              <w:rPr>
                <w:rFonts w:cs="Calibri"/>
                <w:color w:val="000000"/>
                <w:sz w:val="20"/>
                <w:szCs w:val="20"/>
                <w:lang w:val="en-GB" w:eastAsia="en-US"/>
              </w:rPr>
            </w:pPr>
            <w:r>
              <w:rPr>
                <w:rFonts w:cs="Calibri"/>
                <w:color w:val="000000"/>
                <w:sz w:val="20"/>
                <w:szCs w:val="20"/>
                <w:lang w:val="en-GB" w:eastAsia="en-US"/>
              </w:rPr>
              <w:t>Areal</w:t>
            </w:r>
            <w:r w:rsidRPr="00BF65EE">
              <w:rPr>
                <w:rFonts w:cs="Calibri"/>
                <w:color w:val="000000"/>
                <w:sz w:val="20"/>
                <w:szCs w:val="20"/>
                <w:lang w:val="en-GB" w:eastAsia="en-US"/>
              </w:rPr>
              <w:t xml:space="preserve"> odabranih elemenata nije se značajno prom</w:t>
            </w:r>
            <w:r>
              <w:rPr>
                <w:rFonts w:cs="Calibri"/>
                <w:color w:val="000000"/>
                <w:sz w:val="20"/>
                <w:szCs w:val="20"/>
                <w:lang w:val="en-GB" w:eastAsia="en-US"/>
              </w:rPr>
              <w:t>ijenio.</w:t>
            </w:r>
          </w:p>
        </w:tc>
        <w:tc>
          <w:tcPr>
            <w:tcW w:w="1088" w:type="dxa"/>
          </w:tcPr>
          <w:p w14:paraId="0835161F" w14:textId="774FE5A9" w:rsidR="001F4C1D" w:rsidRPr="001C6CCA" w:rsidRDefault="001F4C1D" w:rsidP="00BC78ED">
            <w:pPr>
              <w:autoSpaceDE w:val="0"/>
              <w:autoSpaceDN w:val="0"/>
              <w:adjustRightInd w:val="0"/>
              <w:spacing w:after="0" w:line="240" w:lineRule="auto"/>
              <w:rPr>
                <w:rFonts w:cs="Calibri"/>
                <w:b/>
                <w:color w:val="000000"/>
                <w:sz w:val="20"/>
                <w:szCs w:val="20"/>
                <w:lang w:val="en-GB" w:eastAsia="en-US"/>
              </w:rPr>
            </w:pPr>
            <w:r w:rsidRPr="001C6CCA">
              <w:rPr>
                <w:rFonts w:cs="Calibri"/>
                <w:b/>
                <w:color w:val="000000"/>
                <w:sz w:val="20"/>
                <w:szCs w:val="20"/>
                <w:lang w:val="en-GB" w:eastAsia="en-US"/>
              </w:rPr>
              <w:t>D4T3</w:t>
            </w:r>
          </w:p>
        </w:tc>
      </w:tr>
      <w:tr w:rsidR="001F4C1D" w:rsidRPr="001C6CCA" w14:paraId="4A8191C1" w14:textId="779E5443" w:rsidTr="004C3A51">
        <w:tc>
          <w:tcPr>
            <w:tcW w:w="1625" w:type="dxa"/>
          </w:tcPr>
          <w:p w14:paraId="2DE5C6F4" w14:textId="4F328358" w:rsidR="001F4C1D" w:rsidRPr="001C6CCA" w:rsidRDefault="00BF65EE" w:rsidP="00BF65EE">
            <w:pPr>
              <w:autoSpaceDE w:val="0"/>
              <w:autoSpaceDN w:val="0"/>
              <w:adjustRightInd w:val="0"/>
              <w:spacing w:before="0" w:after="0" w:line="240" w:lineRule="auto"/>
              <w:jc w:val="left"/>
              <w:rPr>
                <w:rFonts w:cs="Calibri"/>
                <w:b/>
                <w:bCs/>
                <w:color w:val="000000"/>
                <w:sz w:val="20"/>
                <w:szCs w:val="20"/>
                <w:lang w:val="en-GB" w:eastAsia="en-US"/>
              </w:rPr>
            </w:pPr>
            <w:r w:rsidRPr="00BF65EE">
              <w:rPr>
                <w:rFonts w:cs="Calibri"/>
                <w:b/>
                <w:color w:val="000000"/>
                <w:sz w:val="20"/>
                <w:szCs w:val="20"/>
                <w:lang w:val="en-GB" w:eastAsia="en-US"/>
              </w:rPr>
              <w:t>Indikatori koji se koriste za proc</w:t>
            </w:r>
            <w:r>
              <w:rPr>
                <w:rFonts w:cs="Calibri"/>
                <w:b/>
                <w:color w:val="000000"/>
                <w:sz w:val="20"/>
                <w:szCs w:val="20"/>
                <w:lang w:val="en-GB" w:eastAsia="en-US"/>
              </w:rPr>
              <w:t>j</w:t>
            </w:r>
            <w:r w:rsidRPr="00BF65EE">
              <w:rPr>
                <w:rFonts w:cs="Calibri"/>
                <w:b/>
                <w:color w:val="000000"/>
                <w:sz w:val="20"/>
                <w:szCs w:val="20"/>
                <w:lang w:val="en-GB" w:eastAsia="en-US"/>
              </w:rPr>
              <w:t>enu sta</w:t>
            </w:r>
            <w:r>
              <w:rPr>
                <w:rFonts w:cs="Calibri"/>
                <w:b/>
                <w:color w:val="000000"/>
                <w:sz w:val="20"/>
                <w:szCs w:val="20"/>
                <w:lang w:val="en-GB" w:eastAsia="en-US"/>
              </w:rPr>
              <w:t>nja</w:t>
            </w:r>
          </w:p>
        </w:tc>
        <w:tc>
          <w:tcPr>
            <w:tcW w:w="6308" w:type="dxa"/>
          </w:tcPr>
          <w:p w14:paraId="00CC2AB0" w14:textId="77777777" w:rsidR="001F4C1D" w:rsidRDefault="002A59A1" w:rsidP="0044401D">
            <w:pPr>
              <w:autoSpaceDE w:val="0"/>
              <w:autoSpaceDN w:val="0"/>
              <w:adjustRightInd w:val="0"/>
              <w:spacing w:after="0" w:line="240" w:lineRule="auto"/>
              <w:rPr>
                <w:rFonts w:cs="Calibri"/>
                <w:color w:val="000000"/>
                <w:sz w:val="20"/>
                <w:szCs w:val="20"/>
                <w:lang w:val="en-GB" w:eastAsia="en-US"/>
              </w:rPr>
            </w:pPr>
            <w:r w:rsidRPr="00BF65EE">
              <w:rPr>
                <w:rFonts w:cs="Calibri"/>
                <w:color w:val="000000"/>
                <w:sz w:val="20"/>
                <w:szCs w:val="20"/>
                <w:lang w:val="en-GB" w:eastAsia="en-US"/>
              </w:rPr>
              <w:t>Odabrani elementi prehrambene mreže, uključujući najmanje tri trofičn</w:t>
            </w:r>
            <w:r>
              <w:rPr>
                <w:rFonts w:cs="Calibri"/>
                <w:color w:val="000000"/>
                <w:sz w:val="20"/>
                <w:szCs w:val="20"/>
                <w:lang w:val="en-GB" w:eastAsia="en-US"/>
              </w:rPr>
              <w:t xml:space="preserve">e </w:t>
            </w:r>
            <w:r w:rsidR="002C0B9F">
              <w:rPr>
                <w:rFonts w:cs="Calibri"/>
                <w:color w:val="000000"/>
                <w:sz w:val="20"/>
                <w:szCs w:val="20"/>
                <w:lang w:val="en-GB" w:eastAsia="en-US"/>
              </w:rPr>
              <w:t>grupe</w:t>
            </w:r>
            <w:r w:rsidRPr="00BF65EE">
              <w:rPr>
                <w:rFonts w:cs="Calibri"/>
                <w:color w:val="000000"/>
                <w:sz w:val="20"/>
                <w:szCs w:val="20"/>
                <w:lang w:val="en-GB" w:eastAsia="en-US"/>
              </w:rPr>
              <w:t xml:space="preserve">, </w:t>
            </w:r>
            <w:r w:rsidR="002C0B9F">
              <w:rPr>
                <w:rFonts w:cs="Calibri"/>
                <w:color w:val="000000"/>
                <w:sz w:val="20"/>
                <w:szCs w:val="20"/>
                <w:lang w:val="en-GB" w:eastAsia="en-US"/>
              </w:rPr>
              <w:t xml:space="preserve">po mogućnosti da </w:t>
            </w:r>
            <w:r w:rsidRPr="00BF65EE">
              <w:rPr>
                <w:rFonts w:cs="Calibri"/>
                <w:color w:val="000000"/>
                <w:sz w:val="20"/>
                <w:szCs w:val="20"/>
                <w:lang w:val="en-GB" w:eastAsia="en-US"/>
              </w:rPr>
              <w:t xml:space="preserve">predstavljaju </w:t>
            </w:r>
            <w:r>
              <w:rPr>
                <w:rFonts w:cs="Calibri"/>
                <w:color w:val="000000"/>
                <w:sz w:val="20"/>
                <w:szCs w:val="20"/>
                <w:lang w:val="en-GB" w:eastAsia="en-US"/>
              </w:rPr>
              <w:t xml:space="preserve">u najmanjoj mjeri </w:t>
            </w:r>
            <w:r w:rsidRPr="00BF65EE">
              <w:rPr>
                <w:rFonts w:cs="Calibri"/>
                <w:color w:val="000000"/>
                <w:sz w:val="20"/>
                <w:szCs w:val="20"/>
                <w:lang w:val="en-GB" w:eastAsia="en-US"/>
              </w:rPr>
              <w:t>vrh, sredinu i dno prehrambene mreže.</w:t>
            </w:r>
          </w:p>
          <w:p w14:paraId="3E0E6D3D" w14:textId="3FAECE98" w:rsidR="000236D0" w:rsidRPr="001C6CCA" w:rsidRDefault="000236D0" w:rsidP="0044401D">
            <w:pPr>
              <w:autoSpaceDE w:val="0"/>
              <w:autoSpaceDN w:val="0"/>
              <w:adjustRightInd w:val="0"/>
              <w:spacing w:after="0" w:line="240" w:lineRule="auto"/>
              <w:rPr>
                <w:rFonts w:cs="Calibri"/>
                <w:color w:val="000000"/>
                <w:sz w:val="20"/>
                <w:szCs w:val="20"/>
                <w:lang w:val="en-GB" w:eastAsia="en-US"/>
              </w:rPr>
            </w:pPr>
            <w:r>
              <w:rPr>
                <w:rFonts w:cs="Calibri"/>
                <w:color w:val="000000"/>
                <w:sz w:val="20"/>
                <w:szCs w:val="20"/>
                <w:lang w:val="en-GB" w:eastAsia="en-US"/>
              </w:rPr>
              <w:t>Indikatori su prikazani k</w:t>
            </w:r>
            <w:r w:rsidR="00343AA8">
              <w:rPr>
                <w:rFonts w:cs="Calibri"/>
                <w:color w:val="000000"/>
                <w:sz w:val="20"/>
                <w:szCs w:val="20"/>
                <w:lang w:val="en-GB" w:eastAsia="en-US"/>
              </w:rPr>
              <w:t>r</w:t>
            </w:r>
            <w:r>
              <w:rPr>
                <w:rFonts w:cs="Calibri"/>
                <w:color w:val="000000"/>
                <w:sz w:val="20"/>
                <w:szCs w:val="20"/>
                <w:lang w:val="en-GB" w:eastAsia="en-US"/>
              </w:rPr>
              <w:t>oz elemente Deskriptora 1.</w:t>
            </w:r>
          </w:p>
        </w:tc>
        <w:tc>
          <w:tcPr>
            <w:tcW w:w="1088" w:type="dxa"/>
          </w:tcPr>
          <w:p w14:paraId="1013869A" w14:textId="77777777" w:rsidR="001F4C1D" w:rsidRPr="001C6CCA" w:rsidRDefault="001F4C1D" w:rsidP="0044401D">
            <w:pPr>
              <w:autoSpaceDE w:val="0"/>
              <w:autoSpaceDN w:val="0"/>
              <w:adjustRightInd w:val="0"/>
              <w:spacing w:after="0"/>
              <w:contextualSpacing/>
              <w:rPr>
                <w:rFonts w:cs="Calibri"/>
                <w:color w:val="000000"/>
                <w:sz w:val="20"/>
                <w:szCs w:val="20"/>
                <w:lang w:val="en-GB" w:eastAsia="en-US"/>
              </w:rPr>
            </w:pPr>
          </w:p>
        </w:tc>
      </w:tr>
    </w:tbl>
    <w:p w14:paraId="67C175B9" w14:textId="77777777" w:rsidR="00181B21" w:rsidRPr="001C6CCA" w:rsidRDefault="00181B21" w:rsidP="00F65CFF">
      <w:pPr>
        <w:autoSpaceDE w:val="0"/>
        <w:autoSpaceDN w:val="0"/>
        <w:adjustRightInd w:val="0"/>
        <w:spacing w:before="0" w:after="0" w:line="240" w:lineRule="auto"/>
        <w:rPr>
          <w:rFonts w:eastAsia="Calibri" w:cs="Calibri"/>
          <w:b/>
          <w:color w:val="000000"/>
          <w:sz w:val="20"/>
          <w:szCs w:val="20"/>
          <w:lang w:val="en-GB" w:eastAsia="en-US"/>
        </w:rPr>
      </w:pPr>
    </w:p>
    <w:p w14:paraId="087E3C70" w14:textId="0971E40C" w:rsidR="00181B21" w:rsidRPr="001C6CCA" w:rsidRDefault="007979B0" w:rsidP="00425CB1">
      <w:pPr>
        <w:pStyle w:val="Heading3"/>
        <w:rPr>
          <w:rFonts w:eastAsia="Arial Unicode MS"/>
          <w:lang w:val="en-GB"/>
        </w:rPr>
      </w:pPr>
      <w:bookmarkStart w:id="402" w:name="_Toc68180849"/>
      <w:bookmarkStart w:id="403" w:name="_Toc83630996"/>
      <w:r>
        <w:rPr>
          <w:rFonts w:eastAsia="Arial Unicode MS"/>
          <w:lang w:val="en-GB"/>
        </w:rPr>
        <w:t xml:space="preserve">Nedostaci i </w:t>
      </w:r>
      <w:r w:rsidR="00A65A59">
        <w:rPr>
          <w:rFonts w:eastAsia="Arial Unicode MS"/>
          <w:lang w:val="en-GB"/>
        </w:rPr>
        <w:t>p</w:t>
      </w:r>
      <w:r>
        <w:rPr>
          <w:rFonts w:eastAsia="Arial Unicode MS"/>
          <w:lang w:val="en-GB"/>
        </w:rPr>
        <w:t>otrebe</w:t>
      </w:r>
      <w:bookmarkEnd w:id="402"/>
      <w:bookmarkEnd w:id="403"/>
      <w:r w:rsidR="00A65A59">
        <w:rPr>
          <w:rFonts w:eastAsia="Arial Unicode MS"/>
          <w:lang w:val="en-GB"/>
        </w:rPr>
        <w:t xml:space="preserve"> za unapređenjem </w:t>
      </w:r>
    </w:p>
    <w:p w14:paraId="6B99A181" w14:textId="7E85DD38" w:rsidR="00CC33C9" w:rsidRDefault="007979B0" w:rsidP="00CC33C9">
      <w:pPr>
        <w:autoSpaceDE w:val="0"/>
        <w:autoSpaceDN w:val="0"/>
        <w:adjustRightInd w:val="0"/>
        <w:spacing w:before="0" w:after="0"/>
        <w:rPr>
          <w:rFonts w:eastAsia="Calibri" w:cs="Calibri"/>
          <w:iCs/>
          <w:color w:val="000000"/>
          <w:szCs w:val="22"/>
          <w:lang w:val="en-GB" w:eastAsia="en-US"/>
        </w:rPr>
      </w:pPr>
      <w:r w:rsidRPr="00C7710B">
        <w:rPr>
          <w:rFonts w:eastAsia="Calibri" w:cs="Calibri"/>
          <w:iCs/>
          <w:color w:val="000000"/>
          <w:szCs w:val="22"/>
          <w:lang w:val="en-GB" w:eastAsia="en-US"/>
        </w:rPr>
        <w:t xml:space="preserve">Glavni </w:t>
      </w:r>
      <w:r w:rsidR="00E52AB8" w:rsidRPr="00C7710B">
        <w:rPr>
          <w:rFonts w:eastAsia="Calibri" w:cs="Calibri"/>
          <w:iCs/>
          <w:color w:val="000000"/>
          <w:szCs w:val="22"/>
          <w:lang w:val="en-GB" w:eastAsia="en-US"/>
        </w:rPr>
        <w:t>nedostatak</w:t>
      </w:r>
      <w:r w:rsidRPr="00C7710B">
        <w:rPr>
          <w:rFonts w:eastAsia="Calibri" w:cs="Calibri"/>
          <w:iCs/>
          <w:color w:val="000000"/>
          <w:szCs w:val="22"/>
          <w:lang w:val="en-GB" w:eastAsia="en-US"/>
        </w:rPr>
        <w:t xml:space="preserve"> u pogledu prehrambenih mreža odnosi se na podatke o pikoplanktonu</w:t>
      </w:r>
      <w:r w:rsidR="007A0C64">
        <w:rPr>
          <w:rFonts w:eastAsia="Calibri" w:cs="Calibri"/>
          <w:iCs/>
          <w:color w:val="000000"/>
          <w:szCs w:val="22"/>
          <w:lang w:val="en-GB" w:eastAsia="en-US"/>
        </w:rPr>
        <w:t>,</w:t>
      </w:r>
      <w:r w:rsidRPr="00C7710B">
        <w:rPr>
          <w:rFonts w:eastAsia="Calibri" w:cs="Calibri"/>
          <w:iCs/>
          <w:color w:val="000000"/>
          <w:szCs w:val="22"/>
          <w:lang w:val="en-GB" w:eastAsia="en-US"/>
        </w:rPr>
        <w:t xml:space="preserve"> nanoplanktonu </w:t>
      </w:r>
      <w:r w:rsidR="00343AA8">
        <w:rPr>
          <w:rFonts w:eastAsia="Calibri" w:cs="Calibri"/>
          <w:iCs/>
          <w:color w:val="000000"/>
          <w:szCs w:val="22"/>
          <w:lang w:val="en-GB" w:eastAsia="en-US"/>
        </w:rPr>
        <w:t>i</w:t>
      </w:r>
      <w:r w:rsidR="007A0C64">
        <w:rPr>
          <w:rFonts w:eastAsia="Calibri" w:cs="Calibri"/>
          <w:iCs/>
          <w:color w:val="000000"/>
          <w:szCs w:val="22"/>
          <w:lang w:val="en-GB" w:eastAsia="en-US"/>
        </w:rPr>
        <w:t xml:space="preserve"> bakterijama </w:t>
      </w:r>
      <w:r w:rsidRPr="00C7710B">
        <w:rPr>
          <w:rFonts w:eastAsia="Calibri" w:cs="Calibri"/>
          <w:iCs/>
          <w:color w:val="000000"/>
          <w:szCs w:val="22"/>
          <w:lang w:val="en-GB" w:eastAsia="en-US"/>
        </w:rPr>
        <w:t xml:space="preserve">u </w:t>
      </w:r>
      <w:r w:rsidR="008B4A81">
        <w:rPr>
          <w:rFonts w:eastAsia="Calibri" w:cs="Calibri"/>
          <w:iCs/>
          <w:color w:val="000000"/>
          <w:szCs w:val="22"/>
          <w:lang w:val="en-GB" w:eastAsia="en-US"/>
        </w:rPr>
        <w:t>crnogorskom dijelu Jadrana</w:t>
      </w:r>
      <w:r w:rsidRPr="00C7710B">
        <w:rPr>
          <w:rFonts w:eastAsia="Calibri" w:cs="Calibri"/>
          <w:iCs/>
          <w:color w:val="000000"/>
          <w:szCs w:val="22"/>
          <w:lang w:val="en-GB" w:eastAsia="en-US"/>
        </w:rPr>
        <w:t xml:space="preserve">. </w:t>
      </w:r>
      <w:r w:rsidR="00327A32" w:rsidRPr="00C7710B">
        <w:rPr>
          <w:rFonts w:eastAsia="Calibri" w:cs="Calibri"/>
          <w:iCs/>
          <w:color w:val="000000"/>
          <w:szCs w:val="22"/>
          <w:lang w:val="en-GB" w:eastAsia="en-US"/>
        </w:rPr>
        <w:t xml:space="preserve">Te skupine morskih mikroorganizama </w:t>
      </w:r>
      <w:r w:rsidR="00542FBE" w:rsidRPr="00C7710B">
        <w:rPr>
          <w:rFonts w:eastAsia="Calibri" w:cs="Calibri"/>
          <w:iCs/>
          <w:color w:val="000000"/>
          <w:szCs w:val="22"/>
          <w:lang w:val="en-GB" w:eastAsia="en-US"/>
        </w:rPr>
        <w:t>s</w:t>
      </w:r>
      <w:r w:rsidR="00327A32" w:rsidRPr="00C7710B">
        <w:rPr>
          <w:rFonts w:eastAsia="Calibri" w:cs="Calibri"/>
          <w:iCs/>
          <w:szCs w:val="22"/>
          <w:lang w:val="en-GB" w:eastAsia="en-US"/>
        </w:rPr>
        <w:t>u sastavni dio svih glavnih biogeokemijskih ciklusa</w:t>
      </w:r>
      <w:r w:rsidR="009D53D4">
        <w:rPr>
          <w:rFonts w:eastAsia="Calibri" w:cs="Calibri"/>
          <w:iCs/>
          <w:szCs w:val="22"/>
          <w:lang w:val="en-GB" w:eastAsia="en-US"/>
        </w:rPr>
        <w:t xml:space="preserve"> </w:t>
      </w:r>
      <w:r w:rsidR="00327A32" w:rsidRPr="00C7710B">
        <w:rPr>
          <w:rFonts w:eastAsia="Calibri" w:cs="Calibri"/>
          <w:iCs/>
          <w:szCs w:val="22"/>
          <w:lang w:val="en-GB" w:eastAsia="en-US"/>
        </w:rPr>
        <w:t>i procesa koji se događaju u mor</w:t>
      </w:r>
      <w:r w:rsidR="00542FBE" w:rsidRPr="00C7710B">
        <w:rPr>
          <w:rFonts w:eastAsia="Calibri" w:cs="Calibri"/>
          <w:iCs/>
          <w:szCs w:val="22"/>
          <w:lang w:val="en-GB" w:eastAsia="en-US"/>
        </w:rPr>
        <w:t>skim ekosistemima</w:t>
      </w:r>
      <w:r w:rsidR="00CC33C9">
        <w:rPr>
          <w:rFonts w:eastAsia="Calibri" w:cs="Calibri"/>
          <w:iCs/>
          <w:szCs w:val="22"/>
          <w:lang w:val="en-GB" w:eastAsia="en-US"/>
        </w:rPr>
        <w:t xml:space="preserve"> te je i njihova uloga u protoku energije prema višim nivoima prehrambenih mreža izuzetno važna. Naime, </w:t>
      </w:r>
      <w:r w:rsidR="00CC33C9" w:rsidRPr="00C7710B">
        <w:rPr>
          <w:rFonts w:eastAsia="Calibri" w:cs="Calibri"/>
          <w:iCs/>
          <w:color w:val="000000"/>
          <w:szCs w:val="22"/>
          <w:lang w:val="en-GB" w:eastAsia="en-US"/>
        </w:rPr>
        <w:t xml:space="preserve">mikrobna prehrambena mreža </w:t>
      </w:r>
      <w:r w:rsidR="00C6445F">
        <w:rPr>
          <w:rFonts w:eastAsia="Calibri" w:cs="Calibri"/>
          <w:iCs/>
          <w:color w:val="000000"/>
          <w:szCs w:val="22"/>
          <w:lang w:val="en-GB" w:eastAsia="en-US"/>
        </w:rPr>
        <w:t xml:space="preserve">koja predstavlja bazu </w:t>
      </w:r>
      <w:r w:rsidR="000A5189">
        <w:rPr>
          <w:rFonts w:eastAsia="Calibri" w:cs="Calibri"/>
          <w:iCs/>
          <w:color w:val="000000"/>
          <w:szCs w:val="22"/>
          <w:lang w:val="en-GB" w:eastAsia="en-US"/>
        </w:rPr>
        <w:t xml:space="preserve">svih </w:t>
      </w:r>
      <w:r w:rsidR="00C6445F">
        <w:rPr>
          <w:rFonts w:eastAsia="Calibri" w:cs="Calibri"/>
          <w:iCs/>
          <w:color w:val="000000"/>
          <w:szCs w:val="22"/>
          <w:lang w:val="en-GB" w:eastAsia="en-US"/>
        </w:rPr>
        <w:t xml:space="preserve">prehrambenih mreža </w:t>
      </w:r>
      <w:r w:rsidR="00CC33C9" w:rsidRPr="00C7710B">
        <w:rPr>
          <w:rFonts w:eastAsia="Calibri" w:cs="Calibri"/>
          <w:iCs/>
          <w:color w:val="000000"/>
          <w:szCs w:val="22"/>
          <w:lang w:val="en-GB" w:eastAsia="en-US"/>
        </w:rPr>
        <w:t xml:space="preserve">uključuje veliki broj skupina prokariontskih organizama čija uloga je posebno važna </w:t>
      </w:r>
      <w:r w:rsidR="00CC33C9">
        <w:rPr>
          <w:rFonts w:eastAsia="Calibri" w:cs="Calibri"/>
          <w:iCs/>
          <w:color w:val="000000"/>
          <w:szCs w:val="22"/>
          <w:lang w:val="en-GB" w:eastAsia="en-US"/>
        </w:rPr>
        <w:t>za morska područja sa oligotrofnim uslovima, a</w:t>
      </w:r>
      <w:r w:rsidR="00CC33C9" w:rsidRPr="00C7710B">
        <w:rPr>
          <w:rFonts w:eastAsia="Calibri" w:cs="Calibri"/>
          <w:iCs/>
          <w:color w:val="000000"/>
          <w:szCs w:val="22"/>
          <w:lang w:val="en-GB" w:eastAsia="en-US"/>
        </w:rPr>
        <w:t xml:space="preserve"> </w:t>
      </w:r>
      <w:r w:rsidR="00CC33C9">
        <w:rPr>
          <w:rFonts w:eastAsia="Calibri" w:cs="Calibri"/>
          <w:iCs/>
          <w:color w:val="000000"/>
          <w:szCs w:val="22"/>
          <w:lang w:val="en-GB" w:eastAsia="en-US"/>
        </w:rPr>
        <w:t>koji su p</w:t>
      </w:r>
      <w:r w:rsidR="00CC33C9" w:rsidRPr="001873D3">
        <w:rPr>
          <w:rFonts w:eastAsia="Calibri" w:cs="Calibri"/>
          <w:iCs/>
          <w:color w:val="000000"/>
          <w:szCs w:val="22"/>
          <w:lang w:val="en-GB" w:eastAsia="en-US"/>
        </w:rPr>
        <w:t>revladavajući u</w:t>
      </w:r>
      <w:r w:rsidR="00CC33C9">
        <w:rPr>
          <w:rFonts w:eastAsia="Calibri" w:cs="Calibri"/>
          <w:iCs/>
          <w:color w:val="000000"/>
          <w:szCs w:val="22"/>
          <w:lang w:val="en-GB" w:eastAsia="en-US"/>
        </w:rPr>
        <w:t>pravo u</w:t>
      </w:r>
      <w:r w:rsidR="00CC33C9" w:rsidRPr="001873D3">
        <w:rPr>
          <w:rFonts w:eastAsia="Calibri" w:cs="Calibri"/>
          <w:iCs/>
          <w:color w:val="000000"/>
          <w:szCs w:val="22"/>
          <w:lang w:val="en-GB" w:eastAsia="en-US"/>
        </w:rPr>
        <w:t xml:space="preserve"> najvećem dijelu Jadranskog mora</w:t>
      </w:r>
      <w:r w:rsidR="00CC33C9">
        <w:rPr>
          <w:rFonts w:eastAsia="Calibri" w:cs="Calibri"/>
          <w:iCs/>
          <w:color w:val="000000"/>
          <w:szCs w:val="22"/>
          <w:lang w:val="en-GB" w:eastAsia="en-US"/>
        </w:rPr>
        <w:t xml:space="preserve">. Stoga je za bolje razumijevanje </w:t>
      </w:r>
      <w:r w:rsidR="00CC33C9" w:rsidRPr="00440171">
        <w:rPr>
          <w:rFonts w:asciiTheme="minorHAnsi" w:eastAsia="Calibri" w:hAnsiTheme="minorHAnsi" w:cstheme="minorHAnsi"/>
          <w:iCs/>
          <w:color w:val="000000"/>
          <w:szCs w:val="22"/>
          <w:lang w:val="en-GB" w:eastAsia="en-US"/>
        </w:rPr>
        <w:t xml:space="preserve">strukture </w:t>
      </w:r>
      <w:r w:rsidR="00CC33C9">
        <w:rPr>
          <w:rFonts w:asciiTheme="minorHAnsi" w:eastAsia="Calibri" w:hAnsiTheme="minorHAnsi" w:cstheme="minorHAnsi"/>
          <w:iCs/>
          <w:color w:val="000000"/>
          <w:szCs w:val="22"/>
          <w:lang w:val="en-GB" w:eastAsia="en-US"/>
        </w:rPr>
        <w:t xml:space="preserve">prehrambenih </w:t>
      </w:r>
      <w:r w:rsidR="00CC33C9" w:rsidRPr="00440171">
        <w:rPr>
          <w:rFonts w:asciiTheme="minorHAnsi" w:eastAsia="Calibri" w:hAnsiTheme="minorHAnsi" w:cstheme="minorHAnsi"/>
          <w:iCs/>
          <w:color w:val="000000"/>
          <w:szCs w:val="22"/>
          <w:lang w:val="en-GB" w:eastAsia="en-US"/>
        </w:rPr>
        <w:t>mrež</w:t>
      </w:r>
      <w:r w:rsidR="00CC33C9">
        <w:rPr>
          <w:rFonts w:asciiTheme="minorHAnsi" w:eastAsia="Calibri" w:hAnsiTheme="minorHAnsi" w:cstheme="minorHAnsi"/>
          <w:iCs/>
          <w:color w:val="000000"/>
          <w:szCs w:val="22"/>
          <w:lang w:val="en-GB" w:eastAsia="en-US"/>
        </w:rPr>
        <w:t>a</w:t>
      </w:r>
      <w:r w:rsidR="00CC33C9" w:rsidRPr="00440171">
        <w:rPr>
          <w:rFonts w:asciiTheme="minorHAnsi" w:eastAsia="Calibri" w:hAnsiTheme="minorHAnsi" w:cstheme="minorHAnsi"/>
          <w:iCs/>
          <w:color w:val="000000"/>
          <w:szCs w:val="22"/>
          <w:lang w:val="en-GB" w:eastAsia="en-US"/>
        </w:rPr>
        <w:t xml:space="preserve"> </w:t>
      </w:r>
      <w:r w:rsidR="00CC33C9">
        <w:rPr>
          <w:rFonts w:asciiTheme="minorHAnsi" w:eastAsia="Calibri" w:hAnsiTheme="minorHAnsi" w:cstheme="minorHAnsi"/>
          <w:iCs/>
          <w:color w:val="000000"/>
          <w:szCs w:val="22"/>
          <w:lang w:val="en-GB" w:eastAsia="en-US"/>
        </w:rPr>
        <w:t xml:space="preserve">i važnosti pojedinih trofičkih nivoa </w:t>
      </w:r>
      <w:r w:rsidR="00CC33C9" w:rsidRPr="00440171">
        <w:rPr>
          <w:rFonts w:asciiTheme="minorHAnsi" w:eastAsia="Calibri" w:hAnsiTheme="minorHAnsi" w:cstheme="minorHAnsi"/>
          <w:iCs/>
          <w:color w:val="000000"/>
          <w:szCs w:val="22"/>
          <w:lang w:val="en-GB" w:eastAsia="en-US"/>
        </w:rPr>
        <w:t xml:space="preserve">u protoku energije </w:t>
      </w:r>
      <w:r w:rsidR="00C6445F">
        <w:rPr>
          <w:rFonts w:asciiTheme="minorHAnsi" w:eastAsia="Calibri" w:hAnsiTheme="minorHAnsi" w:cstheme="minorHAnsi"/>
          <w:iCs/>
          <w:color w:val="000000"/>
          <w:szCs w:val="22"/>
          <w:lang w:val="en-GB" w:eastAsia="en-US"/>
        </w:rPr>
        <w:t xml:space="preserve">u Jadranskom moru </w:t>
      </w:r>
      <w:r w:rsidR="00CC33C9">
        <w:rPr>
          <w:rFonts w:asciiTheme="minorHAnsi" w:eastAsia="Calibri" w:hAnsiTheme="minorHAnsi" w:cstheme="minorHAnsi"/>
          <w:iCs/>
          <w:color w:val="000000"/>
          <w:szCs w:val="22"/>
          <w:lang w:val="en-GB" w:eastAsia="en-US"/>
        </w:rPr>
        <w:t>važno u monitoring program uključiti i komponente mikrobne prehrambene mreže.</w:t>
      </w:r>
    </w:p>
    <w:p w14:paraId="693CF1C1" w14:textId="77777777" w:rsidR="00440171" w:rsidRDefault="00440171" w:rsidP="009C181A">
      <w:pPr>
        <w:autoSpaceDE w:val="0"/>
        <w:autoSpaceDN w:val="0"/>
        <w:adjustRightInd w:val="0"/>
        <w:spacing w:before="0" w:after="0"/>
        <w:rPr>
          <w:rFonts w:eastAsia="Calibri" w:cs="Calibri"/>
          <w:iCs/>
          <w:color w:val="000000"/>
          <w:szCs w:val="22"/>
          <w:lang w:val="en-GB" w:eastAsia="en-US"/>
        </w:rPr>
      </w:pPr>
    </w:p>
    <w:p w14:paraId="541FECC6" w14:textId="0B93C9BB" w:rsidR="00F172D8" w:rsidRPr="00D1226C" w:rsidRDefault="00343AA8" w:rsidP="00F172D8">
      <w:pPr>
        <w:spacing w:before="0" w:after="160"/>
        <w:rPr>
          <w:rFonts w:eastAsia="Calibri"/>
          <w:szCs w:val="22"/>
          <w:lang w:val="en-GB" w:eastAsia="en-US"/>
        </w:rPr>
      </w:pPr>
      <w:r>
        <w:rPr>
          <w:rFonts w:eastAsia="Calibri"/>
          <w:szCs w:val="22"/>
          <w:lang w:val="en-GB" w:eastAsia="en-US"/>
        </w:rPr>
        <w:t>Uošteno</w:t>
      </w:r>
      <w:r w:rsidR="009C181A">
        <w:rPr>
          <w:rFonts w:eastAsia="Calibri"/>
          <w:szCs w:val="22"/>
          <w:lang w:val="en-GB" w:eastAsia="en-US"/>
        </w:rPr>
        <w:t>, d</w:t>
      </w:r>
      <w:r w:rsidR="00F172D8" w:rsidRPr="00F172D8">
        <w:rPr>
          <w:rFonts w:eastAsia="Calibri"/>
          <w:szCs w:val="22"/>
          <w:lang w:val="en-GB" w:eastAsia="en-US"/>
        </w:rPr>
        <w:t xml:space="preserve">a bi se dobila </w:t>
      </w:r>
      <w:r w:rsidR="009C181A">
        <w:rPr>
          <w:rFonts w:eastAsia="Calibri"/>
          <w:szCs w:val="22"/>
          <w:lang w:val="en-GB" w:eastAsia="en-US"/>
        </w:rPr>
        <w:t>temelj</w:t>
      </w:r>
      <w:r>
        <w:rPr>
          <w:rFonts w:eastAsia="Calibri"/>
          <w:szCs w:val="22"/>
          <w:lang w:val="en-GB" w:eastAsia="en-US"/>
        </w:rPr>
        <w:t>na</w:t>
      </w:r>
      <w:r w:rsidR="00F172D8" w:rsidRPr="00E52AB8">
        <w:rPr>
          <w:rFonts w:eastAsia="Calibri"/>
          <w:b/>
          <w:szCs w:val="22"/>
          <w:lang w:val="en-GB" w:eastAsia="en-US"/>
        </w:rPr>
        <w:t xml:space="preserve"> </w:t>
      </w:r>
      <w:r w:rsidR="00F172D8" w:rsidRPr="00E52AB8">
        <w:rPr>
          <w:rFonts w:eastAsia="Calibri"/>
          <w:szCs w:val="22"/>
          <w:lang w:val="en-GB" w:eastAsia="en-US"/>
        </w:rPr>
        <w:t>proc</w:t>
      </w:r>
      <w:r w:rsidR="00F172D8">
        <w:rPr>
          <w:rFonts w:eastAsia="Calibri"/>
          <w:szCs w:val="22"/>
          <w:lang w:val="en-GB" w:eastAsia="en-US"/>
        </w:rPr>
        <w:t>j</w:t>
      </w:r>
      <w:r w:rsidR="00F172D8" w:rsidRPr="00E52AB8">
        <w:rPr>
          <w:rFonts w:eastAsia="Calibri"/>
          <w:szCs w:val="22"/>
          <w:lang w:val="en-GB" w:eastAsia="en-US"/>
        </w:rPr>
        <w:t xml:space="preserve">ena da li ljudske aktivnosti utiču negativno na </w:t>
      </w:r>
      <w:r w:rsidR="00F172D8">
        <w:rPr>
          <w:rFonts w:eastAsia="Calibri"/>
          <w:szCs w:val="22"/>
          <w:lang w:val="en-GB" w:eastAsia="en-US"/>
        </w:rPr>
        <w:t>morske prehrambene mreže</w:t>
      </w:r>
      <w:r w:rsidR="00F172D8" w:rsidRPr="00E52AB8">
        <w:rPr>
          <w:rFonts w:eastAsia="Calibri"/>
          <w:szCs w:val="22"/>
          <w:lang w:val="en-GB" w:eastAsia="en-US"/>
        </w:rPr>
        <w:t>, bi</w:t>
      </w:r>
      <w:r w:rsidR="009C181A">
        <w:rPr>
          <w:rFonts w:eastAsia="Calibri"/>
          <w:szCs w:val="22"/>
          <w:lang w:val="en-GB" w:eastAsia="en-US"/>
        </w:rPr>
        <w:t xml:space="preserve">ti </w:t>
      </w:r>
      <w:r w:rsidR="00F172D8" w:rsidRPr="00E52AB8">
        <w:rPr>
          <w:rFonts w:eastAsia="Calibri"/>
          <w:szCs w:val="22"/>
          <w:lang w:val="en-GB" w:eastAsia="en-US"/>
        </w:rPr>
        <w:t xml:space="preserve">će neophodno otkloniti brojne </w:t>
      </w:r>
      <w:r w:rsidR="00F172D8">
        <w:rPr>
          <w:rFonts w:eastAsia="Calibri"/>
          <w:szCs w:val="22"/>
          <w:lang w:val="en-GB" w:eastAsia="en-US"/>
        </w:rPr>
        <w:t xml:space="preserve">nedostatke </w:t>
      </w:r>
      <w:r w:rsidR="00F172D8" w:rsidRPr="00E52AB8">
        <w:rPr>
          <w:rFonts w:eastAsia="Calibri"/>
          <w:szCs w:val="22"/>
          <w:lang w:val="en-GB" w:eastAsia="en-US"/>
        </w:rPr>
        <w:t xml:space="preserve">u znanju </w:t>
      </w:r>
      <w:r w:rsidR="000A5189">
        <w:rPr>
          <w:rFonts w:eastAsia="Calibri"/>
          <w:szCs w:val="22"/>
          <w:lang w:val="en-GB" w:eastAsia="en-US"/>
        </w:rPr>
        <w:t>funkcioni</w:t>
      </w:r>
      <w:r>
        <w:rPr>
          <w:rFonts w:eastAsia="Calibri"/>
          <w:szCs w:val="22"/>
          <w:lang w:val="en-GB" w:eastAsia="en-US"/>
        </w:rPr>
        <w:t>sanja</w:t>
      </w:r>
      <w:r w:rsidR="000A5189">
        <w:rPr>
          <w:rFonts w:eastAsia="Calibri"/>
          <w:szCs w:val="22"/>
          <w:lang w:val="en-GB" w:eastAsia="en-US"/>
        </w:rPr>
        <w:t xml:space="preserve"> prehrambenih mreža </w:t>
      </w:r>
      <w:r w:rsidR="00F172D8" w:rsidRPr="00E52AB8">
        <w:rPr>
          <w:rFonts w:eastAsia="Calibri"/>
          <w:szCs w:val="22"/>
          <w:lang w:val="en-GB" w:eastAsia="en-US"/>
        </w:rPr>
        <w:t xml:space="preserve">i razviti odgovarajuće </w:t>
      </w:r>
      <w:r w:rsidR="00F172D8">
        <w:rPr>
          <w:rFonts w:eastAsia="Calibri"/>
          <w:szCs w:val="22"/>
          <w:lang w:val="en-GB" w:eastAsia="en-US"/>
        </w:rPr>
        <w:t>indikatore</w:t>
      </w:r>
      <w:r w:rsidR="00F172D8" w:rsidRPr="00E52AB8">
        <w:rPr>
          <w:rFonts w:eastAsia="Calibri"/>
          <w:szCs w:val="22"/>
          <w:lang w:val="en-GB" w:eastAsia="en-US"/>
        </w:rPr>
        <w:t xml:space="preserve"> koji mogu pružiti </w:t>
      </w:r>
      <w:r w:rsidR="00F172D8">
        <w:rPr>
          <w:rFonts w:eastAsia="Calibri"/>
          <w:szCs w:val="22"/>
          <w:lang w:val="en-GB" w:eastAsia="en-US"/>
        </w:rPr>
        <w:t>precizniju procjenu</w:t>
      </w:r>
      <w:r w:rsidR="000A5189">
        <w:rPr>
          <w:rFonts w:eastAsia="Calibri"/>
          <w:szCs w:val="22"/>
          <w:lang w:val="en-GB" w:eastAsia="en-US"/>
        </w:rPr>
        <w:t xml:space="preserve"> stanja pojedinih elemenata prehrambenih mreža</w:t>
      </w:r>
      <w:r w:rsidR="00F172D8" w:rsidRPr="00E52AB8">
        <w:rPr>
          <w:rFonts w:eastAsia="Calibri"/>
          <w:szCs w:val="22"/>
          <w:lang w:val="en-GB" w:eastAsia="en-US"/>
        </w:rPr>
        <w:t xml:space="preserve">. </w:t>
      </w:r>
      <w:r w:rsidR="00F172D8" w:rsidRPr="002A59A1">
        <w:rPr>
          <w:rFonts w:eastAsia="Calibri"/>
          <w:szCs w:val="22"/>
          <w:lang w:val="en-GB" w:eastAsia="en-US"/>
        </w:rPr>
        <w:t>To uključuj</w:t>
      </w:r>
      <w:r w:rsidR="00F172D8">
        <w:rPr>
          <w:rFonts w:eastAsia="Calibri"/>
          <w:szCs w:val="22"/>
          <w:lang w:val="en-GB" w:eastAsia="en-US"/>
        </w:rPr>
        <w:t xml:space="preserve">e </w:t>
      </w:r>
      <w:r w:rsidR="00C6445F">
        <w:rPr>
          <w:rFonts w:eastAsia="Calibri"/>
          <w:szCs w:val="22"/>
          <w:lang w:val="en-GB" w:eastAsia="en-US"/>
        </w:rPr>
        <w:t xml:space="preserve">i </w:t>
      </w:r>
      <w:r w:rsidR="00F172D8">
        <w:rPr>
          <w:rFonts w:eastAsia="Calibri"/>
          <w:szCs w:val="22"/>
          <w:lang w:val="en-GB" w:eastAsia="en-US"/>
        </w:rPr>
        <w:t>razmatranje reprezentativnih indikatora</w:t>
      </w:r>
      <w:r w:rsidR="00F172D8" w:rsidRPr="002A59A1">
        <w:rPr>
          <w:rFonts w:eastAsia="Calibri"/>
          <w:szCs w:val="22"/>
          <w:lang w:val="en-GB" w:eastAsia="en-US"/>
        </w:rPr>
        <w:t xml:space="preserve"> sastava vrsta, uključujući </w:t>
      </w:r>
      <w:r w:rsidR="000A5189">
        <w:rPr>
          <w:rFonts w:eastAsia="Calibri"/>
          <w:szCs w:val="22"/>
          <w:lang w:val="en-GB" w:eastAsia="en-US"/>
        </w:rPr>
        <w:t xml:space="preserve">i </w:t>
      </w:r>
      <w:r w:rsidR="00F172D8" w:rsidRPr="002A59A1">
        <w:rPr>
          <w:rFonts w:eastAsia="Calibri"/>
          <w:szCs w:val="22"/>
          <w:lang w:val="en-GB" w:eastAsia="en-US"/>
        </w:rPr>
        <w:t>one za vrste ptica i morskih sisara</w:t>
      </w:r>
      <w:r w:rsidR="000A5189">
        <w:rPr>
          <w:rFonts w:eastAsia="Calibri"/>
          <w:szCs w:val="22"/>
          <w:lang w:val="en-GB" w:eastAsia="en-US"/>
        </w:rPr>
        <w:t xml:space="preserve"> kao grabežljivaca</w:t>
      </w:r>
      <w:r w:rsidR="00F172D8" w:rsidRPr="002A59A1">
        <w:rPr>
          <w:rFonts w:eastAsia="Calibri"/>
          <w:szCs w:val="22"/>
          <w:lang w:val="en-GB" w:eastAsia="en-US"/>
        </w:rPr>
        <w:t xml:space="preserve">, </w:t>
      </w:r>
      <w:r w:rsidR="002048C4">
        <w:rPr>
          <w:rFonts w:eastAsia="Calibri"/>
          <w:szCs w:val="22"/>
          <w:lang w:val="en-GB" w:eastAsia="en-US"/>
        </w:rPr>
        <w:t>te</w:t>
      </w:r>
      <w:r w:rsidR="00F172D8" w:rsidRPr="002A59A1">
        <w:rPr>
          <w:rFonts w:eastAsia="Calibri"/>
          <w:szCs w:val="22"/>
          <w:lang w:val="en-GB" w:eastAsia="en-US"/>
        </w:rPr>
        <w:t xml:space="preserve"> biomase </w:t>
      </w:r>
      <w:r w:rsidR="00F172D8">
        <w:rPr>
          <w:rFonts w:eastAsia="Calibri"/>
          <w:szCs w:val="22"/>
          <w:lang w:val="en-GB" w:eastAsia="en-US"/>
        </w:rPr>
        <w:t xml:space="preserve">ribe </w:t>
      </w:r>
      <w:r w:rsidR="000A5189">
        <w:rPr>
          <w:rFonts w:eastAsia="Calibri"/>
          <w:szCs w:val="22"/>
          <w:lang w:val="en-GB" w:eastAsia="en-US"/>
        </w:rPr>
        <w:t xml:space="preserve">kao važnog elementa </w:t>
      </w:r>
      <w:r w:rsidR="00F172D8">
        <w:rPr>
          <w:rFonts w:eastAsia="Calibri"/>
          <w:szCs w:val="22"/>
          <w:lang w:val="en-GB" w:eastAsia="en-US"/>
        </w:rPr>
        <w:t>ishran</w:t>
      </w:r>
      <w:r w:rsidR="000A5189">
        <w:rPr>
          <w:rFonts w:eastAsia="Calibri"/>
          <w:szCs w:val="22"/>
          <w:lang w:val="en-GB" w:eastAsia="en-US"/>
        </w:rPr>
        <w:t>e</w:t>
      </w:r>
      <w:r w:rsidR="00F172D8">
        <w:rPr>
          <w:rFonts w:eastAsia="Calibri"/>
          <w:szCs w:val="22"/>
          <w:lang w:val="en-GB" w:eastAsia="en-US"/>
        </w:rPr>
        <w:t xml:space="preserve"> grabežljivaca</w:t>
      </w:r>
      <w:r w:rsidR="000A5189">
        <w:rPr>
          <w:rFonts w:eastAsia="Calibri"/>
          <w:szCs w:val="22"/>
          <w:lang w:val="en-GB" w:eastAsia="en-US"/>
        </w:rPr>
        <w:t>,</w:t>
      </w:r>
      <w:r w:rsidR="00F172D8" w:rsidRPr="002A59A1">
        <w:rPr>
          <w:rFonts w:eastAsia="Calibri"/>
          <w:szCs w:val="22"/>
          <w:lang w:val="en-GB" w:eastAsia="en-US"/>
        </w:rPr>
        <w:t xml:space="preserve"> ptica i morskih sisara. </w:t>
      </w:r>
    </w:p>
    <w:p w14:paraId="2F1C86AE" w14:textId="77777777" w:rsidR="008B4A81" w:rsidRPr="00C7710B" w:rsidRDefault="008B4A81" w:rsidP="008B4A81">
      <w:pPr>
        <w:autoSpaceDE w:val="0"/>
        <w:autoSpaceDN w:val="0"/>
        <w:adjustRightInd w:val="0"/>
        <w:spacing w:before="0" w:after="0" w:line="240" w:lineRule="auto"/>
        <w:rPr>
          <w:rFonts w:eastAsia="Calibri" w:cs="Calibri"/>
          <w:iCs/>
          <w:color w:val="000000"/>
          <w:szCs w:val="22"/>
          <w:lang w:val="en-GB" w:eastAsia="en-US"/>
        </w:rPr>
      </w:pPr>
    </w:p>
    <w:p w14:paraId="0A476860" w14:textId="631B6E7F" w:rsidR="002A59A1" w:rsidRDefault="002A59A1" w:rsidP="00945857">
      <w:pPr>
        <w:spacing w:before="0" w:after="160"/>
        <w:rPr>
          <w:rFonts w:eastAsia="Calibri" w:cs="Calibri"/>
          <w:szCs w:val="22"/>
          <w:lang w:val="en-GB" w:eastAsia="en-US"/>
        </w:rPr>
      </w:pPr>
      <w:r w:rsidRPr="007B0A22">
        <w:rPr>
          <w:rFonts w:eastAsia="Calibri" w:cs="Calibri"/>
          <w:b/>
          <w:szCs w:val="22"/>
          <w:lang w:val="en-GB" w:eastAsia="en-US"/>
        </w:rPr>
        <w:t xml:space="preserve">Kao </w:t>
      </w:r>
      <w:r w:rsidR="006E447D">
        <w:rPr>
          <w:rFonts w:eastAsia="Calibri" w:cs="Calibri"/>
          <w:b/>
          <w:szCs w:val="22"/>
          <w:lang w:val="en-GB" w:eastAsia="en-US"/>
        </w:rPr>
        <w:t>op</w:t>
      </w:r>
      <w:r w:rsidR="006E447D">
        <w:rPr>
          <w:rFonts w:eastAsia="Calibri" w:cs="Calibri"/>
          <w:b/>
          <w:szCs w:val="22"/>
          <w:lang w:val="sr-Latn-RS" w:eastAsia="en-US"/>
        </w:rPr>
        <w:t>št</w:t>
      </w:r>
      <w:r w:rsidR="007B0A22" w:rsidRPr="007B0A22">
        <w:rPr>
          <w:rFonts w:eastAsia="Calibri" w:cs="Calibri"/>
          <w:b/>
          <w:szCs w:val="22"/>
          <w:lang w:val="en-GB" w:eastAsia="en-US"/>
        </w:rPr>
        <w:t xml:space="preserve">i </w:t>
      </w:r>
      <w:r w:rsidRPr="007B0A22">
        <w:rPr>
          <w:rFonts w:eastAsia="Calibri" w:cs="Calibri"/>
          <w:b/>
          <w:szCs w:val="22"/>
          <w:lang w:val="en-GB" w:eastAsia="en-US"/>
        </w:rPr>
        <w:t>zaključak</w:t>
      </w:r>
      <w:r w:rsidR="009C181A">
        <w:rPr>
          <w:rFonts w:eastAsia="Calibri" w:cs="Calibri"/>
          <w:b/>
          <w:szCs w:val="22"/>
          <w:lang w:val="en-GB" w:eastAsia="en-US"/>
        </w:rPr>
        <w:t xml:space="preserve"> </w:t>
      </w:r>
      <w:r w:rsidR="009C181A" w:rsidRPr="004C425E">
        <w:rPr>
          <w:rFonts w:eastAsia="Calibri" w:cs="Calibri"/>
          <w:szCs w:val="22"/>
          <w:lang w:val="en-GB" w:eastAsia="en-US"/>
        </w:rPr>
        <w:t>koji se odnosi na sve</w:t>
      </w:r>
      <w:r w:rsidR="009C181A">
        <w:rPr>
          <w:rFonts w:eastAsia="Calibri" w:cs="Calibri"/>
          <w:b/>
          <w:szCs w:val="22"/>
          <w:lang w:val="en-GB" w:eastAsia="en-US"/>
        </w:rPr>
        <w:t xml:space="preserve"> </w:t>
      </w:r>
      <w:r w:rsidR="004C425E">
        <w:rPr>
          <w:rFonts w:eastAsia="Calibri" w:cs="Calibri"/>
          <w:szCs w:val="22"/>
          <w:lang w:val="en-GB" w:eastAsia="en-US"/>
        </w:rPr>
        <w:t xml:space="preserve">deskriptore </w:t>
      </w:r>
      <w:r w:rsidR="00A830CA">
        <w:rPr>
          <w:rFonts w:eastAsia="Calibri" w:cs="Calibri"/>
          <w:szCs w:val="22"/>
          <w:lang w:val="en-GB" w:eastAsia="en-US"/>
        </w:rPr>
        <w:t>prikazane</w:t>
      </w:r>
      <w:r w:rsidR="004C425E">
        <w:rPr>
          <w:rFonts w:eastAsia="Calibri" w:cs="Calibri"/>
          <w:szCs w:val="22"/>
          <w:lang w:val="en-GB" w:eastAsia="en-US"/>
        </w:rPr>
        <w:t xml:space="preserve"> u ovom tekstu</w:t>
      </w:r>
      <w:r w:rsidRPr="004C425E">
        <w:rPr>
          <w:rFonts w:eastAsia="Calibri" w:cs="Calibri"/>
          <w:szCs w:val="22"/>
          <w:lang w:val="en-GB" w:eastAsia="en-US"/>
        </w:rPr>
        <w:t>, treba napomenuti da je ključno sredstvo za postizanje ciljeva O</w:t>
      </w:r>
      <w:r w:rsidR="0062163E">
        <w:rPr>
          <w:rFonts w:eastAsia="Calibri" w:cs="Calibri"/>
          <w:szCs w:val="22"/>
          <w:lang w:val="en-GB" w:eastAsia="en-US"/>
        </w:rPr>
        <w:t>kvirne dire</w:t>
      </w:r>
      <w:r w:rsidR="002C3EAA">
        <w:rPr>
          <w:rFonts w:eastAsia="Calibri" w:cs="Calibri"/>
          <w:szCs w:val="22"/>
          <w:lang w:val="en-GB" w:eastAsia="en-US"/>
        </w:rPr>
        <w:t>k</w:t>
      </w:r>
      <w:r w:rsidR="0062163E">
        <w:rPr>
          <w:rFonts w:eastAsia="Calibri" w:cs="Calibri"/>
          <w:szCs w:val="22"/>
          <w:lang w:val="en-GB" w:eastAsia="en-US"/>
        </w:rPr>
        <w:t xml:space="preserve">tive morske strategije </w:t>
      </w:r>
      <w:r w:rsidRPr="004C425E">
        <w:rPr>
          <w:rFonts w:eastAsia="Calibri" w:cs="Calibri"/>
          <w:szCs w:val="22"/>
          <w:lang w:val="en-GB" w:eastAsia="en-US"/>
        </w:rPr>
        <w:t>i Barselonske konvencije, odnosno</w:t>
      </w:r>
      <w:r w:rsidRPr="002A59A1">
        <w:rPr>
          <w:rFonts w:eastAsia="Calibri" w:cs="Calibri"/>
          <w:szCs w:val="22"/>
          <w:lang w:val="en-GB" w:eastAsia="en-US"/>
        </w:rPr>
        <w:t xml:space="preserve"> postizanje GES-a i </w:t>
      </w:r>
      <w:r w:rsidR="002048C4">
        <w:rPr>
          <w:rFonts w:eastAsia="Calibri" w:cs="Calibri"/>
          <w:szCs w:val="22"/>
          <w:lang w:val="en-GB" w:eastAsia="en-US"/>
        </w:rPr>
        <w:t xml:space="preserve">provođenje </w:t>
      </w:r>
      <w:r w:rsidRPr="002A59A1">
        <w:rPr>
          <w:rFonts w:eastAsia="Calibri" w:cs="Calibri"/>
          <w:szCs w:val="22"/>
          <w:lang w:val="en-GB" w:eastAsia="en-US"/>
        </w:rPr>
        <w:t xml:space="preserve">ciljeva koji vode </w:t>
      </w:r>
      <w:r w:rsidR="00911C11">
        <w:rPr>
          <w:rFonts w:eastAsia="Calibri" w:cs="Calibri"/>
          <w:szCs w:val="22"/>
          <w:lang w:val="en-GB" w:eastAsia="en-US"/>
        </w:rPr>
        <w:t>ka napretku u postizanju</w:t>
      </w:r>
      <w:r w:rsidRPr="002A59A1">
        <w:rPr>
          <w:rFonts w:eastAsia="Calibri" w:cs="Calibri"/>
          <w:szCs w:val="22"/>
          <w:lang w:val="en-GB" w:eastAsia="en-US"/>
        </w:rPr>
        <w:t>/održavanju dobr</w:t>
      </w:r>
      <w:r w:rsidR="00911C11">
        <w:rPr>
          <w:rFonts w:eastAsia="Calibri" w:cs="Calibri"/>
          <w:szCs w:val="22"/>
          <w:lang w:val="en-GB" w:eastAsia="en-US"/>
        </w:rPr>
        <w:t xml:space="preserve">og </w:t>
      </w:r>
      <w:r w:rsidR="004C425E">
        <w:rPr>
          <w:rFonts w:eastAsia="Calibri" w:cs="Calibri"/>
          <w:szCs w:val="22"/>
          <w:lang w:val="en-GB" w:eastAsia="en-US"/>
        </w:rPr>
        <w:t xml:space="preserve">stanja </w:t>
      </w:r>
      <w:r w:rsidR="00911C11">
        <w:rPr>
          <w:rFonts w:eastAsia="Calibri" w:cs="Calibri"/>
          <w:szCs w:val="22"/>
          <w:lang w:val="en-GB" w:eastAsia="en-US"/>
        </w:rPr>
        <w:t>J</w:t>
      </w:r>
      <w:r w:rsidRPr="002A59A1">
        <w:rPr>
          <w:rFonts w:eastAsia="Calibri" w:cs="Calibri"/>
          <w:szCs w:val="22"/>
          <w:lang w:val="en-GB" w:eastAsia="en-US"/>
        </w:rPr>
        <w:t xml:space="preserve">adranskog mora pod suverenitetom Crne Gore, </w:t>
      </w:r>
      <w:r w:rsidR="002048C4">
        <w:rPr>
          <w:rFonts w:eastAsia="Calibri" w:cs="Calibri"/>
          <w:szCs w:val="22"/>
          <w:lang w:val="en-GB" w:eastAsia="en-US"/>
        </w:rPr>
        <w:t xml:space="preserve">definisanje </w:t>
      </w:r>
      <w:r w:rsidRPr="002A59A1">
        <w:rPr>
          <w:rFonts w:eastAsia="Calibri" w:cs="Calibri"/>
          <w:szCs w:val="22"/>
          <w:lang w:val="en-GB" w:eastAsia="en-US"/>
        </w:rPr>
        <w:t>i sprovođenje Programa m</w:t>
      </w:r>
      <w:r w:rsidR="00911C11">
        <w:rPr>
          <w:rFonts w:eastAsia="Calibri" w:cs="Calibri"/>
          <w:szCs w:val="22"/>
          <w:lang w:val="en-GB" w:eastAsia="en-US"/>
        </w:rPr>
        <w:t>j</w:t>
      </w:r>
      <w:r w:rsidRPr="002A59A1">
        <w:rPr>
          <w:rFonts w:eastAsia="Calibri" w:cs="Calibri"/>
          <w:szCs w:val="22"/>
          <w:lang w:val="en-GB" w:eastAsia="en-US"/>
        </w:rPr>
        <w:t xml:space="preserve">era (član 13 </w:t>
      </w:r>
      <w:r w:rsidR="00911C11">
        <w:rPr>
          <w:rFonts w:eastAsia="Calibri" w:cs="Calibri"/>
          <w:szCs w:val="22"/>
          <w:lang w:val="en-GB" w:eastAsia="en-US"/>
        </w:rPr>
        <w:t>ODMS</w:t>
      </w:r>
      <w:r w:rsidRPr="002A59A1">
        <w:rPr>
          <w:rFonts w:eastAsia="Calibri" w:cs="Calibri"/>
          <w:szCs w:val="22"/>
          <w:lang w:val="en-GB" w:eastAsia="en-US"/>
        </w:rPr>
        <w:t>) ko</w:t>
      </w:r>
      <w:r w:rsidR="00911C11">
        <w:rPr>
          <w:rFonts w:eastAsia="Calibri" w:cs="Calibri"/>
          <w:szCs w:val="22"/>
          <w:lang w:val="en-GB" w:eastAsia="en-US"/>
        </w:rPr>
        <w:t xml:space="preserve">ji predstavlja sljedeći </w:t>
      </w:r>
      <w:r w:rsidRPr="002A59A1">
        <w:rPr>
          <w:rFonts w:eastAsia="Calibri" w:cs="Calibri"/>
          <w:szCs w:val="22"/>
          <w:lang w:val="en-GB" w:eastAsia="en-US"/>
        </w:rPr>
        <w:t xml:space="preserve">ključni korak u </w:t>
      </w:r>
      <w:r w:rsidR="00911C11">
        <w:rPr>
          <w:rFonts w:eastAsia="Calibri" w:cs="Calibri"/>
          <w:szCs w:val="22"/>
          <w:lang w:val="en-GB" w:eastAsia="en-US"/>
        </w:rPr>
        <w:t>implementaciji ODMS</w:t>
      </w:r>
      <w:r w:rsidRPr="002A59A1">
        <w:rPr>
          <w:rFonts w:eastAsia="Calibri" w:cs="Calibri"/>
          <w:szCs w:val="22"/>
          <w:lang w:val="en-GB" w:eastAsia="en-US"/>
        </w:rPr>
        <w:t>. Takođe je važno istaći da je pravilna prim</w:t>
      </w:r>
      <w:r w:rsidR="00911C11">
        <w:rPr>
          <w:rFonts w:eastAsia="Calibri" w:cs="Calibri"/>
          <w:szCs w:val="22"/>
          <w:lang w:val="en-GB" w:eastAsia="en-US"/>
        </w:rPr>
        <w:t>j</w:t>
      </w:r>
      <w:r w:rsidRPr="002A59A1">
        <w:rPr>
          <w:rFonts w:eastAsia="Calibri" w:cs="Calibri"/>
          <w:szCs w:val="22"/>
          <w:lang w:val="en-GB" w:eastAsia="en-US"/>
        </w:rPr>
        <w:t>ena m</w:t>
      </w:r>
      <w:r w:rsidR="00911C11">
        <w:rPr>
          <w:rFonts w:eastAsia="Calibri" w:cs="Calibri"/>
          <w:szCs w:val="22"/>
          <w:lang w:val="en-GB" w:eastAsia="en-US"/>
        </w:rPr>
        <w:t>j</w:t>
      </w:r>
      <w:r w:rsidRPr="002A59A1">
        <w:rPr>
          <w:rFonts w:eastAsia="Calibri" w:cs="Calibri"/>
          <w:szCs w:val="22"/>
          <w:lang w:val="en-GB" w:eastAsia="en-US"/>
        </w:rPr>
        <w:t>era za zaštitu morsk</w:t>
      </w:r>
      <w:r w:rsidR="00911C11">
        <w:rPr>
          <w:rFonts w:eastAsia="Calibri" w:cs="Calibri"/>
          <w:szCs w:val="22"/>
          <w:lang w:val="en-GB" w:eastAsia="en-US"/>
        </w:rPr>
        <w:t>e sredine</w:t>
      </w:r>
      <w:r w:rsidRPr="002A59A1">
        <w:rPr>
          <w:rFonts w:eastAsia="Calibri" w:cs="Calibri"/>
          <w:szCs w:val="22"/>
          <w:lang w:val="en-GB" w:eastAsia="en-US"/>
        </w:rPr>
        <w:t xml:space="preserve"> u cilju olakšavanja i osiguranja održivosti korišćenja morskih resursa u korist sadašnjih i budućih generacija moguća samo uz spro</w:t>
      </w:r>
      <w:r w:rsidR="00911C11">
        <w:rPr>
          <w:rFonts w:eastAsia="Calibri" w:cs="Calibri"/>
          <w:szCs w:val="22"/>
          <w:lang w:val="en-GB" w:eastAsia="en-US"/>
        </w:rPr>
        <w:t xml:space="preserve">vođenje kontinuiranog programa </w:t>
      </w:r>
      <w:r w:rsidR="00343AA8">
        <w:rPr>
          <w:rFonts w:eastAsia="Calibri" w:cs="Calibri"/>
          <w:szCs w:val="22"/>
          <w:lang w:val="en-GB" w:eastAsia="en-US"/>
        </w:rPr>
        <w:t>monitoringa</w:t>
      </w:r>
      <w:r w:rsidR="004C425E">
        <w:rPr>
          <w:rFonts w:eastAsia="Calibri" w:cs="Calibri"/>
          <w:szCs w:val="22"/>
          <w:lang w:val="en-GB" w:eastAsia="en-US"/>
        </w:rPr>
        <w:t xml:space="preserve"> </w:t>
      </w:r>
      <w:r w:rsidR="00911C11">
        <w:rPr>
          <w:rFonts w:eastAsia="Calibri" w:cs="Calibri"/>
          <w:szCs w:val="22"/>
          <w:lang w:val="en-GB" w:eastAsia="en-US"/>
        </w:rPr>
        <w:t>stanja morske sredine</w:t>
      </w:r>
      <w:r w:rsidRPr="002A59A1">
        <w:rPr>
          <w:rFonts w:eastAsia="Calibri" w:cs="Calibri"/>
          <w:szCs w:val="22"/>
          <w:lang w:val="en-GB" w:eastAsia="en-US"/>
        </w:rPr>
        <w:t xml:space="preserve"> u odnosu na relevantne </w:t>
      </w:r>
      <w:r w:rsidR="002048C4">
        <w:rPr>
          <w:rFonts w:eastAsia="Calibri" w:cs="Calibri"/>
          <w:szCs w:val="22"/>
          <w:lang w:val="en-GB" w:eastAsia="en-US"/>
        </w:rPr>
        <w:t xml:space="preserve">kvalitativne </w:t>
      </w:r>
      <w:r w:rsidRPr="002A59A1">
        <w:rPr>
          <w:rFonts w:eastAsia="Calibri" w:cs="Calibri"/>
          <w:szCs w:val="22"/>
          <w:lang w:val="en-GB" w:eastAsia="en-US"/>
        </w:rPr>
        <w:t>deskriptore.</w:t>
      </w:r>
    </w:p>
    <w:p w14:paraId="392B1881" w14:textId="4557CFC6" w:rsidR="00A62607" w:rsidRDefault="00A62607" w:rsidP="00945857">
      <w:pPr>
        <w:spacing w:before="0" w:after="160"/>
        <w:rPr>
          <w:rFonts w:eastAsia="Calibri" w:cs="Calibri"/>
          <w:szCs w:val="22"/>
          <w:lang w:val="en-GB" w:eastAsia="en-US"/>
        </w:rPr>
      </w:pPr>
    </w:p>
    <w:p w14:paraId="54CAC0A3" w14:textId="3F28A4BD" w:rsidR="00A62607" w:rsidRDefault="00A62607" w:rsidP="00945857">
      <w:pPr>
        <w:spacing w:before="0" w:after="160"/>
        <w:rPr>
          <w:rFonts w:eastAsia="Calibri" w:cs="Calibri"/>
          <w:szCs w:val="22"/>
          <w:lang w:val="en-GB" w:eastAsia="en-US"/>
        </w:rPr>
      </w:pPr>
    </w:p>
    <w:p w14:paraId="0833B544" w14:textId="07080409" w:rsidR="00A62607" w:rsidRDefault="00A62607" w:rsidP="00945857">
      <w:pPr>
        <w:spacing w:before="0" w:after="160"/>
        <w:rPr>
          <w:rFonts w:eastAsia="Calibri" w:cs="Calibri"/>
          <w:szCs w:val="22"/>
          <w:lang w:val="en-GB" w:eastAsia="en-US"/>
        </w:rPr>
      </w:pPr>
    </w:p>
    <w:p w14:paraId="598F8829" w14:textId="72678441" w:rsidR="000234F0" w:rsidRDefault="000234F0" w:rsidP="00945857">
      <w:pPr>
        <w:spacing w:before="0" w:after="160"/>
        <w:rPr>
          <w:rFonts w:eastAsia="Calibri" w:cs="Calibri"/>
          <w:szCs w:val="22"/>
          <w:lang w:val="en-GB" w:eastAsia="en-US"/>
        </w:rPr>
      </w:pPr>
    </w:p>
    <w:p w14:paraId="08499905" w14:textId="2A204991" w:rsidR="000234F0" w:rsidRDefault="000234F0" w:rsidP="00945857">
      <w:pPr>
        <w:spacing w:before="0" w:after="160"/>
        <w:rPr>
          <w:rFonts w:eastAsia="Calibri" w:cs="Calibri"/>
          <w:szCs w:val="22"/>
          <w:lang w:val="en-GB" w:eastAsia="en-US"/>
        </w:rPr>
      </w:pPr>
    </w:p>
    <w:p w14:paraId="33B31A44" w14:textId="1D62FD49" w:rsidR="000234F0" w:rsidRDefault="000234F0" w:rsidP="00945857">
      <w:pPr>
        <w:spacing w:before="0" w:after="160"/>
        <w:rPr>
          <w:rFonts w:eastAsia="Calibri" w:cs="Calibri"/>
          <w:szCs w:val="22"/>
          <w:lang w:val="en-GB" w:eastAsia="en-US"/>
        </w:rPr>
      </w:pPr>
    </w:p>
    <w:p w14:paraId="799B8905" w14:textId="37C179B5" w:rsidR="000234F0" w:rsidRDefault="000234F0" w:rsidP="00945857">
      <w:pPr>
        <w:spacing w:before="0" w:after="160"/>
        <w:rPr>
          <w:rFonts w:eastAsia="Calibri" w:cs="Calibri"/>
          <w:szCs w:val="22"/>
          <w:lang w:val="en-GB" w:eastAsia="en-US"/>
        </w:rPr>
      </w:pPr>
    </w:p>
    <w:p w14:paraId="1466D738" w14:textId="50F22E94" w:rsidR="000234F0" w:rsidRDefault="000234F0" w:rsidP="00945857">
      <w:pPr>
        <w:spacing w:before="0" w:after="160"/>
        <w:rPr>
          <w:rFonts w:eastAsia="Calibri" w:cs="Calibri"/>
          <w:szCs w:val="22"/>
          <w:lang w:val="en-GB" w:eastAsia="en-US"/>
        </w:rPr>
      </w:pPr>
    </w:p>
    <w:p w14:paraId="75F1B4C3" w14:textId="059B0FB4" w:rsidR="000234F0" w:rsidRDefault="000234F0" w:rsidP="00945857">
      <w:pPr>
        <w:spacing w:before="0" w:after="160"/>
        <w:rPr>
          <w:rFonts w:eastAsia="Calibri" w:cs="Calibri"/>
          <w:szCs w:val="22"/>
          <w:lang w:val="en-GB" w:eastAsia="en-US"/>
        </w:rPr>
      </w:pPr>
    </w:p>
    <w:p w14:paraId="28B631B3" w14:textId="278DDB45" w:rsidR="000234F0" w:rsidRDefault="000234F0" w:rsidP="00945857">
      <w:pPr>
        <w:spacing w:before="0" w:after="160"/>
        <w:rPr>
          <w:rFonts w:eastAsia="Calibri" w:cs="Calibri"/>
          <w:szCs w:val="22"/>
          <w:lang w:val="en-GB" w:eastAsia="en-US"/>
        </w:rPr>
      </w:pPr>
    </w:p>
    <w:p w14:paraId="0821BEA3" w14:textId="30E9E7B0" w:rsidR="000234F0" w:rsidRDefault="000234F0" w:rsidP="00945857">
      <w:pPr>
        <w:spacing w:before="0" w:after="160"/>
        <w:rPr>
          <w:rFonts w:eastAsia="Calibri" w:cs="Calibri"/>
          <w:szCs w:val="22"/>
          <w:lang w:val="en-GB" w:eastAsia="en-US"/>
        </w:rPr>
      </w:pPr>
    </w:p>
    <w:p w14:paraId="186A05D5" w14:textId="6ACEE609" w:rsidR="000234F0" w:rsidRDefault="000234F0" w:rsidP="00945857">
      <w:pPr>
        <w:spacing w:before="0" w:after="160"/>
        <w:rPr>
          <w:rFonts w:eastAsia="Calibri" w:cs="Calibri"/>
          <w:szCs w:val="22"/>
          <w:lang w:val="en-GB" w:eastAsia="en-US"/>
        </w:rPr>
      </w:pPr>
    </w:p>
    <w:p w14:paraId="1E5BD44B" w14:textId="77777777" w:rsidR="007B0A22" w:rsidRDefault="007B0A22" w:rsidP="00945857">
      <w:pPr>
        <w:spacing w:before="0" w:after="160"/>
        <w:rPr>
          <w:rFonts w:eastAsia="Calibri" w:cs="Calibri"/>
          <w:szCs w:val="22"/>
          <w:lang w:val="en-GB" w:eastAsia="en-US"/>
        </w:rPr>
      </w:pPr>
    </w:p>
    <w:p w14:paraId="36ACF2C5" w14:textId="77777777" w:rsidR="000234F0" w:rsidRDefault="000234F0" w:rsidP="00945857">
      <w:pPr>
        <w:spacing w:before="0" w:after="160"/>
        <w:rPr>
          <w:rFonts w:eastAsia="Calibri" w:cs="Calibri"/>
          <w:szCs w:val="22"/>
          <w:lang w:val="en-GB" w:eastAsia="en-US"/>
        </w:rPr>
      </w:pPr>
    </w:p>
    <w:p w14:paraId="303877E2" w14:textId="77777777" w:rsidR="00343AA8" w:rsidRDefault="00343AA8" w:rsidP="00945857">
      <w:pPr>
        <w:spacing w:before="0" w:after="160"/>
        <w:rPr>
          <w:rFonts w:eastAsia="Calibri" w:cs="Calibri"/>
          <w:szCs w:val="22"/>
          <w:lang w:val="en-GB" w:eastAsia="en-US"/>
        </w:rPr>
      </w:pPr>
    </w:p>
    <w:p w14:paraId="015BEAB4" w14:textId="77777777" w:rsidR="00343AA8" w:rsidRDefault="00343AA8" w:rsidP="00945857">
      <w:pPr>
        <w:spacing w:before="0" w:after="160"/>
        <w:rPr>
          <w:rFonts w:eastAsia="Calibri" w:cs="Calibri"/>
          <w:szCs w:val="22"/>
          <w:lang w:val="en-GB" w:eastAsia="en-US"/>
        </w:rPr>
      </w:pPr>
    </w:p>
    <w:p w14:paraId="3E47A773" w14:textId="77777777" w:rsidR="00343AA8" w:rsidRDefault="00343AA8" w:rsidP="00945857">
      <w:pPr>
        <w:spacing w:before="0" w:after="160"/>
        <w:rPr>
          <w:rFonts w:eastAsia="Calibri" w:cs="Calibri"/>
          <w:szCs w:val="22"/>
          <w:lang w:val="en-GB" w:eastAsia="en-US"/>
        </w:rPr>
      </w:pPr>
    </w:p>
    <w:p w14:paraId="5DEFB920" w14:textId="77777777" w:rsidR="00343AA8" w:rsidRDefault="00343AA8" w:rsidP="00945857">
      <w:pPr>
        <w:spacing w:before="0" w:after="160"/>
        <w:rPr>
          <w:rFonts w:eastAsia="Calibri" w:cs="Calibri"/>
          <w:szCs w:val="22"/>
          <w:lang w:val="en-GB" w:eastAsia="en-US"/>
        </w:rPr>
      </w:pPr>
    </w:p>
    <w:p w14:paraId="509DD777" w14:textId="77777777" w:rsidR="00343AA8" w:rsidRDefault="00343AA8" w:rsidP="00945857">
      <w:pPr>
        <w:spacing w:before="0" w:after="160"/>
        <w:rPr>
          <w:rFonts w:eastAsia="Calibri" w:cs="Calibri"/>
          <w:szCs w:val="22"/>
          <w:lang w:val="en-GB" w:eastAsia="en-US"/>
        </w:rPr>
      </w:pPr>
    </w:p>
    <w:p w14:paraId="525FDE13" w14:textId="77777777" w:rsidR="00343AA8" w:rsidRDefault="00343AA8" w:rsidP="00945857">
      <w:pPr>
        <w:spacing w:before="0" w:after="160"/>
        <w:rPr>
          <w:rFonts w:eastAsia="Calibri" w:cs="Calibri"/>
          <w:szCs w:val="22"/>
          <w:lang w:val="en-GB" w:eastAsia="en-US"/>
        </w:rPr>
      </w:pPr>
    </w:p>
    <w:p w14:paraId="42D763AE" w14:textId="77777777" w:rsidR="00343AA8" w:rsidRDefault="00343AA8" w:rsidP="00945857">
      <w:pPr>
        <w:spacing w:before="0" w:after="160"/>
        <w:rPr>
          <w:rFonts w:eastAsia="Calibri" w:cs="Calibri"/>
          <w:szCs w:val="22"/>
          <w:lang w:val="en-GB" w:eastAsia="en-US"/>
        </w:rPr>
      </w:pPr>
    </w:p>
    <w:p w14:paraId="5C17EFD0" w14:textId="77777777" w:rsidR="00343AA8" w:rsidRPr="00945857" w:rsidRDefault="00343AA8" w:rsidP="00945857">
      <w:pPr>
        <w:spacing w:before="0" w:after="160"/>
        <w:rPr>
          <w:rFonts w:eastAsia="Calibri" w:cs="Calibri"/>
          <w:szCs w:val="22"/>
          <w:lang w:val="en-GB" w:eastAsia="en-US"/>
        </w:rPr>
      </w:pPr>
    </w:p>
    <w:p w14:paraId="3008413F" w14:textId="5DEA13E1" w:rsidR="00F65CFF" w:rsidRPr="001C6CCA" w:rsidRDefault="00F261AB" w:rsidP="00E10F8F">
      <w:pPr>
        <w:pStyle w:val="Heading1"/>
        <w:rPr>
          <w:lang w:val="en-GB" w:eastAsia="en-US"/>
        </w:rPr>
      </w:pPr>
      <w:bookmarkStart w:id="404" w:name="_Toc83630997"/>
      <w:r>
        <w:rPr>
          <w:lang w:val="en-GB" w:eastAsia="en-US"/>
        </w:rPr>
        <w:t>REFERENCE</w:t>
      </w:r>
      <w:bookmarkEnd w:id="404"/>
    </w:p>
    <w:p w14:paraId="7E2DA324" w14:textId="0095773E"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Agencija za zaštitu prirode i životne sredine (EPA) 2018. Informacija o stanju životne sredine u Crnoj Gori za 2018. godinu. Agencija za zaštitu prirode i životne sredine, Ministarstvo održivog razvoja i turizma, pp. 337.</w:t>
      </w:r>
    </w:p>
    <w:p w14:paraId="091BE87F" w14:textId="010C3EC6"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Agencija za zaštitu prirode i životne sredine (EPA) 2019. Program monitoringa stanja ekosistema priobalnog mora Crne Gore, EO1 biodiverzitet, Institut za biologiju mora, pp27.</w:t>
      </w:r>
    </w:p>
    <w:p w14:paraId="05FFFFCE" w14:textId="32F32E2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Agencija za zaštitu prirode i životne sredine (EPA) 2020. Program monitoringa stanja ekosistema priobalnog mora Crne Gore, EO1 biodiverzitet, Institut za biologiju mora, draft.</w:t>
      </w:r>
    </w:p>
    <w:p w14:paraId="363E4B4F" w14:textId="4BE19DB0" w:rsidR="00B31DA3" w:rsidRPr="001C6CCA" w:rsidRDefault="00B31DA3" w:rsidP="00521797">
      <w:pPr>
        <w:spacing w:before="0" w:after="160" w:line="240" w:lineRule="auto"/>
        <w:rPr>
          <w:rFonts w:cs="Calibri"/>
          <w:sz w:val="20"/>
          <w:szCs w:val="20"/>
          <w:lang w:val="en-GB" w:eastAsia="en-US"/>
        </w:rPr>
      </w:pPr>
      <w:r w:rsidRPr="001C6CCA">
        <w:rPr>
          <w:szCs w:val="22"/>
          <w:lang w:val="en-GB"/>
        </w:rPr>
        <w:t>Agostini, V., Bakun, A. 2002. ‘Ocean triads’ in the Mediterranean Sea: physical mechanisms potentially structuring reproductive habitat suitability (with example application to European anchovy, Engraulis encrasicolus). Fish. Oceanogr. 11:129–142.</w:t>
      </w:r>
    </w:p>
    <w:p w14:paraId="6A535AF1" w14:textId="050D607E" w:rsidR="00EE3569" w:rsidRPr="001C6CCA" w:rsidRDefault="00EE3569" w:rsidP="00521797">
      <w:pPr>
        <w:spacing w:before="0" w:after="160" w:line="240" w:lineRule="auto"/>
        <w:rPr>
          <w:rFonts w:eastAsia="Calibri"/>
          <w:sz w:val="20"/>
          <w:szCs w:val="20"/>
          <w:lang w:val="en-GB" w:eastAsia="en-US"/>
        </w:rPr>
      </w:pPr>
      <w:r w:rsidRPr="001C6CCA">
        <w:rPr>
          <w:rFonts w:eastAsia="Calibri"/>
          <w:sz w:val="20"/>
          <w:szCs w:val="20"/>
          <w:lang w:val="en-GB" w:eastAsia="en-US"/>
        </w:rPr>
        <w:t>Alheit, J. 1989. Comparative spawning biology of anchovies, sardines and sprats. Rapp. P.-V. Reun. Cons. Int. Explor. Mer. 191: 7–14.</w:t>
      </w:r>
    </w:p>
    <w:p w14:paraId="66907E9B" w14:textId="60B032F4"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Ažuriranje dokumenata strategije upravljanja morskim okolišem i obalnim područjem temeljem obveza iz čl.8, čl.9. i čl.10. Okvirne Direktive o morskoj strategiji 2008 56 EZ. Pp. 320.</w:t>
      </w:r>
    </w:p>
    <w:p w14:paraId="444F2152" w14:textId="224B5506" w:rsidR="00E10F8F" w:rsidRPr="002E5821" w:rsidRDefault="00F65CFF" w:rsidP="00521797">
      <w:pPr>
        <w:spacing w:before="0" w:after="160" w:line="240" w:lineRule="auto"/>
        <w:rPr>
          <w:rFonts w:eastAsia="Calibri" w:cs="Calibri"/>
          <w:sz w:val="20"/>
          <w:szCs w:val="20"/>
          <w:lang w:val="en-GB" w:eastAsia="en-US"/>
        </w:rPr>
      </w:pPr>
      <w:r w:rsidRPr="001C6CCA">
        <w:rPr>
          <w:rFonts w:cs="Calibri"/>
          <w:sz w:val="20"/>
          <w:szCs w:val="20"/>
          <w:lang w:val="en-GB" w:eastAsia="en-US"/>
        </w:rPr>
        <w:t>Angelini S., Arneri E., Belardinelli A., Bitetto I., Carbonara P., Cardinale M., Casciaro L.,  Ceriola L., Colella S., Colloca F., Croci C., Daskalov G., Di Cintio A., Domenichetti F., Donato F., Facchini M.T.; Fiorentino F., Ianelli J.,  Ikica Z., Isajlović I., Jarboui O., Kule M., Lembo G.; Ligas A., Manfredi C., Mannini A., Martinelli M., Milone N.; Panfili M., Piccinetti C., Santojanni A., Scarcella G., Simmonds E. J., Spedicato M.T., Tesauro C., Vasilakpoulos P., Vrgoč N. 2018. Stock Assessment Form. Demersal species. Merluccius merluccius. GSA 17-18. FAO GFCM.</w:t>
      </w:r>
    </w:p>
    <w:p w14:paraId="519FA8CA" w14:textId="1F9F6C7C" w:rsidR="00E10F8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Angelini S., Arneri E., Belardinelli A., Biagiotti I., Bratina P., Brunel, T., Canduci G., Cacciamani, R., Cali, F., Colella S., Costantini I., Croci C., De Felice A., Domenichetti F., Donato F., Gašparević D., Hintzen, N., Ibaibarraga, L., Juretić T., Leonori I., Martinelli M., Milone N., Modić T., Pallaoro A., Panfili M., Pešić A.,  Ikica Z., Santojanni A., Tesauro C., Tičina V., Paluuqi, A., Kule, M. 2019. FAO GFCM Stock assesment form for small pelagic. Reference year 2018. Reporting year 2019.</w:t>
      </w:r>
    </w:p>
    <w:p w14:paraId="313A7F29" w14:textId="4CC0B3D6" w:rsidR="00E10F8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 xml:space="preserve">Battelli C. &amp; Rindi F. 2008. The extensive development of the turfforming red alga Womersleyella setacea (Hollenberg) R. E. Norris (Rhodophyta, Ceramiales) in the Bay of Boka Kotorska, Montenegro (southern Adriatic Sea). Plant Biosystems 142 (1):120-125. </w:t>
      </w:r>
    </w:p>
    <w:p w14:paraId="6D07F75B" w14:textId="740F925A" w:rsidR="00E10F8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 xml:space="preserve">Battaglia, P., Pedà, C., Musolino, S., Esposito, V., Andaloro, F. and Romeo, T. 2016. Diet and first documented data on plastic ingestion of Trachinotus ovatus L. 1758 (Pisces: Carangidae) from the Strait of Messina (central Mediterranean Sea). Italian Journal of Zoology 83: 121–129. </w:t>
      </w:r>
      <w:hyperlink r:id="rId103" w:history="1">
        <w:r w:rsidR="00E10F8F" w:rsidRPr="001C6CCA">
          <w:rPr>
            <w:rStyle w:val="Hyperlink"/>
            <w:rFonts w:cs="Calibri"/>
            <w:sz w:val="20"/>
            <w:szCs w:val="20"/>
            <w:lang w:val="en-GB" w:eastAsia="en-US"/>
          </w:rPr>
          <w:t>https://doi.org/10.1080/11250003.2015.1114157</w:t>
        </w:r>
      </w:hyperlink>
      <w:r w:rsidRPr="001C6CCA">
        <w:rPr>
          <w:rFonts w:cs="Calibri"/>
          <w:sz w:val="20"/>
          <w:szCs w:val="20"/>
          <w:lang w:val="en-GB" w:eastAsia="en-US"/>
        </w:rPr>
        <w:t>.</w:t>
      </w:r>
    </w:p>
    <w:p w14:paraId="6CB61445" w14:textId="77777777" w:rsidR="00EE3569" w:rsidRPr="001C6CCA" w:rsidRDefault="00EE3569" w:rsidP="00521797">
      <w:pPr>
        <w:spacing w:before="0" w:after="160" w:line="240" w:lineRule="auto"/>
        <w:rPr>
          <w:rFonts w:eastAsia="Calibri"/>
          <w:sz w:val="20"/>
          <w:szCs w:val="20"/>
          <w:lang w:val="en-GB" w:eastAsia="en-US"/>
        </w:rPr>
      </w:pPr>
      <w:r w:rsidRPr="001C6CCA">
        <w:rPr>
          <w:rFonts w:eastAsia="Calibri"/>
          <w:sz w:val="20"/>
          <w:szCs w:val="20"/>
          <w:lang w:val="en-GB" w:eastAsia="en-US"/>
        </w:rPr>
        <w:t>Belgrano, A., Batten, S. D. and Reid, P. 2013. Pelagic Ecosystems, Editor(s): Simon A Levin. Encyclopedia of Biodiversity (Second Edition). Academic Press. pp. 683-691.</w:t>
      </w:r>
    </w:p>
    <w:p w14:paraId="5D2C97C2" w14:textId="77777777" w:rsidR="00EE3569" w:rsidRPr="001C6CCA" w:rsidRDefault="00EE3569" w:rsidP="00521797">
      <w:pPr>
        <w:spacing w:before="0" w:after="160" w:line="240" w:lineRule="auto"/>
        <w:rPr>
          <w:rFonts w:eastAsia="Calibri"/>
          <w:sz w:val="20"/>
          <w:szCs w:val="20"/>
          <w:lang w:val="en-GB" w:eastAsia="en-US"/>
        </w:rPr>
      </w:pPr>
      <w:r w:rsidRPr="001C6CCA">
        <w:rPr>
          <w:rFonts w:eastAsia="Calibri"/>
          <w:sz w:val="20"/>
          <w:szCs w:val="20"/>
          <w:lang w:val="en-GB" w:eastAsia="en-US"/>
        </w:rPr>
        <w:t>Bertrand, A., Grados, D., Colas, F., Bertrand, S., Capet, X., Chaigneau, A., ... Fablet, R. 2014. Broad impacts of fine-scale dynamics on seascape structure from zooplankton to seabirds. Nature communications, 5. Article Number: 5239.</w:t>
      </w:r>
    </w:p>
    <w:p w14:paraId="30E3EB4C" w14:textId="77777777" w:rsidR="00F65CFF" w:rsidRPr="001C6CCA" w:rsidRDefault="00F65CFF" w:rsidP="00521797">
      <w:pPr>
        <w:spacing w:before="0" w:after="160" w:line="240" w:lineRule="auto"/>
        <w:rPr>
          <w:rFonts w:cs="Calibri"/>
          <w:sz w:val="20"/>
          <w:szCs w:val="20"/>
          <w:lang w:val="en-GB" w:eastAsia="en-US"/>
        </w:rPr>
      </w:pPr>
      <w:bookmarkStart w:id="405" w:name="_Hlk67995338"/>
      <w:r w:rsidRPr="001C6CCA">
        <w:rPr>
          <w:rFonts w:cs="Calibri"/>
          <w:sz w:val="20"/>
          <w:szCs w:val="20"/>
          <w:lang w:val="en-GB" w:eastAsia="en-US"/>
        </w:rPr>
        <w:t>Boucher, J.  and Billard, G. 2020. The Mediterranean: Mare plasticum. Gland, Switzerland. IUCN, pp.62.</w:t>
      </w:r>
    </w:p>
    <w:p w14:paraId="13AD12CA" w14:textId="09746E4E" w:rsidR="00E10F8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Breitburg, D. 2002</w:t>
      </w:r>
      <w:r w:rsidR="00852357" w:rsidRPr="001C6CCA">
        <w:rPr>
          <w:rFonts w:cs="Calibri"/>
          <w:sz w:val="20"/>
          <w:szCs w:val="20"/>
          <w:lang w:val="en-GB" w:eastAsia="en-US"/>
        </w:rPr>
        <w:t>.</w:t>
      </w:r>
      <w:r w:rsidRPr="001C6CCA">
        <w:rPr>
          <w:rFonts w:cs="Calibri"/>
          <w:sz w:val="20"/>
          <w:szCs w:val="20"/>
          <w:lang w:val="en-GB" w:eastAsia="en-US"/>
        </w:rPr>
        <w:t xml:space="preserve"> Effects of hypoxia, and the balance between hypoxia enrichment, on coastal fishes and fisheries. Estuaries 25 46:767-781.</w:t>
      </w:r>
    </w:p>
    <w:p w14:paraId="52B858D7" w14:textId="2E0C0FD1" w:rsidR="00A12C8F" w:rsidRPr="007A0C64" w:rsidRDefault="00A12C8F" w:rsidP="007A0C64">
      <w:pPr>
        <w:autoSpaceDE w:val="0"/>
        <w:autoSpaceDN w:val="0"/>
        <w:adjustRightInd w:val="0"/>
        <w:spacing w:before="0" w:after="160" w:line="240" w:lineRule="auto"/>
        <w:rPr>
          <w:rFonts w:eastAsia="Calibri" w:cs="ArialMT"/>
          <w:sz w:val="20"/>
          <w:szCs w:val="20"/>
          <w:lang w:val="en-GB" w:eastAsia="en-US"/>
        </w:rPr>
      </w:pPr>
      <w:r w:rsidRPr="001C6CCA">
        <w:rPr>
          <w:rFonts w:eastAsia="Calibri" w:cs="ArialMT"/>
          <w:sz w:val="20"/>
          <w:szCs w:val="20"/>
          <w:lang w:val="en-GB" w:eastAsia="en-US"/>
        </w:rPr>
        <w:t>Borja, A., M. Elliott, J. Carstensen, A-S. Heiskanen, W. van de Bund, 2010. Marine management – Towards an integrated implementation of the European Marine Strategy Framework and the Water Framework Directives. Mar. Poll. Bull. 60: 2175-2186.</w:t>
      </w:r>
    </w:p>
    <w:p w14:paraId="24C71E78" w14:textId="77777777" w:rsidR="00EE3569" w:rsidRPr="001C6CCA" w:rsidRDefault="00EE3569" w:rsidP="00521797">
      <w:pPr>
        <w:spacing w:before="0" w:after="160" w:line="240" w:lineRule="auto"/>
        <w:rPr>
          <w:rFonts w:eastAsia="Calibri"/>
          <w:sz w:val="20"/>
          <w:szCs w:val="20"/>
          <w:lang w:val="en-GB" w:eastAsia="en-US"/>
        </w:rPr>
      </w:pPr>
      <w:r w:rsidRPr="001C6CCA">
        <w:rPr>
          <w:rFonts w:eastAsia="Calibri"/>
          <w:sz w:val="20"/>
          <w:szCs w:val="20"/>
          <w:lang w:val="en-GB" w:eastAsia="en-US"/>
        </w:rPr>
        <w:t>Borja, A., Elliott, M., Andersen, J.H., Cardoso, A.C., Carstensen, J., Ferreira, J.G., Heiskanen, A.-S., Marques, J.C., Neto, J.M. and Teixeira, H. 2013. Good Environmental Status of marine ecosystems: What is it and how do we know when we have attained it? Marine Pollution Bulletin 76: 16-27.</w:t>
      </w:r>
    </w:p>
    <w:p w14:paraId="46415864" w14:textId="6CEB30C6" w:rsidR="00EE3569" w:rsidRPr="001C6CCA" w:rsidRDefault="000D113B" w:rsidP="00521797">
      <w:pPr>
        <w:spacing w:after="160" w:line="240" w:lineRule="auto"/>
        <w:rPr>
          <w:rFonts w:eastAsia="Calibri"/>
          <w:sz w:val="20"/>
          <w:szCs w:val="20"/>
          <w:lang w:val="en-GB" w:eastAsia="en-US"/>
        </w:rPr>
      </w:pPr>
      <w:r w:rsidRPr="001C6CCA">
        <w:rPr>
          <w:rFonts w:eastAsia="Calibri"/>
          <w:sz w:val="20"/>
          <w:szCs w:val="20"/>
          <w:lang w:val="en-GB" w:eastAsia="en-US"/>
        </w:rPr>
        <w:t>Broszeit, S., Beaumont, N.J., Uyarra, M.C., Heiskanen, A.S., Frost, M., Somerfield, P., Rossberg, A., Teixeira, H. and Austen, M. 2017. What can indicators of good environmental status tell us about ecosystem services? Reducing efforts and increasing cost-effectiveness by reapplying biodiversity indicator data. Ecological Indicators. Vol. 81: 409-442.</w:t>
      </w:r>
    </w:p>
    <w:p w14:paraId="04E4A374" w14:textId="7114490A" w:rsidR="00163047" w:rsidRPr="001C6CCA" w:rsidRDefault="00A8194D" w:rsidP="00521797">
      <w:pPr>
        <w:autoSpaceDE w:val="0"/>
        <w:autoSpaceDN w:val="0"/>
        <w:adjustRightInd w:val="0"/>
        <w:spacing w:before="0" w:after="160" w:line="240" w:lineRule="auto"/>
        <w:rPr>
          <w:rFonts w:eastAsia="Calibri"/>
          <w:color w:val="000000"/>
          <w:sz w:val="20"/>
          <w:szCs w:val="20"/>
          <w:lang w:val="en-GB" w:eastAsia="en-US"/>
        </w:rPr>
      </w:pPr>
      <w:r w:rsidRPr="001C6CCA">
        <w:rPr>
          <w:rFonts w:eastAsia="Calibri"/>
          <w:color w:val="000000"/>
          <w:sz w:val="20"/>
          <w:szCs w:val="20"/>
          <w:lang w:val="en-GB" w:eastAsia="en-US"/>
        </w:rPr>
        <w:t>DFS 2010. “Katič” Pilot Marine Protected Area Management Plan PART I – Baseline Assessment. Min. Održivog razvoja i turizma Crna Gora i Ministero del ambiente tera e nare Italy. 155p.</w:t>
      </w:r>
    </w:p>
    <w:bookmarkEnd w:id="405"/>
    <w:p w14:paraId="554765BC" w14:textId="48ACC91A" w:rsidR="00E10F8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Diaz, R.J., Rosenberg, R. 1995</w:t>
      </w:r>
      <w:r w:rsidR="00852357" w:rsidRPr="001C6CCA">
        <w:rPr>
          <w:rFonts w:cs="Calibri"/>
          <w:sz w:val="20"/>
          <w:szCs w:val="20"/>
          <w:lang w:val="en-GB" w:eastAsia="en-US"/>
        </w:rPr>
        <w:t>.</w:t>
      </w:r>
      <w:r w:rsidRPr="001C6CCA">
        <w:rPr>
          <w:rFonts w:cs="Calibri"/>
          <w:sz w:val="20"/>
          <w:szCs w:val="20"/>
          <w:lang w:val="en-GB" w:eastAsia="en-US"/>
        </w:rPr>
        <w:t xml:space="preserve"> Marine benthic hypoxia: a review of its ecological effects and the behavioural responses of benthic macrofauna. Oceanogra Mar Biol Ann Rev 33:245-303.</w:t>
      </w:r>
    </w:p>
    <w:p w14:paraId="62665BF2" w14:textId="6F93082F" w:rsidR="00E10F8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 xml:space="preserve">Campani, T., Baini, M., Giannetti, M., Cancelli, F., Mancusi, C., Serena, F., Marsili, L., Casini, S. and Fossi, M.C. 2013. Presence of plastic debris in loggerhead turtle stranded along the Tuscany coasts of the Pelagos Sanctuary for Mediterranean Marine Mammals (Italy). Marine Pollution Bulletin 74: 225– 230. </w:t>
      </w:r>
      <w:hyperlink r:id="rId104" w:history="1">
        <w:r w:rsidR="00E10F8F" w:rsidRPr="001C6CCA">
          <w:rPr>
            <w:rStyle w:val="Hyperlink"/>
            <w:rFonts w:cs="Calibri"/>
            <w:sz w:val="20"/>
            <w:szCs w:val="20"/>
            <w:lang w:val="en-GB" w:eastAsia="en-US"/>
          </w:rPr>
          <w:t>https://doi.org/10.1016/j.marpolbul.2013.06.053</w:t>
        </w:r>
      </w:hyperlink>
      <w:r w:rsidRPr="001C6CCA">
        <w:rPr>
          <w:rFonts w:cs="Calibri"/>
          <w:sz w:val="20"/>
          <w:szCs w:val="20"/>
          <w:lang w:val="en-GB" w:eastAsia="en-US"/>
        </w:rPr>
        <w:t>.</w:t>
      </w:r>
    </w:p>
    <w:p w14:paraId="76ADF18D" w14:textId="6A35CB22" w:rsidR="0080610E" w:rsidRPr="001C6CCA" w:rsidRDefault="0080610E" w:rsidP="00521797">
      <w:pPr>
        <w:spacing w:before="100" w:beforeAutospacing="1" w:after="160" w:line="240" w:lineRule="auto"/>
        <w:jc w:val="left"/>
        <w:rPr>
          <w:rFonts w:eastAsia="Calibri" w:cs="Calibri"/>
          <w:color w:val="000000"/>
          <w:sz w:val="20"/>
          <w:szCs w:val="20"/>
          <w:lang w:val="en-GB" w:eastAsia="en-US"/>
        </w:rPr>
      </w:pPr>
      <w:r w:rsidRPr="001C6CCA">
        <w:rPr>
          <w:rFonts w:eastAsia="Calibri" w:cs="Calibri"/>
          <w:color w:val="000000"/>
          <w:sz w:val="20"/>
          <w:szCs w:val="20"/>
          <w:lang w:val="en-GB" w:eastAsia="en-US"/>
        </w:rPr>
        <w:t>Carvalho G.R., Bembo D.G., Carone A., Giesbrecht G., Cingolani N., and Pitcher T.J. (1994). Stock discrimination in relation to the assessment of Adriatic anchovy and sardine fisheries. Final Project Report to the Commission of the European Communities, EC XIV-1/MED/91001/A.</w:t>
      </w:r>
    </w:p>
    <w:p w14:paraId="6B51AEA3" w14:textId="61C9FEE1" w:rsidR="00163047" w:rsidRPr="001C6CCA" w:rsidRDefault="00A8194D" w:rsidP="00521797">
      <w:pPr>
        <w:autoSpaceDE w:val="0"/>
        <w:autoSpaceDN w:val="0"/>
        <w:adjustRightInd w:val="0"/>
        <w:spacing w:before="0" w:after="160" w:line="240" w:lineRule="auto"/>
        <w:rPr>
          <w:rFonts w:eastAsia="Calibri"/>
          <w:color w:val="000000"/>
          <w:sz w:val="20"/>
          <w:szCs w:val="20"/>
          <w:lang w:val="en-GB" w:eastAsia="en-US"/>
        </w:rPr>
      </w:pPr>
      <w:r w:rsidRPr="001C6CCA">
        <w:rPr>
          <w:rFonts w:eastAsia="Calibri"/>
          <w:color w:val="000000"/>
          <w:sz w:val="20"/>
          <w:szCs w:val="20"/>
          <w:lang w:val="en-GB" w:eastAsia="en-US"/>
        </w:rPr>
        <w:t>Cochrane, S.K.J., Connor, D.W., Nilsson, P., Mitchell, I., Reker, J. Franco, J., Valavanis, V., Moncheva, S., Ekebom, J., Nygaard, K., Serrao Santos, R., Naberhaus, I., Packeiser, T., Bund, W. and Cardoso A.C. 2010. Marine Strategy Framework Directive – Task Group 1 Report Biological Diversity. Office for Official Publications of the European Communities, EUR 24337 EN – Joint Research Centre, Luxembourg, p</w:t>
      </w:r>
      <w:r w:rsidR="000D113B" w:rsidRPr="001C6CCA">
        <w:rPr>
          <w:rFonts w:eastAsia="Calibri"/>
          <w:color w:val="000000"/>
          <w:sz w:val="20"/>
          <w:szCs w:val="20"/>
          <w:lang w:val="en-GB" w:eastAsia="en-US"/>
        </w:rPr>
        <w:t>p</w:t>
      </w:r>
      <w:r w:rsidRPr="001C6CCA">
        <w:rPr>
          <w:rFonts w:eastAsia="Calibri"/>
          <w:color w:val="000000"/>
          <w:sz w:val="20"/>
          <w:szCs w:val="20"/>
          <w:lang w:val="en-GB" w:eastAsia="en-US"/>
        </w:rPr>
        <w:t>. 110.</w:t>
      </w:r>
    </w:p>
    <w:p w14:paraId="6F7FF8A3" w14:textId="2CE4D5ED" w:rsidR="00E10F8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 xml:space="preserve">Cole, M., Lindeque, P., Halsband, C. and Galloway, T.S. 2011. Microplastics as contaminants in the marine environment: A review. Marine Pollution Bulletin 62: 2588–2597. </w:t>
      </w:r>
      <w:hyperlink r:id="rId105" w:history="1">
        <w:r w:rsidR="00E10F8F" w:rsidRPr="001C6CCA">
          <w:rPr>
            <w:rStyle w:val="Hyperlink"/>
            <w:rFonts w:cs="Calibri"/>
            <w:sz w:val="20"/>
            <w:szCs w:val="20"/>
            <w:lang w:val="en-GB" w:eastAsia="en-US"/>
          </w:rPr>
          <w:t>https://doi.org/10.1016/j.marpolbul.2011.09.025</w:t>
        </w:r>
      </w:hyperlink>
      <w:r w:rsidRPr="001C6CCA">
        <w:rPr>
          <w:rFonts w:cs="Calibri"/>
          <w:sz w:val="20"/>
          <w:szCs w:val="20"/>
          <w:lang w:val="en-GB" w:eastAsia="en-US"/>
        </w:rPr>
        <w:t>.</w:t>
      </w:r>
    </w:p>
    <w:p w14:paraId="61EFC288" w14:textId="4606C8A7" w:rsidR="004D4A61" w:rsidRPr="001C6CCA" w:rsidRDefault="004D4A61" w:rsidP="00521797">
      <w:pPr>
        <w:spacing w:before="0" w:after="160" w:line="240" w:lineRule="auto"/>
        <w:rPr>
          <w:rFonts w:cs="Calibri"/>
          <w:sz w:val="20"/>
          <w:szCs w:val="20"/>
          <w:lang w:val="en-GB" w:eastAsia="en-US"/>
        </w:rPr>
      </w:pPr>
      <w:r w:rsidRPr="001C6CCA">
        <w:rPr>
          <w:szCs w:val="22"/>
          <w:lang w:val="en-GB"/>
        </w:rPr>
        <w:t>Cury, P., Bakun, A., Crawford, R.J.M., Jarre, A., Quiñones, R.A., Shannon, L.J., Verheye, H.M., 2000. Small pelagics in upwelling systems: patterns of interaction and structural changes in “wasp-waist” ecosystems. ICES Journal of Marine Science, 57,603–618.</w:t>
      </w:r>
    </w:p>
    <w:p w14:paraId="2882C33B" w14:textId="77777777" w:rsidR="00A12C8F" w:rsidRPr="001C6CCA" w:rsidRDefault="00A12C8F" w:rsidP="00521797">
      <w:pPr>
        <w:spacing w:before="0" w:after="160" w:line="240" w:lineRule="auto"/>
        <w:rPr>
          <w:rFonts w:eastAsia="Calibri"/>
          <w:sz w:val="20"/>
          <w:szCs w:val="20"/>
          <w:lang w:val="en-GB" w:eastAsia="hr-HR"/>
        </w:rPr>
      </w:pPr>
      <w:r w:rsidRPr="001C6CCA">
        <w:rPr>
          <w:rFonts w:eastAsia="Calibri"/>
          <w:sz w:val="20"/>
          <w:szCs w:val="20"/>
          <w:lang w:val="en-GB" w:eastAsia="hr-HR"/>
        </w:rPr>
        <w:t>Ćetković, I. 2018. Composition and abundance of shark by-catch in Montenegrin fisheries. Montenegrin Ecologists Society and Environment Programme, Podgorica, Montenegro.</w:t>
      </w:r>
    </w:p>
    <w:p w14:paraId="1EBBDFBB" w14:textId="30B2DFD0" w:rsidR="00A12C8F" w:rsidRPr="001C6CCA" w:rsidRDefault="00A12C8F" w:rsidP="00521797">
      <w:pPr>
        <w:spacing w:before="0" w:after="160" w:line="240" w:lineRule="auto"/>
        <w:rPr>
          <w:rFonts w:eastAsia="Calibri"/>
          <w:sz w:val="20"/>
          <w:szCs w:val="20"/>
          <w:lang w:val="en-GB" w:eastAsia="hr-HR"/>
        </w:rPr>
      </w:pPr>
      <w:r w:rsidRPr="001C6CCA">
        <w:rPr>
          <w:rFonts w:eastAsia="Calibri"/>
          <w:sz w:val="20"/>
          <w:szCs w:val="20"/>
          <w:lang w:val="en-GB" w:eastAsia="hr-HR"/>
        </w:rPr>
        <w:t>Ćetković, I., A. Pešić, A., Joksimović, A., Tomanić, J., and Ralević, S. 2019. Morphometric measurements of newborn blue shark Prionace glauca (Linnaeus, 1758) and characteristics of its potential parturition areas in coastal waters of Montenegro (Southeastern Adriatic). Acta Adriatica  60 (1): 61-66.</w:t>
      </w:r>
    </w:p>
    <w:p w14:paraId="38170D94" w14:textId="67DC970B" w:rsidR="00A12C8F" w:rsidRPr="001C6CCA" w:rsidRDefault="00A12C8F" w:rsidP="00521797">
      <w:pPr>
        <w:spacing w:before="0" w:after="160" w:line="240" w:lineRule="auto"/>
        <w:jc w:val="left"/>
        <w:rPr>
          <w:rFonts w:eastAsia="Calibri"/>
          <w:sz w:val="20"/>
          <w:szCs w:val="20"/>
          <w:lang w:val="en-GB" w:eastAsia="en-US"/>
        </w:rPr>
      </w:pPr>
      <w:r w:rsidRPr="001C6CCA">
        <w:rPr>
          <w:rFonts w:eastAsia="Calibri"/>
          <w:sz w:val="20"/>
          <w:szCs w:val="20"/>
          <w:lang w:val="en-GB" w:eastAsia="en-US"/>
        </w:rPr>
        <w:t>Daskalov, G.M. (2002). Overfishing drives a trophic cascade in the Black Sea. Marine Ecology - Progress Series, 225: 53-63.</w:t>
      </w:r>
    </w:p>
    <w:p w14:paraId="248E68C8" w14:textId="797D68B9" w:rsidR="000D113B"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Dekeling, R.P.A. et al., Monitoring Guidance for Underwater Noise in European Seas, Part I, II and III: JRC Scientific and Policy Reports EUR 26557 EN, EUR 26555, EUR 26556 EN, Publications Office of the European Union,Luxembourg, 2014.</w:t>
      </w:r>
    </w:p>
    <w:p w14:paraId="411EC694" w14:textId="60E64625" w:rsidR="000D113B" w:rsidRPr="001C6CCA" w:rsidRDefault="000D113B" w:rsidP="00521797">
      <w:pPr>
        <w:spacing w:before="0" w:after="160" w:line="240" w:lineRule="auto"/>
        <w:rPr>
          <w:rFonts w:eastAsia="Calibri"/>
          <w:sz w:val="20"/>
          <w:szCs w:val="20"/>
          <w:lang w:val="en-GB" w:eastAsia="en-US"/>
        </w:rPr>
      </w:pPr>
      <w:r w:rsidRPr="001C6CCA">
        <w:rPr>
          <w:rFonts w:eastAsia="Calibri"/>
          <w:sz w:val="20"/>
          <w:szCs w:val="20"/>
          <w:lang w:val="en-GB" w:eastAsia="en-US"/>
        </w:rPr>
        <w:t>Della Penna, A., Koubbi, P., Cotté, C., Bon, C., Bost, C.-A., d'Ovidio, F. 2017. Lagrangian analysis of multi- satellite data in support of open ocean Marine Protected Area design. Deep Sea Research Part II: Topical Studies in Oceanography 140: 212-221.</w:t>
      </w:r>
    </w:p>
    <w:p w14:paraId="5CA22119" w14:textId="7D1DD646" w:rsidR="00772DE3"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Deudero, S. and Alomar, C. 2015. Mediterranean marine biodiversity under threat: Reviewing influence of marine litter on species. Marine Pollution Bulletin 98: 58–68.</w:t>
      </w:r>
    </w:p>
    <w:p w14:paraId="7CB23DA7" w14:textId="1FC79361" w:rsidR="000D113B" w:rsidRPr="007A0C64" w:rsidRDefault="000D113B" w:rsidP="007A0C64">
      <w:pPr>
        <w:spacing w:before="0" w:line="240" w:lineRule="auto"/>
        <w:rPr>
          <w:rFonts w:eastAsia="Calibri"/>
          <w:szCs w:val="22"/>
          <w:lang w:val="en-GB" w:eastAsia="en-US"/>
        </w:rPr>
      </w:pPr>
      <w:r w:rsidRPr="001C6CCA">
        <w:rPr>
          <w:rFonts w:eastAsia="Calibri"/>
          <w:szCs w:val="22"/>
          <w:lang w:val="en-GB" w:eastAsia="en-US"/>
        </w:rPr>
        <w:t>Dickey-Collas, M., Mcquatters-Gollop A., Bresnan E., Kraberg, A. C., Manderson, J. P., Nash,  R., Otto,  S., Sell ,A., Tweddle, J. and Trenkel, V. 2017. Pelagic habitat: exploring the concept of good environmental status . Ices Journal Of Marine Science . Vol. 74 .Issue 9: 2333-2341.</w:t>
      </w:r>
    </w:p>
    <w:p w14:paraId="733021D2" w14:textId="1F7FE643"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DFS 2010. “Katič” Pilot Marine Protected Area Management Plan PART I – Baseline Assessment. Min. Održivog razvoja i turizma Crna Gora i Ministero del ambiente tera e nare Italy. 155p.</w:t>
      </w:r>
    </w:p>
    <w:p w14:paraId="755BDA4A" w14:textId="6A5D36CC" w:rsidR="00772DE3"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Dulčić J, Grbec B, Lipej L</w:t>
      </w:r>
      <w:r w:rsidR="00852357" w:rsidRPr="001C6CCA">
        <w:rPr>
          <w:rFonts w:cs="Calibri"/>
          <w:sz w:val="20"/>
          <w:szCs w:val="20"/>
          <w:lang w:val="en-GB" w:eastAsia="en-US"/>
        </w:rPr>
        <w:t>.</w:t>
      </w:r>
      <w:r w:rsidRPr="001C6CCA">
        <w:rPr>
          <w:rFonts w:cs="Calibri"/>
          <w:sz w:val="20"/>
          <w:szCs w:val="20"/>
          <w:lang w:val="en-GB" w:eastAsia="en-US"/>
        </w:rPr>
        <w:t xml:space="preserve"> 1999</w:t>
      </w:r>
      <w:r w:rsidR="00852357" w:rsidRPr="001C6CCA">
        <w:rPr>
          <w:rFonts w:cs="Calibri"/>
          <w:sz w:val="20"/>
          <w:szCs w:val="20"/>
          <w:lang w:val="en-GB" w:eastAsia="en-US"/>
        </w:rPr>
        <w:t>.</w:t>
      </w:r>
      <w:r w:rsidRPr="001C6CCA">
        <w:rPr>
          <w:rFonts w:cs="Calibri"/>
          <w:sz w:val="20"/>
          <w:szCs w:val="20"/>
          <w:lang w:val="en-GB" w:eastAsia="en-US"/>
        </w:rPr>
        <w:t xml:space="preserve"> Information on the Adriatic ichthyofauna - effect of water warming? . Acta Adriatica: international journal of Marine Sciences 40:33-43.</w:t>
      </w:r>
    </w:p>
    <w:p w14:paraId="1F1A1BE3" w14:textId="0E1C7075" w:rsidR="00772DE3"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Dulčić J., Pallaoro A. 2003</w:t>
      </w:r>
      <w:r w:rsidR="00852357" w:rsidRPr="001C6CCA">
        <w:rPr>
          <w:rFonts w:cs="Calibri"/>
          <w:sz w:val="20"/>
          <w:szCs w:val="20"/>
          <w:lang w:val="en-GB" w:eastAsia="en-US"/>
        </w:rPr>
        <w:t>.</w:t>
      </w:r>
      <w:r w:rsidRPr="001C6CCA">
        <w:rPr>
          <w:rFonts w:cs="Calibri"/>
          <w:sz w:val="20"/>
          <w:szCs w:val="20"/>
          <w:lang w:val="en-GB" w:eastAsia="en-US"/>
        </w:rPr>
        <w:t xml:space="preserve"> First record of the filefish, Stephanolepis diaspros (Monocanthidae), in the Adriatic Sea. Cybium, 27: 321-322.Dulčić et al. 2014.</w:t>
      </w:r>
    </w:p>
    <w:p w14:paraId="4062C17E" w14:textId="4DFFADFB" w:rsidR="00772DE3"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ECAP ecological objectives, January 2016, Ministry of Sustainable Development and Tourism of Montenegro and UNEP/MAP.</w:t>
      </w:r>
    </w:p>
    <w:p w14:paraId="1DC4CF9E" w14:textId="5AAC4861" w:rsidR="00772DE3"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European Commission. 2016. Guidance on a structure for MSFD-related indicator assessment reports. DG Environment, Brussels. pp12. (MSFD Guidance Document number 13).</w:t>
      </w:r>
    </w:p>
    <w:p w14:paraId="709808F7" w14:textId="77777777" w:rsidR="000A190E" w:rsidRPr="001C6CCA" w:rsidRDefault="000A190E" w:rsidP="00521797">
      <w:pPr>
        <w:spacing w:before="0" w:after="160" w:line="240" w:lineRule="auto"/>
        <w:rPr>
          <w:rFonts w:eastAsia="Calibri" w:cs="Calibri"/>
          <w:szCs w:val="22"/>
          <w:lang w:val="en-GB" w:eastAsia="en-US"/>
        </w:rPr>
      </w:pPr>
      <w:r w:rsidRPr="001C6CCA">
        <w:rPr>
          <w:rFonts w:eastAsia="Calibri" w:cs="Calibri"/>
          <w:szCs w:val="22"/>
          <w:lang w:val="en-GB" w:eastAsia="en-US"/>
        </w:rPr>
        <w:t>Facca, C., Bernardi Aubry, F., Socal, G., Ponis, E., Acri, F., Bianchi, F., … Sfriso, A. (2014). Description of a Multimetric Phytoplankton Index (MPI) for the assessment of transitional waters. Marine Pollution Bulletin, 79(1-2), 145–154.</w:t>
      </w:r>
    </w:p>
    <w:p w14:paraId="7ECD3E34" w14:textId="0C6554CA" w:rsidR="00772DE3"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FAO. 2020. The State of Mediterranean and Black Sea Fisheries 2020. General Fisheries Commission for the Mediterranean. Rome. https://doi.org/10.4060/cb2429en. Last updated 12/01/2021.</w:t>
      </w:r>
    </w:p>
    <w:p w14:paraId="5D3653B6" w14:textId="26727285" w:rsidR="00772DE3"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FAO. 2019. General Fisheries Commission for the Mediterranean. Report of the twenty-first session of the Scientific Advisory Committee on Fisheries, Cairo, Egypt, 24–27 June 2019 / Commission générale des pêches pour la Méditerranée. Rapport de la vingt-et-unième session du Comité scientifique consultative des pêches. Le Caire, Égypte, 24-27 juin 2019. FAO Fisheries and Aquaculture Report/FAO Rapport sur les pêches et l’aquaculture No. 1290. Rome.</w:t>
      </w:r>
    </w:p>
    <w:p w14:paraId="2840F4AA" w14:textId="0FA02772" w:rsidR="00772DE3"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 xml:space="preserve">Fossi, M.C., Coppola, D., Baini, M., Giannetti, M., Guerranti, C., Marsili, L., Panti, C., de Sabata, E. and Clò, S. 2014. Large filter feeding marine organisms as indicators of microplastic in the pelagic environment: The case studies of the Mediterranean basking shark (Cetorhinus maximus) and fin whale (Balaenoptera physalus). Marine Environmental Research 100: 17–24. </w:t>
      </w:r>
    </w:p>
    <w:p w14:paraId="42016BB7" w14:textId="0645BC00" w:rsidR="00772DE3"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 xml:space="preserve">Fossi, M.C., Marsili, L., Baini, M., Giannetti, M., Coppola, D., Guerranti, C., Caliani, I., Minutoli, R., Lauriano, G., Finoia, M.G., Rubegni, F., Panigada, S., Bérubé, M., Urbán Ramírez, J. and Panti, C. 2016. Fin whales and microplastics: The Mediterranean Sea and the Sea of Cortez scenarios. Environmental Pollution 209 : 68–78. </w:t>
      </w:r>
      <w:hyperlink r:id="rId106" w:history="1">
        <w:r w:rsidR="00772DE3" w:rsidRPr="001C6CCA">
          <w:rPr>
            <w:rStyle w:val="Hyperlink"/>
            <w:rFonts w:cs="Calibri"/>
            <w:sz w:val="20"/>
            <w:szCs w:val="20"/>
            <w:lang w:val="en-GB" w:eastAsia="en-US"/>
          </w:rPr>
          <w:t>https://doi.org/10.1016/j.envpol.2015.11.022</w:t>
        </w:r>
      </w:hyperlink>
      <w:r w:rsidRPr="001C6CCA">
        <w:rPr>
          <w:rFonts w:cs="Calibri"/>
          <w:sz w:val="20"/>
          <w:szCs w:val="20"/>
          <w:lang w:val="en-GB" w:eastAsia="en-US"/>
        </w:rPr>
        <w:t>.</w:t>
      </w:r>
    </w:p>
    <w:p w14:paraId="3815B740" w14:textId="09B5C1CF" w:rsidR="005B2E98" w:rsidRPr="001C6CCA" w:rsidRDefault="005B2E98" w:rsidP="00521797">
      <w:pPr>
        <w:spacing w:before="0" w:after="160" w:line="240" w:lineRule="auto"/>
        <w:rPr>
          <w:rFonts w:eastAsia="Calibri"/>
          <w:sz w:val="20"/>
          <w:szCs w:val="20"/>
          <w:lang w:val="en-GB" w:eastAsia="en-US"/>
        </w:rPr>
      </w:pPr>
      <w:r w:rsidRPr="001C6CCA">
        <w:rPr>
          <w:rFonts w:eastAsia="Calibri"/>
          <w:sz w:val="20"/>
          <w:szCs w:val="20"/>
          <w:lang w:val="en-GB" w:eastAsia="en-US"/>
        </w:rPr>
        <w:t>Fortuna, C. M., A. Cañadas, D. Holcer, B. Brecciaroli, G. P. Donovan, B. Lazar, G. Mo, L. Tunesi and P. C. Mackelworth</w:t>
      </w:r>
      <w:r w:rsidR="002E5821">
        <w:rPr>
          <w:rFonts w:eastAsia="Calibri"/>
          <w:sz w:val="20"/>
          <w:szCs w:val="20"/>
          <w:lang w:val="en-GB" w:eastAsia="en-US"/>
        </w:rPr>
        <w:t xml:space="preserve">. </w:t>
      </w:r>
      <w:r w:rsidRPr="001C6CCA">
        <w:rPr>
          <w:rFonts w:eastAsia="Calibri"/>
          <w:sz w:val="20"/>
          <w:szCs w:val="20"/>
          <w:lang w:val="en-GB" w:eastAsia="en-US"/>
        </w:rPr>
        <w:t xml:space="preserve">2018. "The coherence of the European Union marine Natura 2000 network for wide-ranging charismatic species: A Mediterranean case study." Frontiers in Marine Science </w:t>
      </w:r>
      <w:r w:rsidRPr="001C6CCA">
        <w:rPr>
          <w:rFonts w:eastAsia="Calibri"/>
          <w:b/>
          <w:bCs/>
          <w:sz w:val="20"/>
          <w:szCs w:val="20"/>
          <w:lang w:val="en-GB" w:eastAsia="en-US"/>
        </w:rPr>
        <w:t>5</w:t>
      </w:r>
      <w:r w:rsidRPr="001C6CCA">
        <w:rPr>
          <w:rFonts w:eastAsia="Calibri"/>
          <w:sz w:val="20"/>
          <w:szCs w:val="20"/>
          <w:lang w:val="en-GB" w:eastAsia="en-US"/>
        </w:rPr>
        <w:t>(356).</w:t>
      </w:r>
    </w:p>
    <w:p w14:paraId="3C49FF40" w14:textId="259D454A" w:rsidR="005B2E98" w:rsidRPr="001C6CCA" w:rsidRDefault="00A12C8F" w:rsidP="00521797">
      <w:pPr>
        <w:spacing w:before="0" w:after="160" w:line="240" w:lineRule="auto"/>
        <w:rPr>
          <w:rFonts w:eastAsia="Calibri"/>
          <w:sz w:val="20"/>
          <w:szCs w:val="20"/>
          <w:lang w:val="en-GB" w:eastAsia="en-US"/>
        </w:rPr>
      </w:pPr>
      <w:r w:rsidRPr="001C6CCA">
        <w:rPr>
          <w:rFonts w:eastAsia="Calibri"/>
          <w:sz w:val="20"/>
          <w:szCs w:val="20"/>
          <w:lang w:val="en-GB" w:eastAsia="en-US"/>
        </w:rPr>
        <w:t>Fortuna, C. M., Holcer, D., Filidei Jr, E., Donovan, G. P. and Tunesi, L. 2011. The first cetacean aerial survey in the Adriatic sea: summer 2010. In: 7th Meeting of the ACCOBAMS Scientific committee, p. 16.</w:t>
      </w:r>
    </w:p>
    <w:p w14:paraId="1D77F3DD" w14:textId="19910F96" w:rsidR="000A190E" w:rsidRPr="001C6CCA" w:rsidRDefault="000A190E" w:rsidP="00521797">
      <w:pPr>
        <w:spacing w:before="0" w:after="160" w:line="240" w:lineRule="auto"/>
        <w:rPr>
          <w:rFonts w:eastAsia="Calibri" w:cs="Calibri"/>
          <w:szCs w:val="22"/>
          <w:lang w:val="en-GB" w:eastAsia="en-US"/>
        </w:rPr>
      </w:pPr>
      <w:r w:rsidRPr="001C6CCA">
        <w:rPr>
          <w:rFonts w:eastAsia="Calibri" w:cs="Calibri"/>
          <w:szCs w:val="22"/>
          <w:lang w:val="en-GB" w:eastAsia="en-US"/>
        </w:rPr>
        <w:t>Francé, J., Varkitzi, I., Stanca, E., Cozzoli, F., Skejić, S., Ungaro, N., Vascotto, I., Mozetič, P., Ninčević Gladan, Ž., Assimakopoulou, G., Basset, A. 2019. Large-scale testing of phytoplankton diversity indices for the assessment of ges in mediterranean subregions (Adriatic, Ionian and Aegean seas).poster. 7th European Phycological Congress, 25-30 August 2019, Zagreb</w:t>
      </w:r>
    </w:p>
    <w:p w14:paraId="4A69DA07" w14:textId="169F64D2" w:rsidR="00772DE3"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GFCM.2018. GFCM Data Collection Reference Framework (DCRF). Version: 20.</w:t>
      </w:r>
    </w:p>
    <w:p w14:paraId="3B84D4CE" w14:textId="2AD4A963" w:rsidR="00772DE3"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Jennings, S., Greenstreet, S.P.R., Reynolds, J.D., 1999. Structural change in an exploited fish community: a consequence of differential fishing effects on species with contrasting life histories. Journal of Animal Ecology 68, 617-627.</w:t>
      </w:r>
    </w:p>
    <w:p w14:paraId="6D669EB1" w14:textId="3B730BAA" w:rsidR="00772DE3"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Geyer, R., Jambeck, J. R., and Law, K. L. 2017. Production, use, and fate of all plastics ever made. Sci. Adv. 3: e1700782. doi: 10.1126/sciadv.1700782.</w:t>
      </w:r>
    </w:p>
    <w:p w14:paraId="5F27F32A" w14:textId="47934449" w:rsidR="00772DE3"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Guala I., Kandic M., Radman M., Varda D., Anđus S., Belamarić J., Boskovic N., Božanić, J., Bulaja D., Burić M., Fabijanac E., Grubišić D., Jovicevic M., Mačić V., Matas V., Mihajlovic A., Mijovic A., Pavicevic M., Perčić M., Rajković Z., Terzić S., Špika M., 2017. Monitoring of Posidonia oceanica meadows in the cross border area between Croatia (Cavtat - Prevlaka) and Montenegro (Arza - Platamuni). Technical report. IMC – International Marine Centre, 2: 2017, 33 pp. + annexes.</w:t>
      </w:r>
    </w:p>
    <w:p w14:paraId="2C92E31B" w14:textId="03BEDAD0"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Grasshoff, K. 1976) Methods of Seawater Analysis. Verlag Chemie Weinhein, New York, 307 p.</w:t>
      </w:r>
    </w:p>
    <w:p w14:paraId="2A806BC9" w14:textId="2B39653A" w:rsidR="000F695C"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Gray, J. S. (1992</w:t>
      </w:r>
      <w:r w:rsidR="00852357" w:rsidRPr="001C6CCA">
        <w:rPr>
          <w:rFonts w:cs="Calibri"/>
          <w:sz w:val="20"/>
          <w:szCs w:val="20"/>
          <w:lang w:val="en-GB" w:eastAsia="en-US"/>
        </w:rPr>
        <w:t>.</w:t>
      </w:r>
      <w:r w:rsidRPr="001C6CCA">
        <w:rPr>
          <w:rFonts w:cs="Calibri"/>
          <w:sz w:val="20"/>
          <w:szCs w:val="20"/>
          <w:lang w:val="en-GB" w:eastAsia="en-US"/>
        </w:rPr>
        <w:t xml:space="preserve"> Eutrophication in the sea. In: Colombo, G., Ferrari, I., Ceccherelli, VU., Russi, R., (Eds) “Marine eutrophication and population dynamics”. Proc 25th Eur Mar Biol Symp. Olsen &amp; Olsen, Fredensborg, p 3–15.</w:t>
      </w:r>
    </w:p>
    <w:p w14:paraId="5ACF22BA" w14:textId="444DEDBF" w:rsidR="000F695C" w:rsidRPr="001C6CCA" w:rsidRDefault="000F695C" w:rsidP="00521797">
      <w:pPr>
        <w:spacing w:before="0" w:after="160" w:line="240" w:lineRule="auto"/>
        <w:jc w:val="left"/>
        <w:rPr>
          <w:rFonts w:eastAsia="Arial" w:cs="Calibri"/>
          <w:sz w:val="20"/>
          <w:szCs w:val="20"/>
          <w:lang w:val="en-GB" w:eastAsia="hr-HR"/>
        </w:rPr>
      </w:pPr>
      <w:r w:rsidRPr="001C6CCA">
        <w:rPr>
          <w:rFonts w:eastAsia="Arial" w:cs="Calibri"/>
          <w:sz w:val="20"/>
          <w:szCs w:val="20"/>
          <w:lang w:val="en-GB" w:eastAsia="hr-HR"/>
        </w:rPr>
        <w:t xml:space="preserve">Grbec, B., Morović, M., Matić, F., Ninčević Gladan, Ž., Marasović, I., Vidjak, O., Bojanić, N., Čikeš Keč, V., Zorica, B., Kušpilić, G., Matić-Skoko, S. 2015.  Climate regime shifts and multi-decadal variability of the Adriatic Sea pelagic ecosystem. // Acta Adriatica, 56 (1):  47-66. </w:t>
      </w:r>
    </w:p>
    <w:p w14:paraId="3CD0E4E7" w14:textId="1BB3C66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HAOP (Hrvatska agencija za okoliš i prirodu) 2015. Kartiranje i procjena ekosustava i njihovih usluga u Hrvatskoj. (Izrađeno u sklopu studije: „Izrada početne studij</w:t>
      </w:r>
      <w:r w:rsidR="00852357" w:rsidRPr="001C6CCA">
        <w:rPr>
          <w:rFonts w:cs="Calibri"/>
          <w:sz w:val="20"/>
          <w:szCs w:val="20"/>
          <w:lang w:val="en-GB" w:eastAsia="en-US"/>
        </w:rPr>
        <w:t>e</w:t>
      </w:r>
      <w:r w:rsidRPr="001C6CCA">
        <w:rPr>
          <w:rFonts w:cs="Calibri"/>
          <w:sz w:val="20"/>
          <w:szCs w:val="20"/>
          <w:lang w:val="en-GB" w:eastAsia="en-US"/>
        </w:rPr>
        <w:t xml:space="preserve"> s utvrđenom vrijednosti ekosustava u RH uz procjenu troška uslijed gubitka, s priručnikom za praktično vođenje računovodstva ekosustava (Ecosystem accounting). http://www.haop.hr/sites/default/files/uploads/dokumenti/03_prirodne/studije/ekosustav/Kartiranje_i_procjena_ekosustava.pdf</w:t>
      </w:r>
    </w:p>
    <w:p w14:paraId="34EA581F"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https://ec.europa.eu/environment/marine/good-environmental-status/descriptor-8/index_en.htm</w:t>
      </w:r>
    </w:p>
    <w:p w14:paraId="1D436DD0"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Hanke G., Walvoort D., van Loon W., Addamo A.M., Brosich A., del Mar Chaves Montero M., Molina Jack M.E., Vinci M. and Giorgetti A. 2019. EU Marine Beach Litter Baselines, EUR 30022 EN, Publications Office of the European Union, Luxemburg, ISBN 978-92-76-14243-0, doi:10.2760/16903, JRC114129.</w:t>
      </w:r>
    </w:p>
    <w:p w14:paraId="3ED88227"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Howell, P., Simpson, D. 1994. Abundance of marine resources in relation to dissolved oxygen in Long Island Sound. Estuaries 17:394-402.</w:t>
      </w:r>
    </w:p>
    <w:p w14:paraId="1305F7D9"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Igić LJ. 1983. Karakteristike obraštaja u Kotorskom zalivu-Fouling characteristics in Kotor Bay. (In Serbian) Studia Marina 13-14:275-292.</w:t>
      </w:r>
    </w:p>
    <w:p w14:paraId="670205F6" w14:textId="73662CF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Initial Assessment of the Status of Marine Environment of Montenegro,2020. IPA Support to Implementation and Monitoring of Water Management in Montenegro.</w:t>
      </w:r>
    </w:p>
    <w:p w14:paraId="53ABAF2B"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 xml:space="preserve">Institut za oceanografiju i ribarstvo, Split i Institut za razvoj i međunarodne odnose, Zagreb 2019. </w:t>
      </w:r>
    </w:p>
    <w:p w14:paraId="7C6BE7AC"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Institut za okeanografiju i ribarstvo Split 2014.  Skup značajki dobrog stanja okoliša za morske vode pod suverenitetom Republike Hrvatske i skup ciljeva u zaštiti morskog okoliša i s njima povezanih pokazatelja. pp.148.</w:t>
      </w:r>
    </w:p>
    <w:p w14:paraId="6DA23625" w14:textId="1D039F2D"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Institut za biologiju mora</w:t>
      </w:r>
      <w:r w:rsidR="00852357" w:rsidRPr="001C6CCA">
        <w:rPr>
          <w:rFonts w:cs="Calibri"/>
          <w:sz w:val="20"/>
          <w:szCs w:val="20"/>
          <w:lang w:val="en-GB" w:eastAsia="en-US"/>
        </w:rPr>
        <w:t>,</w:t>
      </w:r>
      <w:r w:rsidRPr="001C6CCA">
        <w:rPr>
          <w:rFonts w:cs="Calibri"/>
          <w:sz w:val="20"/>
          <w:szCs w:val="20"/>
          <w:lang w:val="en-GB" w:eastAsia="en-US"/>
        </w:rPr>
        <w:t xml:space="preserve"> 2020</w:t>
      </w:r>
      <w:r w:rsidR="00852357" w:rsidRPr="001C6CCA">
        <w:rPr>
          <w:rFonts w:cs="Calibri"/>
          <w:sz w:val="20"/>
          <w:szCs w:val="20"/>
          <w:lang w:val="en-GB" w:eastAsia="en-US"/>
        </w:rPr>
        <w:t>.</w:t>
      </w:r>
      <w:r w:rsidRPr="001C6CCA">
        <w:rPr>
          <w:rFonts w:cs="Calibri"/>
          <w:sz w:val="20"/>
          <w:szCs w:val="20"/>
          <w:lang w:val="en-GB" w:eastAsia="en-US"/>
        </w:rPr>
        <w:t xml:space="preserve"> Monitoring of benthos (Mačić V., Petović S.) IPA Support to Implementation and Monitoring of Water Management in Montenegro, 28p.</w:t>
      </w:r>
    </w:p>
    <w:p w14:paraId="03042CB8"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Jambeck, J. R., Geyer, R., Wilcox, C., Siegler, T. R., Perryman, M., Andrady, A., et al. 2015. Plastic waste inputs from land into the ocean. Science 347: 768–771. doi: 10.1126/science.1260352.</w:t>
      </w:r>
    </w:p>
    <w:p w14:paraId="52344B4F" w14:textId="3A83E1BF"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 xml:space="preserve">Jančić G. 2004. Melibe from the Adriatic. [Message in] Sea Slug Forum. Australian Museum, Sydney. </w:t>
      </w:r>
      <w:hyperlink r:id="rId107" w:history="1">
        <w:r w:rsidR="00A12C8F" w:rsidRPr="001C6CCA">
          <w:rPr>
            <w:rStyle w:val="Hyperlink"/>
            <w:rFonts w:cs="Calibri"/>
            <w:sz w:val="20"/>
            <w:szCs w:val="20"/>
            <w:lang w:val="en-GB" w:eastAsia="en-US"/>
          </w:rPr>
          <w:t>http://www.seaslugforum.net/find.cfm?id=12280</w:t>
        </w:r>
      </w:hyperlink>
      <w:r w:rsidRPr="001C6CCA">
        <w:rPr>
          <w:rFonts w:cs="Calibri"/>
          <w:sz w:val="20"/>
          <w:szCs w:val="20"/>
          <w:lang w:val="en-GB" w:eastAsia="en-US"/>
        </w:rPr>
        <w:t>.</w:t>
      </w:r>
    </w:p>
    <w:p w14:paraId="1EE67A59" w14:textId="2049A4F1" w:rsidR="008F3B2F" w:rsidRPr="001C6CCA" w:rsidRDefault="008F3B2F" w:rsidP="00521797">
      <w:pPr>
        <w:spacing w:before="0" w:after="160" w:line="240" w:lineRule="auto"/>
        <w:jc w:val="left"/>
        <w:rPr>
          <w:rFonts w:eastAsia="Calibri"/>
          <w:sz w:val="20"/>
          <w:szCs w:val="20"/>
          <w:lang w:val="en-GB" w:eastAsia="en-US"/>
        </w:rPr>
      </w:pPr>
      <w:r w:rsidRPr="001C6CCA">
        <w:rPr>
          <w:rFonts w:eastAsia="Calibri"/>
          <w:sz w:val="20"/>
          <w:szCs w:val="20"/>
          <w:lang w:val="en-GB" w:eastAsia="en-US"/>
        </w:rPr>
        <w:t>Jardas, I. 1966. Jadranska ihtiofauna, Školska knjiga Zagreb, pp533.</w:t>
      </w:r>
    </w:p>
    <w:p w14:paraId="489DB696" w14:textId="1C2519AD" w:rsidR="00A12C8F" w:rsidRPr="001C6CCA" w:rsidRDefault="00A12C8F" w:rsidP="00521797">
      <w:pPr>
        <w:spacing w:before="0" w:after="160" w:line="240" w:lineRule="auto"/>
        <w:jc w:val="left"/>
        <w:rPr>
          <w:rFonts w:eastAsia="Calibri"/>
          <w:sz w:val="20"/>
          <w:szCs w:val="20"/>
          <w:lang w:val="en-GB" w:eastAsia="en-US"/>
        </w:rPr>
      </w:pPr>
      <w:r w:rsidRPr="001C6CCA">
        <w:rPr>
          <w:rFonts w:eastAsia="Calibri"/>
          <w:sz w:val="20"/>
          <w:szCs w:val="20"/>
          <w:lang w:val="en-GB" w:eastAsia="en-US"/>
        </w:rPr>
        <w:t>Jennings, S., Pinnegar, J.K., Polunin, N.V.C., Warr, K.J. 2001. Impacts of trawling disturbance on the trophic structure of benthic invertebrate communities. Marine Ecology-Progress Series, 213: 127–142.</w:t>
      </w:r>
    </w:p>
    <w:p w14:paraId="3B3A05F2"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Joksimović A., Dragičević B., Dulčić J. 2008. Additional record of Fistularia comersonii from the Adriatic Sea (Montenegrin coast). Marine Biodiversity Records, 6232: 1-4.</w:t>
      </w:r>
    </w:p>
    <w:p w14:paraId="3C02E324"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Joksimović, V. and Dulčić, J. 2015. New additional records of the Lessepsian invader Lagocephalus sceleratus (Gmelin, 1758) (Tetraodontidae) in the Adriatic Sea. In: New Mediterranean Biodiversity Records. By Karachle et al., Medit. Mar. Sci., 17/1, 2016, 230-252. Collective Article A.</w:t>
      </w:r>
    </w:p>
    <w:p w14:paraId="55D0A7D4"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Joksimović A., Regner S., Dulčić J., Pešić A., Marković O., Ikica Z., Đurović M. 2015. Scientific monitoring of the alien fish and crustaceans species in the Adriatic Sea (Monteneghrin coast). „Water &amp; Fish“ 7th International Conference, 10-12 June, 2015. Zemun, Belgrade, Serbia. Conference Proceedings: 127- 133.</w:t>
      </w:r>
    </w:p>
    <w:p w14:paraId="40C3625B" w14:textId="7B47B832"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Karachle, P.K., Corsini-Foka, M., Crocetta, F., Dulcic, J., Djhembekova, N. et al. 2017. Setting up a billboard of marine invasive species in the ESENIAS area: current situation and future expectancies. Acta Adriatica 58(3): 429-458.Mačić &amp; Ballesteros 2016.</w:t>
      </w:r>
    </w:p>
    <w:p w14:paraId="0237482C" w14:textId="5BAFD232" w:rsidR="00A12C8F" w:rsidRPr="001C6CCA" w:rsidRDefault="00A12C8F" w:rsidP="00521797">
      <w:pPr>
        <w:spacing w:before="0" w:after="160" w:line="240" w:lineRule="auto"/>
        <w:jc w:val="left"/>
        <w:rPr>
          <w:rFonts w:eastAsia="Calibri"/>
          <w:sz w:val="20"/>
          <w:szCs w:val="20"/>
          <w:lang w:val="en-GB" w:eastAsia="en-US"/>
        </w:rPr>
      </w:pPr>
      <w:r w:rsidRPr="001C6CCA">
        <w:rPr>
          <w:rFonts w:eastAsia="Calibri"/>
          <w:sz w:val="20"/>
          <w:szCs w:val="20"/>
          <w:lang w:val="en-GB" w:eastAsia="en-US"/>
        </w:rPr>
        <w:t>Kirby, R.R., Beaugrand, G., Lindley, J.A. 2009. Synergistic effects of climate and fishing in a marine ecosystem. Ecosystemsm 12: 548-561.</w:t>
      </w:r>
    </w:p>
    <w:p w14:paraId="09725519" w14:textId="055DA933" w:rsidR="00A12C8F" w:rsidRPr="001C6CCA" w:rsidRDefault="00A12C8F" w:rsidP="00521797">
      <w:pPr>
        <w:spacing w:before="0" w:after="160" w:line="240" w:lineRule="auto"/>
        <w:rPr>
          <w:rFonts w:eastAsia="Calibri"/>
          <w:sz w:val="20"/>
          <w:szCs w:val="20"/>
          <w:lang w:val="en-GB" w:eastAsia="hr-HR"/>
        </w:rPr>
      </w:pPr>
      <w:r w:rsidRPr="001C6CCA">
        <w:rPr>
          <w:rFonts w:eastAsia="Calibri"/>
          <w:sz w:val="20"/>
          <w:szCs w:val="20"/>
          <w:lang w:val="en-GB" w:eastAsia="hr-HR"/>
        </w:rPr>
        <w:t>Kršinić, F. and Grbec, B., 2012. Spatial distribution of copepod abundance in the epipelagic layer of the south Adriatic Sea. Acta Adriat. 53(1), 57-70.</w:t>
      </w:r>
    </w:p>
    <w:p w14:paraId="22A11DF1"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Mačić V. &amp; Kljajić Z. 2012. Pregled unešenih vrsta u crnogorskom podmorju (In Serbian). Vode, Divčibare, 2012, pp: 255-260.</w:t>
      </w:r>
    </w:p>
    <w:p w14:paraId="1A067B13"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Mačić V. &amp; Petović S. 2016. New data on the distribution of the alien sponge Paraleucilla magna Klautau, Monteiro &amp; Borojevic, 2004 in the Adriatic Sea. Studia Marina 29 (1):63-68.</w:t>
      </w:r>
    </w:p>
    <w:p w14:paraId="05AC3730"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Mačić V. 2005. Alga Caulerpa racemosa i na crnogorskom primorju. Hydrores Information, Anno XXI n. 26.: 42-44.</w:t>
      </w:r>
    </w:p>
    <w:p w14:paraId="04DD9F29" w14:textId="4204794D"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Mačić, V., P. Bernat, A. Molinari, M. Fant, M. Cassola, F. Polato, E. Giovannetti, A. Rzaničanin, J. Knežević and N. Čađenovć, 2011. State of Posidonia meadows and fish assamblages in the future MPA „Katič“ (Montenegro). Studia Marina 25(1): 73-82.</w:t>
      </w:r>
    </w:p>
    <w:p w14:paraId="4F45B33A" w14:textId="5B4A5BFE"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Mačić, V., Petović, S., Drakulović D., Đorđević, N. 2020. Monitoring površinskih obalnih voda. Finansijer projekta Zavod za hidrometeorologiju i seizmologiju, 56 pp.</w:t>
      </w:r>
    </w:p>
    <w:p w14:paraId="62BE9C11" w14:textId="7C5E0C0D"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Mačić, V., Zordan, C. 2018. Mapping of the Cymodocea nodosa (Ucria) Asch. meadows in the Kotor bay and data comparison over the last four decades. Studia Marina 31 (1): 5-15.</w:t>
      </w:r>
    </w:p>
    <w:p w14:paraId="457627AB" w14:textId="7A30DE52"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Mačić, Vesna, Nikola Đorđević, Miloš Pavićević, Dušan Varda, Aleksandar Mijović, Aleksandar Panić, Milan Kevac, Milosav Miličić, Nataša Kovačević, 2020. Monitoring livada morske trave posidonije (Posidonia oceanica) u akvatorijumu budućeg ZPM Katič. NVO Green Home, projekat Podrška lokalnim zajednicama u promociji i zaštiti budućeg zaštićenog područja u moru – Katić“  28p.</w:t>
      </w:r>
    </w:p>
    <w:p w14:paraId="3FCDD76A" w14:textId="6D912EDF" w:rsidR="00AA4074" w:rsidRPr="001C6CCA" w:rsidRDefault="00AA4074" w:rsidP="00521797">
      <w:pPr>
        <w:autoSpaceDE w:val="0"/>
        <w:autoSpaceDN w:val="0"/>
        <w:adjustRightInd w:val="0"/>
        <w:spacing w:before="100" w:beforeAutospacing="1" w:after="160" w:line="240" w:lineRule="auto"/>
        <w:jc w:val="left"/>
        <w:rPr>
          <w:rFonts w:eastAsia="Calibri"/>
          <w:sz w:val="20"/>
          <w:szCs w:val="20"/>
          <w:lang w:val="en-GB" w:eastAsia="en-US"/>
        </w:rPr>
      </w:pPr>
      <w:r w:rsidRPr="001C6CCA">
        <w:rPr>
          <w:rFonts w:eastAsia="Calibri"/>
          <w:sz w:val="20"/>
          <w:szCs w:val="20"/>
          <w:lang w:val="en-GB" w:eastAsia="en-US"/>
        </w:rPr>
        <w:t xml:space="preserve">Magoulas A., R. Castilho, S. Caetano, S. Marcato &amp; T. Patarnello. 2006. Mitochondrial </w:t>
      </w:r>
      <w:smartTag w:uri="urn:schemas-microsoft-com:office:smarttags" w:element="stockticker">
        <w:r w:rsidRPr="001C6CCA">
          <w:rPr>
            <w:rFonts w:eastAsia="Calibri"/>
            <w:sz w:val="20"/>
            <w:szCs w:val="20"/>
            <w:lang w:val="en-GB" w:eastAsia="en-US"/>
          </w:rPr>
          <w:t>DNA</w:t>
        </w:r>
      </w:smartTag>
      <w:r w:rsidRPr="001C6CCA">
        <w:rPr>
          <w:rFonts w:eastAsia="Calibri"/>
          <w:sz w:val="20"/>
          <w:szCs w:val="20"/>
          <w:lang w:val="en-GB" w:eastAsia="en-US"/>
        </w:rPr>
        <w:t xml:space="preserve"> reveals a mosaic pattern of phylogeographical structure in Atlantic and Mediterranean populations of anchovy (</w:t>
      </w:r>
      <w:r w:rsidRPr="001C6CCA">
        <w:rPr>
          <w:rFonts w:eastAsia="Calibri"/>
          <w:i/>
          <w:sz w:val="20"/>
          <w:szCs w:val="20"/>
          <w:lang w:val="en-GB" w:eastAsia="en-US"/>
        </w:rPr>
        <w:t>Engraulis encrasicolus</w:t>
      </w:r>
      <w:r w:rsidRPr="001C6CCA">
        <w:rPr>
          <w:rFonts w:eastAsia="Calibri"/>
          <w:sz w:val="20"/>
          <w:szCs w:val="20"/>
          <w:lang w:val="en-GB" w:eastAsia="en-US"/>
        </w:rPr>
        <w:t>). Molecular Phylogenetics and Evolution 39: 734-746.</w:t>
      </w:r>
    </w:p>
    <w:p w14:paraId="3F1039A7" w14:textId="296B5549" w:rsidR="000D113B" w:rsidRPr="001C6CCA" w:rsidRDefault="000D113B" w:rsidP="00521797">
      <w:pPr>
        <w:spacing w:before="0" w:after="160" w:line="240" w:lineRule="auto"/>
        <w:rPr>
          <w:rFonts w:eastAsia="Calibri"/>
          <w:sz w:val="20"/>
          <w:szCs w:val="20"/>
          <w:lang w:val="en-GB" w:eastAsia="en-US"/>
        </w:rPr>
      </w:pPr>
      <w:r w:rsidRPr="001C6CCA">
        <w:rPr>
          <w:rFonts w:eastAsia="Calibri"/>
          <w:sz w:val="20"/>
          <w:szCs w:val="20"/>
          <w:lang w:val="en-GB" w:eastAsia="en-US"/>
        </w:rPr>
        <w:t>Mandić, M., Djurović, M., Drakulović, D., Krasić, M. and Laušević, R. 2018. Preventing marine pollution. Kotor: University of Montenegro, Institute of Marine Biology. pp 24.</w:t>
      </w:r>
    </w:p>
    <w:p w14:paraId="15B39E06" w14:textId="6253B04E" w:rsidR="00B31DA3" w:rsidRPr="001C6CCA" w:rsidRDefault="00B31DA3" w:rsidP="00521797">
      <w:pPr>
        <w:spacing w:before="0" w:after="160" w:line="240" w:lineRule="auto"/>
        <w:rPr>
          <w:rFonts w:eastAsia="Calibri"/>
          <w:sz w:val="20"/>
          <w:szCs w:val="20"/>
          <w:lang w:val="en-GB" w:eastAsia="en-US"/>
        </w:rPr>
      </w:pPr>
      <w:r w:rsidRPr="001C6CCA">
        <w:rPr>
          <w:szCs w:val="22"/>
          <w:lang w:val="en-GB"/>
        </w:rPr>
        <w:t>Mazzocchi M.G., Licandro P., Dubroca L., Di Capua, I., Saggiomo V. 2011. Zooplankton associations in a Mediterranean long-term time-series. Journal of Plankton Research, 33 (8): 1163–1181.</w:t>
      </w:r>
    </w:p>
    <w:p w14:paraId="1E3BF3A6" w14:textId="6ADB0081" w:rsidR="000D113B" w:rsidRPr="001C6CCA" w:rsidRDefault="000D113B" w:rsidP="00521797">
      <w:pPr>
        <w:spacing w:before="0" w:after="160" w:line="240" w:lineRule="auto"/>
        <w:rPr>
          <w:rFonts w:eastAsia="Calibri"/>
          <w:sz w:val="20"/>
          <w:szCs w:val="20"/>
          <w:lang w:val="en-GB" w:eastAsia="en-US"/>
        </w:rPr>
      </w:pPr>
      <w:r w:rsidRPr="001C6CCA">
        <w:rPr>
          <w:rFonts w:eastAsia="Calibri"/>
          <w:sz w:val="20"/>
          <w:szCs w:val="20"/>
          <w:lang w:val="en-GB" w:eastAsia="en-US"/>
        </w:rPr>
        <w:t>Melián, C.J., Bascompte, J., and Jordano, P. 2005. Spatial structure and dynamics in a marine food web. In: Eds. A. Belgrano, U. M. Scharler, J. Dunne, and R. E. Ulanowicz. Aquatic Food Webs - An Ecosystem Approach. Oxford University Press. pp. 19-24.</w:t>
      </w:r>
    </w:p>
    <w:p w14:paraId="592A302C" w14:textId="6EAF35BE" w:rsidR="000D113B" w:rsidRPr="001C6CCA" w:rsidRDefault="000D113B" w:rsidP="00521797">
      <w:pPr>
        <w:spacing w:before="0" w:after="160" w:line="240" w:lineRule="auto"/>
        <w:rPr>
          <w:rFonts w:eastAsia="Calibri"/>
          <w:sz w:val="20"/>
          <w:szCs w:val="20"/>
          <w:lang w:val="en-GB" w:eastAsia="en-US"/>
        </w:rPr>
      </w:pPr>
      <w:r w:rsidRPr="001C6CCA">
        <w:rPr>
          <w:rFonts w:eastAsia="Calibri"/>
          <w:sz w:val="20"/>
          <w:szCs w:val="20"/>
          <w:lang w:val="en-GB" w:eastAsia="en-US"/>
        </w:rPr>
        <w:t>Meyer-Reil, LA. and Köster, M. 2000. Eutrophication of Marine Waters: Effects on Benthic Microbial Communities. Marine Pollution Bulletin, Volume 41, Issues 1–6: 255-263.</w:t>
      </w:r>
    </w:p>
    <w:p w14:paraId="75C00078" w14:textId="52ADB4FB" w:rsidR="000D113B" w:rsidRPr="001C6CCA" w:rsidRDefault="000D113B" w:rsidP="00521797">
      <w:pPr>
        <w:spacing w:before="0" w:after="160" w:line="240" w:lineRule="auto"/>
        <w:rPr>
          <w:rFonts w:eastAsia="Calibri"/>
          <w:sz w:val="20"/>
          <w:szCs w:val="20"/>
          <w:lang w:val="en-GB" w:eastAsia="en-US"/>
        </w:rPr>
      </w:pPr>
      <w:r w:rsidRPr="001C6CCA">
        <w:rPr>
          <w:rFonts w:eastAsia="Calibri"/>
          <w:sz w:val="20"/>
          <w:szCs w:val="20"/>
          <w:lang w:val="en-GB" w:eastAsia="en-US"/>
        </w:rPr>
        <w:t>Millán, M. 1999.Reproductive characteristics and condition status of anchovy, Engraulis encrasicolus, L. from the Bay of Cadiz. (SW Spain). Fish. Res. 41: 73-86.</w:t>
      </w:r>
    </w:p>
    <w:p w14:paraId="60DCAFC0"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Marini, M., Russo, A., Paschini, E., Grilli, F. 2006.  Short-term physical and chemical variations in the bottom water of middle Adriatic depressions. Climate Research 31(2-3):227-237.</w:t>
      </w:r>
    </w:p>
    <w:p w14:paraId="0D4F306B" w14:textId="06A10EE2"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Marković O., Gökoğlu M., Petović S. &amp; Mandić M. 2014. First record of the Northern brown shrimp, Farfantepenaeus aztecus (Ives, 1891) (Crustacea: Decapoda: Penaeidae) in the South Adriatic Sea, Montenegro. Mediterranean Marine Science 15(1): 165-167.</w:t>
      </w:r>
    </w:p>
    <w:p w14:paraId="6BC498D0" w14:textId="2C513899" w:rsidR="00D509C8" w:rsidRPr="001C6CCA" w:rsidRDefault="00D509C8" w:rsidP="00521797">
      <w:pPr>
        <w:spacing w:before="0" w:after="160" w:line="240" w:lineRule="auto"/>
        <w:jc w:val="left"/>
        <w:rPr>
          <w:rFonts w:eastAsia="Arial" w:cs="Calibri"/>
          <w:sz w:val="20"/>
          <w:szCs w:val="20"/>
          <w:lang w:val="en-GB" w:eastAsia="hr-HR"/>
        </w:rPr>
      </w:pPr>
      <w:r w:rsidRPr="001C6CCA">
        <w:rPr>
          <w:rFonts w:eastAsia="Arial" w:cs="Calibri"/>
          <w:sz w:val="20"/>
          <w:szCs w:val="20"/>
          <w:lang w:val="en-GB" w:eastAsia="hr-HR"/>
        </w:rPr>
        <w:t>Matić, F., Grbec, B. and Morović, M. 2011. Indications of Climate Regime shifts in the Middle Adriatic Sea.  Acta Adriatica, 52 (2): 235-246 .</w:t>
      </w:r>
    </w:p>
    <w:p w14:paraId="32014047" w14:textId="206722AC"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MED GIG (2014) EC</w:t>
      </w:r>
      <w:r w:rsidR="002E5821">
        <w:rPr>
          <w:rFonts w:cs="Calibri"/>
          <w:sz w:val="20"/>
          <w:szCs w:val="20"/>
          <w:lang w:val="en-GB" w:eastAsia="en-US"/>
        </w:rPr>
        <w:t>.</w:t>
      </w:r>
      <w:r w:rsidRPr="001C6CCA">
        <w:rPr>
          <w:rFonts w:cs="Calibri"/>
          <w:sz w:val="20"/>
          <w:szCs w:val="20"/>
          <w:lang w:val="en-GB" w:eastAsia="en-US"/>
        </w:rPr>
        <w:t xml:space="preserve"> 2009</w:t>
      </w:r>
      <w:r w:rsidR="002E5821">
        <w:rPr>
          <w:rFonts w:cs="Calibri"/>
          <w:sz w:val="20"/>
          <w:szCs w:val="20"/>
          <w:lang w:val="en-GB" w:eastAsia="en-US"/>
        </w:rPr>
        <w:t>.</w:t>
      </w:r>
      <w:r w:rsidRPr="001C6CCA">
        <w:rPr>
          <w:rFonts w:cs="Calibri"/>
          <w:sz w:val="20"/>
          <w:szCs w:val="20"/>
          <w:lang w:val="en-GB" w:eastAsia="en-US"/>
        </w:rPr>
        <w:t xml:space="preserve"> Water Framework Directive intercalibration technical report Part 3: Coastal and Transitional waters. JRC scientific and technical reports.</w:t>
      </w:r>
    </w:p>
    <w:p w14:paraId="5F0F1AAB" w14:textId="3F01366C"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Monitoring and Assessment Programme of the Mediterranean Sea and Coast and Related Assessment Criteria, UNEP/MAP Athens, Greece (2016).</w:t>
      </w:r>
    </w:p>
    <w:p w14:paraId="617EF759"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 xml:space="preserve">National Action Plan (NAP) for the implementation of the LBS protocol and its regional plans in the framework of the SAP-MED with the aim to achieve good environmental status for pollution-related </w:t>
      </w:r>
    </w:p>
    <w:p w14:paraId="5EE3FA61"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 xml:space="preserve">National strategy for integrated coastal zone management, CAMP Montenegro, Ministry of Sustainable Development and Tourism of Montenegro, UNEP/MAP, PAP/RAC, June 2015. </w:t>
      </w:r>
    </w:p>
    <w:p w14:paraId="4D08EED8" w14:textId="548F3564" w:rsidR="00D509C8" w:rsidRPr="001C6CCA" w:rsidRDefault="00D509C8" w:rsidP="00521797">
      <w:pPr>
        <w:spacing w:before="0" w:after="160" w:line="240" w:lineRule="auto"/>
        <w:rPr>
          <w:rFonts w:eastAsia="Arial" w:cs="Calibri"/>
          <w:sz w:val="20"/>
          <w:szCs w:val="20"/>
          <w:lang w:val="en-GB" w:eastAsia="hr-HR"/>
        </w:rPr>
      </w:pPr>
      <w:r w:rsidRPr="001C6CCA">
        <w:rPr>
          <w:rFonts w:eastAsia="Arial" w:cs="Calibri"/>
          <w:sz w:val="20"/>
          <w:szCs w:val="20"/>
          <w:lang w:val="en-GB" w:eastAsia="hr-HR"/>
        </w:rPr>
        <w:t xml:space="preserve">Ninčević Gladan, Ž., Marasović, I., Grbec, B., Skejić, S., Bužančić, M., Kušpilić, G., Matijević, S. and Matić, F.2009.   Inter-decadal variability in phytoplankton community in the Middle Adriatic (Kaštela Bay) in relation to the North Atlantic Oscillation. // Estuaries and coasts, 33:376-383 doi:10.1007/s12237-009-9223-3. </w:t>
      </w:r>
    </w:p>
    <w:p w14:paraId="6B094E67" w14:textId="42F5068C"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Nixon, S.W. 1995. Costal marine eutrophication: a definition, social causes, and future concerns. Ophelia 41:199-219.</w:t>
      </w:r>
    </w:p>
    <w:p w14:paraId="5F11A639"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NN (2013) Uredba o standardu kakvoće voda. NN 73/2013. Broj dokumenta 1463.https://narodne-novine.nn.hr/clanci/sluzbeni/2013_06_73_1463.html</w:t>
      </w:r>
    </w:p>
    <w:p w14:paraId="4322CC9F" w14:textId="12C4C1E6"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Official Gazette of Montenegro, No. 18/2019-Law on Non-indigenous and Invasive Alien Species of Plants, Animals and Fungi</w:t>
      </w:r>
      <w:r w:rsidR="00C07659" w:rsidRPr="001C6CCA">
        <w:rPr>
          <w:rFonts w:cs="Calibri"/>
          <w:sz w:val="20"/>
          <w:szCs w:val="20"/>
          <w:lang w:val="en-GB" w:eastAsia="en-US"/>
        </w:rPr>
        <w:t>.</w:t>
      </w:r>
    </w:p>
    <w:p w14:paraId="2910C987"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Official Gazette of Montenegro, No. 73/2019-Law on the Protection of the Marine Environment.</w:t>
      </w:r>
    </w:p>
    <w:p w14:paraId="04100AC0"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Orlando-Bonaca, M., Francé, J., Mavrič, B., Grego, M., Lipej, L., Flander-Putrle, V., Šiško, M. &amp; Falace, A. 2015. A new index (MediSkew) for the assessment of the Cymodocea nodosa (Ucria) Ascherson meadow's status. Marine environmental research, 110, 132-141.</w:t>
      </w:r>
    </w:p>
    <w:p w14:paraId="76791EE5" w14:textId="78A669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OSPAR COMMISSION</w:t>
      </w:r>
      <w:r w:rsidR="002E5821">
        <w:rPr>
          <w:rFonts w:cs="Calibri"/>
          <w:sz w:val="20"/>
          <w:szCs w:val="20"/>
          <w:lang w:val="en-GB" w:eastAsia="en-US"/>
        </w:rPr>
        <w:t>,</w:t>
      </w:r>
      <w:r w:rsidRPr="001C6CCA">
        <w:rPr>
          <w:rFonts w:cs="Calibri"/>
          <w:sz w:val="20"/>
          <w:szCs w:val="20"/>
          <w:lang w:val="en-GB" w:eastAsia="en-US"/>
        </w:rPr>
        <w:t xml:space="preserve"> 2008</w:t>
      </w:r>
      <w:r w:rsidR="002E5821">
        <w:rPr>
          <w:rFonts w:cs="Calibri"/>
          <w:sz w:val="20"/>
          <w:szCs w:val="20"/>
          <w:lang w:val="en-GB" w:eastAsia="en-US"/>
        </w:rPr>
        <w:t>.</w:t>
      </w:r>
      <w:r w:rsidRPr="001C6CCA">
        <w:rPr>
          <w:rFonts w:cs="Calibri"/>
          <w:sz w:val="20"/>
          <w:szCs w:val="20"/>
          <w:lang w:val="en-GB" w:eastAsia="en-US"/>
        </w:rPr>
        <w:t xml:space="preserve"> Eutrophication Status of the OSPAR Maritime Area. Second OSPAR Integrated Report. 372/2008. pp 108.</w:t>
      </w:r>
    </w:p>
    <w:p w14:paraId="1FA32B68"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Pauly, D., Christensen, V., Dalsgaard, J., Froese, R., Torres, F., 1998. Fishing down marine food webs. Science 279, 860-863.</w:t>
      </w:r>
    </w:p>
    <w:p w14:paraId="51C50421"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Parsons T.R., Maita Y., Lalli C.M. 1985. A manual of Chemical and Biological Methods for Seawater Analysis. Pergamon Press. Oxford, New York, Toronto, Sydney and Frankfurt.</w:t>
      </w:r>
      <w:r w:rsidRPr="001C6CCA">
        <w:rPr>
          <w:rFonts w:cs="Calibri"/>
          <w:sz w:val="20"/>
          <w:szCs w:val="20"/>
          <w:lang w:val="en-GB" w:eastAsia="en-US"/>
        </w:rPr>
        <w:tab/>
      </w:r>
    </w:p>
    <w:p w14:paraId="0E3C4D8B"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Petović S. &amp; Lipej L. 2014. First record of the sea slug Thecacera pennigera (Montagu, 1815), (Nudibranchia, Polyceridae) in the Adriatic Sea in: V. Gerovasileiou et al.: New Mediterranean Biodiversity Records, Mediterranean Marine Science 18: 366-368.Petović &amp; Mačić 2017.</w:t>
      </w:r>
    </w:p>
    <w:p w14:paraId="3A778206"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Petović &amp; Mačić, 2020. Non-indigenous benthic species along the Montenegrin coast.  The Handbook of Environmental Chemistry 54, Springer Berlin Heidelberg, in press.</w:t>
      </w:r>
    </w:p>
    <w:p w14:paraId="15C3E052"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Petović, S. 2019. First record of Rapana venosa (Valenciennes, 1846) in the Montenegrin waters. In New Mediterranean Biodiversity Records. Mediterranean Marine Science 19(3), p. 680.</w:t>
      </w:r>
    </w:p>
    <w:p w14:paraId="16816FDA"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 xml:space="preserve">Petović S., Gvozdenović S. &amp; Ikica Z. 2017. An Annotated Checklist of the Marine Molluscs of the South Adriatic Sea (Montenegro) and a Comparison with Those of Neighbouring Areas. Turkish Journal of Fisheries and Aquatic Sciences 17: 921-934. </w:t>
      </w:r>
    </w:p>
    <w:p w14:paraId="7EACAB4C"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Petović S, Marković O, Joksimović A &amp; Pešić, A. 2018. Does Non-Native Species Present A Threat To Marine Ecosystems In The South Adriatic Sea (Montenegro). 3rd International Congress on Applied Ichthyology &amp; Aquatic Environment, 8-11 November 2018, Volos, Greece, 776-779.</w:t>
      </w:r>
    </w:p>
    <w:p w14:paraId="41349026" w14:textId="460963F0"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Petović S, Marković O &amp; Đurović, M. 2019. Inventory of non-indigenous and cryptogenic marine benthic species of the south-east Adriatic Sea, Montenegro. Acta Zoologica Bulgarica 71(1):47-52</w:t>
      </w:r>
      <w:r w:rsidR="00C07659" w:rsidRPr="001C6CCA">
        <w:rPr>
          <w:rFonts w:cs="Calibri"/>
          <w:sz w:val="20"/>
          <w:szCs w:val="20"/>
          <w:lang w:val="en-GB" w:eastAsia="en-US"/>
        </w:rPr>
        <w:t>.</w:t>
      </w:r>
    </w:p>
    <w:p w14:paraId="22CB5299" w14:textId="2C91B610"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Plastics Europe 2018. “Plastics – the facts 2018. An analysis of European plastics production, demand and waste data” in Association of Plastics Manufacturers and EPRO (Brussels: European Association of Plastics Recycling &amp; Recovery Organisations, Association of Plastic Manufacturers and European Association of Plastics Recycling and Recovery Organizations), pp.18.</w:t>
      </w:r>
    </w:p>
    <w:p w14:paraId="5DF6DA65" w14:textId="1420A9F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Rech, S., Borrell, Y. and García-Vazquez, E. 2016. Marine litter as a vector for non-native species: What  we need to know. Marine Pollution Bulletin 113(1-2): 40-43.</w:t>
      </w:r>
    </w:p>
    <w:p w14:paraId="44253502" w14:textId="17EC186F" w:rsidR="00A12C8F" w:rsidRPr="001C6CCA" w:rsidRDefault="00A12C8F" w:rsidP="00521797">
      <w:pPr>
        <w:spacing w:before="0" w:after="160" w:line="240" w:lineRule="auto"/>
        <w:rPr>
          <w:rFonts w:cs="Calibri"/>
          <w:sz w:val="20"/>
          <w:szCs w:val="20"/>
          <w:lang w:val="en-GB" w:eastAsia="en-US"/>
        </w:rPr>
      </w:pPr>
      <w:r w:rsidRPr="001C6CCA">
        <w:rPr>
          <w:rFonts w:cs="Calibri"/>
          <w:sz w:val="20"/>
          <w:szCs w:val="20"/>
          <w:lang w:val="en-GB" w:eastAsia="en-US"/>
        </w:rPr>
        <w:t>Recommendation GFCM / 42/2018/8 2019-2021 for small pelagic stocks in the Adriatic Sea (geographical subareas 17 and 18).</w:t>
      </w:r>
    </w:p>
    <w:p w14:paraId="47266CB3" w14:textId="3FAEDF4F"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Romeo, T., Battaglia, P., Pedà, C., Consoli, P., Andaloro, F. and Fossi, M.C. 2015. First evidence of presence of plastic debris in stomach of large pelagic fish in the Mediterranean Sea. Mar. Poll. Bull. 95: 358–361. https://doi.org/10.1016/j.marpolbul.2015.04.048</w:t>
      </w:r>
      <w:r w:rsidR="00C07659" w:rsidRPr="001C6CCA">
        <w:rPr>
          <w:rFonts w:cs="Calibri"/>
          <w:sz w:val="20"/>
          <w:szCs w:val="20"/>
          <w:lang w:val="en-GB" w:eastAsia="en-US"/>
        </w:rPr>
        <w:t>.</w:t>
      </w:r>
    </w:p>
    <w:p w14:paraId="2824E8B8"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Romeo, T., Pedà, C., Fossi, M.C., Andaloro, F. and Battaglia, P. 2016. First record of plastic debris in the stomach of Mediterranean lanternfishes. Acta Adriatica 57: 115–124.</w:t>
      </w:r>
    </w:p>
    <w:p w14:paraId="182B4405" w14:textId="086F5A08" w:rsidR="00A12C8F" w:rsidRPr="001C6CCA" w:rsidRDefault="00A12C8F" w:rsidP="00521797">
      <w:pPr>
        <w:autoSpaceDE w:val="0"/>
        <w:autoSpaceDN w:val="0"/>
        <w:adjustRightInd w:val="0"/>
        <w:spacing w:before="0" w:after="160" w:line="240" w:lineRule="auto"/>
        <w:jc w:val="left"/>
        <w:rPr>
          <w:rFonts w:eastAsia="Calibri" w:cs="Calibri"/>
          <w:color w:val="000000"/>
          <w:sz w:val="20"/>
          <w:szCs w:val="20"/>
          <w:lang w:val="en-GB" w:eastAsia="en-US"/>
        </w:rPr>
      </w:pPr>
      <w:r w:rsidRPr="001C6CCA">
        <w:rPr>
          <w:rFonts w:eastAsia="Calibri" w:cs="Calibri"/>
          <w:color w:val="000000"/>
          <w:sz w:val="20"/>
          <w:szCs w:val="20"/>
          <w:lang w:val="en-GB" w:eastAsia="en-US"/>
        </w:rPr>
        <w:t>Rubinić, B.,Sackl, P., Gramatikov, M</w:t>
      </w:r>
      <w:r w:rsidR="002E5821">
        <w:rPr>
          <w:rFonts w:eastAsia="Calibri" w:cs="Calibri"/>
          <w:color w:val="000000"/>
          <w:sz w:val="20"/>
          <w:szCs w:val="20"/>
          <w:lang w:val="en-GB" w:eastAsia="en-US"/>
        </w:rPr>
        <w:t xml:space="preserve">. </w:t>
      </w:r>
      <w:r w:rsidRPr="001C6CCA">
        <w:rPr>
          <w:rFonts w:eastAsia="Calibri" w:cs="Calibri"/>
          <w:color w:val="000000"/>
          <w:sz w:val="20"/>
          <w:szCs w:val="20"/>
          <w:lang w:val="en-GB" w:eastAsia="en-US"/>
        </w:rPr>
        <w:t>2019</w:t>
      </w:r>
      <w:r w:rsidR="002E5821">
        <w:rPr>
          <w:rFonts w:eastAsia="Calibri" w:cs="Calibri"/>
          <w:color w:val="000000"/>
          <w:sz w:val="20"/>
          <w:szCs w:val="20"/>
          <w:lang w:val="en-GB" w:eastAsia="en-US"/>
        </w:rPr>
        <w:t>.</w:t>
      </w:r>
      <w:r w:rsidRPr="001C6CCA">
        <w:rPr>
          <w:rFonts w:eastAsia="Calibri" w:cs="Calibri"/>
          <w:color w:val="000000"/>
          <w:sz w:val="20"/>
          <w:szCs w:val="20"/>
          <w:lang w:val="en-GB" w:eastAsia="en-US"/>
        </w:rPr>
        <w:t xml:space="preserve"> Conserving of wild birds in Montenegro. The first inventory of potential Special protection Areas in Montenegro. AAM Consulting, Budapest xiii +328 pp. </w:t>
      </w:r>
    </w:p>
    <w:p w14:paraId="5E50CEBC" w14:textId="1D7BF0E1" w:rsidR="005B2E98" w:rsidRPr="001C6CCA" w:rsidRDefault="005B2E98" w:rsidP="00521797">
      <w:pPr>
        <w:autoSpaceDE w:val="0"/>
        <w:autoSpaceDN w:val="0"/>
        <w:adjustRightInd w:val="0"/>
        <w:spacing w:before="0" w:after="160" w:line="240" w:lineRule="auto"/>
        <w:jc w:val="left"/>
        <w:rPr>
          <w:rFonts w:eastAsia="Calibri" w:cs="Calibri"/>
          <w:color w:val="000000"/>
          <w:sz w:val="20"/>
          <w:szCs w:val="20"/>
          <w:lang w:val="en-GB" w:eastAsia="en-US"/>
        </w:rPr>
      </w:pPr>
      <w:r w:rsidRPr="001C6CCA">
        <w:rPr>
          <w:rFonts w:eastAsia="Calibri" w:cs="Calibri"/>
          <w:color w:val="000000"/>
          <w:sz w:val="20"/>
          <w:szCs w:val="20"/>
          <w:lang w:val="en-GB" w:eastAsia="en-US"/>
        </w:rPr>
        <w:t>Saveljić, D., Vizi, O., Dubak, N</w:t>
      </w:r>
      <w:r w:rsidR="002E5821">
        <w:rPr>
          <w:rFonts w:eastAsia="Calibri" w:cs="Calibri"/>
          <w:color w:val="000000"/>
          <w:sz w:val="20"/>
          <w:szCs w:val="20"/>
          <w:lang w:val="en-GB" w:eastAsia="en-US"/>
        </w:rPr>
        <w:t xml:space="preserve">. </w:t>
      </w:r>
      <w:r w:rsidRPr="001C6CCA">
        <w:rPr>
          <w:rFonts w:eastAsia="Calibri" w:cs="Calibri"/>
          <w:color w:val="000000"/>
          <w:sz w:val="20"/>
          <w:szCs w:val="20"/>
          <w:lang w:val="en-GB" w:eastAsia="en-US"/>
        </w:rPr>
        <w:t>2006</w:t>
      </w:r>
      <w:r w:rsidR="002E5821">
        <w:rPr>
          <w:rFonts w:eastAsia="Calibri" w:cs="Calibri"/>
          <w:color w:val="000000"/>
          <w:sz w:val="20"/>
          <w:szCs w:val="20"/>
          <w:lang w:val="en-GB" w:eastAsia="en-US"/>
        </w:rPr>
        <w:t>.</w:t>
      </w:r>
      <w:r w:rsidRPr="001C6CCA">
        <w:rPr>
          <w:rFonts w:eastAsia="Calibri" w:cs="Calibri"/>
          <w:color w:val="000000"/>
          <w:sz w:val="20"/>
          <w:szCs w:val="20"/>
          <w:lang w:val="en-GB" w:eastAsia="en-US"/>
        </w:rPr>
        <w:t xml:space="preserve"> Ed. Birds of Montenegro and Their Important Habitats. Center for the Protection and Research of Birds of Montenegro ed. 48 pages </w:t>
      </w:r>
    </w:p>
    <w:p w14:paraId="394E1B7D" w14:textId="14B39346" w:rsidR="005B2E98" w:rsidRPr="001C6CCA" w:rsidRDefault="005B2E98" w:rsidP="00521797">
      <w:pPr>
        <w:autoSpaceDE w:val="0"/>
        <w:autoSpaceDN w:val="0"/>
        <w:adjustRightInd w:val="0"/>
        <w:spacing w:before="0" w:after="160" w:line="240" w:lineRule="auto"/>
        <w:jc w:val="left"/>
        <w:rPr>
          <w:rFonts w:eastAsia="Calibri" w:cs="Calibri"/>
          <w:color w:val="000000"/>
          <w:sz w:val="20"/>
          <w:szCs w:val="20"/>
          <w:lang w:val="en-GB" w:eastAsia="en-US"/>
        </w:rPr>
      </w:pPr>
      <w:r w:rsidRPr="001C6CCA">
        <w:rPr>
          <w:rFonts w:eastAsia="Calibri" w:cs="Calibri"/>
          <w:color w:val="000000"/>
          <w:sz w:val="20"/>
          <w:szCs w:val="20"/>
          <w:lang w:val="en-GB" w:eastAsia="en-US"/>
        </w:rPr>
        <w:t>Saveljić, D., Dubak, N, Vizi, A., Jovićević, M. (Ed.) 2007</w:t>
      </w:r>
      <w:r w:rsidR="002E5821">
        <w:rPr>
          <w:rFonts w:eastAsia="Calibri" w:cs="Calibri"/>
          <w:color w:val="000000"/>
          <w:sz w:val="20"/>
          <w:szCs w:val="20"/>
          <w:lang w:val="en-GB" w:eastAsia="en-US"/>
        </w:rPr>
        <w:t>.</w:t>
      </w:r>
      <w:r w:rsidRPr="001C6CCA">
        <w:rPr>
          <w:rFonts w:eastAsia="Calibri" w:cs="Calibri"/>
          <w:color w:val="000000"/>
          <w:sz w:val="20"/>
          <w:szCs w:val="20"/>
          <w:lang w:val="en-GB" w:eastAsia="en-US"/>
        </w:rPr>
        <w:t xml:space="preserve"> Important Bird Areas in Montenegro. Center for Protection and Research of Birds of Montenegro. Monography CZIP No. 1. 50 pages. Podgorica </w:t>
      </w:r>
    </w:p>
    <w:p w14:paraId="45349788"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Sinovčić, G. and Zorica, B. 2006. Reproductive cycle and minimal length at sexual maturity of Engraulis encrasicolus (L.) in the Zrmanja River estuary (Adriatic Sea, Croatia). Estuar Coast Shelf Sci69:439–448.</w:t>
      </w:r>
    </w:p>
    <w:p w14:paraId="0DA60F35"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Sinovčić, G., Keč, V. Č. and Zorica, B. 2008. Population structure, size at maturity and condition of sardine, Sardina pilchardus (Walb., 1792), in the nursery ground of the eastern Adriatic Sea (Krka River Estuary, Croatia). Estuarine, Coastal and Shelf Science, 76(4), 739-744.</w:t>
      </w:r>
    </w:p>
    <w:p w14:paraId="36A20CB7" w14:textId="547D9CEE"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Službenom listu RCG 2006. Rješenje o stavljanju pod zaštitu pojedinih biljnih i životinjskih vrsta. Službeni list RCG, br. 76/2006 od 12.12.2006. godine.</w:t>
      </w:r>
    </w:p>
    <w:p w14:paraId="71FA3278" w14:textId="316BCA3D" w:rsidR="006A30DB" w:rsidRPr="001C6CCA" w:rsidRDefault="006A30DB" w:rsidP="00521797">
      <w:pPr>
        <w:spacing w:before="0" w:after="160" w:line="240" w:lineRule="auto"/>
        <w:rPr>
          <w:rFonts w:cs="Calibri"/>
          <w:sz w:val="20"/>
          <w:szCs w:val="20"/>
          <w:lang w:val="en-GB" w:eastAsia="en-US"/>
        </w:rPr>
      </w:pPr>
      <w:r w:rsidRPr="001C6CCA">
        <w:rPr>
          <w:rFonts w:cs="Calibri"/>
          <w:sz w:val="20"/>
          <w:szCs w:val="20"/>
          <w:lang w:val="en-GB" w:eastAsia="en-US"/>
        </w:rPr>
        <w:t>Službeni list Crne Gore</w:t>
      </w:r>
      <w:r w:rsidR="002E5821">
        <w:rPr>
          <w:rFonts w:cs="Calibri"/>
          <w:sz w:val="20"/>
          <w:szCs w:val="20"/>
          <w:lang w:val="en-GB" w:eastAsia="en-US"/>
        </w:rPr>
        <w:t>,</w:t>
      </w:r>
      <w:r w:rsidRPr="001C6CCA">
        <w:rPr>
          <w:rFonts w:cs="Calibri"/>
          <w:sz w:val="20"/>
          <w:szCs w:val="20"/>
          <w:lang w:val="en-GB" w:eastAsia="en-US"/>
        </w:rPr>
        <w:t xml:space="preserve"> 2019</w:t>
      </w:r>
      <w:r w:rsidR="00DF0EED">
        <w:rPr>
          <w:rFonts w:cs="Calibri"/>
          <w:sz w:val="20"/>
          <w:szCs w:val="20"/>
          <w:lang w:val="en-GB" w:eastAsia="en-US"/>
        </w:rPr>
        <w:t>.</w:t>
      </w:r>
      <w:r w:rsidRPr="001C6CCA">
        <w:rPr>
          <w:rFonts w:cs="Calibri"/>
          <w:sz w:val="20"/>
          <w:szCs w:val="20"/>
          <w:lang w:val="en-GB" w:eastAsia="en-US"/>
        </w:rPr>
        <w:t xml:space="preserve"> Pravilnik o načinu i rokovima utvrđivanja statusa površinskih voda. Službeni list Crne Gore broj 25/2019 od 30.04.2019.</w:t>
      </w:r>
    </w:p>
    <w:p w14:paraId="01CEA59F"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Smith, V.H. 2003. Eutrophication of freshwater and coastal marine ecosystems. A global problem. Environ. Sci. Pollut. Res. 10: 1-14.</w:t>
      </w:r>
    </w:p>
    <w:p w14:paraId="6C083943" w14:textId="49967ECE" w:rsidR="00A12C8F" w:rsidRPr="001C6CCA" w:rsidRDefault="00A12C8F" w:rsidP="00521797">
      <w:pPr>
        <w:spacing w:before="0" w:after="160" w:line="240" w:lineRule="auto"/>
        <w:rPr>
          <w:rFonts w:cs="Calibri"/>
          <w:sz w:val="20"/>
          <w:szCs w:val="20"/>
          <w:lang w:val="en-GB" w:eastAsia="en-US"/>
        </w:rPr>
      </w:pPr>
      <w:r w:rsidRPr="001C6CCA">
        <w:rPr>
          <w:rFonts w:cs="Calibri"/>
          <w:sz w:val="20"/>
          <w:szCs w:val="20"/>
          <w:lang w:val="en-GB" w:eastAsia="en-US"/>
        </w:rPr>
        <w:t>Spagnolo A., Auriemma R., Bacci T., Balković I., Bertasi F., Bolognini L., Cabrini M., Cilenti L., Cuicchi C., Cvitković I., Despalatović M., Grati F., Grossi L., Jaklin A., Lipej L., Marković O., Mavrič B., Mikac B., Nasi F., Nerlović V., Pelosi S., Penna M., Petović S., Punzo E., Santucci A., Scirocco T., Strafella P., Trabucco B., Travizi A. &amp; Žuljević A. 2017. Non-indigenous macrozoobenthic species on hard substrata of Selected harbours in the Adriatic Sea. Marine pollution bulletin 147:150-158.</w:t>
      </w:r>
    </w:p>
    <w:p w14:paraId="6FB46FC5" w14:textId="202950A9"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STECF. 2018a. Stock Assessment Form. Demersal species. Mullus barbatus. GSA 17-18. FAO GFCM.</w:t>
      </w:r>
    </w:p>
    <w:p w14:paraId="7830BC72"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STECF. 2018b. Stock Assessment Form. Demersal species. Parapenaeus longirostris. GSA 17-19. FAO GFCM.</w:t>
      </w:r>
    </w:p>
    <w:p w14:paraId="00BA5721"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Stjepčević J., Mandić S. &amp; Dragović R. 1977. Mogućnost industrijskog uzgoja jestivih školjkaša u Bokokotorskom zalivu i uvođenja novih vrsta u proces uzogja (In Serbian). Ichthyologia 9 (1): 107-120.</w:t>
      </w:r>
    </w:p>
    <w:p w14:paraId="07AD4E41" w14:textId="1BB76C64"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Stjepčević, J. 1967. Makro-Mollusca Bokokotorskog zaliva (In Serbian). Studia Marina 2: 3-67.</w:t>
      </w:r>
    </w:p>
    <w:p w14:paraId="66C6073A" w14:textId="43AF2B99" w:rsidR="006A30DB" w:rsidRPr="001C6CCA" w:rsidRDefault="006A30DB" w:rsidP="00D8318D">
      <w:pPr>
        <w:spacing w:before="0" w:after="160" w:line="240" w:lineRule="auto"/>
        <w:rPr>
          <w:rFonts w:eastAsia="Arial" w:cs="Calibri"/>
          <w:sz w:val="20"/>
          <w:szCs w:val="20"/>
          <w:lang w:val="en-GB" w:eastAsia="hr-HR"/>
        </w:rPr>
      </w:pPr>
      <w:r w:rsidRPr="001C6CCA">
        <w:rPr>
          <w:rFonts w:eastAsia="Arial" w:cs="Calibri"/>
          <w:sz w:val="20"/>
          <w:szCs w:val="20"/>
          <w:lang w:val="en-GB" w:eastAsia="hr-HR"/>
        </w:rPr>
        <w:t xml:space="preserve">Šolić, Ml., Grbec, B., Matić, F., Šantić, D., Šestanović, S., Ninčević Gladan, Ž., Bojanić, N., Ordulj, M., Jozić, S. and  Vrdoljak, A. 2018.  Spatio-temporal reproducibility of the microbial food web structure associated with the change in temperature: Long-term observations in the Adriatic Sea. Progress in oceanography, 161: 87-101 doi:10.1016/j.pocean. </w:t>
      </w:r>
    </w:p>
    <w:p w14:paraId="1E9FCF1C"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Špan A. &amp;  Antolić B. 1983. Prilog poznavanju fitobentosa Crnogorskog primorja, južni Jadran (A contribution to the knowledge of phytobenthos of an open region (Crnogorsko primorje) in the eastern South Adriatic). Studia Marina 13/14: 87-110.</w:t>
      </w:r>
    </w:p>
    <w:p w14:paraId="7290FFA9" w14:textId="77777777" w:rsidR="005444CB" w:rsidRDefault="005444CB" w:rsidP="00521797">
      <w:pPr>
        <w:spacing w:before="0" w:after="160" w:line="240" w:lineRule="auto"/>
        <w:rPr>
          <w:rFonts w:eastAsia="Calibri"/>
          <w:sz w:val="20"/>
          <w:szCs w:val="20"/>
          <w:lang w:val="en-GB" w:eastAsia="en-US"/>
        </w:rPr>
      </w:pPr>
    </w:p>
    <w:p w14:paraId="6A07171E" w14:textId="2DE60837" w:rsidR="005444CB" w:rsidRPr="005444CB" w:rsidRDefault="005444CB" w:rsidP="005444CB">
      <w:pPr>
        <w:autoSpaceDE w:val="0"/>
        <w:autoSpaceDN w:val="0"/>
        <w:adjustRightInd w:val="0"/>
        <w:spacing w:before="0" w:after="120" w:line="240" w:lineRule="auto"/>
        <w:jc w:val="left"/>
        <w:rPr>
          <w:rFonts w:cs="Calibri"/>
          <w:color w:val="3D3C3B"/>
          <w:sz w:val="20"/>
          <w:szCs w:val="20"/>
          <w:lang w:val="hr-HR" w:eastAsia="en-US"/>
        </w:rPr>
      </w:pPr>
      <w:r w:rsidRPr="00D82093">
        <w:rPr>
          <w:rFonts w:cs="Calibri"/>
          <w:color w:val="3D3C3B"/>
          <w:sz w:val="20"/>
          <w:szCs w:val="20"/>
          <w:lang w:val="hr-HR" w:eastAsia="en-US"/>
        </w:rPr>
        <w:t>Štrbenac, A. (ed.) 2015. Strategy on the conservation of cetaceans in the Adriatic Sea for the period 2016 – 2025. Document produced under the NETCET project, IPA Adriatic Cross-border Cooperation Programme.</w:t>
      </w:r>
    </w:p>
    <w:p w14:paraId="4F73F15E" w14:textId="3FACFA32" w:rsidR="000D113B" w:rsidRPr="001C6CCA" w:rsidRDefault="000D113B" w:rsidP="005444CB">
      <w:pPr>
        <w:spacing w:before="0" w:after="120" w:line="240" w:lineRule="auto"/>
        <w:rPr>
          <w:rFonts w:eastAsia="Calibri"/>
          <w:sz w:val="20"/>
          <w:szCs w:val="20"/>
          <w:lang w:val="en-GB" w:eastAsia="en-US"/>
        </w:rPr>
      </w:pPr>
      <w:r w:rsidRPr="001C6CCA">
        <w:rPr>
          <w:rFonts w:eastAsia="Calibri"/>
          <w:sz w:val="20"/>
          <w:szCs w:val="20"/>
          <w:lang w:val="en-GB" w:eastAsia="en-US"/>
        </w:rPr>
        <w:t>Tew Kai, E., Rossi, V., Sudre, J., Weimerskirch, H., Lopez, C., Hernandez-Garcia, E., Marsac, F., Gar√ßon, V., 2009. Top marine predators track Lagrangian coherent structures. Proceedings of the National Academy of Sciences 106:8245-8250.</w:t>
      </w:r>
    </w:p>
    <w:p w14:paraId="76F3F3E6" w14:textId="5E47C4D5" w:rsidR="00AA4074" w:rsidRPr="001C6CCA" w:rsidRDefault="00AA4074" w:rsidP="00521797">
      <w:pPr>
        <w:spacing w:before="0" w:after="160" w:line="240" w:lineRule="auto"/>
        <w:jc w:val="left"/>
        <w:rPr>
          <w:rFonts w:eastAsia="Calibri" w:cs="Calibri"/>
          <w:color w:val="000000"/>
          <w:sz w:val="20"/>
          <w:szCs w:val="20"/>
          <w:lang w:val="en-GB" w:eastAsia="en-US"/>
        </w:rPr>
      </w:pPr>
      <w:r w:rsidRPr="001C6CCA">
        <w:rPr>
          <w:rFonts w:eastAsia="Calibri" w:cs="Calibri"/>
          <w:color w:val="000000"/>
          <w:sz w:val="20"/>
          <w:szCs w:val="20"/>
          <w:lang w:val="en-GB" w:eastAsia="en-US"/>
        </w:rPr>
        <w:t xml:space="preserve">Tinti F., Di Nunno C., Guarniero I., Talenti M., Tommasini S., Fabbri E. and Piccinetti C. 2002. Mitochondrial DNA sequence variation suggests the lack of genetic heterogeneity in the Adriatic and Ionian stocks of </w:t>
      </w:r>
      <w:r w:rsidRPr="001C6CCA">
        <w:rPr>
          <w:rFonts w:eastAsia="Calibri" w:cs="Calibri"/>
          <w:i/>
          <w:iCs/>
          <w:color w:val="000000"/>
          <w:sz w:val="20"/>
          <w:szCs w:val="20"/>
          <w:lang w:val="en-GB" w:eastAsia="en-US"/>
        </w:rPr>
        <w:t>Sardina pilchardus. Mar. Biotech</w:t>
      </w:r>
      <w:r w:rsidRPr="001C6CCA">
        <w:rPr>
          <w:rFonts w:eastAsia="Calibri" w:cs="Calibri"/>
          <w:color w:val="000000"/>
          <w:sz w:val="20"/>
          <w:szCs w:val="20"/>
          <w:lang w:val="en-GB" w:eastAsia="en-US"/>
        </w:rPr>
        <w:t>. 4: 163-172.</w:t>
      </w:r>
    </w:p>
    <w:p w14:paraId="6D945761"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Trainito E. 2019. Investigation of hard-bottom habitats by non-destructive, semi-quantitative methods in order to calculate the GES index, with specieal attention to Anthozoa and their taxonomy, in Boka Kotorska Bay, Montenegro, PAP RAC report, pp75.</w:t>
      </w:r>
    </w:p>
    <w:p w14:paraId="6EE91AFF"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UNEP(DEPI)/MED WG.427/Inf.3, 2016-Background to the Assessment Criteria for Hazardous Substances and Biological Markers in the Mediterranean Sea Basin and its Regional Scales.</w:t>
      </w:r>
    </w:p>
    <w:p w14:paraId="7FBDA517"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UNEP-MAP-RAC/SPA, "Adriatic Sea: Status and conservation of fisheries," RAC/SPA, 2015 .</w:t>
      </w:r>
    </w:p>
    <w:p w14:paraId="29735852"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UNEP-RAC/SPA, 2011. Draft Guidelines For The Standardization Of Mapping And Monitoring Methods Of Marine Magnoliophyta In The Mediterranean. Tenth Meeting Of Focal Points For Spas Marseilles, France, 17-20 May 2011, Rac/Spa Publ., Unep(Depi)/Med Wg 359/9. 1-63.</w:t>
      </w:r>
    </w:p>
    <w:p w14:paraId="49100A18"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UNEP/FAO/WHO (1996) Assessment of the state of eutrofication in the Mediterranean sea, Map Technical Reports Series No. 106, UNEP,Athens, 1-65 pp</w:t>
      </w:r>
    </w:p>
    <w:p w14:paraId="07601F6D"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UNEP/MAP/PAP (2016). Plan integralnog upravljanja obalnim područjem Šibensko-kninske županije. Program prioritetnih akcija, Split. https://www.pap thecoastcentre.org/pdfs/Obalni%20plan%20SKZ.pdf</w:t>
      </w:r>
    </w:p>
    <w:p w14:paraId="27053E4D" w14:textId="7E062CA0"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US EPA (2000) Ambient aquatic life water quality criteria for dissolved oxygen (saltwater): CapeCod to Cape Hatteras. EPA/822/R-00/12.</w:t>
      </w:r>
    </w:p>
    <w:p w14:paraId="4DEAE325" w14:textId="7D382703" w:rsidR="00D509C8" w:rsidRPr="001C6CCA" w:rsidRDefault="00D509C8" w:rsidP="00521797">
      <w:pPr>
        <w:spacing w:after="160" w:line="240" w:lineRule="auto"/>
        <w:rPr>
          <w:rFonts w:cs="Calibri"/>
          <w:sz w:val="20"/>
          <w:szCs w:val="20"/>
          <w:lang w:val="en-GB" w:eastAsia="en-US"/>
        </w:rPr>
      </w:pPr>
      <w:r w:rsidRPr="001C6CCA">
        <w:rPr>
          <w:rFonts w:cs="Calibri"/>
          <w:sz w:val="20"/>
          <w:szCs w:val="20"/>
          <w:lang w:val="en-GB" w:eastAsia="en-US"/>
        </w:rPr>
        <w:t>Vaquer-Sunyer, R., Duarte, C.M. 2008. Thresholds of hypoxia for marine biodiversity. Proc. Natl. Acad. Sci. USA 105:15452-15457.</w:t>
      </w:r>
    </w:p>
    <w:p w14:paraId="50849CF3" w14:textId="0A6B5014" w:rsidR="00F65CFF" w:rsidRPr="001C6CCA" w:rsidRDefault="00D509C8" w:rsidP="00521797">
      <w:pPr>
        <w:spacing w:before="0" w:after="160" w:line="240" w:lineRule="auto"/>
        <w:rPr>
          <w:rFonts w:cs="Calibri"/>
          <w:sz w:val="20"/>
          <w:szCs w:val="20"/>
          <w:lang w:val="en-GB" w:eastAsia="en-US"/>
        </w:rPr>
      </w:pPr>
      <w:r w:rsidRPr="001C6CCA">
        <w:rPr>
          <w:rFonts w:cs="Calibri"/>
          <w:sz w:val="20"/>
          <w:szCs w:val="20"/>
          <w:lang w:val="en-GB" w:eastAsia="en-US"/>
        </w:rPr>
        <w:t>V</w:t>
      </w:r>
      <w:r w:rsidR="00F65CFF" w:rsidRPr="001C6CCA">
        <w:rPr>
          <w:rFonts w:cs="Calibri"/>
          <w:sz w:val="20"/>
          <w:szCs w:val="20"/>
          <w:lang w:val="en-GB" w:eastAsia="en-US"/>
        </w:rPr>
        <w:t>an Loon,</w:t>
      </w:r>
      <w:r w:rsidRPr="001C6CCA">
        <w:rPr>
          <w:rFonts w:cs="Calibri"/>
          <w:sz w:val="20"/>
          <w:szCs w:val="20"/>
          <w:lang w:val="en-GB" w:eastAsia="en-US"/>
        </w:rPr>
        <w:t>W.,</w:t>
      </w:r>
      <w:r w:rsidR="00F65CFF" w:rsidRPr="001C6CCA">
        <w:rPr>
          <w:rFonts w:cs="Calibri"/>
          <w:sz w:val="20"/>
          <w:szCs w:val="20"/>
          <w:lang w:val="en-GB" w:eastAsia="en-US"/>
        </w:rPr>
        <w:t xml:space="preserve"> G. Hanke, D. Fleet, S. Werner, J. Barry, J. Strand, J. Eriksson, F. Galgani, D. Gräwe, M.Schulz, T. Vlachogianni, M. Press, E. Blidberg and D. Walvoort. JRC Technical Report, MSFD Technical Group on Marine Litter.2020. A European Threshold Value and Assessment Method for Macro Litter on Coastlines, 2020. JRC Technical Report, MSFD Technical Group on Marine Litter.</w:t>
      </w:r>
    </w:p>
    <w:p w14:paraId="51B73134" w14:textId="2669D2CC" w:rsidR="005B2E98" w:rsidRPr="001C6CCA" w:rsidRDefault="005B2E98" w:rsidP="00521797">
      <w:pPr>
        <w:spacing w:before="0" w:after="160" w:line="240" w:lineRule="auto"/>
        <w:jc w:val="left"/>
        <w:rPr>
          <w:rFonts w:eastAsia="Calibri"/>
          <w:sz w:val="20"/>
          <w:szCs w:val="20"/>
          <w:lang w:val="en-GB" w:eastAsia="en-US"/>
        </w:rPr>
      </w:pPr>
      <w:r w:rsidRPr="001C6CCA">
        <w:rPr>
          <w:rFonts w:eastAsia="Calibri"/>
          <w:sz w:val="20"/>
          <w:szCs w:val="20"/>
          <w:lang w:val="en-GB" w:eastAsia="en-US"/>
        </w:rPr>
        <w:t>Vidjak, O., Bojanić, N., Matijević, S., Kušpilić, G., Ninčević Gladan, Ž., Skejić, S., Grbec, B., Brautović, I. 2012. Environmental drivers of zooplankton variability in the coastal eastern Adriatic (Mediterranean Sea). Acta Adriatica 53 (2): 243-261</w:t>
      </w:r>
    </w:p>
    <w:p w14:paraId="44C8A278" w14:textId="51EBBDA5" w:rsidR="00D509C8" w:rsidRPr="001C6CCA" w:rsidRDefault="00D509C8" w:rsidP="00521797">
      <w:pPr>
        <w:shd w:val="clear" w:color="auto" w:fill="F9FAFF"/>
        <w:spacing w:before="0" w:after="0" w:line="240" w:lineRule="auto"/>
        <w:ind w:right="160"/>
        <w:jc w:val="left"/>
        <w:rPr>
          <w:rFonts w:cs="Calibri"/>
          <w:sz w:val="20"/>
          <w:szCs w:val="20"/>
          <w:lang w:val="en-GB" w:eastAsia="hr-HR"/>
        </w:rPr>
      </w:pPr>
      <w:r w:rsidRPr="001C6CCA">
        <w:rPr>
          <w:rFonts w:cs="Calibri"/>
          <w:sz w:val="20"/>
          <w:szCs w:val="20"/>
          <w:lang w:val="en-GB" w:eastAsia="hr-HR"/>
        </w:rPr>
        <w:t xml:space="preserve">Violić, I., Kogovšek, T., Pestorić, B., Mačić, V., Milić Beran, I. And Lučić, D. 2019. </w:t>
      </w:r>
      <w:hyperlink r:id="rId108" w:history="1">
        <w:r w:rsidRPr="001C6CCA">
          <w:rPr>
            <w:rFonts w:cs="Calibri"/>
            <w:sz w:val="20"/>
            <w:szCs w:val="20"/>
            <w:shd w:val="clear" w:color="auto" w:fill="F9FAFF"/>
            <w:lang w:val="en-GB" w:eastAsia="hr-HR"/>
          </w:rPr>
          <w:t>Recent changes (2013-2017) in scyphomedusan fauna in the Boka Kotorska Bay, Montenegro (Southeast Adriatic)</w:t>
        </w:r>
      </w:hyperlink>
      <w:r w:rsidRPr="001C6CCA">
        <w:rPr>
          <w:rFonts w:cs="Calibri"/>
          <w:sz w:val="20"/>
          <w:szCs w:val="20"/>
          <w:shd w:val="clear" w:color="auto" w:fill="F9FAFF"/>
          <w:lang w:val="en-GB" w:eastAsia="hr-HR"/>
        </w:rPr>
        <w:t>.</w:t>
      </w:r>
      <w:r w:rsidRPr="001C6CCA">
        <w:rPr>
          <w:rFonts w:cs="Calibri"/>
          <w:i/>
          <w:iCs/>
          <w:sz w:val="20"/>
          <w:szCs w:val="20"/>
          <w:shd w:val="clear" w:color="auto" w:fill="F9FAFF"/>
          <w:lang w:val="en-GB" w:eastAsia="hr-HR"/>
        </w:rPr>
        <w:t xml:space="preserve"> </w:t>
      </w:r>
      <w:r w:rsidRPr="001C6CCA">
        <w:rPr>
          <w:rFonts w:cs="Calibri"/>
          <w:iCs/>
          <w:sz w:val="20"/>
          <w:szCs w:val="20"/>
          <w:shd w:val="clear" w:color="auto" w:fill="F9FAFF"/>
          <w:lang w:val="en-GB" w:eastAsia="hr-HR"/>
        </w:rPr>
        <w:t>Acta Adriatica,</w:t>
      </w:r>
      <w:r w:rsidRPr="001C6CCA">
        <w:rPr>
          <w:rFonts w:cs="Calibri"/>
          <w:sz w:val="20"/>
          <w:szCs w:val="20"/>
          <w:shd w:val="clear" w:color="auto" w:fill="F9FAFF"/>
          <w:lang w:val="en-GB" w:eastAsia="hr-HR"/>
        </w:rPr>
        <w:t> </w:t>
      </w:r>
      <w:r w:rsidRPr="001C6CCA">
        <w:rPr>
          <w:rFonts w:cs="Calibri"/>
          <w:bCs/>
          <w:sz w:val="20"/>
          <w:szCs w:val="20"/>
          <w:shd w:val="clear" w:color="auto" w:fill="F9FAFF"/>
          <w:lang w:val="en-GB" w:eastAsia="hr-HR"/>
        </w:rPr>
        <w:t>60</w:t>
      </w:r>
      <w:r w:rsidRPr="001C6CCA">
        <w:rPr>
          <w:rFonts w:cs="Calibri"/>
          <w:sz w:val="20"/>
          <w:szCs w:val="20"/>
          <w:shd w:val="clear" w:color="auto" w:fill="F9FAFF"/>
          <w:lang w:val="en-GB" w:eastAsia="hr-HR"/>
        </w:rPr>
        <w:t xml:space="preserve"> , 1; 25-40 doi:10.32582/aa.60.1.2 </w:t>
      </w:r>
    </w:p>
    <w:p w14:paraId="237DA684" w14:textId="5BD74D7D" w:rsidR="00D509C8" w:rsidRPr="001C6CCA" w:rsidRDefault="00F65CFF" w:rsidP="00521797">
      <w:pPr>
        <w:spacing w:after="160" w:line="240" w:lineRule="auto"/>
        <w:rPr>
          <w:rFonts w:cs="Calibri"/>
          <w:sz w:val="20"/>
          <w:szCs w:val="20"/>
          <w:lang w:val="en-GB" w:eastAsia="en-US"/>
        </w:rPr>
      </w:pPr>
      <w:r w:rsidRPr="001C6CCA">
        <w:rPr>
          <w:rFonts w:cs="Calibri"/>
          <w:sz w:val="20"/>
          <w:szCs w:val="20"/>
          <w:lang w:val="en-GB" w:eastAsia="en-US"/>
        </w:rPr>
        <w:t>Vlachogianni, T., Fossi M.C., Anastasopoulou, A., Alomar, C., Aparicio, A., Baini, M., Caliani, I., Campani, T., Casini, S., Consoli, P., Deudero, S., Galgani, F., Kaberi H., Panti, C., E. Romeo, T., Tsangaris and C., Zeri, C. 2018. State-of-the-art methods to monitor marine litter and its impacts on biodiversity. Interreg Med Plastic Busters MPAs project. pp. 62.</w:t>
      </w:r>
    </w:p>
    <w:p w14:paraId="4D8AEFFC"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Vollenweider, R. A. 1968. Recherches sur l’amenagement de l’eau, Les bases scientifiques de l’eutrophication des lacs and des aux courantes sous l’aspect particulier de phosphorse et de l’azote comme facteurs d’eutrophication (Water management research. Scientific fundamentals of the eutrophication of lakes and flowing waters with particular reference to nitrogen and phosphorus as factors in eutrophisation. In French). OECD, Paris.</w:t>
      </w:r>
    </w:p>
    <w:p w14:paraId="6625830B"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Vollenweider, R.A. 1981. Eutrophication - a global problem. WHO Water Qual.Bull. 6, 59-62.</w:t>
      </w:r>
    </w:p>
    <w:p w14:paraId="4821176F"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Vollenweider, R.A., Giovanardi, F., Montanari, G. 1998. Characterization of the trophic conditions of marine  special  reference to the NW Adriatic Sea : proposal for trophic scale, turbidity and generalized water quality index. Environmetrics 9, 329-357.</w:t>
      </w:r>
    </w:p>
    <w:p w14:paraId="388CE061"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Walmsley, S.F., Weiss, A., Claussen, U., Connor, D. 2016. Guidance for Assessments Under Article 8 of the Marine Strategy Framework Directive, Integration of assessment results. A report produced for the European Commission, DG Environment, November 2016.</w:t>
      </w:r>
    </w:p>
    <w:p w14:paraId="0F88C807"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Werner S., Fischer E., Fleet D., Galgani F., Hanke G., Kinsey S. and Mattidi M. 2020. Threshold Values for Marine Litter. EUR 30018 EN, Publications Office of the European Union, Luxembourg, 2020, ISBN 978-92-76-14179-2, doi:10.2760/192427,JRC114131. pp 23.</w:t>
      </w:r>
    </w:p>
    <w:p w14:paraId="0D6E5F68"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Wright, S.L., Thompson, R.C. and Galloway, T.S. 2013. The physical impacts of microplastics on marine organisms: A review. Environmental Pollution 178: 483–492. https://doi.org/10.1016/j.envpol.2013.02.031.</w:t>
      </w:r>
    </w:p>
    <w:p w14:paraId="5E4EC85C" w14:textId="77777777" w:rsidR="00F65CFF" w:rsidRPr="001C6CCA" w:rsidRDefault="00F65CFF" w:rsidP="00521797">
      <w:pPr>
        <w:spacing w:before="0" w:after="160" w:line="240" w:lineRule="auto"/>
        <w:rPr>
          <w:rFonts w:cs="Calibri"/>
          <w:sz w:val="20"/>
          <w:szCs w:val="20"/>
          <w:lang w:val="en-GB" w:eastAsia="en-US"/>
        </w:rPr>
      </w:pPr>
      <w:r w:rsidRPr="001C6CCA">
        <w:rPr>
          <w:rFonts w:cs="Calibri"/>
          <w:sz w:val="20"/>
          <w:szCs w:val="20"/>
          <w:lang w:val="en-GB" w:eastAsia="en-US"/>
        </w:rPr>
        <w:t>Zenetos A, Katsanevakis S, Beqiraj S, Mačić V, Poursanidis D. &amp; Kashta L. 2011. Rapid assessment survey of marine alien species in the Albanian and Montenegrin coast. Technical repocape RAC/SPA, N° 37/38/39/2010: 54 pp.</w:t>
      </w:r>
    </w:p>
    <w:p w14:paraId="57702461" w14:textId="77777777" w:rsidR="00F65CFF" w:rsidRPr="001C6CCA" w:rsidRDefault="00F65CFF" w:rsidP="00521797">
      <w:pPr>
        <w:spacing w:after="0" w:line="240" w:lineRule="auto"/>
        <w:rPr>
          <w:rFonts w:cs="Calibri"/>
          <w:sz w:val="20"/>
          <w:szCs w:val="20"/>
          <w:lang w:val="en-GB" w:eastAsia="en-US"/>
        </w:rPr>
      </w:pPr>
    </w:p>
    <w:sectPr w:rsidR="00F65CFF" w:rsidRPr="001C6CCA" w:rsidSect="00415CBA">
      <w:pgSz w:w="11911" w:h="16832" w:code="9"/>
      <w:pgMar w:top="1440" w:right="1440" w:bottom="1440" w:left="1440" w:header="426" w:footer="576" w:gutter="0"/>
      <w:pgBorders>
        <w:top w:val="none" w:sz="0" w:space="0" w:color="000000"/>
        <w:left w:val="none" w:sz="0" w:space="0" w:color="000000"/>
        <w:bottom w:val="none" w:sz="0" w:space="0" w:color="000000"/>
        <w:right w:val="none" w:sz="0" w:space="0" w:color="000000"/>
      </w:pgBorders>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18D33" w16cex:dateUtc="2021-04-02T10:31:00Z"/>
  <w16cex:commentExtensible w16cex:durableId="2411AE5A" w16cex:dateUtc="2021-04-02T12:53:00Z"/>
  <w16cex:commentExtensible w16cex:durableId="2411BFCB" w16cex:dateUtc="2021-04-02T14:07:00Z"/>
  <w16cex:commentExtensible w16cex:durableId="2411BF70" w16cex:dateUtc="2021-04-02T14:06:00Z"/>
  <w16cex:commentExtensible w16cex:durableId="2415621F" w16cex:dateUtc="2021-04-05T08:17:00Z"/>
  <w16cex:commentExtensible w16cex:durableId="241562A7" w16cex:dateUtc="2021-04-05T08:19:00Z"/>
  <w16cex:commentExtensible w16cex:durableId="2415630B" w16cex:dateUtc="2021-04-05T08:20:00Z"/>
  <w16cex:commentExtensible w16cex:durableId="2415643A" w16cex:dateUtc="2021-04-05T08:26:00Z"/>
  <w16cex:commentExtensible w16cex:durableId="241565D2" w16cex:dateUtc="2021-04-05T08:32:00Z"/>
  <w16cex:commentExtensible w16cex:durableId="24156602" w16cex:dateUtc="2021-04-05T08:33:00Z"/>
  <w16cex:commentExtensible w16cex:durableId="2415817D" w16cex:dateUtc="2021-04-05T10:30:00Z"/>
  <w16cex:commentExtensible w16cex:durableId="241580F7" w16cex:dateUtc="2021-04-05T10:28:00Z"/>
  <w16cex:commentExtensible w16cex:durableId="24158213" w16cex:dateUtc="2021-04-05T10:33:00Z"/>
  <w16cex:commentExtensible w16cex:durableId="2415828A" w16cex:dateUtc="2021-04-05T10:35:00Z"/>
  <w16cex:commentExtensible w16cex:durableId="241582BB" w16cex:dateUtc="2021-04-05T10:36:00Z"/>
  <w16cex:commentExtensible w16cex:durableId="241583EE" w16cex:dateUtc="2021-04-05T10:41:00Z"/>
  <w16cex:commentExtensible w16cex:durableId="2415843C" w16cex:dateUtc="2021-04-05T10:42:00Z"/>
  <w16cex:commentExtensible w16cex:durableId="2415AD0B" w16cex:dateUtc="2021-04-05T13:36:00Z"/>
  <w16cex:commentExtensible w16cex:durableId="2415AD42" w16cex:dateUtc="2021-04-05T13:37:00Z"/>
  <w16cex:commentExtensible w16cex:durableId="2415B2D5" w16cex:dateUtc="2021-04-05T14:01:00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85A0E" w14:textId="77777777" w:rsidR="003801F2" w:rsidRDefault="003801F2" w:rsidP="00B61B7E">
      <w:pPr>
        <w:spacing w:before="0" w:after="0"/>
      </w:pPr>
      <w:r>
        <w:separator/>
      </w:r>
    </w:p>
  </w:endnote>
  <w:endnote w:type="continuationSeparator" w:id="0">
    <w:p w14:paraId="34B7FD54" w14:textId="77777777" w:rsidR="003801F2" w:rsidRDefault="003801F2" w:rsidP="00B61B7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dvOT596495f2">
    <w:altName w:val="Cambria"/>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Regular">
    <w:altName w:val="PMingLiU"/>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Optima">
    <w:charset w:val="00"/>
    <w:family w:val="auto"/>
    <w:pitch w:val="variable"/>
    <w:sig w:usb0="80000067"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tag Sans Semibold">
    <w:altName w:val="Stag Sans Semibold"/>
    <w:charset w:val="00"/>
    <w:family w:val="swiss"/>
    <w:pitch w:val="default"/>
    <w:sig w:usb0="00000003" w:usb1="00000000" w:usb2="00000000" w:usb3="00000000" w:csb0="00000001" w:csb1="00000000"/>
  </w:font>
  <w:font w:name="Stag Sans Medium">
    <w:altName w:val="Calibri"/>
    <w:charset w:val="00"/>
    <w:family w:val="swiss"/>
    <w:pitch w:val="default"/>
    <w:sig w:usb0="00000003" w:usb1="00000000" w:usb2="00000000" w:usb3="00000000" w:csb0="00000001" w:csb1="00000000"/>
  </w:font>
  <w:font w:name="ArialMT">
    <w:altName w:val="Arial"/>
    <w:panose1 w:val="00000000000000000000"/>
    <w:charset w:val="00"/>
    <w:family w:val="roman"/>
    <w:notTrueType/>
    <w:pitch w:val="default"/>
  </w:font>
  <w:font w:name="Stag Sans Book">
    <w:altName w:val="Calibri"/>
    <w:panose1 w:val="00000000000000000000"/>
    <w:charset w:val="00"/>
    <w:family w:val="swiss"/>
    <w:notTrueType/>
    <w:pitch w:val="default"/>
    <w:sig w:usb0="00000003" w:usb1="00000000" w:usb2="00000000" w:usb3="00000000" w:csb0="00000001" w:csb1="00000000"/>
  </w:font>
  <w:font w:name="Calibri-BoldItalic">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tag Sans Light">
    <w:altName w:val="Stag Sans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5DBD2" w14:textId="77777777" w:rsidR="00515997" w:rsidRPr="00104344" w:rsidRDefault="00515997" w:rsidP="00104344">
    <w:pPr>
      <w:jc w:val="right"/>
      <w:rPr>
        <w:rFonts w:asciiTheme="minorHAnsi" w:hAnsiTheme="minorHAnsi"/>
        <w:sz w:val="18"/>
        <w:szCs w:val="18"/>
        <w:lang w:val="fr-BE"/>
      </w:rPr>
    </w:pPr>
    <w:r w:rsidRPr="00104344">
      <w:rPr>
        <w:rFonts w:asciiTheme="minorHAnsi" w:hAnsiTheme="minorHAnsi"/>
        <w:sz w:val="18"/>
        <w:szCs w:val="18"/>
        <w:lang w:val="fr-BE"/>
      </w:rPr>
      <w:t xml:space="preserve">Inception Report (draft 1) | </w:t>
    </w:r>
    <w:r w:rsidRPr="00104344">
      <w:rPr>
        <w:rFonts w:asciiTheme="minorHAnsi" w:hAnsiTheme="minorHAnsi"/>
        <w:sz w:val="20"/>
        <w:szCs w:val="18"/>
        <w:lang w:val="fr-BE"/>
      </w:rPr>
      <w:fldChar w:fldCharType="begin"/>
    </w:r>
    <w:r w:rsidRPr="00104344">
      <w:rPr>
        <w:rFonts w:asciiTheme="minorHAnsi" w:hAnsiTheme="minorHAnsi"/>
        <w:sz w:val="20"/>
        <w:szCs w:val="18"/>
        <w:lang w:val="fr-BE"/>
      </w:rPr>
      <w:instrText xml:space="preserve"> PAGE   \* MERGEFORMAT </w:instrText>
    </w:r>
    <w:r w:rsidRPr="00104344">
      <w:rPr>
        <w:rFonts w:asciiTheme="minorHAnsi" w:hAnsiTheme="minorHAnsi"/>
        <w:sz w:val="20"/>
        <w:szCs w:val="18"/>
        <w:lang w:val="fr-BE"/>
      </w:rPr>
      <w:fldChar w:fldCharType="separate"/>
    </w:r>
    <w:r>
      <w:rPr>
        <w:rFonts w:asciiTheme="minorHAnsi" w:hAnsiTheme="minorHAnsi"/>
        <w:noProof/>
        <w:sz w:val="20"/>
        <w:szCs w:val="18"/>
        <w:lang w:val="fr-BE"/>
      </w:rPr>
      <w:t>4</w:t>
    </w:r>
    <w:r w:rsidRPr="00104344">
      <w:rPr>
        <w:rFonts w:asciiTheme="minorHAnsi" w:hAnsiTheme="minorHAnsi"/>
        <w:sz w:val="20"/>
        <w:szCs w:val="18"/>
        <w:lang w:val="fr-BE"/>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FCA5A" w14:textId="17DC6D4F" w:rsidR="00515997" w:rsidRDefault="00515997">
    <w:pPr>
      <w:pStyle w:val="Footer"/>
    </w:pPr>
    <w:r>
      <w:rPr>
        <w:noProof/>
        <w:sz w:val="20"/>
        <w:szCs w:val="20"/>
        <w:lang w:eastAsia="en-US"/>
      </w:rPr>
      <w:drawing>
        <wp:anchor distT="0" distB="0" distL="114300" distR="114300" simplePos="0" relativeHeight="251647488" behindDoc="0" locked="0" layoutInCell="1" allowOverlap="1" wp14:anchorId="7E5A28F1" wp14:editId="13B74B14">
          <wp:simplePos x="0" y="0"/>
          <wp:positionH relativeFrom="margin">
            <wp:posOffset>1973580</wp:posOffset>
          </wp:positionH>
          <wp:positionV relativeFrom="paragraph">
            <wp:posOffset>76200</wp:posOffset>
          </wp:positionV>
          <wp:extent cx="1828165" cy="388620"/>
          <wp:effectExtent l="0" t="0" r="63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onz.jpg"/>
                  <pic:cNvPicPr/>
                </pic:nvPicPr>
                <pic:blipFill>
                  <a:blip r:embed="rId1"/>
                  <a:stretch>
                    <a:fillRect/>
                  </a:stretch>
                </pic:blipFill>
                <pic:spPr>
                  <a:xfrm>
                    <a:off x="0" y="0"/>
                    <a:ext cx="1828165" cy="38862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8948231"/>
      <w:docPartObj>
        <w:docPartGallery w:val="Page Numbers (Bottom of Page)"/>
        <w:docPartUnique/>
      </w:docPartObj>
    </w:sdtPr>
    <w:sdtEndPr>
      <w:rPr>
        <w:noProof/>
      </w:rPr>
    </w:sdtEndPr>
    <w:sdtContent>
      <w:p w14:paraId="465E0BB0" w14:textId="4DD7D5ED" w:rsidR="00515997" w:rsidRDefault="00515997">
        <w:pPr>
          <w:pStyle w:val="Footer"/>
          <w:jc w:val="right"/>
        </w:pPr>
        <w:r>
          <w:rPr>
            <w:noProof/>
            <w:sz w:val="20"/>
            <w:szCs w:val="20"/>
            <w:lang w:eastAsia="en-US"/>
          </w:rPr>
          <w:drawing>
            <wp:anchor distT="0" distB="0" distL="114300" distR="114300" simplePos="0" relativeHeight="251669504" behindDoc="0" locked="0" layoutInCell="1" allowOverlap="1" wp14:anchorId="2ED5D075" wp14:editId="5BAADC63">
              <wp:simplePos x="0" y="0"/>
              <wp:positionH relativeFrom="page">
                <wp:posOffset>547458</wp:posOffset>
              </wp:positionH>
              <wp:positionV relativeFrom="paragraph">
                <wp:posOffset>47094</wp:posOffset>
              </wp:positionV>
              <wp:extent cx="1828165" cy="388620"/>
              <wp:effectExtent l="0" t="0" r="63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onz.jpg"/>
                      <pic:cNvPicPr/>
                    </pic:nvPicPr>
                    <pic:blipFill>
                      <a:blip r:embed="rId1"/>
                      <a:stretch>
                        <a:fillRect/>
                      </a:stretch>
                    </pic:blipFill>
                    <pic:spPr>
                      <a:xfrm>
                        <a:off x="0" y="0"/>
                        <a:ext cx="1828165" cy="38862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356FE5">
          <w:rPr>
            <w:noProof/>
          </w:rPr>
          <w:t>12</w:t>
        </w:r>
        <w:r>
          <w:rPr>
            <w:noProof/>
          </w:rPr>
          <w:fldChar w:fldCharType="end"/>
        </w:r>
      </w:p>
    </w:sdtContent>
  </w:sdt>
  <w:p w14:paraId="20F33F73" w14:textId="77777777" w:rsidR="00515997" w:rsidRDefault="0051599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C7953" w14:textId="77777777" w:rsidR="003801F2" w:rsidRDefault="003801F2" w:rsidP="00B61B7E">
      <w:pPr>
        <w:spacing w:before="0" w:after="0"/>
      </w:pPr>
      <w:r>
        <w:separator/>
      </w:r>
    </w:p>
  </w:footnote>
  <w:footnote w:type="continuationSeparator" w:id="0">
    <w:p w14:paraId="55A6EEDB" w14:textId="77777777" w:rsidR="003801F2" w:rsidRDefault="003801F2" w:rsidP="00B61B7E">
      <w:pPr>
        <w:spacing w:before="0" w:after="0"/>
      </w:pPr>
      <w:r>
        <w:continuationSeparator/>
      </w:r>
    </w:p>
  </w:footnote>
  <w:footnote w:id="1">
    <w:p w14:paraId="1D02367B" w14:textId="547A69DF" w:rsidR="00515997" w:rsidRPr="00B34BBE" w:rsidRDefault="00515997" w:rsidP="00B34BBE">
      <w:pPr>
        <w:autoSpaceDE w:val="0"/>
        <w:autoSpaceDN w:val="0"/>
        <w:adjustRightInd w:val="0"/>
        <w:spacing w:line="240" w:lineRule="auto"/>
        <w:rPr>
          <w:rFonts w:eastAsia="Calibri" w:cs="Calibri"/>
          <w:bCs/>
          <w:sz w:val="20"/>
          <w:szCs w:val="20"/>
          <w:lang w:val="hr-HR" w:eastAsia="en-US"/>
        </w:rPr>
      </w:pPr>
      <w:r>
        <w:rPr>
          <w:rStyle w:val="FootnoteReference"/>
        </w:rPr>
        <w:footnoteRef/>
      </w:r>
      <w:r>
        <w:t xml:space="preserve"> </w:t>
      </w:r>
      <w:r w:rsidRPr="00B34BBE">
        <w:rPr>
          <w:rFonts w:eastAsia="Calibri" w:cs="Calibri"/>
          <w:bCs/>
          <w:sz w:val="20"/>
          <w:szCs w:val="20"/>
          <w:lang w:val="hr-HR" w:eastAsia="en-US"/>
        </w:rPr>
        <w:t>Pravilnik o kriterijumima i metodološkim standardima za određivanje dobrog stanja i monitoringu morske sredine ("Službeni list Crne Gore", br. 036/21 od 05.04.2021);  Pravilnik o načinu analize svojstava i karakteristika trenutnog stanja morske sredine, kvalitativnim pokazateljima i načinu određivanja ciljeva i indikatora za ostvarivanje, odnosno održavanje dobrog stanja morske sredine ("Službeni list Crne Gore", br. 036/21 od 05.04.2021)</w:t>
      </w:r>
      <w:r>
        <w:rPr>
          <w:rFonts w:eastAsia="Calibri" w:cs="Calibri"/>
          <w:bCs/>
          <w:sz w:val="20"/>
          <w:szCs w:val="20"/>
          <w:lang w:val="hr-HR" w:eastAsia="en-US"/>
        </w:rPr>
        <w:t xml:space="preserve">; </w:t>
      </w:r>
      <w:r w:rsidRPr="00B34BBE">
        <w:rPr>
          <w:rFonts w:eastAsia="Calibri" w:cs="Calibri"/>
          <w:bCs/>
          <w:sz w:val="20"/>
          <w:szCs w:val="20"/>
          <w:lang w:val="hr-HR" w:eastAsia="en-US"/>
        </w:rPr>
        <w:t>Pravilnik o bližem sadržaju programa mjera za ostvarivanje, odnosno održavanje dobrog stanja morske sredine ("Službeni list Crne Gore", br. 036/21 od 05.04.2021);</w:t>
      </w:r>
    </w:p>
  </w:footnote>
  <w:footnote w:id="2">
    <w:p w14:paraId="61C4FE86" w14:textId="00B028A0" w:rsidR="00515997" w:rsidRPr="004C3A51" w:rsidRDefault="00515997" w:rsidP="00D97080">
      <w:pPr>
        <w:pStyle w:val="FootnoteText"/>
        <w:spacing w:before="0" w:line="240" w:lineRule="auto"/>
        <w:ind w:firstLine="0"/>
        <w:rPr>
          <w:rFonts w:cs="Calibri"/>
          <w:szCs w:val="20"/>
        </w:rPr>
      </w:pPr>
      <w:r w:rsidRPr="00F42C7F">
        <w:rPr>
          <w:rStyle w:val="FootnoteReference"/>
          <w:sz w:val="18"/>
          <w:szCs w:val="18"/>
        </w:rPr>
        <w:footnoteRef/>
      </w:r>
      <w:r w:rsidRPr="00F42C7F">
        <w:rPr>
          <w:sz w:val="18"/>
          <w:szCs w:val="18"/>
        </w:rPr>
        <w:t xml:space="preserve"> </w:t>
      </w:r>
      <w:r w:rsidRPr="006075FE">
        <w:rPr>
          <w:rFonts w:cs="Calibri"/>
          <w:bCs/>
          <w:color w:val="000000"/>
          <w:szCs w:val="20"/>
        </w:rPr>
        <w:t xml:space="preserve">ODLUKA KOMISIJE (EU) 2017/848 od 17. maja 2017. o utvrđivanju kriterijuma i metodoloških standarda o dobrom </w:t>
      </w:r>
      <w:r>
        <w:rPr>
          <w:rFonts w:cs="Calibri"/>
          <w:bCs/>
          <w:color w:val="000000"/>
          <w:szCs w:val="20"/>
        </w:rPr>
        <w:t>s</w:t>
      </w:r>
      <w:r w:rsidRPr="006075FE">
        <w:rPr>
          <w:rFonts w:cs="Calibri"/>
          <w:bCs/>
          <w:color w:val="000000"/>
          <w:szCs w:val="20"/>
        </w:rPr>
        <w:t xml:space="preserve">tanju morskih voda i specifikacija i standardizovanih metoda za </w:t>
      </w:r>
      <w:r>
        <w:rPr>
          <w:rFonts w:cs="Calibri"/>
          <w:bCs/>
          <w:color w:val="000000"/>
          <w:szCs w:val="20"/>
        </w:rPr>
        <w:t xml:space="preserve">monitoring </w:t>
      </w:r>
      <w:r w:rsidRPr="006075FE">
        <w:rPr>
          <w:rFonts w:cs="Calibri"/>
          <w:bCs/>
          <w:color w:val="000000"/>
          <w:szCs w:val="20"/>
        </w:rPr>
        <w:t xml:space="preserve"> i proc</w:t>
      </w:r>
      <w:r>
        <w:rPr>
          <w:rFonts w:cs="Calibri"/>
          <w:bCs/>
          <w:color w:val="000000"/>
          <w:szCs w:val="20"/>
        </w:rPr>
        <w:t>j</w:t>
      </w:r>
      <w:r w:rsidRPr="006075FE">
        <w:rPr>
          <w:rFonts w:cs="Calibri"/>
          <w:bCs/>
          <w:color w:val="000000"/>
          <w:szCs w:val="20"/>
        </w:rPr>
        <w:t>enu i ukidanju Odluke 2010/477</w:t>
      </w:r>
      <w:r>
        <w:rPr>
          <w:rFonts w:cs="Calibri"/>
          <w:bCs/>
          <w:color w:val="000000"/>
          <w:szCs w:val="20"/>
        </w:rPr>
        <w:t>/</w:t>
      </w:r>
      <w:r w:rsidRPr="006075FE">
        <w:rPr>
          <w:rFonts w:cs="Calibri"/>
          <w:bCs/>
          <w:color w:val="000000"/>
          <w:szCs w:val="20"/>
        </w:rPr>
        <w:t>EU</w:t>
      </w:r>
    </w:p>
    <w:p w14:paraId="5D654753" w14:textId="77777777" w:rsidR="00515997" w:rsidRPr="00F42C7F" w:rsidRDefault="00515997" w:rsidP="00D97080">
      <w:pPr>
        <w:pStyle w:val="FootnoteText"/>
        <w:rPr>
          <w:sz w:val="18"/>
          <w:szCs w:val="18"/>
        </w:rPr>
      </w:pPr>
    </w:p>
  </w:footnote>
  <w:footnote w:id="3">
    <w:p w14:paraId="46B0AFED" w14:textId="77777777" w:rsidR="00515997" w:rsidRPr="00375B33" w:rsidRDefault="00515997" w:rsidP="00B0576A">
      <w:pPr>
        <w:pStyle w:val="FootnoteText"/>
        <w:ind w:firstLine="0"/>
        <w:rPr>
          <w:lang w:val="en-GB"/>
        </w:rPr>
      </w:pPr>
      <w:r>
        <w:rPr>
          <w:rStyle w:val="FootnoteReference"/>
        </w:rPr>
        <w:footnoteRef/>
      </w:r>
      <w:r>
        <w:t xml:space="preserve"> Edicija Stanje ribarstva u Mediteranu i Crnom moru iz 2018 (SoMFi 2018), ključna publikacija GFCM-a, daje opširan pregled regionalnih i subregionalnih trendova u ribarstvu Mediterana i Crnog mora. </w:t>
      </w:r>
    </w:p>
  </w:footnote>
  <w:footnote w:id="4">
    <w:p w14:paraId="634C38C4" w14:textId="2CF0DA01" w:rsidR="00515997" w:rsidRPr="00AE2F6D" w:rsidRDefault="00515997" w:rsidP="00741496">
      <w:pPr>
        <w:tabs>
          <w:tab w:val="left" w:pos="7328"/>
        </w:tabs>
        <w:spacing w:after="0" w:line="240" w:lineRule="auto"/>
        <w:ind w:left="142" w:hanging="142"/>
        <w:rPr>
          <w:rFonts w:cs="Calibri"/>
          <w:b/>
          <w:sz w:val="20"/>
          <w:szCs w:val="20"/>
          <w:lang w:val="en-GB"/>
        </w:rPr>
      </w:pPr>
      <w:r w:rsidRPr="00AE2F6D">
        <w:rPr>
          <w:rStyle w:val="FootnoteReference"/>
          <w:sz w:val="20"/>
          <w:szCs w:val="20"/>
        </w:rPr>
        <w:footnoteRef/>
      </w:r>
      <w:r w:rsidRPr="00AE2F6D">
        <w:rPr>
          <w:sz w:val="20"/>
          <w:szCs w:val="20"/>
        </w:rPr>
        <w:t xml:space="preserve"> </w:t>
      </w:r>
      <w:r w:rsidRPr="00AE2F6D">
        <w:rPr>
          <w:sz w:val="20"/>
          <w:szCs w:val="20"/>
          <w:lang w:val="en-GB"/>
        </w:rPr>
        <w:t xml:space="preserve">UNEP(DEPI)/MED WG.427/Inf.3, 2016: </w:t>
      </w:r>
      <w:r>
        <w:rPr>
          <w:sz w:val="20"/>
          <w:szCs w:val="20"/>
          <w:lang w:val="en-GB"/>
        </w:rPr>
        <w:t>Osnove</w:t>
      </w:r>
      <w:r w:rsidRPr="00C9607F">
        <w:rPr>
          <w:sz w:val="20"/>
          <w:szCs w:val="20"/>
          <w:lang w:val="en-GB"/>
        </w:rPr>
        <w:t xml:space="preserve"> kriterijuma za proc</w:t>
      </w:r>
      <w:r>
        <w:rPr>
          <w:sz w:val="20"/>
          <w:szCs w:val="20"/>
          <w:lang w:val="en-GB"/>
        </w:rPr>
        <w:t>j</w:t>
      </w:r>
      <w:r w:rsidRPr="00C9607F">
        <w:rPr>
          <w:sz w:val="20"/>
          <w:szCs w:val="20"/>
          <w:lang w:val="en-GB"/>
        </w:rPr>
        <w:t>enu opasnih supstanci i bioloških markera u basenu Sredozemnog mora i njegovim regionalnim razm</w:t>
      </w:r>
      <w:r>
        <w:rPr>
          <w:sz w:val="20"/>
          <w:szCs w:val="20"/>
          <w:lang w:val="en-GB"/>
        </w:rPr>
        <w:t>j</w:t>
      </w:r>
      <w:r w:rsidRPr="00C9607F">
        <w:rPr>
          <w:sz w:val="20"/>
          <w:szCs w:val="20"/>
          <w:lang w:val="en-GB"/>
        </w:rPr>
        <w:t>erama.</w:t>
      </w:r>
    </w:p>
  </w:footnote>
  <w:footnote w:id="5">
    <w:p w14:paraId="7E2A911D" w14:textId="07076F54" w:rsidR="00515997" w:rsidRPr="00AE2F6D" w:rsidRDefault="00515997" w:rsidP="00741496">
      <w:pPr>
        <w:pStyle w:val="FootnoteText"/>
        <w:spacing w:before="0" w:after="0" w:line="240" w:lineRule="auto"/>
        <w:ind w:left="142" w:hanging="142"/>
        <w:rPr>
          <w:szCs w:val="20"/>
          <w:lang w:val="hr-HR"/>
        </w:rPr>
      </w:pPr>
      <w:r w:rsidRPr="00AE2F6D">
        <w:rPr>
          <w:rStyle w:val="FootnoteReference"/>
          <w:szCs w:val="20"/>
        </w:rPr>
        <w:footnoteRef/>
      </w:r>
      <w:r w:rsidRPr="00AE2F6D">
        <w:rPr>
          <w:szCs w:val="20"/>
        </w:rPr>
        <w:t xml:space="preserve"> </w:t>
      </w:r>
      <w:r w:rsidRPr="00AD2390">
        <w:rPr>
          <w:szCs w:val="20"/>
        </w:rPr>
        <w:t>Komisija OSPAR, 2014. Nivoi i trendovi u morskim zagađivačima i njihovim biološkim efektima - Izv</w:t>
      </w:r>
      <w:r>
        <w:rPr>
          <w:szCs w:val="20"/>
        </w:rPr>
        <w:t>j</w:t>
      </w:r>
      <w:r w:rsidRPr="00AD2390">
        <w:rPr>
          <w:szCs w:val="20"/>
        </w:rPr>
        <w:t>eštaj o proc</w:t>
      </w:r>
      <w:r>
        <w:rPr>
          <w:szCs w:val="20"/>
        </w:rPr>
        <w:t>j</w:t>
      </w:r>
      <w:r w:rsidRPr="00AD2390">
        <w:rPr>
          <w:szCs w:val="20"/>
        </w:rPr>
        <w:t>eni CEMP 2013.</w:t>
      </w:r>
    </w:p>
  </w:footnote>
  <w:footnote w:id="6">
    <w:p w14:paraId="420E048A" w14:textId="5F0F9F4F" w:rsidR="00515997" w:rsidRPr="00AE2F6D" w:rsidRDefault="00515997" w:rsidP="00741496">
      <w:pPr>
        <w:pStyle w:val="FootnoteText"/>
        <w:spacing w:before="0" w:after="0" w:line="240" w:lineRule="auto"/>
        <w:ind w:firstLine="0"/>
        <w:rPr>
          <w:szCs w:val="20"/>
          <w:lang w:val="hr-HR"/>
        </w:rPr>
      </w:pPr>
      <w:r w:rsidRPr="00AE2F6D">
        <w:rPr>
          <w:rStyle w:val="FootnoteReference"/>
          <w:szCs w:val="20"/>
        </w:rPr>
        <w:footnoteRef/>
      </w:r>
      <w:r w:rsidRPr="00AE2F6D">
        <w:rPr>
          <w:szCs w:val="20"/>
        </w:rPr>
        <w:t xml:space="preserve"> </w:t>
      </w:r>
      <w:r w:rsidRPr="00AD2390">
        <w:rPr>
          <w:szCs w:val="20"/>
        </w:rPr>
        <w:t>Komisija OSPAR, 2014. Nivoi i trendovi u morskim zagađivačima i njihovim biološkim efektima - izv</w:t>
      </w:r>
      <w:r>
        <w:rPr>
          <w:szCs w:val="20"/>
        </w:rPr>
        <w:t>j</w:t>
      </w:r>
      <w:r w:rsidRPr="00AD2390">
        <w:rPr>
          <w:szCs w:val="20"/>
        </w:rPr>
        <w:t>eštaj o proc</w:t>
      </w:r>
      <w:r>
        <w:rPr>
          <w:szCs w:val="20"/>
        </w:rPr>
        <w:t>j</w:t>
      </w:r>
      <w:r w:rsidRPr="00AD2390">
        <w:rPr>
          <w:szCs w:val="20"/>
        </w:rPr>
        <w:t>eni CEMP.</w:t>
      </w:r>
    </w:p>
  </w:footnote>
  <w:footnote w:id="7">
    <w:p w14:paraId="7505891E" w14:textId="77777777" w:rsidR="00515997" w:rsidRPr="001C6CCA" w:rsidRDefault="00515997" w:rsidP="002C0B50">
      <w:pPr>
        <w:spacing w:before="0" w:after="0" w:line="240" w:lineRule="auto"/>
        <w:rPr>
          <w:rFonts w:cs="ArialMT"/>
          <w:sz w:val="20"/>
          <w:szCs w:val="20"/>
        </w:rPr>
      </w:pPr>
      <w:r w:rsidRPr="001C6CCA">
        <w:rPr>
          <w:rStyle w:val="FootnoteReference"/>
          <w:sz w:val="20"/>
          <w:szCs w:val="20"/>
        </w:rPr>
        <w:footnoteRef/>
      </w:r>
      <w:r w:rsidRPr="001C6CCA">
        <w:rPr>
          <w:sz w:val="20"/>
          <w:szCs w:val="20"/>
        </w:rPr>
        <w:t xml:space="preserve"> </w:t>
      </w:r>
      <w:r>
        <w:rPr>
          <w:rFonts w:cs="ArialMT"/>
          <w:sz w:val="20"/>
          <w:szCs w:val="20"/>
        </w:rPr>
        <w:t xml:space="preserve">Boucher, J. </w:t>
      </w:r>
      <w:r w:rsidRPr="001C6CCA">
        <w:rPr>
          <w:rFonts w:cs="ArialMT"/>
          <w:sz w:val="20"/>
          <w:szCs w:val="20"/>
        </w:rPr>
        <w:t>and Billard, G. 2020. The Mediterranean: Mare plasticum. Gland, Switzerland. IUCN, pp.62.</w:t>
      </w:r>
    </w:p>
    <w:p w14:paraId="706A4872" w14:textId="77777777" w:rsidR="00515997" w:rsidRPr="004C3A51" w:rsidRDefault="00515997" w:rsidP="002C0B50">
      <w:pPr>
        <w:pStyle w:val="FootnoteText"/>
        <w:spacing w:before="0" w:after="0"/>
        <w:rPr>
          <w:szCs w:val="20"/>
        </w:rPr>
      </w:pPr>
    </w:p>
  </w:footnote>
  <w:footnote w:id="8">
    <w:p w14:paraId="5D6E13FF" w14:textId="394B6823" w:rsidR="00515997" w:rsidRPr="004C3A51" w:rsidRDefault="00515997" w:rsidP="007D777B">
      <w:pPr>
        <w:pStyle w:val="Default"/>
        <w:ind w:left="142" w:hanging="142"/>
        <w:rPr>
          <w:rFonts w:ascii="Calibri" w:hAnsi="Calibri" w:cs="Calibri"/>
          <w:sz w:val="20"/>
          <w:szCs w:val="20"/>
        </w:rPr>
      </w:pPr>
      <w:r w:rsidRPr="000B6916">
        <w:rPr>
          <w:rStyle w:val="FootnoteReference"/>
          <w:rFonts w:ascii="Calibri" w:hAnsi="Calibri" w:cs="Calibri"/>
          <w:sz w:val="18"/>
          <w:szCs w:val="18"/>
        </w:rPr>
        <w:footnoteRef/>
      </w:r>
      <w:r>
        <w:t xml:space="preserve"> </w:t>
      </w:r>
      <w:r w:rsidRPr="00C9607F">
        <w:rPr>
          <w:rFonts w:ascii="Calibri" w:hAnsi="Calibri" w:cs="Calibri"/>
          <w:sz w:val="20"/>
          <w:szCs w:val="20"/>
        </w:rPr>
        <w:t>UNEP, RAC-SPA i Mediteranski akcioni plan: Protokol koji se odnosi na posebno zaštićena područja i bio</w:t>
      </w:r>
      <w:r>
        <w:rPr>
          <w:rFonts w:ascii="Calibri" w:hAnsi="Calibri" w:cs="Calibri"/>
          <w:sz w:val="20"/>
          <w:szCs w:val="20"/>
        </w:rPr>
        <w:t>diverzitet</w:t>
      </w:r>
      <w:r w:rsidRPr="00C9607F">
        <w:rPr>
          <w:rFonts w:ascii="Calibri" w:hAnsi="Calibri" w:cs="Calibri"/>
          <w:sz w:val="20"/>
          <w:szCs w:val="20"/>
        </w:rPr>
        <w:t xml:space="preserve"> na Mediteranu. Aneks II. Spisak ugroženih</w:t>
      </w:r>
      <w:r>
        <w:rPr>
          <w:rFonts w:ascii="Calibri" w:hAnsi="Calibri" w:cs="Calibri"/>
          <w:sz w:val="20"/>
          <w:szCs w:val="20"/>
        </w:rPr>
        <w:t xml:space="preserve"> vrsta </w:t>
      </w:r>
    </w:p>
    <w:p w14:paraId="6302143F" w14:textId="77777777" w:rsidR="00515997" w:rsidRDefault="00515997" w:rsidP="007D777B">
      <w:pPr>
        <w:pStyle w:val="FootnoteText"/>
      </w:pPr>
    </w:p>
  </w:footnote>
  <w:footnote w:id="9">
    <w:p w14:paraId="02FC78DC" w14:textId="068964C8" w:rsidR="00515997" w:rsidRPr="001C6CCA" w:rsidRDefault="00515997" w:rsidP="00151BD7">
      <w:pPr>
        <w:autoSpaceDE w:val="0"/>
        <w:autoSpaceDN w:val="0"/>
        <w:adjustRightInd w:val="0"/>
        <w:spacing w:before="0" w:after="0" w:line="240" w:lineRule="auto"/>
        <w:ind w:left="142" w:hanging="142"/>
        <w:rPr>
          <w:rFonts w:cs="Calibri"/>
          <w:sz w:val="20"/>
          <w:szCs w:val="20"/>
        </w:rPr>
      </w:pPr>
      <w:r w:rsidRPr="001C6CCA">
        <w:rPr>
          <w:rStyle w:val="FootnoteReference"/>
          <w:sz w:val="20"/>
          <w:szCs w:val="20"/>
        </w:rPr>
        <w:footnoteRef/>
      </w:r>
      <w:r w:rsidRPr="001C6CCA">
        <w:rPr>
          <w:sz w:val="20"/>
          <w:szCs w:val="20"/>
        </w:rPr>
        <w:t xml:space="preserve"> </w:t>
      </w:r>
      <w:r w:rsidRPr="00701301">
        <w:rPr>
          <w:rFonts w:cs="Calibri"/>
          <w:sz w:val="20"/>
          <w:szCs w:val="20"/>
        </w:rPr>
        <w:t>DIREKTIVA SAV</w:t>
      </w:r>
      <w:r>
        <w:rPr>
          <w:rFonts w:cs="Calibri"/>
          <w:sz w:val="20"/>
          <w:szCs w:val="20"/>
        </w:rPr>
        <w:t>J</w:t>
      </w:r>
      <w:r w:rsidRPr="00701301">
        <w:rPr>
          <w:rFonts w:cs="Calibri"/>
          <w:sz w:val="20"/>
          <w:szCs w:val="20"/>
        </w:rPr>
        <w:t>ETA 92/43/</w:t>
      </w:r>
      <w:r>
        <w:rPr>
          <w:rFonts w:cs="Calibri"/>
          <w:sz w:val="20"/>
          <w:szCs w:val="20"/>
        </w:rPr>
        <w:t>EEC</w:t>
      </w:r>
      <w:r w:rsidRPr="00701301">
        <w:rPr>
          <w:rFonts w:cs="Calibri"/>
          <w:sz w:val="20"/>
          <w:szCs w:val="20"/>
        </w:rPr>
        <w:t xml:space="preserve"> od 21. maja 1992. o očuvanju prirodnih staništa i divlje faune i flore</w:t>
      </w:r>
    </w:p>
  </w:footnote>
  <w:footnote w:id="10">
    <w:p w14:paraId="2AB54A25" w14:textId="5A8C1BF7" w:rsidR="00515997" w:rsidRPr="004C3A51" w:rsidRDefault="00515997" w:rsidP="00151BD7">
      <w:pPr>
        <w:pStyle w:val="FootnoteText"/>
        <w:spacing w:before="0" w:after="0" w:line="240" w:lineRule="auto"/>
        <w:ind w:left="142" w:hanging="142"/>
        <w:rPr>
          <w:rFonts w:cs="Calibri"/>
          <w:szCs w:val="20"/>
        </w:rPr>
      </w:pPr>
      <w:r w:rsidRPr="001C6CCA">
        <w:rPr>
          <w:rStyle w:val="FootnoteReference"/>
          <w:rFonts w:cs="Calibri"/>
          <w:szCs w:val="20"/>
        </w:rPr>
        <w:footnoteRef/>
      </w:r>
      <w:r w:rsidRPr="001C6CCA">
        <w:rPr>
          <w:rFonts w:cs="Calibri"/>
          <w:szCs w:val="20"/>
        </w:rPr>
        <w:t xml:space="preserve"> </w:t>
      </w:r>
      <w:r w:rsidRPr="00701301">
        <w:rPr>
          <w:rFonts w:cs="Calibri"/>
          <w:szCs w:val="20"/>
        </w:rPr>
        <w:t>DIREKTIVA 2000/60/</w:t>
      </w:r>
      <w:r>
        <w:rPr>
          <w:rFonts w:cs="Calibri"/>
          <w:szCs w:val="20"/>
        </w:rPr>
        <w:t>EC</w:t>
      </w:r>
      <w:r w:rsidRPr="00701301">
        <w:rPr>
          <w:rFonts w:cs="Calibri"/>
          <w:szCs w:val="20"/>
        </w:rPr>
        <w:t xml:space="preserve"> Evropskog parlamenta i Sav</w:t>
      </w:r>
      <w:r>
        <w:rPr>
          <w:rFonts w:cs="Calibri"/>
          <w:szCs w:val="20"/>
        </w:rPr>
        <w:t>j</w:t>
      </w:r>
      <w:r w:rsidRPr="00701301">
        <w:rPr>
          <w:rFonts w:cs="Calibri"/>
          <w:szCs w:val="20"/>
        </w:rPr>
        <w:t>eta od 23. oktobra 2000. godine o uspostavljanju okvira za d</w:t>
      </w:r>
      <w:r>
        <w:rPr>
          <w:rFonts w:cs="Calibri"/>
          <w:szCs w:val="20"/>
        </w:rPr>
        <w:t>j</w:t>
      </w:r>
      <w:r w:rsidRPr="00701301">
        <w:rPr>
          <w:rFonts w:cs="Calibri"/>
          <w:szCs w:val="20"/>
        </w:rPr>
        <w:t>elovanje Zajednice u oblasti vodene politike</w:t>
      </w:r>
    </w:p>
  </w:footnote>
  <w:footnote w:id="11">
    <w:p w14:paraId="355EDB8D" w14:textId="47BFAE32" w:rsidR="00515997" w:rsidRPr="001C6CCA" w:rsidRDefault="00515997" w:rsidP="006C0021">
      <w:pPr>
        <w:pStyle w:val="FootnoteText"/>
        <w:spacing w:line="240" w:lineRule="auto"/>
        <w:ind w:firstLine="0"/>
        <w:rPr>
          <w:szCs w:val="20"/>
          <w:lang w:val="en-GB"/>
        </w:rPr>
      </w:pPr>
      <w:r w:rsidRPr="001C6CCA">
        <w:rPr>
          <w:rStyle w:val="FootnoteReference"/>
          <w:szCs w:val="20"/>
        </w:rPr>
        <w:footnoteRef/>
      </w:r>
      <w:r>
        <w:rPr>
          <w:szCs w:val="20"/>
        </w:rPr>
        <w:t xml:space="preserve">Npr. </w:t>
      </w:r>
      <w:r w:rsidRPr="004F6944">
        <w:rPr>
          <w:szCs w:val="20"/>
        </w:rPr>
        <w:t xml:space="preserve">Deskriptor 5 (eutrofikacija), deskriptor 8 (zagađivači) i deskriptor 9 (Zagađujuće materije u ribi i drugim morskim organizmima koji se koriste za ljudsku ishranu) za koje su korišćeni dokumenti, </w:t>
      </w:r>
      <w:r>
        <w:rPr>
          <w:szCs w:val="20"/>
        </w:rPr>
        <w:t>obrasci</w:t>
      </w:r>
      <w:r w:rsidRPr="004F6944">
        <w:rPr>
          <w:szCs w:val="20"/>
        </w:rPr>
        <w:t xml:space="preserve"> i protokoli razvijeni u okviru radnih grupa EU i konvencija o regionalnim morima.</w:t>
      </w:r>
      <w:r w:rsidRPr="001C6CCA">
        <w:rPr>
          <w:szCs w:val="20"/>
        </w:rPr>
        <w:t xml:space="preserve"> </w:t>
      </w:r>
    </w:p>
  </w:footnote>
  <w:footnote w:id="12">
    <w:p w14:paraId="68FFE25B" w14:textId="6D319265" w:rsidR="00515997" w:rsidRPr="004C3A51" w:rsidRDefault="00515997" w:rsidP="007320D0">
      <w:pPr>
        <w:autoSpaceDE w:val="0"/>
        <w:autoSpaceDN w:val="0"/>
        <w:adjustRightInd w:val="0"/>
        <w:spacing w:before="0" w:after="0"/>
        <w:rPr>
          <w:sz w:val="20"/>
          <w:szCs w:val="20"/>
        </w:rPr>
      </w:pPr>
      <w:r w:rsidRPr="004C3A51">
        <w:rPr>
          <w:rStyle w:val="FootnoteReference"/>
          <w:sz w:val="20"/>
          <w:szCs w:val="20"/>
        </w:rPr>
        <w:footnoteRef/>
      </w:r>
      <w:r w:rsidRPr="004C3A51">
        <w:rPr>
          <w:sz w:val="20"/>
          <w:szCs w:val="20"/>
        </w:rPr>
        <w:t xml:space="preserve"> </w:t>
      </w:r>
      <w:r>
        <w:rPr>
          <w:sz w:val="20"/>
          <w:szCs w:val="20"/>
        </w:rPr>
        <w:t>Odluka</w:t>
      </w:r>
      <w:r w:rsidRPr="004C3A51">
        <w:rPr>
          <w:rStyle w:val="FootnoteReference"/>
          <w:sz w:val="20"/>
          <w:szCs w:val="20"/>
          <w:vertAlign w:val="baseline"/>
        </w:rPr>
        <w:t xml:space="preserve"> IG 17/6, An</w:t>
      </w:r>
      <w:r>
        <w:rPr>
          <w:sz w:val="20"/>
          <w:szCs w:val="20"/>
        </w:rPr>
        <w:t>eks</w:t>
      </w:r>
      <w:r w:rsidRPr="004C3A51">
        <w:rPr>
          <w:rStyle w:val="FootnoteReference"/>
          <w:sz w:val="20"/>
          <w:szCs w:val="20"/>
          <w:vertAlign w:val="baseline"/>
        </w:rPr>
        <w:t xml:space="preserve"> II</w:t>
      </w:r>
    </w:p>
  </w:footnote>
  <w:footnote w:id="13">
    <w:p w14:paraId="717600B8" w14:textId="2F1EC39D" w:rsidR="00515997" w:rsidRPr="004C3A51" w:rsidRDefault="00515997" w:rsidP="0050686E">
      <w:pPr>
        <w:pStyle w:val="FootnoteText"/>
        <w:spacing w:before="0" w:line="240" w:lineRule="auto"/>
        <w:ind w:firstLine="0"/>
        <w:rPr>
          <w:rFonts w:cs="Calibri"/>
          <w:szCs w:val="20"/>
        </w:rPr>
      </w:pPr>
      <w:r w:rsidRPr="00F42C7F">
        <w:rPr>
          <w:rStyle w:val="FootnoteReference"/>
          <w:sz w:val="18"/>
          <w:szCs w:val="18"/>
        </w:rPr>
        <w:footnoteRef/>
      </w:r>
      <w:r w:rsidRPr="00F42C7F">
        <w:rPr>
          <w:sz w:val="18"/>
          <w:szCs w:val="18"/>
        </w:rPr>
        <w:t xml:space="preserve"> </w:t>
      </w:r>
      <w:r w:rsidRPr="006075FE">
        <w:rPr>
          <w:rFonts w:cs="Calibri"/>
          <w:bCs/>
          <w:color w:val="000000"/>
          <w:szCs w:val="20"/>
        </w:rPr>
        <w:t xml:space="preserve">ODLUKA KOMISIJE (EU) 2017/848 od 17. maja 2017. o utvrđivanju kriterijuma i metodoloških standarda o dobrom ekološkom stanju morskih voda i specifikacija i standardizovanih metoda za </w:t>
      </w:r>
      <w:r>
        <w:rPr>
          <w:rFonts w:cs="Calibri"/>
          <w:bCs/>
          <w:color w:val="000000"/>
          <w:szCs w:val="20"/>
        </w:rPr>
        <w:t xml:space="preserve">monitoring </w:t>
      </w:r>
      <w:r w:rsidRPr="006075FE">
        <w:rPr>
          <w:rFonts w:cs="Calibri"/>
          <w:bCs/>
          <w:color w:val="000000"/>
          <w:szCs w:val="20"/>
        </w:rPr>
        <w:t xml:space="preserve"> i proc</w:t>
      </w:r>
      <w:r>
        <w:rPr>
          <w:rFonts w:cs="Calibri"/>
          <w:bCs/>
          <w:color w:val="000000"/>
          <w:szCs w:val="20"/>
        </w:rPr>
        <w:t>j</w:t>
      </w:r>
      <w:r w:rsidRPr="006075FE">
        <w:rPr>
          <w:rFonts w:cs="Calibri"/>
          <w:bCs/>
          <w:color w:val="000000"/>
          <w:szCs w:val="20"/>
        </w:rPr>
        <w:t>enu i ukidanju Odluke 2010/477</w:t>
      </w:r>
      <w:r>
        <w:rPr>
          <w:rFonts w:cs="Calibri"/>
          <w:bCs/>
          <w:color w:val="000000"/>
          <w:szCs w:val="20"/>
        </w:rPr>
        <w:t>/</w:t>
      </w:r>
      <w:r w:rsidRPr="006075FE">
        <w:rPr>
          <w:rFonts w:cs="Calibri"/>
          <w:bCs/>
          <w:color w:val="000000"/>
          <w:szCs w:val="20"/>
        </w:rPr>
        <w:t>EU</w:t>
      </w:r>
    </w:p>
    <w:p w14:paraId="5706839C" w14:textId="77777777" w:rsidR="00515997" w:rsidRPr="00F42C7F" w:rsidRDefault="00515997" w:rsidP="0050686E">
      <w:pPr>
        <w:pStyle w:val="FootnoteText"/>
        <w:rPr>
          <w:sz w:val="18"/>
          <w:szCs w:val="18"/>
        </w:rPr>
      </w:pPr>
    </w:p>
  </w:footnote>
  <w:footnote w:id="14">
    <w:p w14:paraId="4DCAB84B" w14:textId="77777777" w:rsidR="00515997" w:rsidRPr="00D82093" w:rsidRDefault="00515997" w:rsidP="005444CB">
      <w:pPr>
        <w:autoSpaceDE w:val="0"/>
        <w:autoSpaceDN w:val="0"/>
        <w:adjustRightInd w:val="0"/>
        <w:spacing w:before="0" w:after="0" w:line="240" w:lineRule="auto"/>
        <w:jc w:val="left"/>
        <w:rPr>
          <w:rFonts w:cs="Calibri"/>
          <w:color w:val="3D3C3B"/>
          <w:sz w:val="20"/>
          <w:szCs w:val="20"/>
          <w:lang w:val="hr-HR" w:eastAsia="en-US"/>
        </w:rPr>
      </w:pPr>
      <w:r>
        <w:rPr>
          <w:rStyle w:val="FootnoteReference"/>
        </w:rPr>
        <w:footnoteRef/>
      </w:r>
      <w:r>
        <w:t xml:space="preserve"> </w:t>
      </w:r>
      <w:r w:rsidRPr="00D82093">
        <w:rPr>
          <w:rFonts w:cs="Calibri"/>
          <w:color w:val="3D3C3B"/>
          <w:sz w:val="20"/>
          <w:szCs w:val="20"/>
          <w:lang w:val="hr-HR" w:eastAsia="en-US"/>
        </w:rPr>
        <w:t>Štrbenac, A. (ed.) 2015. Strategy on the conservation of cetaceans in the Adriatic Sea for the period 2016 – 2025. Document produced under the NETCET project, IPA Adriatic Cross-border Cooperation Programme.</w:t>
      </w:r>
    </w:p>
    <w:p w14:paraId="7E7AF4F0" w14:textId="5EC1D9BB" w:rsidR="00515997" w:rsidRPr="005444CB" w:rsidRDefault="00515997">
      <w:pPr>
        <w:pStyle w:val="FootnoteText"/>
        <w:rPr>
          <w:lang w:val="hr-HR"/>
        </w:rPr>
      </w:pPr>
    </w:p>
  </w:footnote>
  <w:footnote w:id="15">
    <w:p w14:paraId="3725F3D7" w14:textId="77777777" w:rsidR="00515997" w:rsidRDefault="00515997" w:rsidP="001D6381">
      <w:pPr>
        <w:pStyle w:val="FootnoteText"/>
        <w:spacing w:before="0" w:after="0" w:line="240" w:lineRule="auto"/>
        <w:ind w:firstLine="0"/>
        <w:rPr>
          <w:szCs w:val="20"/>
        </w:rPr>
      </w:pPr>
      <w:r>
        <w:rPr>
          <w:rStyle w:val="FootnoteReference"/>
          <w:szCs w:val="20"/>
        </w:rPr>
        <w:footnoteRef/>
      </w:r>
      <w:r>
        <w:rPr>
          <w:szCs w:val="20"/>
        </w:rPr>
        <w:t xml:space="preserve"> </w:t>
      </w:r>
      <w:r>
        <w:rPr>
          <w:rFonts w:cs="Calibri"/>
          <w:bCs/>
          <w:szCs w:val="20"/>
          <w:lang w:val="en-GB" w:eastAsia="hr-HR"/>
        </w:rPr>
        <w:t>Inicijalna procjena stanja morskog okruženja Crne Gore, 2020. Poglavlje 4 - Tabela 4.19.</w:t>
      </w:r>
    </w:p>
  </w:footnote>
  <w:footnote w:id="16">
    <w:p w14:paraId="46085CFE" w14:textId="77777777" w:rsidR="00515997" w:rsidRDefault="00515997" w:rsidP="001D6381">
      <w:pPr>
        <w:pStyle w:val="FootnoteText"/>
        <w:spacing w:before="0" w:after="0" w:line="240" w:lineRule="auto"/>
        <w:ind w:firstLine="0"/>
        <w:rPr>
          <w:lang w:val="en-GB"/>
        </w:rPr>
      </w:pPr>
      <w:r>
        <w:rPr>
          <w:rStyle w:val="FootnoteReference"/>
        </w:rPr>
        <w:footnoteRef/>
      </w:r>
      <w:r>
        <w:t xml:space="preserve"> </w:t>
      </w:r>
      <w:r>
        <w:rPr>
          <w:rFonts w:eastAsia="Calibri" w:cs="Calibri"/>
          <w:szCs w:val="20"/>
          <w:lang w:val="en-GB" w:eastAsia="en-US"/>
        </w:rPr>
        <w:t>Skala od 5 tačaka koja se koristi za procjenu trendova pritiska: - značajno smanjenje; - smanjenje; 0 bez promjene; + povećanje; ++ snažan porast</w:t>
      </w:r>
    </w:p>
  </w:footnote>
  <w:footnote w:id="17">
    <w:p w14:paraId="49E4469A" w14:textId="77777777" w:rsidR="00515997" w:rsidRDefault="00515997" w:rsidP="001D6381">
      <w:pPr>
        <w:pStyle w:val="FootnoteText"/>
        <w:ind w:firstLine="0"/>
        <w:rPr>
          <w:lang w:val="en-GB"/>
        </w:rPr>
      </w:pPr>
      <w:r>
        <w:rPr>
          <w:rStyle w:val="FootnoteReference"/>
        </w:rPr>
        <w:footnoteRef/>
      </w:r>
      <w:r>
        <w:t xml:space="preserve"> </w:t>
      </w:r>
      <w:r>
        <w:rPr>
          <w:rFonts w:eastAsia="Calibri" w:cs="Calibri"/>
          <w:szCs w:val="20"/>
          <w:lang w:eastAsia="en-US"/>
        </w:rPr>
        <w:t>Napomena: Izrazi „pokriveno“ i „nije pokriveno“ označavaju da li je kriterijum korišten za procjenu GES-a</w:t>
      </w:r>
    </w:p>
  </w:footnote>
  <w:footnote w:id="18">
    <w:p w14:paraId="3FE67A01" w14:textId="77777777" w:rsidR="00515997" w:rsidRPr="00F65CFF" w:rsidRDefault="00515997" w:rsidP="00971473">
      <w:pPr>
        <w:spacing w:before="0" w:after="0"/>
        <w:rPr>
          <w:rFonts w:eastAsia="Calibri" w:cs="Calibri"/>
          <w:sz w:val="20"/>
          <w:szCs w:val="20"/>
          <w:lang w:eastAsia="en-US"/>
        </w:rPr>
      </w:pPr>
      <w:r>
        <w:rPr>
          <w:rStyle w:val="FootnoteReference"/>
        </w:rPr>
        <w:footnoteRef/>
      </w:r>
      <w:r>
        <w:t xml:space="preserve"> </w:t>
      </w:r>
      <w:r>
        <w:rPr>
          <w:rFonts w:eastAsia="Calibri" w:cs="Calibri"/>
          <w:sz w:val="20"/>
          <w:szCs w:val="20"/>
          <w:lang w:eastAsia="en-US"/>
        </w:rPr>
        <w:t>Napomena</w:t>
      </w:r>
      <w:r w:rsidRPr="00F65CFF">
        <w:rPr>
          <w:rFonts w:eastAsia="Calibri" w:cs="Calibri"/>
          <w:sz w:val="20"/>
          <w:szCs w:val="20"/>
          <w:lang w:eastAsia="en-US"/>
        </w:rPr>
        <w:t xml:space="preserve">: </w:t>
      </w:r>
      <w:r>
        <w:rPr>
          <w:rFonts w:eastAsia="Calibri" w:cs="Calibri"/>
          <w:sz w:val="20"/>
          <w:szCs w:val="20"/>
          <w:lang w:eastAsia="en-US"/>
        </w:rPr>
        <w:t xml:space="preserve">Termini “obuhvaćeno” i “nije obuhvaćeno” pokazuju da li je kriterijum korišćen prilikom procjene GES-a. </w:t>
      </w:r>
    </w:p>
    <w:p w14:paraId="07E34F5C" w14:textId="77777777" w:rsidR="00515997" w:rsidRPr="001E38A8" w:rsidRDefault="00515997" w:rsidP="00971473">
      <w:pPr>
        <w:pStyle w:val="FootnoteText"/>
        <w:rPr>
          <w:lang w:val="en-GB"/>
        </w:rPr>
      </w:pPr>
    </w:p>
  </w:footnote>
  <w:footnote w:id="19">
    <w:p w14:paraId="5670A607" w14:textId="77777777" w:rsidR="00515997" w:rsidRPr="00375B33" w:rsidRDefault="00515997" w:rsidP="00842661">
      <w:pPr>
        <w:pStyle w:val="FootnoteText"/>
        <w:ind w:firstLine="0"/>
        <w:rPr>
          <w:lang w:val="en-GB"/>
        </w:rPr>
      </w:pPr>
      <w:r>
        <w:rPr>
          <w:rStyle w:val="FootnoteReference"/>
        </w:rPr>
        <w:footnoteRef/>
      </w:r>
      <w:r>
        <w:t xml:space="preserve"> Edicija Stanje ribarstva u Mediteranu i Crnom moru iz 2018 (SoMFi 2018), ključna publikacija GFCM-a, daje opširan pregled regionalnih i subregionalnih trendova u ribarstvu Mediterana i Crnog mora. </w:t>
      </w:r>
    </w:p>
  </w:footnote>
  <w:footnote w:id="20">
    <w:p w14:paraId="5DD4C030" w14:textId="77777777" w:rsidR="00515997" w:rsidRPr="00E4752A" w:rsidRDefault="00515997" w:rsidP="00842661">
      <w:pPr>
        <w:pStyle w:val="FootnoteText"/>
        <w:ind w:firstLine="0"/>
        <w:rPr>
          <w:lang w:val="en-GB"/>
        </w:rPr>
      </w:pPr>
      <w:r>
        <w:rPr>
          <w:rStyle w:val="FootnoteReference"/>
        </w:rPr>
        <w:footnoteRef/>
      </w:r>
      <w:r>
        <w:t xml:space="preserve"> </w:t>
      </w:r>
      <w:r w:rsidRPr="00E4752A">
        <w:t>FAO. 2020. The State of Mediterranean and Black Sea Fisheries 2020. General Fisheries Commission for the Mediterranean. Rome. https://doi.org/10.4060/cb2429en. Last updated 12/01/2021; FAO. 2019. General Fisheries Commission for the Mediterranean. Report of the twenty-first session of the Scientific Advisory Committee on Fisheries, Cairo, Egypt, 24–27 June 2019 / Commission générale des pêches pour la Méditerranée. Rapport de la vingt-et-unième session du Comité scientifique consultative des pêches. Le Caire, Égypte, 24-27 juin 2019. FAO Fisheries and Aquaculture Report/FAO Rapport sur les pêches et l’aquaculture No. 1290. Rome.</w:t>
      </w:r>
    </w:p>
  </w:footnote>
  <w:footnote w:id="21">
    <w:p w14:paraId="4F322F5B" w14:textId="77777777" w:rsidR="00515997" w:rsidRPr="00E711AD" w:rsidRDefault="00515997" w:rsidP="0046315C">
      <w:pPr>
        <w:pStyle w:val="NormalWeb"/>
        <w:spacing w:line="240" w:lineRule="auto"/>
        <w:rPr>
          <w:b w:val="0"/>
          <w:sz w:val="20"/>
          <w:szCs w:val="20"/>
        </w:rPr>
      </w:pPr>
      <w:r>
        <w:rPr>
          <w:rStyle w:val="FootnoteReference"/>
          <w:sz w:val="20"/>
          <w:szCs w:val="20"/>
        </w:rPr>
        <w:footnoteRef/>
      </w:r>
      <w:r>
        <w:rPr>
          <w:sz w:val="20"/>
          <w:szCs w:val="20"/>
        </w:rPr>
        <w:t xml:space="preserve"> </w:t>
      </w:r>
      <w:r w:rsidRPr="00E711AD">
        <w:rPr>
          <w:b w:val="0"/>
          <w:sz w:val="20"/>
          <w:szCs w:val="20"/>
        </w:rPr>
        <w:t>Početna procjena stanja morske sredine Crne Gore</w:t>
      </w:r>
      <w:r w:rsidRPr="00E711AD">
        <w:rPr>
          <w:rFonts w:cs="Calibri"/>
          <w:b w:val="0"/>
          <w:bCs w:val="0"/>
          <w:sz w:val="20"/>
          <w:szCs w:val="20"/>
          <w:lang w:eastAsia="hr-HR"/>
        </w:rPr>
        <w:t xml:space="preserve"> (2020), Poglavlje 4 - Tabela 4.19.</w:t>
      </w:r>
    </w:p>
  </w:footnote>
  <w:footnote w:id="22">
    <w:p w14:paraId="534FA27B" w14:textId="1A695D0C" w:rsidR="00515997" w:rsidRPr="00E711AD" w:rsidRDefault="00515997" w:rsidP="0046315C">
      <w:pPr>
        <w:pStyle w:val="NormalWeb"/>
        <w:spacing w:line="240" w:lineRule="auto"/>
        <w:rPr>
          <w:b w:val="0"/>
          <w:sz w:val="20"/>
          <w:szCs w:val="20"/>
        </w:rPr>
      </w:pPr>
      <w:r>
        <w:rPr>
          <w:rStyle w:val="FootnoteReference"/>
          <w:sz w:val="20"/>
          <w:szCs w:val="20"/>
        </w:rPr>
        <w:footnoteRef/>
      </w:r>
      <w:r>
        <w:rPr>
          <w:sz w:val="20"/>
          <w:szCs w:val="20"/>
        </w:rPr>
        <w:t xml:space="preserve"> </w:t>
      </w:r>
      <w:r w:rsidRPr="00E711AD">
        <w:rPr>
          <w:b w:val="0"/>
          <w:sz w:val="20"/>
          <w:szCs w:val="20"/>
        </w:rPr>
        <w:t xml:space="preserve">Napomena: Izrazi „obuhvaćeno“ i „nije obuhvaćeno“ označavaju da li su kriterijumi korišćeni za procjenu </w:t>
      </w:r>
      <w:r>
        <w:rPr>
          <w:b w:val="0"/>
          <w:sz w:val="20"/>
          <w:szCs w:val="20"/>
        </w:rPr>
        <w:t>GES</w:t>
      </w:r>
      <w:r w:rsidRPr="00E711AD">
        <w:rPr>
          <w:b w:val="0"/>
          <w:sz w:val="20"/>
          <w:szCs w:val="20"/>
        </w:rPr>
        <w:t>-a</w:t>
      </w:r>
    </w:p>
  </w:footnote>
  <w:footnote w:id="23">
    <w:p w14:paraId="31191C28" w14:textId="77777777" w:rsidR="00515997" w:rsidRDefault="00515997" w:rsidP="0046315C">
      <w:pPr>
        <w:autoSpaceDE w:val="0"/>
        <w:autoSpaceDN w:val="0"/>
        <w:adjustRightInd w:val="0"/>
        <w:spacing w:after="0" w:line="240" w:lineRule="auto"/>
        <w:rPr>
          <w:rFonts w:cs="Calibri"/>
          <w:color w:val="000000"/>
          <w:sz w:val="18"/>
          <w:szCs w:val="18"/>
          <w:lang w:val="hr-HR"/>
        </w:rPr>
      </w:pPr>
      <w:r>
        <w:rPr>
          <w:rStyle w:val="FootnoteReference"/>
        </w:rPr>
        <w:footnoteRef/>
      </w:r>
      <w:r>
        <w:t xml:space="preserve"> </w:t>
      </w:r>
      <w:r>
        <w:rPr>
          <w:rFonts w:cs="Calibri"/>
          <w:bCs/>
          <w:color w:val="000000"/>
          <w:sz w:val="18"/>
          <w:szCs w:val="18"/>
          <w:lang w:val="hr-HR"/>
        </w:rPr>
        <w:t xml:space="preserve">COMMISSION DECISION (EU) </w:t>
      </w:r>
      <w:r>
        <w:rPr>
          <w:rFonts w:cs="Calibri"/>
          <w:bCs/>
          <w:color w:val="000000"/>
          <w:sz w:val="18"/>
          <w:szCs w:val="18"/>
        </w:rPr>
        <w:t>2017/848 of 17 May 2017 laying down criteria and methodological standards on good environmental status of marine waters and specifications and standardised methods for monitoring and assessment, and repealing Decision 2010/477/EU.</w:t>
      </w:r>
    </w:p>
  </w:footnote>
  <w:footnote w:id="24">
    <w:p w14:paraId="32AC2DD7" w14:textId="1310B98B" w:rsidR="00515997" w:rsidRPr="00D133D9" w:rsidRDefault="00515997" w:rsidP="00D133D9">
      <w:pPr>
        <w:spacing w:before="120" w:after="0" w:line="240" w:lineRule="auto"/>
        <w:rPr>
          <w:rFonts w:cs="Calibri"/>
          <w:sz w:val="18"/>
          <w:szCs w:val="18"/>
        </w:rPr>
      </w:pPr>
      <w:r>
        <w:rPr>
          <w:rStyle w:val="FootnoteReference"/>
        </w:rPr>
        <w:footnoteRef/>
      </w:r>
      <w:r>
        <w:t xml:space="preserve"> </w:t>
      </w:r>
      <w:r>
        <w:rPr>
          <w:rFonts w:cs="Calibri"/>
          <w:sz w:val="18"/>
          <w:szCs w:val="18"/>
        </w:rPr>
        <w:t xml:space="preserve">Službeni list Crne Gore (2019) Pravilnik o načinu i rokovima utvrđivanja statusa površinskih voda. Službeni list Crne Gore broj 25/2019 od 30.04.2019   </w:t>
      </w:r>
    </w:p>
    <w:p w14:paraId="33A66D61" w14:textId="77777777" w:rsidR="00515997" w:rsidRDefault="00515997" w:rsidP="0046315C">
      <w:pPr>
        <w:pStyle w:val="NormalWeb"/>
        <w:spacing w:line="240" w:lineRule="auto"/>
        <w:rPr>
          <w:sz w:val="20"/>
          <w:szCs w:val="20"/>
          <w:lang w:val="hr-HR"/>
        </w:rPr>
      </w:pPr>
    </w:p>
  </w:footnote>
  <w:footnote w:id="25">
    <w:p w14:paraId="12BEF6FC" w14:textId="77777777" w:rsidR="00515997" w:rsidRDefault="00515997" w:rsidP="0046315C">
      <w:pPr>
        <w:spacing w:after="0" w:line="240" w:lineRule="auto"/>
        <w:rPr>
          <w:sz w:val="18"/>
          <w:szCs w:val="18"/>
        </w:rPr>
      </w:pPr>
      <w:r>
        <w:rPr>
          <w:rStyle w:val="FootnoteReference"/>
        </w:rPr>
        <w:footnoteRef/>
      </w:r>
      <w:r>
        <w:t xml:space="preserve"> </w:t>
      </w:r>
      <w:r>
        <w:rPr>
          <w:sz w:val="18"/>
          <w:szCs w:val="18"/>
        </w:rPr>
        <w:t>OSPAR COMMISSION (2008): Eutrophication Status of the OSPAR Maritime Area. Second OSPAR Integrated Report. 372/2008. pp 108.</w:t>
      </w:r>
    </w:p>
  </w:footnote>
  <w:footnote w:id="26">
    <w:p w14:paraId="4315E5BB" w14:textId="77777777" w:rsidR="00515997" w:rsidRDefault="00515997" w:rsidP="0046315C">
      <w:pPr>
        <w:pStyle w:val="tb-na16"/>
        <w:shd w:val="clear" w:color="auto" w:fill="FFFFFF"/>
        <w:spacing w:beforeLines="60" w:before="144" w:beforeAutospacing="0" w:after="0" w:afterAutospacing="0"/>
        <w:textAlignment w:val="baseline"/>
        <w:rPr>
          <w:rFonts w:ascii="Calibri" w:hAnsi="Calibri" w:cs="Calibri"/>
          <w:sz w:val="18"/>
          <w:szCs w:val="18"/>
        </w:rPr>
      </w:pPr>
      <w:r>
        <w:rPr>
          <w:rStyle w:val="FootnoteReference"/>
        </w:rPr>
        <w:footnoteRef/>
      </w:r>
      <w:r>
        <w:rPr>
          <w:rFonts w:ascii="Calibri" w:hAnsi="Calibri" w:cs="Calibri"/>
          <w:sz w:val="18"/>
          <w:szCs w:val="18"/>
        </w:rPr>
        <w:t xml:space="preserve"> NN (2013) Uredba o standardu kakvoće voda. NN 73/2013. Broj dokumenta 1463. </w:t>
      </w:r>
      <w:hyperlink r:id="rId1" w:history="1">
        <w:r>
          <w:rPr>
            <w:rStyle w:val="Hyperlink"/>
            <w:rFonts w:cs="Calibri"/>
            <w:sz w:val="18"/>
            <w:szCs w:val="18"/>
          </w:rPr>
          <w:t>https://narodne-novine.nn.hr/clanci/sluzbeni/2013_06_73_1463.html</w:t>
        </w:r>
      </w:hyperlink>
    </w:p>
    <w:p w14:paraId="3A1B1C03" w14:textId="77777777" w:rsidR="00515997" w:rsidRDefault="00515997" w:rsidP="0046315C">
      <w:pPr>
        <w:pStyle w:val="NormalWeb"/>
        <w:spacing w:line="240" w:lineRule="auto"/>
        <w:rPr>
          <w:sz w:val="20"/>
          <w:szCs w:val="20"/>
          <w:lang w:val="hr-HR"/>
        </w:rPr>
      </w:pPr>
    </w:p>
  </w:footnote>
  <w:footnote w:id="27">
    <w:p w14:paraId="3D0E7A34" w14:textId="77777777" w:rsidR="00515997" w:rsidRPr="00332A46" w:rsidRDefault="00515997" w:rsidP="0046315C">
      <w:pPr>
        <w:pStyle w:val="NormalWeb"/>
        <w:spacing w:line="240" w:lineRule="auto"/>
        <w:rPr>
          <w:b w:val="0"/>
          <w:sz w:val="20"/>
          <w:szCs w:val="20"/>
          <w:lang w:val="hr-HR"/>
        </w:rPr>
      </w:pPr>
      <w:r>
        <w:rPr>
          <w:rStyle w:val="FootnoteReference"/>
          <w:sz w:val="20"/>
          <w:szCs w:val="20"/>
        </w:rPr>
        <w:footnoteRef/>
      </w:r>
      <w:r>
        <w:rPr>
          <w:sz w:val="20"/>
          <w:szCs w:val="20"/>
        </w:rPr>
        <w:t xml:space="preserve"> </w:t>
      </w:r>
      <w:r w:rsidRPr="00332A46">
        <w:rPr>
          <w:b w:val="0"/>
          <w:sz w:val="20"/>
          <w:szCs w:val="20"/>
          <w:lang w:val="hr-HR"/>
        </w:rPr>
        <w:t>Otvoreno more teritorijalnih voda Crne Gore nije uključeno u analize pošto je na otvorenom moru do sada sprovedeno samo jedno istraživanje.</w:t>
      </w:r>
    </w:p>
    <w:p w14:paraId="6F72F1EF" w14:textId="77777777" w:rsidR="00515997" w:rsidRDefault="00515997" w:rsidP="0046315C">
      <w:pPr>
        <w:pStyle w:val="NormalWeb"/>
        <w:spacing w:line="240" w:lineRule="auto"/>
        <w:rPr>
          <w:sz w:val="20"/>
          <w:szCs w:val="20"/>
          <w:lang w:val="hr-HR"/>
        </w:rPr>
      </w:pPr>
    </w:p>
  </w:footnote>
  <w:footnote w:id="28">
    <w:p w14:paraId="2613672F" w14:textId="178EB031" w:rsidR="00515997" w:rsidRPr="00F65CFF" w:rsidRDefault="00515997" w:rsidP="006776B6">
      <w:pPr>
        <w:spacing w:before="0" w:after="0"/>
        <w:rPr>
          <w:rFonts w:eastAsia="Calibri" w:cs="Calibri"/>
          <w:sz w:val="20"/>
          <w:szCs w:val="20"/>
          <w:lang w:eastAsia="en-US"/>
        </w:rPr>
      </w:pPr>
      <w:r>
        <w:rPr>
          <w:rStyle w:val="FootnoteReference"/>
        </w:rPr>
        <w:footnoteRef/>
      </w:r>
      <w:r>
        <w:t xml:space="preserve"> </w:t>
      </w:r>
      <w:r w:rsidRPr="007067BE">
        <w:rPr>
          <w:rFonts w:eastAsia="Calibri" w:cs="Calibri"/>
          <w:sz w:val="20"/>
          <w:szCs w:val="20"/>
          <w:lang w:eastAsia="en-US"/>
        </w:rPr>
        <w:t>Napomena: Termini „obuhvaćeno“ i „nije obuhvaćeno“ označavaju da li su kriterijumi korišćeni za proc</w:t>
      </w:r>
      <w:r>
        <w:rPr>
          <w:rFonts w:eastAsia="Calibri" w:cs="Calibri"/>
          <w:sz w:val="20"/>
          <w:szCs w:val="20"/>
          <w:lang w:eastAsia="en-US"/>
        </w:rPr>
        <w:t>j</w:t>
      </w:r>
      <w:r w:rsidRPr="007067BE">
        <w:rPr>
          <w:rFonts w:eastAsia="Calibri" w:cs="Calibri"/>
          <w:sz w:val="20"/>
          <w:szCs w:val="20"/>
          <w:lang w:eastAsia="en-US"/>
        </w:rPr>
        <w:t>enu GES-a</w:t>
      </w:r>
    </w:p>
    <w:p w14:paraId="516A3FA7" w14:textId="77777777" w:rsidR="00515997" w:rsidRPr="00F65CFF" w:rsidRDefault="00515997" w:rsidP="006776B6">
      <w:pPr>
        <w:spacing w:before="0" w:after="0" w:line="240" w:lineRule="auto"/>
        <w:rPr>
          <w:rFonts w:eastAsia="Calibri" w:cs="Calibri"/>
          <w:sz w:val="20"/>
          <w:szCs w:val="20"/>
          <w:lang w:eastAsia="en-US"/>
        </w:rPr>
      </w:pPr>
    </w:p>
    <w:p w14:paraId="240EF5A8" w14:textId="3D85811B" w:rsidR="00515997" w:rsidRPr="006776B6" w:rsidRDefault="00515997">
      <w:pPr>
        <w:pStyle w:val="FootnoteText"/>
        <w:rPr>
          <w:lang w:val="hr-HR"/>
        </w:rPr>
      </w:pPr>
    </w:p>
  </w:footnote>
  <w:footnote w:id="29">
    <w:p w14:paraId="652D0156" w14:textId="77777777" w:rsidR="00515997" w:rsidRPr="00300C98" w:rsidRDefault="00515997" w:rsidP="00085672">
      <w:pPr>
        <w:pStyle w:val="FootnoteText"/>
        <w:ind w:firstLine="0"/>
        <w:rPr>
          <w:lang w:val="sr-Latn-ME"/>
        </w:rPr>
      </w:pPr>
      <w:r>
        <w:rPr>
          <w:rStyle w:val="FootnoteReference"/>
        </w:rPr>
        <w:footnoteRef/>
      </w:r>
      <w:r>
        <w:t xml:space="preserve"> </w:t>
      </w:r>
      <w:r w:rsidRPr="00300C98">
        <w:t>Initial assessment of the status of marine environment of Montenegro (2020), Chapter 4 - Table 4.19.</w:t>
      </w:r>
    </w:p>
  </w:footnote>
  <w:footnote w:id="30">
    <w:p w14:paraId="588A5806" w14:textId="77777777" w:rsidR="00515997" w:rsidRPr="00300C98" w:rsidRDefault="00515997" w:rsidP="00085672">
      <w:pPr>
        <w:pStyle w:val="FootnoteText"/>
        <w:ind w:firstLine="0"/>
        <w:rPr>
          <w:lang w:val="sr-Latn-ME"/>
        </w:rPr>
      </w:pPr>
      <w:r>
        <w:rPr>
          <w:rStyle w:val="FootnoteReference"/>
        </w:rPr>
        <w:footnoteRef/>
      </w:r>
      <w:r>
        <w:t xml:space="preserve"> </w:t>
      </w:r>
      <w:r w:rsidRPr="00300C98">
        <w:t>Skala od pet tačaka koja se koristi za procjenu trendova pritiska: - značajno smanjenje; - smanjenje; 0 bez promjene; + povećanje; ++ snažan porast</w:t>
      </w:r>
    </w:p>
  </w:footnote>
  <w:footnote w:id="31">
    <w:p w14:paraId="6F0BAFF8" w14:textId="77777777" w:rsidR="00515997" w:rsidRDefault="00515997" w:rsidP="00085672">
      <w:pPr>
        <w:pStyle w:val="FootnoteText"/>
        <w:ind w:firstLine="0"/>
      </w:pPr>
      <w:r>
        <w:rPr>
          <w:rStyle w:val="FootnoteReference"/>
        </w:rPr>
        <w:t>32</w:t>
      </w:r>
      <w:r>
        <w:t xml:space="preserve"> Napomena: Izrazi „obuhvaćeno</w:t>
      </w:r>
      <w:r w:rsidRPr="00973295">
        <w:t xml:space="preserve">“ i „nije </w:t>
      </w:r>
      <w:r>
        <w:t>obuhvaćeno“ označavaju da li se</w:t>
      </w:r>
      <w:r w:rsidRPr="00973295">
        <w:t xml:space="preserve"> kriterijumi koriste za proc</w:t>
      </w:r>
      <w:r>
        <w:t>j</w:t>
      </w:r>
      <w:r w:rsidRPr="00973295">
        <w:t>enu GES-a</w:t>
      </w:r>
      <w:r>
        <w:t xml:space="preserve"> </w:t>
      </w:r>
    </w:p>
    <w:p w14:paraId="2E6AB235" w14:textId="77777777" w:rsidR="00515997" w:rsidRPr="00132374" w:rsidRDefault="00515997" w:rsidP="00085672">
      <w:pPr>
        <w:pStyle w:val="FootnoteText"/>
        <w:ind w:firstLine="0"/>
        <w:rPr>
          <w:lang w:val="hr-HR"/>
        </w:rPr>
      </w:pPr>
    </w:p>
  </w:footnote>
  <w:footnote w:id="32">
    <w:p w14:paraId="3E9E50F2" w14:textId="77777777" w:rsidR="00515997" w:rsidRPr="0023240E" w:rsidRDefault="00515997" w:rsidP="00085672">
      <w:pPr>
        <w:pStyle w:val="FootnoteText"/>
        <w:ind w:firstLine="0"/>
        <w:rPr>
          <w:lang w:val="sr-Latn-ME"/>
        </w:rPr>
      </w:pPr>
      <w:r>
        <w:rPr>
          <w:rStyle w:val="FootnoteReference"/>
        </w:rPr>
        <w:footnoteRef/>
      </w:r>
      <w:r w:rsidRPr="00CD2AA1">
        <w:rPr>
          <w:lang w:val="sr-Latn-ME"/>
        </w:rPr>
        <w:t>Towards Ecological Objective 9 (EO9): Good Environmental Status Assessment for the Montenegro, GEF Adriatic, 2020, prepared by Carlos Guitart</w:t>
      </w:r>
    </w:p>
  </w:footnote>
  <w:footnote w:id="33">
    <w:p w14:paraId="09396CDA" w14:textId="77777777" w:rsidR="00515997" w:rsidRPr="00CD2AA1" w:rsidRDefault="00515997" w:rsidP="00085672">
      <w:pPr>
        <w:pStyle w:val="FootnoteText"/>
        <w:ind w:firstLine="0"/>
        <w:rPr>
          <w:lang w:val="sr-Latn-ME"/>
        </w:rPr>
      </w:pPr>
      <w:r>
        <w:rPr>
          <w:rStyle w:val="FootnoteReference"/>
        </w:rPr>
        <w:footnoteRef/>
      </w:r>
      <w:r w:rsidRPr="002230F6">
        <w:rPr>
          <w:rFonts w:eastAsia="Calibri"/>
          <w:szCs w:val="20"/>
          <w:lang w:val="en-GB" w:eastAsia="en-US"/>
        </w:rPr>
        <w:t>UNEP(DEPI)/MED WG.427/Inf.3, 2016-Background to the Assessment Criteria for Hazardous Substances and Biological Markers in the Mediterranean Sea Basin and its Regional Scales.</w:t>
      </w:r>
    </w:p>
  </w:footnote>
  <w:footnote w:id="34">
    <w:p w14:paraId="7B118F34" w14:textId="77777777" w:rsidR="00515997" w:rsidRPr="00CD2AA1" w:rsidRDefault="00515997" w:rsidP="00085672">
      <w:pPr>
        <w:pStyle w:val="FootnoteText"/>
        <w:ind w:firstLine="0"/>
        <w:rPr>
          <w:lang w:val="sr-Latn-ME"/>
        </w:rPr>
      </w:pPr>
      <w:r>
        <w:rPr>
          <w:rStyle w:val="FootnoteReference"/>
        </w:rPr>
        <w:footnoteRef/>
      </w:r>
      <w:r w:rsidRPr="00CD2AA1">
        <w:rPr>
          <w:lang w:val="sr-Latn-ME"/>
        </w:rPr>
        <w:t>OSPAR Commission 2014: Levels and trends in marine contaminants and their biological effects – CEMP Assessment report 2014.</w:t>
      </w:r>
    </w:p>
  </w:footnote>
  <w:footnote w:id="35">
    <w:p w14:paraId="178EB7C6" w14:textId="77777777" w:rsidR="00515997" w:rsidRPr="0023240E" w:rsidRDefault="00515997" w:rsidP="00085672">
      <w:pPr>
        <w:pStyle w:val="FootnoteText"/>
        <w:ind w:firstLine="0"/>
        <w:rPr>
          <w:lang w:val="sr-Latn-ME"/>
        </w:rPr>
      </w:pPr>
      <w:r>
        <w:rPr>
          <w:rStyle w:val="FootnoteReference"/>
        </w:rPr>
        <w:footnoteRef/>
      </w:r>
      <w:r w:rsidRPr="00F95323">
        <w:rPr>
          <w:szCs w:val="20"/>
          <w:lang w:val="en-GB"/>
        </w:rPr>
        <w:t>UNEP(DEPI)/MED WG.427/Inf.3, 2016: Background to the Assessment Criteria for Hazardous Substances and Biological Markers in the Mediterranean Sea Basin and its Regional Scales.</w:t>
      </w:r>
    </w:p>
  </w:footnote>
  <w:footnote w:id="36">
    <w:p w14:paraId="21E98C38" w14:textId="77777777" w:rsidR="00515997" w:rsidRPr="0071445D" w:rsidRDefault="00515997" w:rsidP="00085672">
      <w:pPr>
        <w:pStyle w:val="FootnoteText"/>
        <w:ind w:firstLine="0"/>
        <w:rPr>
          <w:lang w:val="sr-Latn-ME"/>
        </w:rPr>
      </w:pPr>
      <w:r>
        <w:rPr>
          <w:rStyle w:val="FootnoteReference"/>
        </w:rPr>
        <w:footnoteRef/>
      </w:r>
      <w:r w:rsidRPr="000F5093">
        <w:rPr>
          <w:szCs w:val="20"/>
        </w:rPr>
        <w:t xml:space="preserve">Podaci za otvoreno more nisu uključeni u procjenu GES-a jer je uzorkovanje na </w:t>
      </w:r>
      <w:r>
        <w:rPr>
          <w:szCs w:val="20"/>
        </w:rPr>
        <w:t xml:space="preserve">lokacijama </w:t>
      </w:r>
      <w:r w:rsidRPr="000F5093">
        <w:rPr>
          <w:szCs w:val="20"/>
        </w:rPr>
        <w:t xml:space="preserve">otvorenog mora izvršeno samo jednom </w:t>
      </w:r>
      <w:r>
        <w:rPr>
          <w:rFonts w:eastAsia="Calibri"/>
          <w:szCs w:val="20"/>
          <w:lang w:val="hr-HR" w:eastAsia="en-US"/>
        </w:rPr>
        <w:t>(</w:t>
      </w:r>
      <w:r w:rsidRPr="00F95323">
        <w:rPr>
          <w:rFonts w:eastAsia="Calibri"/>
          <w:szCs w:val="20"/>
          <w:lang w:val="hr-HR" w:eastAsia="en-US"/>
        </w:rPr>
        <w:t>GEF Adriatic projekt, 2019).</w:t>
      </w:r>
    </w:p>
  </w:footnote>
  <w:footnote w:id="37">
    <w:p w14:paraId="7702C085" w14:textId="0F6244A7" w:rsidR="00515997" w:rsidRPr="00D06AC0" w:rsidRDefault="00515997" w:rsidP="00D06AC0">
      <w:pPr>
        <w:pStyle w:val="FootnoteText"/>
        <w:spacing w:before="0" w:after="0" w:line="240" w:lineRule="auto"/>
        <w:ind w:firstLine="0"/>
        <w:rPr>
          <w:szCs w:val="20"/>
          <w:lang w:val="hr-HR"/>
        </w:rPr>
      </w:pPr>
      <w:r>
        <w:rPr>
          <w:rStyle w:val="FootnoteReference"/>
        </w:rPr>
        <w:footnoteRef/>
      </w:r>
      <w:r w:rsidRPr="00B0259A">
        <w:rPr>
          <w:szCs w:val="20"/>
        </w:rPr>
        <w:t xml:space="preserve"> </w:t>
      </w:r>
      <w:r>
        <w:rPr>
          <w:szCs w:val="20"/>
          <w:lang w:val="hr-HR"/>
        </w:rPr>
        <w:t xml:space="preserve">Ispitivanje kontaminanta </w:t>
      </w:r>
      <w:r w:rsidRPr="0069796D">
        <w:rPr>
          <w:szCs w:val="20"/>
          <w:lang w:val="hr-HR"/>
        </w:rPr>
        <w:t>na lokacijama na otvorenom moru izvršena su samo jednom u okviru GEF Adriaic projekta 2019, pa se GES procena fokusirala na Boko-kotorski zaliv i obalno područje otvorenog mora za koje postoje dovoljni podaci.</w:t>
      </w:r>
    </w:p>
  </w:footnote>
  <w:footnote w:id="38">
    <w:p w14:paraId="71128C91" w14:textId="77777777" w:rsidR="00515997" w:rsidRDefault="00515997" w:rsidP="00D06AC0">
      <w:pPr>
        <w:spacing w:after="0" w:line="240" w:lineRule="auto"/>
        <w:rPr>
          <w:rFonts w:eastAsia="Calibri" w:cs="Calibri"/>
          <w:b/>
          <w:bCs/>
          <w:sz w:val="20"/>
          <w:szCs w:val="20"/>
          <w:lang w:val="en-GB"/>
        </w:rPr>
      </w:pPr>
      <w:r>
        <w:rPr>
          <w:rStyle w:val="FootnoteReference"/>
        </w:rPr>
        <w:footnoteRef/>
      </w:r>
      <w:r>
        <w:t xml:space="preserve"> </w:t>
      </w:r>
      <w:r w:rsidRPr="005A1C76">
        <w:rPr>
          <w:rFonts w:eastAsia="Calibri" w:cs="Calibri"/>
          <w:sz w:val="20"/>
          <w:szCs w:val="20"/>
          <w:lang w:val="en-GB"/>
        </w:rPr>
        <w:t xml:space="preserve">Tip:  </w:t>
      </w:r>
      <w:r w:rsidRPr="00D06AC0">
        <w:rPr>
          <w:rFonts w:eastAsia="Calibri" w:cs="Calibri"/>
          <w:bCs/>
          <w:sz w:val="20"/>
          <w:szCs w:val="20"/>
          <w:lang w:val="en-GB"/>
        </w:rPr>
        <w:t>CM – Obalna Master, CR – Obalna Referentna, CH – Obalna Hot Spot</w:t>
      </w:r>
    </w:p>
    <w:p w14:paraId="46E59695" w14:textId="4365FDBD" w:rsidR="00515997" w:rsidRPr="00D06AC0" w:rsidRDefault="00515997">
      <w:pPr>
        <w:pStyle w:val="FootnoteText"/>
        <w:rPr>
          <w:lang w:val="hr-HR"/>
        </w:rPr>
      </w:pPr>
    </w:p>
  </w:footnote>
  <w:footnote w:id="39">
    <w:p w14:paraId="05C71078" w14:textId="77777777" w:rsidR="00515997" w:rsidRPr="00AE2F6D" w:rsidRDefault="00515997" w:rsidP="00085672">
      <w:pPr>
        <w:tabs>
          <w:tab w:val="left" w:pos="7328"/>
        </w:tabs>
        <w:spacing w:after="0" w:line="240" w:lineRule="auto"/>
        <w:ind w:left="142" w:hanging="142"/>
        <w:rPr>
          <w:rFonts w:cs="Calibri"/>
          <w:b/>
          <w:sz w:val="20"/>
          <w:szCs w:val="20"/>
          <w:lang w:val="en-GB"/>
        </w:rPr>
      </w:pPr>
      <w:r w:rsidRPr="00AE2F6D">
        <w:rPr>
          <w:rStyle w:val="FootnoteReference"/>
          <w:sz w:val="20"/>
          <w:szCs w:val="20"/>
        </w:rPr>
        <w:footnoteRef/>
      </w:r>
      <w:r w:rsidRPr="00AE2F6D">
        <w:rPr>
          <w:sz w:val="20"/>
          <w:szCs w:val="20"/>
        </w:rPr>
        <w:t xml:space="preserve"> </w:t>
      </w:r>
      <w:r w:rsidRPr="00AE2F6D">
        <w:rPr>
          <w:sz w:val="20"/>
          <w:szCs w:val="20"/>
          <w:lang w:val="en-GB"/>
        </w:rPr>
        <w:t>UNEP(DEPI)/MED WG.427/Inf.3, 2016: Background to the Assessment Criteria for Hazardous Substances and Biological Markers in the Mediterranean Sea Basin and its Regional Scales.</w:t>
      </w:r>
    </w:p>
  </w:footnote>
  <w:footnote w:id="40">
    <w:p w14:paraId="40CF8284" w14:textId="77777777" w:rsidR="00515997" w:rsidRPr="00AE2F6D" w:rsidRDefault="00515997" w:rsidP="00085672">
      <w:pPr>
        <w:pStyle w:val="FootnoteText"/>
        <w:spacing w:before="0" w:after="0" w:line="240" w:lineRule="auto"/>
        <w:ind w:left="142" w:hanging="142"/>
        <w:rPr>
          <w:szCs w:val="20"/>
          <w:lang w:val="hr-HR"/>
        </w:rPr>
      </w:pPr>
      <w:r w:rsidRPr="00AE2F6D">
        <w:rPr>
          <w:rStyle w:val="FootnoteReference"/>
          <w:szCs w:val="20"/>
        </w:rPr>
        <w:footnoteRef/>
      </w:r>
      <w:r w:rsidRPr="00AE2F6D">
        <w:rPr>
          <w:szCs w:val="20"/>
        </w:rPr>
        <w:t xml:space="preserve"> OSPAR Commission, 2014. Levels and trends in marine contaminants and their biological effects – CEMP Assessment report 2013.</w:t>
      </w:r>
    </w:p>
  </w:footnote>
  <w:footnote w:id="41">
    <w:p w14:paraId="73CEE142" w14:textId="77777777" w:rsidR="00515997" w:rsidRPr="00AE2F6D" w:rsidRDefault="00515997" w:rsidP="00085672">
      <w:pPr>
        <w:pStyle w:val="FootnoteText"/>
        <w:spacing w:before="0" w:after="0" w:line="240" w:lineRule="auto"/>
        <w:ind w:firstLine="0"/>
        <w:rPr>
          <w:szCs w:val="20"/>
          <w:lang w:val="hr-HR"/>
        </w:rPr>
      </w:pPr>
      <w:r w:rsidRPr="00AE2F6D">
        <w:rPr>
          <w:rStyle w:val="FootnoteReference"/>
          <w:szCs w:val="20"/>
        </w:rPr>
        <w:footnoteRef/>
      </w:r>
      <w:r w:rsidRPr="00AE2F6D">
        <w:rPr>
          <w:szCs w:val="20"/>
        </w:rPr>
        <w:t xml:space="preserve"> OSPAR Commission, 2014. Levels and trends in marine contaminants and their biological effects – CEMP Assessment report</w:t>
      </w:r>
      <w:r>
        <w:rPr>
          <w:szCs w:val="20"/>
        </w:rPr>
        <w:t>.</w:t>
      </w:r>
    </w:p>
  </w:footnote>
  <w:footnote w:id="42">
    <w:p w14:paraId="62A4A2FA" w14:textId="77777777" w:rsidR="00515997" w:rsidRPr="00073855" w:rsidRDefault="00515997" w:rsidP="00085672">
      <w:pPr>
        <w:pStyle w:val="FootnoteText"/>
        <w:spacing w:before="0" w:after="0" w:line="240" w:lineRule="auto"/>
        <w:ind w:hanging="142"/>
        <w:rPr>
          <w:szCs w:val="20"/>
          <w:lang w:val="hr-HR"/>
        </w:rPr>
      </w:pPr>
      <w:r>
        <w:rPr>
          <w:rStyle w:val="FootnoteReference"/>
        </w:rPr>
        <w:footnoteRef/>
      </w:r>
      <w:r>
        <w:t xml:space="preserve"> </w:t>
      </w:r>
      <w:r w:rsidRPr="00073855">
        <w:rPr>
          <w:szCs w:val="20"/>
        </w:rPr>
        <w:t>Directive 2005/35/EC of the European Parliament and of the Council of 7 September 2005 on ship-source pollution and on the introduction of penalties, including criminal penalties, for pollution offences</w:t>
      </w:r>
      <w:r>
        <w:rPr>
          <w:szCs w:val="20"/>
        </w:rPr>
        <w:t>.</w:t>
      </w:r>
    </w:p>
  </w:footnote>
  <w:footnote w:id="43">
    <w:p w14:paraId="5FD4F0AE" w14:textId="73219414" w:rsidR="00515997" w:rsidRPr="00837141" w:rsidRDefault="00515997" w:rsidP="00085672">
      <w:pPr>
        <w:tabs>
          <w:tab w:val="left" w:pos="7328"/>
        </w:tabs>
        <w:spacing w:after="0" w:line="240" w:lineRule="auto"/>
        <w:ind w:left="142" w:hanging="142"/>
        <w:rPr>
          <w:rFonts w:cs="Calibri"/>
          <w:b/>
          <w:sz w:val="18"/>
          <w:szCs w:val="18"/>
          <w:lang w:val="en-GB"/>
        </w:rPr>
      </w:pPr>
      <w:r w:rsidRPr="00AE2F6D">
        <w:rPr>
          <w:rStyle w:val="FootnoteReference"/>
          <w:sz w:val="20"/>
          <w:szCs w:val="20"/>
        </w:rPr>
        <w:footnoteRef/>
      </w:r>
      <w:r w:rsidRPr="00AE2F6D">
        <w:rPr>
          <w:sz w:val="20"/>
          <w:szCs w:val="20"/>
        </w:rPr>
        <w:t xml:space="preserve"> </w:t>
      </w:r>
      <w:r>
        <w:rPr>
          <w:sz w:val="20"/>
          <w:szCs w:val="20"/>
        </w:rPr>
        <w:t>DIREKTIVA 2000/60/EC</w:t>
      </w:r>
      <w:r w:rsidRPr="003466C5">
        <w:rPr>
          <w:sz w:val="20"/>
          <w:szCs w:val="20"/>
        </w:rPr>
        <w:t xml:space="preserve"> Evropskog parlamenta i Sav</w:t>
      </w:r>
      <w:r>
        <w:rPr>
          <w:sz w:val="20"/>
          <w:szCs w:val="20"/>
        </w:rPr>
        <w:t>j</w:t>
      </w:r>
      <w:r w:rsidRPr="003466C5">
        <w:rPr>
          <w:sz w:val="20"/>
          <w:szCs w:val="20"/>
        </w:rPr>
        <w:t>eta od 23. oktobra 2000. o uspostavljanju okvira za d</w:t>
      </w:r>
      <w:r>
        <w:rPr>
          <w:sz w:val="20"/>
          <w:szCs w:val="20"/>
        </w:rPr>
        <w:t>j</w:t>
      </w:r>
      <w:r w:rsidRPr="003466C5">
        <w:rPr>
          <w:sz w:val="20"/>
          <w:szCs w:val="20"/>
        </w:rPr>
        <w:t>elovanje Zajednice u oblasti politike voda</w:t>
      </w:r>
    </w:p>
  </w:footnote>
  <w:footnote w:id="44">
    <w:p w14:paraId="15BD38FC" w14:textId="77777777" w:rsidR="00515997" w:rsidRPr="00470EE4" w:rsidRDefault="00515997" w:rsidP="00DA6B61">
      <w:pPr>
        <w:spacing w:after="0"/>
        <w:rPr>
          <w:rFonts w:eastAsia="Calibri" w:cs="Calibri"/>
          <w:sz w:val="20"/>
          <w:szCs w:val="20"/>
        </w:rPr>
      </w:pPr>
      <w:r>
        <w:rPr>
          <w:rStyle w:val="FootnoteReference"/>
        </w:rPr>
        <w:footnoteRef/>
      </w:r>
      <w:r>
        <w:t xml:space="preserve"> </w:t>
      </w:r>
      <w:r w:rsidRPr="00D50FCD">
        <w:rPr>
          <w:sz w:val="20"/>
          <w:szCs w:val="20"/>
        </w:rPr>
        <w:t>Napomena: Izrazi „obuhvaćeno“ i „nije obuhvaćeno“ označavaju da li se kriterijumi koriste za procjenu GES-a</w:t>
      </w:r>
      <w:r>
        <w:t xml:space="preserve"> </w:t>
      </w:r>
    </w:p>
    <w:p w14:paraId="173FDF36" w14:textId="77777777" w:rsidR="00515997" w:rsidRPr="004C3A51" w:rsidRDefault="00515997" w:rsidP="00DA6B61">
      <w:pPr>
        <w:pStyle w:val="FootnoteText"/>
        <w:rPr>
          <w:lang w:val="hr-HR"/>
        </w:rPr>
      </w:pPr>
    </w:p>
  </w:footnote>
  <w:footnote w:id="45">
    <w:p w14:paraId="67B2B83F" w14:textId="77777777" w:rsidR="00515997" w:rsidRPr="00284BB5" w:rsidRDefault="00515997" w:rsidP="00A72DBB">
      <w:pPr>
        <w:pStyle w:val="FootnoteText"/>
        <w:spacing w:before="0" w:after="0"/>
        <w:ind w:firstLine="0"/>
        <w:rPr>
          <w:lang w:val="sr-Latn-ME"/>
        </w:rPr>
      </w:pPr>
      <w:r>
        <w:rPr>
          <w:rStyle w:val="FootnoteReference"/>
        </w:rPr>
        <w:footnoteRef/>
      </w:r>
      <w:r w:rsidRPr="00284BB5">
        <w:rPr>
          <w:lang w:val="sr-Latn-ME"/>
        </w:rPr>
        <w:t>CEFAS Report, 2011.</w:t>
      </w:r>
    </w:p>
  </w:footnote>
  <w:footnote w:id="46">
    <w:p w14:paraId="4E533515" w14:textId="77777777" w:rsidR="00515997" w:rsidRPr="00530233" w:rsidRDefault="00515997" w:rsidP="00A72DBB">
      <w:pPr>
        <w:pStyle w:val="FootnoteText"/>
        <w:tabs>
          <w:tab w:val="left" w:pos="142"/>
        </w:tabs>
        <w:spacing w:before="0" w:after="0" w:line="240" w:lineRule="auto"/>
        <w:ind w:left="142" w:hanging="142"/>
        <w:rPr>
          <w:szCs w:val="20"/>
          <w:lang w:val="hr-HR"/>
        </w:rPr>
      </w:pPr>
      <w:r w:rsidRPr="00530233">
        <w:rPr>
          <w:rStyle w:val="FootnoteReference"/>
          <w:szCs w:val="20"/>
        </w:rPr>
        <w:footnoteRef/>
      </w:r>
      <w:r w:rsidRPr="00530233">
        <w:rPr>
          <w:szCs w:val="20"/>
        </w:rPr>
        <w:t xml:space="preserve"> COMMISSION REGULATION (EC) No 1881/2006 of 19 December 2006 setting maximum levels for certain contaminants in foodstuffs.</w:t>
      </w:r>
    </w:p>
  </w:footnote>
  <w:footnote w:id="47">
    <w:p w14:paraId="69284B8E" w14:textId="77777777" w:rsidR="00515997" w:rsidRPr="008826B2" w:rsidRDefault="00515997" w:rsidP="00A72DBB">
      <w:pPr>
        <w:pStyle w:val="FootnoteText"/>
        <w:spacing w:before="0" w:after="0"/>
        <w:ind w:firstLine="0"/>
        <w:rPr>
          <w:lang w:val="sr-Latn-ME"/>
        </w:rPr>
      </w:pPr>
      <w:r>
        <w:rPr>
          <w:rStyle w:val="FootnoteReference"/>
        </w:rPr>
        <w:footnoteRef/>
      </w:r>
      <w:r w:rsidRPr="008826B2">
        <w:t>Regulation of maximum permitted ammounts of contaminants in the food ("Official Gazette of Montenegro", No. 48/16, 066/19) which is harmonized with EU legislation.</w:t>
      </w:r>
    </w:p>
  </w:footnote>
  <w:footnote w:id="48">
    <w:p w14:paraId="6DB076CB" w14:textId="77777777" w:rsidR="00515997" w:rsidRPr="00530233" w:rsidRDefault="00515997" w:rsidP="00A72DBB">
      <w:pPr>
        <w:pStyle w:val="FootnoteText"/>
        <w:spacing w:before="0" w:after="0" w:line="240" w:lineRule="auto"/>
        <w:ind w:firstLine="0"/>
        <w:rPr>
          <w:szCs w:val="20"/>
        </w:rPr>
      </w:pPr>
      <w:r w:rsidRPr="004C3A51">
        <w:rPr>
          <w:rStyle w:val="FootnoteReference"/>
          <w:szCs w:val="20"/>
        </w:rPr>
        <w:footnoteRef/>
      </w:r>
      <w:r w:rsidRPr="004C3A51">
        <w:rPr>
          <w:szCs w:val="20"/>
        </w:rPr>
        <w:t xml:space="preserve"> </w:t>
      </w:r>
      <w:r>
        <w:rPr>
          <w:szCs w:val="20"/>
        </w:rPr>
        <w:t xml:space="preserve">Inicijalna Procjena Stanja morske sredine u Crnoj Gori </w:t>
      </w:r>
      <w:r w:rsidRPr="00530233">
        <w:rPr>
          <w:rFonts w:cs="Calibri"/>
          <w:bCs/>
          <w:szCs w:val="20"/>
          <w:lang w:val="en-GB" w:eastAsia="hr-HR"/>
        </w:rPr>
        <w:t xml:space="preserve">(2020), </w:t>
      </w:r>
      <w:r>
        <w:rPr>
          <w:rFonts w:cs="Calibri"/>
          <w:bCs/>
          <w:szCs w:val="20"/>
          <w:lang w:val="en-GB" w:eastAsia="hr-HR"/>
        </w:rPr>
        <w:t>Poglavlje</w:t>
      </w:r>
      <w:r w:rsidRPr="00530233">
        <w:rPr>
          <w:rFonts w:cs="Calibri"/>
          <w:bCs/>
          <w:szCs w:val="20"/>
          <w:lang w:val="en-GB" w:eastAsia="hr-HR"/>
        </w:rPr>
        <w:t xml:space="preserve"> 4 - Tab</w:t>
      </w:r>
      <w:r>
        <w:rPr>
          <w:rFonts w:cs="Calibri"/>
          <w:bCs/>
          <w:szCs w:val="20"/>
          <w:lang w:val="en-GB" w:eastAsia="hr-HR"/>
        </w:rPr>
        <w:t>ela</w:t>
      </w:r>
      <w:r w:rsidRPr="00530233">
        <w:rPr>
          <w:rFonts w:cs="Calibri"/>
          <w:bCs/>
          <w:szCs w:val="20"/>
          <w:lang w:val="en-GB" w:eastAsia="hr-HR"/>
        </w:rPr>
        <w:t xml:space="preserve"> 4.19.</w:t>
      </w:r>
    </w:p>
  </w:footnote>
  <w:footnote w:id="49">
    <w:p w14:paraId="25CA4228" w14:textId="77777777" w:rsidR="00515997" w:rsidRPr="00EA4490" w:rsidRDefault="00515997" w:rsidP="00A72DBB">
      <w:pPr>
        <w:spacing w:before="0" w:after="0"/>
        <w:rPr>
          <w:bCs/>
          <w:lang w:val="sr-Latn-RS" w:eastAsia="en-US"/>
        </w:rPr>
      </w:pPr>
      <w:r w:rsidRPr="00530233">
        <w:rPr>
          <w:rStyle w:val="FootnoteReference"/>
          <w:sz w:val="20"/>
          <w:szCs w:val="20"/>
        </w:rPr>
        <w:footnoteRef/>
      </w:r>
      <w:r w:rsidRPr="00530233">
        <w:rPr>
          <w:sz w:val="20"/>
          <w:szCs w:val="20"/>
        </w:rPr>
        <w:t xml:space="preserve"> </w:t>
      </w:r>
      <w:r w:rsidRPr="001F32E4">
        <w:rPr>
          <w:bCs/>
          <w:sz w:val="20"/>
          <w:szCs w:val="20"/>
          <w:lang w:val="sr-Latn-RS" w:eastAsia="en-US"/>
        </w:rPr>
        <w:t>Skala od pet tačaka koja se koristi za procjenu trendova pritiska: - značajno smanjenje; - smanjenje; 0 bez promjene; + povećanje; ++ snažan porast</w:t>
      </w:r>
    </w:p>
    <w:p w14:paraId="5B58CE79" w14:textId="77777777" w:rsidR="00515997" w:rsidRPr="00530233" w:rsidRDefault="00515997" w:rsidP="004C1B16">
      <w:pPr>
        <w:spacing w:before="0" w:after="0" w:line="240" w:lineRule="auto"/>
        <w:rPr>
          <w:sz w:val="20"/>
          <w:szCs w:val="20"/>
          <w:lang w:val="en-GB" w:eastAsia="en-US"/>
        </w:rPr>
      </w:pPr>
    </w:p>
    <w:p w14:paraId="78F5DEE8" w14:textId="77777777" w:rsidR="00515997" w:rsidRPr="004C3A51" w:rsidRDefault="00515997" w:rsidP="004C1B16">
      <w:pPr>
        <w:pStyle w:val="FootnoteText"/>
        <w:rPr>
          <w:lang w:val="hr-HR"/>
        </w:rPr>
      </w:pPr>
    </w:p>
  </w:footnote>
  <w:footnote w:id="50">
    <w:p w14:paraId="0B755A27" w14:textId="77777777" w:rsidR="00515997" w:rsidRPr="004C3A51" w:rsidRDefault="00515997" w:rsidP="004C1B16">
      <w:pPr>
        <w:pStyle w:val="FootnoteText"/>
        <w:ind w:firstLine="0"/>
        <w:rPr>
          <w:lang w:val="hr-HR"/>
        </w:rPr>
      </w:pPr>
      <w:r>
        <w:rPr>
          <w:rStyle w:val="FootnoteReference"/>
        </w:rPr>
        <w:footnoteRef/>
      </w:r>
      <w:r>
        <w:t xml:space="preserve"> </w:t>
      </w:r>
      <w:r w:rsidRPr="00F65CFF">
        <w:rPr>
          <w:rFonts w:eastAsia="Calibri" w:cs="Calibri"/>
          <w:szCs w:val="20"/>
          <w:lang w:eastAsia="en-US"/>
        </w:rPr>
        <w:t>N</w:t>
      </w:r>
      <w:r>
        <w:rPr>
          <w:rFonts w:eastAsia="Calibri" w:cs="Calibri"/>
          <w:szCs w:val="20"/>
          <w:lang w:eastAsia="en-US"/>
        </w:rPr>
        <w:t>apomena</w:t>
      </w:r>
      <w:r w:rsidRPr="00F65CFF">
        <w:rPr>
          <w:rFonts w:eastAsia="Calibri" w:cs="Calibri"/>
          <w:szCs w:val="20"/>
          <w:lang w:eastAsia="en-US"/>
        </w:rPr>
        <w:t xml:space="preserve">: </w:t>
      </w:r>
      <w:r>
        <w:rPr>
          <w:rFonts w:eastAsia="Calibri" w:cs="Calibri"/>
          <w:szCs w:val="20"/>
          <w:lang w:eastAsia="en-US"/>
        </w:rPr>
        <w:t xml:space="preserve">Termini “pokriveno” i “nije pokriveno” označavaju da li su kriterijumi korišćeni za procjenu GES-a. </w:t>
      </w:r>
    </w:p>
  </w:footnote>
  <w:footnote w:id="51">
    <w:p w14:paraId="3C738A35" w14:textId="77777777" w:rsidR="00515997" w:rsidRPr="004C3A51" w:rsidRDefault="00515997" w:rsidP="004C1B16">
      <w:pPr>
        <w:pStyle w:val="FootnoteText"/>
        <w:ind w:firstLine="0"/>
        <w:rPr>
          <w:lang w:val="hr-HR"/>
        </w:rPr>
      </w:pPr>
      <w:r>
        <w:rPr>
          <w:rStyle w:val="FootnoteReference"/>
        </w:rPr>
        <w:footnoteRef/>
      </w:r>
      <w:r>
        <w:t xml:space="preserve"> </w:t>
      </w:r>
      <w:r w:rsidRPr="00F65CFF">
        <w:rPr>
          <w:rFonts w:eastAsia="Calibri" w:cs="Calibri"/>
          <w:szCs w:val="20"/>
          <w:lang w:eastAsia="en-US"/>
        </w:rPr>
        <w:t>N</w:t>
      </w:r>
      <w:r>
        <w:rPr>
          <w:rFonts w:eastAsia="Calibri" w:cs="Calibri"/>
          <w:szCs w:val="20"/>
          <w:lang w:eastAsia="en-US"/>
        </w:rPr>
        <w:t>apomena</w:t>
      </w:r>
      <w:r w:rsidRPr="00F65CFF">
        <w:rPr>
          <w:rFonts w:eastAsia="Calibri" w:cs="Calibri"/>
          <w:szCs w:val="20"/>
          <w:lang w:eastAsia="en-US"/>
        </w:rPr>
        <w:t xml:space="preserve">: </w:t>
      </w:r>
      <w:r>
        <w:rPr>
          <w:rFonts w:eastAsia="Calibri" w:cs="Calibri"/>
          <w:szCs w:val="20"/>
          <w:lang w:eastAsia="en-US"/>
        </w:rPr>
        <w:t xml:space="preserve">Termini “pokriveno” i “nije pokriveno” označavaju da li su kriterijumi korišćeni za procjenu GES-a. </w:t>
      </w:r>
    </w:p>
  </w:footnote>
  <w:footnote w:id="52">
    <w:p w14:paraId="301044FD" w14:textId="77777777" w:rsidR="00515997" w:rsidRPr="00D66A98" w:rsidRDefault="00515997" w:rsidP="004C1B16">
      <w:pPr>
        <w:pStyle w:val="FootnoteText"/>
        <w:spacing w:before="0" w:after="0" w:line="240" w:lineRule="auto"/>
        <w:ind w:firstLine="0"/>
        <w:rPr>
          <w:szCs w:val="20"/>
        </w:rPr>
      </w:pPr>
      <w:r w:rsidRPr="00D66A98">
        <w:rPr>
          <w:rStyle w:val="FootnoteReference"/>
          <w:szCs w:val="20"/>
        </w:rPr>
        <w:footnoteRef/>
      </w:r>
      <w:r w:rsidRPr="00D66A98">
        <w:rPr>
          <w:szCs w:val="20"/>
        </w:rPr>
        <w:t xml:space="preserve"> Van Loon et al., 2020: A European Threshold Value and Assessment Method for Macro Litter on Coastlines. Eds. G.Hanke, S. Werner, F. Galgani, A. Volckaert and F. Hauquier, Luksemburg: Publications Office of the European Union, 2020.</w:t>
      </w:r>
    </w:p>
    <w:p w14:paraId="7B3367F0" w14:textId="77777777" w:rsidR="00515997" w:rsidRPr="003B5B58" w:rsidRDefault="00515997" w:rsidP="004C1B16">
      <w:pPr>
        <w:pStyle w:val="FootnoteText"/>
        <w:rPr>
          <w:sz w:val="18"/>
          <w:szCs w:val="18"/>
        </w:rPr>
      </w:pPr>
    </w:p>
  </w:footnote>
  <w:footnote w:id="53">
    <w:p w14:paraId="4A8F0CF1" w14:textId="17CD9221" w:rsidR="00515997" w:rsidRPr="00D66A98" w:rsidRDefault="00515997" w:rsidP="00B71D9B">
      <w:pPr>
        <w:spacing w:before="0" w:after="0" w:line="240" w:lineRule="auto"/>
        <w:rPr>
          <w:rFonts w:eastAsia="Calibri"/>
          <w:sz w:val="20"/>
          <w:szCs w:val="20"/>
          <w:lang w:eastAsia="hr-HR"/>
        </w:rPr>
      </w:pPr>
      <w:r w:rsidRPr="00D66A98">
        <w:rPr>
          <w:rStyle w:val="FootnoteReference"/>
          <w:sz w:val="20"/>
          <w:szCs w:val="20"/>
        </w:rPr>
        <w:footnoteRef/>
      </w:r>
      <w:r w:rsidRPr="00D66A98">
        <w:rPr>
          <w:sz w:val="20"/>
          <w:szCs w:val="20"/>
        </w:rPr>
        <w:t xml:space="preserve"> </w:t>
      </w:r>
      <w:r w:rsidRPr="00D66A98">
        <w:rPr>
          <w:rFonts w:eastAsia="Calibri"/>
          <w:sz w:val="20"/>
          <w:szCs w:val="20"/>
          <w:lang w:eastAsia="hr-HR"/>
        </w:rPr>
        <w:t>Walmsley, S.F., Weiss, A., Claussen, U., Connor, D., (2016) Guidance for Assessments Under Article 8 of the Marine Strategy Framework Directive, Integration of assessment results. A report produced for the European Commission, DG Environment, November 2016.</w:t>
      </w:r>
    </w:p>
  </w:footnote>
  <w:footnote w:id="54">
    <w:p w14:paraId="48FBCA4D" w14:textId="77777777" w:rsidR="00515997" w:rsidRPr="00D66A98" w:rsidRDefault="00515997" w:rsidP="007824EE">
      <w:pPr>
        <w:pStyle w:val="ListParagraph"/>
        <w:autoSpaceDE w:val="0"/>
        <w:autoSpaceDN w:val="0"/>
        <w:adjustRightInd w:val="0"/>
        <w:spacing w:before="0" w:after="0" w:line="240" w:lineRule="auto"/>
        <w:ind w:left="0"/>
        <w:rPr>
          <w:rFonts w:eastAsia="Calibri"/>
          <w:sz w:val="20"/>
          <w:szCs w:val="20"/>
          <w:lang w:eastAsia="hr-HR"/>
        </w:rPr>
      </w:pPr>
      <w:r w:rsidRPr="00D66A98">
        <w:rPr>
          <w:rStyle w:val="FootnoteReference"/>
          <w:sz w:val="20"/>
          <w:szCs w:val="20"/>
        </w:rPr>
        <w:footnoteRef/>
      </w:r>
      <w:r w:rsidRPr="00D66A98">
        <w:rPr>
          <w:sz w:val="20"/>
          <w:szCs w:val="20"/>
        </w:rPr>
        <w:t xml:space="preserve"> </w:t>
      </w:r>
      <w:r w:rsidRPr="00D66A98">
        <w:rPr>
          <w:rFonts w:eastAsia="Calibri"/>
          <w:sz w:val="20"/>
          <w:szCs w:val="20"/>
          <w:lang w:eastAsia="en-US"/>
        </w:rPr>
        <w:t>Dekeling, R.P.A. et al., Monitoring Guidance for Underwater Noise in European Seas, Part I, II and III: JRC Scientific and Policy Reports EUR 26557 EN, EUR 26555, EUR 26556 EN, Publications Office of the European Union, Luxembourg, 2014.</w:t>
      </w:r>
    </w:p>
  </w:footnote>
  <w:footnote w:id="55">
    <w:p w14:paraId="396E2FEB" w14:textId="68E352A0" w:rsidR="00515997" w:rsidRPr="00EC028C" w:rsidRDefault="00515997" w:rsidP="007824EE">
      <w:pPr>
        <w:spacing w:before="0" w:after="0" w:line="240" w:lineRule="auto"/>
        <w:rPr>
          <w:rFonts w:eastAsia="Calibri" w:cs="Calibri"/>
          <w:sz w:val="20"/>
          <w:szCs w:val="20"/>
          <w:lang w:eastAsia="en-US"/>
        </w:rPr>
      </w:pPr>
      <w:r w:rsidRPr="00EC028C">
        <w:rPr>
          <w:rStyle w:val="FootnoteReference"/>
          <w:sz w:val="20"/>
          <w:szCs w:val="20"/>
        </w:rPr>
        <w:footnoteRef/>
      </w:r>
      <w:r w:rsidRPr="00EC028C">
        <w:rPr>
          <w:sz w:val="20"/>
          <w:szCs w:val="20"/>
        </w:rPr>
        <w:t xml:space="preserve"> </w:t>
      </w:r>
      <w:r w:rsidRPr="00EC028C">
        <w:rPr>
          <w:rFonts w:eastAsia="Calibri" w:cs="Calibri"/>
          <w:sz w:val="20"/>
          <w:szCs w:val="20"/>
          <w:lang w:eastAsia="en-US"/>
        </w:rPr>
        <w:t>Note: Terms ‘covered’ and ‘not covered’ denote whether criteria used to assess GES</w:t>
      </w:r>
    </w:p>
  </w:footnote>
  <w:footnote w:id="56">
    <w:p w14:paraId="089647CB" w14:textId="3C86AC80" w:rsidR="00515997" w:rsidRPr="00EC028C" w:rsidRDefault="00515997" w:rsidP="005A60C8">
      <w:pPr>
        <w:pStyle w:val="Default"/>
        <w:rPr>
          <w:rFonts w:ascii="Calibri" w:eastAsia="Times New Roman" w:hAnsi="Calibri" w:cs="Calibri"/>
          <w:sz w:val="20"/>
          <w:szCs w:val="20"/>
          <w:lang w:val="hr-HR"/>
        </w:rPr>
      </w:pPr>
      <w:r w:rsidRPr="00EC028C">
        <w:rPr>
          <w:rStyle w:val="FootnoteReference"/>
          <w:sz w:val="20"/>
          <w:szCs w:val="20"/>
        </w:rPr>
        <w:footnoteRef/>
      </w:r>
      <w:r w:rsidRPr="00EC028C">
        <w:rPr>
          <w:sz w:val="20"/>
          <w:szCs w:val="20"/>
        </w:rPr>
        <w:t xml:space="preserve"> </w:t>
      </w:r>
      <w:r w:rsidRPr="00C6266F">
        <w:rPr>
          <w:rFonts w:ascii="Calibri" w:hAnsi="Calibri" w:cs="Calibri"/>
          <w:sz w:val="20"/>
          <w:szCs w:val="20"/>
          <w:lang w:val="hr-HR"/>
        </w:rPr>
        <w:t xml:space="preserve">UNEP/MAP IMAP, 2016. Integrisani program </w:t>
      </w:r>
      <w:r>
        <w:rPr>
          <w:rFonts w:ascii="Calibri" w:hAnsi="Calibri" w:cs="Calibri"/>
          <w:sz w:val="20"/>
          <w:szCs w:val="20"/>
          <w:lang w:val="hr-HR"/>
        </w:rPr>
        <w:t>monitoringa</w:t>
      </w:r>
      <w:r w:rsidRPr="00C6266F">
        <w:rPr>
          <w:rFonts w:ascii="Calibri" w:hAnsi="Calibri" w:cs="Calibri"/>
          <w:sz w:val="20"/>
          <w:szCs w:val="20"/>
          <w:lang w:val="hr-HR"/>
        </w:rPr>
        <w:t xml:space="preserve"> i proc</w:t>
      </w:r>
      <w:r>
        <w:rPr>
          <w:rFonts w:ascii="Calibri" w:hAnsi="Calibri" w:cs="Calibri"/>
          <w:sz w:val="20"/>
          <w:szCs w:val="20"/>
          <w:lang w:val="hr-HR"/>
        </w:rPr>
        <w:t>j</w:t>
      </w:r>
      <w:r w:rsidRPr="00C6266F">
        <w:rPr>
          <w:rFonts w:ascii="Calibri" w:hAnsi="Calibri" w:cs="Calibri"/>
          <w:sz w:val="20"/>
          <w:szCs w:val="20"/>
          <w:lang w:val="hr-HR"/>
        </w:rPr>
        <w:t>ene (IMAP) Sredozemnog mora i obale i srodni kriterijumi proc</w:t>
      </w:r>
      <w:r>
        <w:rPr>
          <w:rFonts w:ascii="Calibri" w:hAnsi="Calibri" w:cs="Calibri"/>
          <w:sz w:val="20"/>
          <w:szCs w:val="20"/>
          <w:lang w:val="hr-HR"/>
        </w:rPr>
        <w:t>j</w:t>
      </w:r>
      <w:r w:rsidRPr="00C6266F">
        <w:rPr>
          <w:rFonts w:ascii="Calibri" w:hAnsi="Calibri" w:cs="Calibri"/>
          <w:sz w:val="20"/>
          <w:szCs w:val="20"/>
          <w:lang w:val="hr-HR"/>
        </w:rPr>
        <w:t>ene, Atina, Grčka.</w:t>
      </w:r>
    </w:p>
    <w:p w14:paraId="084CF205" w14:textId="77777777" w:rsidR="00515997" w:rsidRPr="004C3A51" w:rsidRDefault="00515997" w:rsidP="005A60C8">
      <w:pPr>
        <w:pStyle w:val="FootnoteText"/>
        <w:rPr>
          <w:szCs w:val="20"/>
          <w:lang w:val="hr-HR"/>
        </w:rPr>
      </w:pPr>
    </w:p>
  </w:footnote>
  <w:footnote w:id="57">
    <w:p w14:paraId="591DF7BA" w14:textId="77777777" w:rsidR="00515997" w:rsidRPr="00F57B51" w:rsidRDefault="00515997" w:rsidP="00715BF6">
      <w:pPr>
        <w:pStyle w:val="ListParagraph"/>
        <w:autoSpaceDE w:val="0"/>
        <w:autoSpaceDN w:val="0"/>
        <w:adjustRightInd w:val="0"/>
        <w:spacing w:before="0" w:after="0" w:line="240" w:lineRule="auto"/>
        <w:ind w:left="0"/>
        <w:rPr>
          <w:rFonts w:eastAsia="Calibri"/>
          <w:sz w:val="18"/>
          <w:szCs w:val="18"/>
          <w:lang w:eastAsia="hr-HR"/>
        </w:rPr>
      </w:pPr>
      <w:r>
        <w:rPr>
          <w:rStyle w:val="FootnoteReference"/>
        </w:rPr>
        <w:footnoteRef/>
      </w:r>
      <w:r>
        <w:t xml:space="preserve"> </w:t>
      </w:r>
      <w:r w:rsidRPr="00D66A98">
        <w:rPr>
          <w:rFonts w:eastAsia="Calibri"/>
          <w:sz w:val="20"/>
          <w:szCs w:val="20"/>
          <w:lang w:eastAsia="en-US"/>
        </w:rPr>
        <w:t>Dekeling, R.P.A. et al., Monitoring Guidance for Underwater Noise in European Seas, Part I, II and III: JRC Scientific and Policy Reports EUR 26557 EN, EUR 26555, EUR 26556 EN, Publications Office of the European Union, Luxembourg, 2014.</w:t>
      </w:r>
    </w:p>
    <w:p w14:paraId="6DB57E3A" w14:textId="77777777" w:rsidR="00515997" w:rsidRPr="00F57B51" w:rsidRDefault="00515997" w:rsidP="00715BF6">
      <w:pPr>
        <w:autoSpaceDE w:val="0"/>
        <w:autoSpaceDN w:val="0"/>
        <w:adjustRightInd w:val="0"/>
        <w:spacing w:before="0" w:after="0"/>
        <w:jc w:val="left"/>
        <w:rPr>
          <w:rFonts w:eastAsia="Calibri" w:cs="Calibri"/>
          <w:color w:val="272627"/>
          <w:sz w:val="16"/>
          <w:szCs w:val="16"/>
          <w:lang w:eastAsia="hr-HR"/>
        </w:rPr>
      </w:pPr>
    </w:p>
    <w:p w14:paraId="66B857E0" w14:textId="77777777" w:rsidR="00515997" w:rsidRPr="00F57B51" w:rsidRDefault="00515997" w:rsidP="00715BF6">
      <w:pPr>
        <w:pStyle w:val="FootnoteText"/>
        <w:rPr>
          <w:lang w:val="hr-HR"/>
        </w:rPr>
      </w:pPr>
    </w:p>
  </w:footnote>
  <w:footnote w:id="58">
    <w:p w14:paraId="0466EE54" w14:textId="77777777" w:rsidR="00515997" w:rsidRPr="00D639A8" w:rsidRDefault="00515997" w:rsidP="00045A24">
      <w:pPr>
        <w:pStyle w:val="FootnoteText"/>
        <w:spacing w:before="0" w:after="0" w:line="240" w:lineRule="auto"/>
        <w:ind w:firstLine="0"/>
        <w:rPr>
          <w:szCs w:val="20"/>
          <w:lang w:val="hr-HR"/>
        </w:rPr>
      </w:pPr>
      <w:r w:rsidRPr="00D639A8">
        <w:rPr>
          <w:rStyle w:val="FootnoteReference"/>
          <w:szCs w:val="20"/>
        </w:rPr>
        <w:footnoteRef/>
      </w:r>
      <w:r w:rsidRPr="00D639A8">
        <w:rPr>
          <w:szCs w:val="20"/>
        </w:rPr>
        <w:t xml:space="preserve"> </w:t>
      </w:r>
      <w:r w:rsidRPr="00D639A8">
        <w:rPr>
          <w:rFonts w:cs="Calibri"/>
          <w:szCs w:val="20"/>
          <w:lang w:val="hr-HR" w:eastAsia="en-US"/>
        </w:rPr>
        <w:t xml:space="preserve">S.K.J. Cochrane et al. 2010. Biological Diveristy, JRC Scientific and Technical Report, MSFD Task Group 1 Report,  </w:t>
      </w:r>
    </w:p>
  </w:footnote>
  <w:footnote w:id="59">
    <w:p w14:paraId="46156822" w14:textId="77777777" w:rsidR="00515997" w:rsidRPr="00762376" w:rsidRDefault="00515997" w:rsidP="009A2662">
      <w:pPr>
        <w:pStyle w:val="FootnoteText"/>
        <w:spacing w:before="0" w:after="0" w:line="240" w:lineRule="auto"/>
        <w:ind w:firstLine="0"/>
        <w:rPr>
          <w:sz w:val="18"/>
          <w:szCs w:val="18"/>
          <w:lang w:val="hr-HR"/>
        </w:rPr>
      </w:pPr>
      <w:r w:rsidRPr="00D639A8">
        <w:rPr>
          <w:rStyle w:val="FootnoteReference"/>
          <w:szCs w:val="20"/>
        </w:rPr>
        <w:footnoteRef/>
      </w:r>
      <w:r w:rsidRPr="00D639A8">
        <w:rPr>
          <w:szCs w:val="20"/>
        </w:rPr>
        <w:t xml:space="preserve"> Healthy and Biologically Diverse Seas Evidence Group (HBDSEG)</w:t>
      </w:r>
    </w:p>
  </w:footnote>
  <w:footnote w:id="60">
    <w:p w14:paraId="76D1EAEB" w14:textId="77777777" w:rsidR="00515997" w:rsidRPr="00265DAE" w:rsidRDefault="00515997" w:rsidP="006C79D7">
      <w:pPr>
        <w:spacing w:line="240" w:lineRule="auto"/>
        <w:ind w:left="284" w:hanging="284"/>
        <w:rPr>
          <w:rFonts w:eastAsia="Calibri" w:cs="Calibri"/>
          <w:sz w:val="20"/>
          <w:szCs w:val="20"/>
          <w:lang w:val="hr-HR" w:eastAsia="en-US"/>
        </w:rPr>
      </w:pPr>
      <w:r w:rsidRPr="00265DAE">
        <w:rPr>
          <w:rStyle w:val="FootnoteReference"/>
          <w:rFonts w:cs="Calibri"/>
          <w:sz w:val="20"/>
          <w:szCs w:val="20"/>
        </w:rPr>
        <w:footnoteRef/>
      </w:r>
      <w:r w:rsidRPr="00265DAE">
        <w:rPr>
          <w:rFonts w:cs="Calibri"/>
          <w:sz w:val="20"/>
          <w:szCs w:val="20"/>
        </w:rPr>
        <w:t xml:space="preserve"> </w:t>
      </w:r>
      <w:r w:rsidRPr="00265DAE">
        <w:rPr>
          <w:rFonts w:eastAsia="Calibri" w:cs="Calibri"/>
          <w:sz w:val="20"/>
          <w:szCs w:val="20"/>
          <w:lang w:val="hr-HR" w:eastAsia="en-US"/>
        </w:rPr>
        <w:t xml:space="preserve">  Final Act of the Conference of the Plenipotentiaries on the Protocol for the Protection of the Mediterrane-an Sea Against Pollution from Land-Based Sources, Syracuse (Italy), March 1996.</w:t>
      </w:r>
    </w:p>
  </w:footnote>
  <w:footnote w:id="61">
    <w:p w14:paraId="53753721" w14:textId="77777777" w:rsidR="00515997" w:rsidRPr="00265DAE" w:rsidRDefault="00515997" w:rsidP="004550B8">
      <w:pPr>
        <w:pStyle w:val="Default"/>
        <w:ind w:left="284" w:hanging="284"/>
        <w:rPr>
          <w:rFonts w:ascii="Calibri" w:eastAsia="Times New Roman" w:hAnsi="Calibri" w:cs="Calibri"/>
          <w:sz w:val="20"/>
          <w:szCs w:val="20"/>
          <w:lang w:val="hr-HR"/>
        </w:rPr>
      </w:pPr>
      <w:r>
        <w:rPr>
          <w:rStyle w:val="FootnoteReference"/>
        </w:rPr>
        <w:footnoteRef/>
      </w:r>
      <w:r>
        <w:t xml:space="preserve"> </w:t>
      </w:r>
      <w:r w:rsidRPr="00265DAE">
        <w:rPr>
          <w:rFonts w:ascii="Calibri" w:hAnsi="Calibri" w:cs="Calibri"/>
          <w:sz w:val="20"/>
          <w:szCs w:val="20"/>
          <w:lang w:val="hr-HR"/>
        </w:rPr>
        <w:t xml:space="preserve">UNEP-MAP-RAC/SPA. (b) (2015). Adriatic Sea: Status and conservation of Seabirds. By Carboneras, C. Edited by Cebrian, D. &amp; Requena, S., RAC/SPA, Tunis; 17 pp. </w:t>
      </w:r>
    </w:p>
    <w:p w14:paraId="52D0D716" w14:textId="77777777" w:rsidR="00515997" w:rsidRPr="00156D2C" w:rsidRDefault="00515997" w:rsidP="004550B8">
      <w:pPr>
        <w:pStyle w:val="FootnoteText"/>
        <w:rPr>
          <w:lang w:val="hr-HR"/>
        </w:rPr>
      </w:pPr>
    </w:p>
  </w:footnote>
  <w:footnote w:id="62">
    <w:p w14:paraId="77878FCB" w14:textId="16EC9DD2" w:rsidR="00515997" w:rsidRPr="00931899" w:rsidRDefault="00515997" w:rsidP="00B71D9B">
      <w:pPr>
        <w:pStyle w:val="FootnoteText"/>
        <w:spacing w:before="0" w:after="0" w:line="240" w:lineRule="auto"/>
        <w:ind w:firstLine="0"/>
        <w:rPr>
          <w:rFonts w:cs="Calibri"/>
          <w:sz w:val="18"/>
          <w:szCs w:val="18"/>
          <w:lang w:val="hr-HR"/>
        </w:rPr>
      </w:pPr>
      <w:r>
        <w:rPr>
          <w:rStyle w:val="FootnoteReference"/>
        </w:rPr>
        <w:footnoteRef/>
      </w:r>
      <w:r>
        <w:t xml:space="preserve"> SPA/</w:t>
      </w:r>
      <w:r w:rsidRPr="006107D0">
        <w:t xml:space="preserve">BD </w:t>
      </w:r>
      <w:r>
        <w:t>P</w:t>
      </w:r>
      <w:r w:rsidRPr="006107D0">
        <w:t xml:space="preserve">rotokol je glavno sredstvo Mediterana za sprovođenje Konvencije o </w:t>
      </w:r>
      <w:r>
        <w:t>biodiverzitetu iz</w:t>
      </w:r>
      <w:r w:rsidRPr="006107D0">
        <w:t xml:space="preserve"> 1992. godine, u pogledu održivog upravljanja obalnim i morskim biodiverzitetom</w:t>
      </w:r>
    </w:p>
  </w:footnote>
  <w:footnote w:id="63">
    <w:p w14:paraId="51BB8398" w14:textId="77777777" w:rsidR="00515997" w:rsidRPr="00F65CFF" w:rsidRDefault="00515997" w:rsidP="00723872">
      <w:pPr>
        <w:spacing w:before="0" w:after="0"/>
        <w:rPr>
          <w:rFonts w:eastAsia="Calibri" w:cs="Calibri"/>
          <w:sz w:val="20"/>
          <w:szCs w:val="20"/>
          <w:lang w:eastAsia="en-US"/>
        </w:rPr>
      </w:pPr>
      <w:r>
        <w:rPr>
          <w:rStyle w:val="FootnoteReference"/>
        </w:rPr>
        <w:footnoteRef/>
      </w:r>
      <w:r>
        <w:t xml:space="preserve"> </w:t>
      </w:r>
      <w:r w:rsidRPr="00F65CFF">
        <w:rPr>
          <w:rFonts w:eastAsia="Calibri" w:cs="Calibri"/>
          <w:sz w:val="20"/>
          <w:szCs w:val="20"/>
          <w:lang w:eastAsia="en-US"/>
        </w:rPr>
        <w:t>Note: Terms ‘covered’ and ‘not covered’ denote whether criteria used to assess GES</w:t>
      </w:r>
      <w:r>
        <w:rPr>
          <w:rFonts w:eastAsia="Calibri" w:cs="Calibri"/>
          <w:sz w:val="20"/>
          <w:szCs w:val="20"/>
          <w:lang w:eastAsia="en-US"/>
        </w:rPr>
        <w:t>.</w:t>
      </w:r>
    </w:p>
    <w:p w14:paraId="00E32842" w14:textId="0B8B57B9" w:rsidR="00515997" w:rsidRPr="004C3A51" w:rsidRDefault="00515997">
      <w:pPr>
        <w:pStyle w:val="FootnoteText"/>
        <w:rPr>
          <w:lang w:val="hr-HR"/>
        </w:rPr>
      </w:pPr>
    </w:p>
  </w:footnote>
  <w:footnote w:id="64">
    <w:p w14:paraId="6FFC4C54" w14:textId="77777777" w:rsidR="00515997" w:rsidRPr="006859F1" w:rsidRDefault="00515997" w:rsidP="00B01F32">
      <w:pPr>
        <w:pStyle w:val="Default"/>
        <w:rPr>
          <w:rFonts w:ascii="Calibri" w:eastAsia="Times New Roman" w:hAnsi="Calibri" w:cs="Calibri"/>
          <w:sz w:val="20"/>
          <w:szCs w:val="20"/>
          <w:lang w:val="hr-HR"/>
        </w:rPr>
      </w:pPr>
      <w:r>
        <w:rPr>
          <w:rStyle w:val="FootnoteReference"/>
        </w:rPr>
        <w:footnoteRef/>
      </w:r>
      <w:r>
        <w:t xml:space="preserve"> </w:t>
      </w:r>
      <w:r w:rsidRPr="006859F1">
        <w:rPr>
          <w:rFonts w:ascii="Calibri" w:hAnsi="Calibri" w:cs="Calibri"/>
          <w:sz w:val="20"/>
          <w:szCs w:val="20"/>
          <w:lang w:val="hr-HR"/>
        </w:rPr>
        <w:t xml:space="preserve">UNEP-MAP-RAC/SPA. (b) (2015). Adriatic Sea: Status and conservation of Seabirds. By Carboneras, C. Edited by Cebrian, D. &amp; Requena, S., RAC/SPA, Tunis; 17 pp. </w:t>
      </w:r>
    </w:p>
    <w:p w14:paraId="3D09205C" w14:textId="77777777" w:rsidR="00515997" w:rsidRPr="006859F1" w:rsidRDefault="00515997" w:rsidP="00B01F32">
      <w:pPr>
        <w:pStyle w:val="FootnoteText"/>
        <w:rPr>
          <w:szCs w:val="20"/>
          <w:lang w:val="hr-HR"/>
        </w:rPr>
      </w:pPr>
    </w:p>
  </w:footnote>
  <w:footnote w:id="65">
    <w:p w14:paraId="4A160832" w14:textId="77777777" w:rsidR="00515997" w:rsidRPr="006D7D31" w:rsidRDefault="00515997" w:rsidP="00373F35">
      <w:pPr>
        <w:pStyle w:val="FootnoteText"/>
        <w:spacing w:before="0" w:after="0" w:line="240" w:lineRule="auto"/>
        <w:ind w:firstLine="0"/>
        <w:rPr>
          <w:sz w:val="18"/>
          <w:szCs w:val="18"/>
        </w:rPr>
      </w:pPr>
      <w:r w:rsidRPr="006D7D31">
        <w:rPr>
          <w:rStyle w:val="FootnoteReference"/>
          <w:sz w:val="18"/>
          <w:szCs w:val="18"/>
        </w:rPr>
        <w:footnoteRef/>
      </w:r>
      <w:r w:rsidRPr="006D7D31">
        <w:rPr>
          <w:sz w:val="18"/>
          <w:szCs w:val="18"/>
        </w:rPr>
        <w:t xml:space="preserve"> </w:t>
      </w:r>
      <w:r w:rsidRPr="00B94BBC">
        <w:rPr>
          <w:szCs w:val="20"/>
        </w:rPr>
        <w:t>UNEP-MAP-RAC/SPA (a). (2015). Adriatic Sea: Important areas for conservation of cetaceans, sea turtles and giant devil rays. By Holcer, D ; Fortuna, C.M and Mackelworth, P.C. Edited by Cebrian, D.,&amp; Requena, S., RAC/SPA, Tunis ; 69 pp.</w:t>
      </w:r>
    </w:p>
  </w:footnote>
  <w:footnote w:id="66">
    <w:p w14:paraId="7611E834" w14:textId="77777777" w:rsidR="00515997" w:rsidRDefault="00515997" w:rsidP="00644D3D">
      <w:pPr>
        <w:pStyle w:val="FootnoteText"/>
        <w:ind w:firstLine="0"/>
      </w:pPr>
      <w:r>
        <w:rPr>
          <w:rStyle w:val="FootnoteReference"/>
        </w:rPr>
        <w:footnoteRef/>
      </w:r>
      <w:r>
        <w:t xml:space="preserve"> </w:t>
      </w:r>
      <w:r w:rsidRPr="00342A75">
        <w:rPr>
          <w:rFonts w:cs="Calibri"/>
          <w:color w:val="000000"/>
        </w:rPr>
        <w:t>http://www.accobams.org/main-activites/accobams-survey-initiative/</w:t>
      </w:r>
    </w:p>
    <w:p w14:paraId="2806083B" w14:textId="77777777" w:rsidR="00515997" w:rsidRDefault="00515997" w:rsidP="00644D3D">
      <w:pPr>
        <w:pStyle w:val="FootnoteText"/>
      </w:pPr>
    </w:p>
  </w:footnote>
  <w:footnote w:id="67">
    <w:p w14:paraId="102FE819" w14:textId="77777777" w:rsidR="00515997" w:rsidRPr="0052449C" w:rsidRDefault="00515997" w:rsidP="006C7C81">
      <w:pPr>
        <w:pStyle w:val="FootnoteText"/>
        <w:spacing w:before="0" w:after="0" w:line="240" w:lineRule="auto"/>
        <w:ind w:firstLine="0"/>
        <w:rPr>
          <w:rFonts w:asciiTheme="minorHAnsi" w:hAnsiTheme="minorHAnsi" w:cstheme="minorHAnsi"/>
          <w:szCs w:val="20"/>
        </w:rPr>
      </w:pPr>
      <w:r w:rsidRPr="0052449C">
        <w:rPr>
          <w:rStyle w:val="FootnoteReference"/>
          <w:rFonts w:asciiTheme="minorHAnsi" w:hAnsiTheme="minorHAnsi" w:cstheme="minorHAnsi"/>
          <w:szCs w:val="20"/>
        </w:rPr>
        <w:footnoteRef/>
      </w:r>
      <w:r w:rsidRPr="0052449C">
        <w:rPr>
          <w:rFonts w:asciiTheme="minorHAnsi" w:hAnsiTheme="minorHAnsi" w:cstheme="minorHAnsi"/>
          <w:szCs w:val="20"/>
        </w:rPr>
        <w:t xml:space="preserve"> UNEP-MAP-RAC/SPA (a). (2015). Adriatic Sea: Important areas for conservation of cetaceans, sea turtles and giant devil rays. By Holcer, D ; Fortuna, C.M and Mackelworth, P.C. Edited by Cebrian, D.,&amp; Requena, S., RAC/SPA, Tunis ; 69 pp.</w:t>
      </w:r>
    </w:p>
  </w:footnote>
  <w:footnote w:id="68">
    <w:p w14:paraId="1C45DAE2" w14:textId="5C878A57" w:rsidR="00515997" w:rsidRPr="0052449C" w:rsidRDefault="00515997" w:rsidP="00392811">
      <w:pPr>
        <w:spacing w:before="0" w:after="0" w:line="240" w:lineRule="auto"/>
        <w:rPr>
          <w:rFonts w:asciiTheme="minorHAnsi" w:hAnsiTheme="minorHAnsi" w:cstheme="minorHAnsi"/>
          <w:sz w:val="20"/>
          <w:szCs w:val="20"/>
          <w:lang w:eastAsia="hr-HR"/>
        </w:rPr>
      </w:pPr>
      <w:r w:rsidRPr="0052449C">
        <w:rPr>
          <w:rStyle w:val="FootnoteReference"/>
          <w:rFonts w:asciiTheme="minorHAnsi" w:hAnsiTheme="minorHAnsi" w:cstheme="minorHAnsi"/>
          <w:sz w:val="20"/>
          <w:szCs w:val="20"/>
        </w:rPr>
        <w:footnoteRef/>
      </w:r>
      <w:r>
        <w:rPr>
          <w:rFonts w:asciiTheme="minorHAnsi" w:hAnsiTheme="minorHAnsi" w:cstheme="minorHAnsi"/>
          <w:sz w:val="20"/>
          <w:szCs w:val="20"/>
        </w:rPr>
        <w:t xml:space="preserve"> C</w:t>
      </w:r>
      <w:r w:rsidRPr="0052449C">
        <w:rPr>
          <w:rFonts w:asciiTheme="minorHAnsi" w:hAnsiTheme="minorHAnsi" w:cstheme="minorHAnsi"/>
          <w:bCs/>
          <w:sz w:val="20"/>
          <w:szCs w:val="20"/>
          <w:shd w:val="clear" w:color="auto" w:fill="FFFFFF"/>
          <w:lang w:eastAsia="hr-HR"/>
        </w:rPr>
        <w:t xml:space="preserve">ollective actions for improving the conservation status of the </w:t>
      </w:r>
      <w:r>
        <w:rPr>
          <w:rFonts w:asciiTheme="minorHAnsi" w:hAnsiTheme="minorHAnsi" w:cstheme="minorHAnsi"/>
          <w:bCs/>
          <w:sz w:val="20"/>
          <w:szCs w:val="20"/>
          <w:shd w:val="clear" w:color="auto" w:fill="FFFFFF"/>
          <w:lang w:eastAsia="hr-HR"/>
        </w:rPr>
        <w:t>EU</w:t>
      </w:r>
      <w:r w:rsidRPr="0052449C">
        <w:rPr>
          <w:rFonts w:asciiTheme="minorHAnsi" w:hAnsiTheme="minorHAnsi" w:cstheme="minorHAnsi"/>
          <w:bCs/>
          <w:sz w:val="20"/>
          <w:szCs w:val="20"/>
          <w:shd w:val="clear" w:color="auto" w:fill="FFFFFF"/>
          <w:lang w:eastAsia="hr-HR"/>
        </w:rPr>
        <w:t xml:space="preserve"> sea turtle populations</w:t>
      </w:r>
      <w:r w:rsidRPr="0052449C">
        <w:rPr>
          <w:rFonts w:asciiTheme="minorHAnsi" w:hAnsiTheme="minorHAnsi" w:cstheme="minorHAnsi"/>
          <w:b/>
          <w:bCs/>
          <w:color w:val="3590BF"/>
          <w:sz w:val="20"/>
          <w:szCs w:val="20"/>
          <w:shd w:val="clear" w:color="auto" w:fill="FFFFFF"/>
          <w:lang w:eastAsia="hr-HR"/>
        </w:rPr>
        <w:t>,</w:t>
      </w:r>
      <w:r w:rsidRPr="0052449C">
        <w:rPr>
          <w:rFonts w:asciiTheme="minorHAnsi" w:hAnsiTheme="minorHAnsi" w:cstheme="minorHAnsi"/>
          <w:b/>
          <w:bCs/>
          <w:color w:val="3590BF"/>
          <w:sz w:val="20"/>
          <w:szCs w:val="20"/>
          <w:lang w:eastAsia="hr-HR"/>
        </w:rPr>
        <w:t xml:space="preserve"> </w:t>
      </w:r>
      <w:r w:rsidRPr="0052449C">
        <w:rPr>
          <w:rFonts w:asciiTheme="minorHAnsi" w:hAnsiTheme="minorHAnsi" w:cstheme="minorHAnsi"/>
          <w:bCs/>
          <w:spacing w:val="24"/>
          <w:sz w:val="20"/>
          <w:szCs w:val="20"/>
          <w:lang w:eastAsia="hr-HR"/>
        </w:rPr>
        <w:t>LIFE15  NAT/HR/000997</w:t>
      </w:r>
    </w:p>
    <w:p w14:paraId="3EEAC048" w14:textId="77777777" w:rsidR="00515997" w:rsidRDefault="00515997" w:rsidP="00392811">
      <w:pPr>
        <w:pStyle w:val="FootnoteText"/>
      </w:pPr>
    </w:p>
  </w:footnote>
  <w:footnote w:id="69">
    <w:p w14:paraId="174CD054" w14:textId="77777777" w:rsidR="00515997" w:rsidRDefault="00515997" w:rsidP="006612D6">
      <w:pPr>
        <w:spacing w:before="0" w:after="0"/>
        <w:rPr>
          <w:rFonts w:eastAsia="Calibri" w:cs="Calibri"/>
          <w:sz w:val="20"/>
          <w:szCs w:val="20"/>
          <w:lang w:eastAsia="en-US"/>
        </w:rPr>
      </w:pPr>
      <w:r>
        <w:rPr>
          <w:rStyle w:val="FootnoteReference"/>
          <w:sz w:val="20"/>
          <w:szCs w:val="20"/>
        </w:rPr>
        <w:footnoteRef/>
      </w:r>
      <w:r>
        <w:rPr>
          <w:sz w:val="20"/>
          <w:szCs w:val="20"/>
        </w:rPr>
        <w:t xml:space="preserve"> </w:t>
      </w:r>
      <w:r>
        <w:rPr>
          <w:rFonts w:eastAsia="Calibri" w:cs="Calibri"/>
          <w:sz w:val="20"/>
          <w:szCs w:val="20"/>
          <w:lang w:eastAsia="en-US"/>
        </w:rPr>
        <w:t>Napomena: Termin ‘pokriveno’ i ‘nije pokriveno” označava da li su kriterijumi korišćeni za procjenu.</w:t>
      </w:r>
    </w:p>
  </w:footnote>
  <w:footnote w:id="70">
    <w:p w14:paraId="78E0DDF6" w14:textId="31A1D53F" w:rsidR="00515997" w:rsidRPr="00C14654" w:rsidRDefault="00515997" w:rsidP="006612D6">
      <w:pPr>
        <w:spacing w:before="0" w:after="0" w:line="240" w:lineRule="auto"/>
        <w:ind w:left="142" w:hanging="142"/>
        <w:rPr>
          <w:rFonts w:asciiTheme="minorHAnsi" w:eastAsia="Calibri" w:hAnsiTheme="minorHAnsi" w:cstheme="minorHAnsi"/>
          <w:sz w:val="20"/>
          <w:szCs w:val="20"/>
          <w:lang w:val="en-GB"/>
        </w:rPr>
      </w:pPr>
      <w:r>
        <w:rPr>
          <w:rStyle w:val="FootnoteReference"/>
          <w:sz w:val="20"/>
          <w:szCs w:val="20"/>
        </w:rPr>
        <w:footnoteRef/>
      </w:r>
      <w:r>
        <w:rPr>
          <w:sz w:val="20"/>
          <w:szCs w:val="20"/>
        </w:rPr>
        <w:t xml:space="preserve"> </w:t>
      </w:r>
      <w:r>
        <w:rPr>
          <w:rFonts w:asciiTheme="minorHAnsi" w:hAnsiTheme="minorHAnsi" w:cstheme="minorHAnsi"/>
          <w:sz w:val="20"/>
          <w:szCs w:val="20"/>
        </w:rPr>
        <w:t>Podrška</w:t>
      </w:r>
      <w:r w:rsidRPr="00C87B62">
        <w:rPr>
          <w:rFonts w:asciiTheme="minorHAnsi" w:hAnsiTheme="minorHAnsi" w:cstheme="minorHAnsi"/>
          <w:sz w:val="20"/>
          <w:szCs w:val="20"/>
        </w:rPr>
        <w:t xml:space="preserve"> mediteransk</w:t>
      </w:r>
      <w:r>
        <w:rPr>
          <w:rFonts w:asciiTheme="minorHAnsi" w:hAnsiTheme="minorHAnsi" w:cstheme="minorHAnsi"/>
          <w:sz w:val="20"/>
          <w:szCs w:val="20"/>
        </w:rPr>
        <w:t>im državama</w:t>
      </w:r>
      <w:r w:rsidRPr="00C87B62">
        <w:rPr>
          <w:rFonts w:asciiTheme="minorHAnsi" w:hAnsiTheme="minorHAnsi" w:cstheme="minorHAnsi"/>
          <w:sz w:val="20"/>
          <w:szCs w:val="20"/>
        </w:rPr>
        <w:t xml:space="preserve"> članic</w:t>
      </w:r>
      <w:r>
        <w:rPr>
          <w:rFonts w:asciiTheme="minorHAnsi" w:hAnsiTheme="minorHAnsi" w:cstheme="minorHAnsi"/>
          <w:sz w:val="20"/>
          <w:szCs w:val="20"/>
        </w:rPr>
        <w:t>ama</w:t>
      </w:r>
      <w:r w:rsidRPr="00C87B62">
        <w:rPr>
          <w:rFonts w:asciiTheme="minorHAnsi" w:hAnsiTheme="minorHAnsi" w:cstheme="minorHAnsi"/>
          <w:sz w:val="20"/>
          <w:szCs w:val="20"/>
        </w:rPr>
        <w:t xml:space="preserve"> u cilju koherentne i koordinisane </w:t>
      </w:r>
      <w:r>
        <w:rPr>
          <w:rFonts w:asciiTheme="minorHAnsi" w:hAnsiTheme="minorHAnsi" w:cstheme="minorHAnsi"/>
          <w:sz w:val="20"/>
          <w:szCs w:val="20"/>
        </w:rPr>
        <w:t>implementacije</w:t>
      </w:r>
      <w:r w:rsidRPr="00C87B62">
        <w:rPr>
          <w:rFonts w:asciiTheme="minorHAnsi" w:hAnsiTheme="minorHAnsi" w:cstheme="minorHAnsi"/>
          <w:sz w:val="20"/>
          <w:szCs w:val="20"/>
        </w:rPr>
        <w:t xml:space="preserve"> druge faze </w:t>
      </w:r>
      <w:r>
        <w:rPr>
          <w:rFonts w:asciiTheme="minorHAnsi" w:hAnsiTheme="minorHAnsi" w:cstheme="minorHAnsi"/>
          <w:sz w:val="20"/>
          <w:szCs w:val="20"/>
        </w:rPr>
        <w:t>ODMS</w:t>
      </w:r>
      <w:r w:rsidRPr="00C87B62">
        <w:rPr>
          <w:rFonts w:asciiTheme="minorHAnsi" w:hAnsiTheme="minorHAnsi" w:cstheme="minorHAnsi"/>
          <w:sz w:val="20"/>
          <w:szCs w:val="20"/>
        </w:rPr>
        <w:t>-a (2016.-2018 .; DG Environment),</w:t>
      </w:r>
      <w:hyperlink r:id="rId2" w:history="1">
        <w:r w:rsidRPr="00C14654">
          <w:rPr>
            <w:rStyle w:val="Hyperlink"/>
            <w:rFonts w:asciiTheme="minorHAnsi" w:hAnsiTheme="minorHAnsi" w:cstheme="minorHAnsi"/>
            <w:sz w:val="20"/>
            <w:szCs w:val="20"/>
            <w:shd w:val="clear" w:color="auto" w:fill="FFFFFF"/>
          </w:rPr>
          <w:t>http://medcis.eu</w:t>
        </w:r>
      </w:hyperlink>
      <w:r w:rsidRPr="00C14654">
        <w:rPr>
          <w:rFonts w:asciiTheme="minorHAnsi" w:hAnsiTheme="minorHAnsi" w:cstheme="minorHAnsi"/>
          <w:sz w:val="20"/>
          <w:szCs w:val="20"/>
          <w:shd w:val="clear" w:color="auto" w:fill="FFFFFF"/>
        </w:rPr>
        <w:t xml:space="preserve"> </w:t>
      </w:r>
    </w:p>
  </w:footnote>
  <w:footnote w:id="71">
    <w:p w14:paraId="65B01017" w14:textId="52613786" w:rsidR="00515997" w:rsidRPr="00C14654" w:rsidRDefault="00515997" w:rsidP="006612D6">
      <w:pPr>
        <w:pStyle w:val="FootnoteText"/>
        <w:spacing w:before="0" w:after="0" w:line="240" w:lineRule="auto"/>
        <w:ind w:left="142" w:hanging="142"/>
        <w:rPr>
          <w:rFonts w:asciiTheme="minorHAnsi" w:hAnsiTheme="minorHAnsi" w:cstheme="minorHAnsi"/>
          <w:szCs w:val="20"/>
        </w:rPr>
      </w:pPr>
      <w:r w:rsidRPr="00C14654">
        <w:rPr>
          <w:rStyle w:val="FootnoteReference"/>
          <w:rFonts w:asciiTheme="minorHAnsi" w:hAnsiTheme="minorHAnsi" w:cstheme="minorHAnsi"/>
          <w:szCs w:val="20"/>
        </w:rPr>
        <w:footnoteRef/>
      </w:r>
      <w:r w:rsidRPr="00C14654">
        <w:rPr>
          <w:rFonts w:asciiTheme="minorHAnsi" w:hAnsiTheme="minorHAnsi" w:cstheme="minorHAnsi"/>
          <w:szCs w:val="20"/>
        </w:rPr>
        <w:t xml:space="preserve"> </w:t>
      </w:r>
      <w:r>
        <w:rPr>
          <w:rFonts w:asciiTheme="minorHAnsi" w:hAnsiTheme="minorHAnsi" w:cstheme="minorHAnsi"/>
          <w:szCs w:val="20"/>
        </w:rPr>
        <w:t>Podrška</w:t>
      </w:r>
      <w:r w:rsidRPr="00C87B62">
        <w:rPr>
          <w:rFonts w:asciiTheme="minorHAnsi" w:hAnsiTheme="minorHAnsi" w:cstheme="minorHAnsi"/>
          <w:szCs w:val="20"/>
        </w:rPr>
        <w:t xml:space="preserve"> mediteransk</w:t>
      </w:r>
      <w:r>
        <w:rPr>
          <w:rFonts w:asciiTheme="minorHAnsi" w:hAnsiTheme="minorHAnsi" w:cstheme="minorHAnsi"/>
          <w:szCs w:val="20"/>
        </w:rPr>
        <w:t>im državama</w:t>
      </w:r>
      <w:r w:rsidRPr="00C87B62">
        <w:rPr>
          <w:rFonts w:asciiTheme="minorHAnsi" w:hAnsiTheme="minorHAnsi" w:cstheme="minorHAnsi"/>
          <w:szCs w:val="20"/>
        </w:rPr>
        <w:t xml:space="preserve"> članic</w:t>
      </w:r>
      <w:r>
        <w:rPr>
          <w:rFonts w:asciiTheme="minorHAnsi" w:hAnsiTheme="minorHAnsi" w:cstheme="minorHAnsi"/>
          <w:szCs w:val="20"/>
        </w:rPr>
        <w:t>ama</w:t>
      </w:r>
      <w:r w:rsidRPr="00C87B62">
        <w:rPr>
          <w:rFonts w:asciiTheme="minorHAnsi" w:hAnsiTheme="minorHAnsi" w:cstheme="minorHAnsi"/>
          <w:szCs w:val="20"/>
        </w:rPr>
        <w:t xml:space="preserve"> u cilju koherentne i koordinisane </w:t>
      </w:r>
      <w:r>
        <w:rPr>
          <w:rFonts w:asciiTheme="minorHAnsi" w:hAnsiTheme="minorHAnsi" w:cstheme="minorHAnsi"/>
          <w:szCs w:val="20"/>
        </w:rPr>
        <w:t>implementacije</w:t>
      </w:r>
      <w:r w:rsidRPr="00C87B62">
        <w:rPr>
          <w:rFonts w:asciiTheme="minorHAnsi" w:hAnsiTheme="minorHAnsi" w:cstheme="minorHAnsi"/>
          <w:szCs w:val="20"/>
        </w:rPr>
        <w:t xml:space="preserve"> druge faze </w:t>
      </w:r>
      <w:r>
        <w:rPr>
          <w:rFonts w:asciiTheme="minorHAnsi" w:hAnsiTheme="minorHAnsi" w:cstheme="minorHAnsi"/>
          <w:szCs w:val="20"/>
        </w:rPr>
        <w:t>ODMS</w:t>
      </w:r>
      <w:r w:rsidRPr="00C87B62">
        <w:rPr>
          <w:rFonts w:asciiTheme="minorHAnsi" w:hAnsiTheme="minorHAnsi" w:cstheme="minorHAnsi"/>
          <w:szCs w:val="20"/>
        </w:rPr>
        <w:t>-a</w:t>
      </w:r>
      <w:r w:rsidRPr="00C14654">
        <w:rPr>
          <w:rFonts w:asciiTheme="minorHAnsi" w:hAnsiTheme="minorHAnsi" w:cstheme="minorHAnsi"/>
          <w:szCs w:val="20"/>
        </w:rPr>
        <w:t xml:space="preserve">, </w:t>
      </w:r>
      <w:hyperlink r:id="rId3" w:history="1">
        <w:r w:rsidRPr="00C14654">
          <w:rPr>
            <w:rStyle w:val="Hyperlink"/>
            <w:rFonts w:asciiTheme="minorHAnsi" w:hAnsiTheme="minorHAnsi" w:cstheme="minorHAnsi"/>
            <w:szCs w:val="20"/>
          </w:rPr>
          <w:t>https://medregion.eu</w:t>
        </w:r>
      </w:hyperlink>
      <w:r w:rsidRPr="00C14654">
        <w:rPr>
          <w:rFonts w:asciiTheme="minorHAnsi" w:hAnsiTheme="minorHAnsi" w:cstheme="minorHAnsi"/>
          <w:szCs w:val="20"/>
        </w:rPr>
        <w:t xml:space="preserve"> </w:t>
      </w:r>
    </w:p>
  </w:footnote>
  <w:footnote w:id="72">
    <w:p w14:paraId="4C291819" w14:textId="3BE62726" w:rsidR="00515997" w:rsidRPr="00C14654" w:rsidRDefault="00515997" w:rsidP="000D7E1E">
      <w:pPr>
        <w:autoSpaceDE w:val="0"/>
        <w:autoSpaceDN w:val="0"/>
        <w:adjustRightInd w:val="0"/>
        <w:spacing w:before="0" w:line="240" w:lineRule="auto"/>
        <w:ind w:left="142" w:hanging="142"/>
        <w:rPr>
          <w:rFonts w:cs="Calibri"/>
          <w:b/>
          <w:color w:val="365F91" w:themeColor="accent1" w:themeShade="BF"/>
          <w:sz w:val="24"/>
          <w:lang w:val="en-GB"/>
        </w:rPr>
      </w:pPr>
      <w:r>
        <w:rPr>
          <w:rStyle w:val="FootnoteReference"/>
        </w:rPr>
        <w:footnoteRef/>
      </w:r>
      <w:r>
        <w:t xml:space="preserve"> </w:t>
      </w:r>
      <w:r w:rsidRPr="00C14654">
        <w:rPr>
          <w:rFonts w:cs="Calibri"/>
          <w:sz w:val="20"/>
          <w:szCs w:val="20"/>
          <w:lang w:val="en-GB"/>
        </w:rPr>
        <w:t xml:space="preserve">Nivo koji se može smatrati prirodnim </w:t>
      </w:r>
      <w:r w:rsidRPr="000D7E1E">
        <w:rPr>
          <w:rFonts w:cs="Calibri"/>
          <w:sz w:val="20"/>
          <w:szCs w:val="20"/>
          <w:lang w:val="en-GB"/>
        </w:rPr>
        <w:t>(referentni uslovi)</w:t>
      </w:r>
      <w:r w:rsidRPr="00C14654">
        <w:rPr>
          <w:rFonts w:cs="Calibri"/>
          <w:sz w:val="20"/>
          <w:szCs w:val="20"/>
          <w:lang w:val="en-GB"/>
        </w:rPr>
        <w:t xml:space="preserve"> zasnovan je na dugoročnim podacima i/ili podacima iz drugih područja sa sličnim ekološkim karakteristikama (isti ekoregion i tip staništa) koja su netaknuta ili minimalno zahvaćena pritiscima pod uticajem ljudskih aktivnosti</w:t>
      </w:r>
      <w:r w:rsidRPr="00C14654">
        <w:rPr>
          <w:rFonts w:cs="Calibri"/>
          <w:szCs w:val="22"/>
          <w:lang w:val="en-GB"/>
        </w:rPr>
        <w:t>.</w:t>
      </w:r>
      <w:r w:rsidRPr="00C14654">
        <w:rPr>
          <w:rFonts w:cs="Calibri"/>
          <w:b/>
          <w:color w:val="365F91" w:themeColor="accent1" w:themeShade="BF"/>
          <w:sz w:val="24"/>
          <w:lang w:val="en-GB"/>
        </w:rPr>
        <w:t xml:space="preserve"> </w:t>
      </w:r>
    </w:p>
  </w:footnote>
  <w:footnote w:id="73">
    <w:p w14:paraId="2E662796" w14:textId="0311C83A" w:rsidR="00515997" w:rsidRPr="00C14654" w:rsidRDefault="00515997" w:rsidP="006612D6">
      <w:pPr>
        <w:pStyle w:val="FootnoteText"/>
        <w:spacing w:before="0" w:after="0" w:line="240" w:lineRule="auto"/>
        <w:ind w:firstLine="0"/>
        <w:rPr>
          <w:rFonts w:asciiTheme="minorHAnsi" w:hAnsiTheme="minorHAnsi" w:cstheme="minorHAnsi"/>
          <w:szCs w:val="20"/>
        </w:rPr>
      </w:pPr>
      <w:r w:rsidRPr="00C14654">
        <w:rPr>
          <w:rStyle w:val="FootnoteReference"/>
          <w:rFonts w:asciiTheme="minorHAnsi" w:hAnsiTheme="minorHAnsi" w:cstheme="minorHAnsi"/>
          <w:szCs w:val="20"/>
        </w:rPr>
        <w:footnoteRef/>
      </w:r>
      <w:r w:rsidRPr="00C14654">
        <w:rPr>
          <w:rFonts w:asciiTheme="minorHAnsi" w:hAnsiTheme="minorHAnsi" w:cstheme="minorHAnsi"/>
          <w:szCs w:val="20"/>
        </w:rPr>
        <w:t xml:space="preserve"> Generalno, serija od 6 godina podataka bi bila prikladn za procjenu GES-a.  </w:t>
      </w:r>
    </w:p>
    <w:p w14:paraId="2009682E" w14:textId="77777777" w:rsidR="00515997" w:rsidRDefault="00515997" w:rsidP="006612D6">
      <w:pPr>
        <w:pStyle w:val="FootnoteText"/>
        <w:spacing w:before="0"/>
      </w:pPr>
    </w:p>
  </w:footnote>
  <w:footnote w:id="74">
    <w:p w14:paraId="78871AC9" w14:textId="194130D9" w:rsidR="00515997" w:rsidRPr="007607FF" w:rsidRDefault="00515997" w:rsidP="00911C11">
      <w:pPr>
        <w:pStyle w:val="FootnoteText"/>
        <w:ind w:firstLine="0"/>
        <w:rPr>
          <w:szCs w:val="20"/>
        </w:rPr>
      </w:pPr>
      <w:r w:rsidRPr="007607FF">
        <w:rPr>
          <w:rStyle w:val="FootnoteReference"/>
          <w:szCs w:val="20"/>
        </w:rPr>
        <w:footnoteRef/>
      </w:r>
      <w:r w:rsidRPr="007607FF">
        <w:rPr>
          <w:szCs w:val="20"/>
        </w:rPr>
        <w:t xml:space="preserve"> ICES. 2015b. </w:t>
      </w:r>
      <w:r w:rsidRPr="00A95A94">
        <w:rPr>
          <w:szCs w:val="20"/>
        </w:rPr>
        <w:t>Izv</w:t>
      </w:r>
      <w:r>
        <w:rPr>
          <w:szCs w:val="20"/>
        </w:rPr>
        <w:t>j</w:t>
      </w:r>
      <w:r w:rsidRPr="00A95A94">
        <w:rPr>
          <w:szCs w:val="20"/>
        </w:rPr>
        <w:t>eštaj sa radionice o sm</w:t>
      </w:r>
      <w:r>
        <w:rPr>
          <w:szCs w:val="20"/>
        </w:rPr>
        <w:t>j</w:t>
      </w:r>
      <w:r w:rsidRPr="00A95A94">
        <w:rPr>
          <w:szCs w:val="20"/>
        </w:rPr>
        <w:t xml:space="preserve">ernicama za pregled deskriptora </w:t>
      </w:r>
      <w:r>
        <w:rPr>
          <w:szCs w:val="20"/>
        </w:rPr>
        <w:t xml:space="preserve">4, </w:t>
      </w:r>
      <w:r w:rsidRPr="00A95A94">
        <w:rPr>
          <w:szCs w:val="20"/>
        </w:rPr>
        <w:t>odluke</w:t>
      </w:r>
      <w:r>
        <w:rPr>
          <w:szCs w:val="20"/>
        </w:rPr>
        <w:t xml:space="preserve"> ODMS</w:t>
      </w:r>
      <w:r w:rsidRPr="00A95A94">
        <w:rPr>
          <w:szCs w:val="20"/>
        </w:rPr>
        <w:t xml:space="preserve"> 4 </w:t>
      </w:r>
      <w:r>
        <w:rPr>
          <w:szCs w:val="20"/>
        </w:rPr>
        <w:t>–</w:t>
      </w:r>
      <w:r w:rsidRPr="00A95A94">
        <w:rPr>
          <w:szCs w:val="20"/>
        </w:rPr>
        <w:t xml:space="preserve"> </w:t>
      </w:r>
      <w:r>
        <w:rPr>
          <w:szCs w:val="20"/>
        </w:rPr>
        <w:t>mreže ishrane</w:t>
      </w:r>
      <w:r w:rsidRPr="00A95A94">
        <w:rPr>
          <w:szCs w:val="20"/>
        </w:rPr>
        <w:t xml:space="preserve"> II </w:t>
      </w:r>
      <w:r w:rsidRPr="007607FF">
        <w:rPr>
          <w:szCs w:val="20"/>
        </w:rPr>
        <w:t xml:space="preserve">(WKGMSFDD4-II), </w:t>
      </w:r>
      <w:r w:rsidRPr="00A95A94">
        <w:rPr>
          <w:szCs w:val="20"/>
        </w:rPr>
        <w:t>24. - 25. februara 2015. godine, s</w:t>
      </w:r>
      <w:r>
        <w:rPr>
          <w:szCs w:val="20"/>
        </w:rPr>
        <w:t>j</w:t>
      </w:r>
      <w:r w:rsidRPr="00A95A94">
        <w:rPr>
          <w:szCs w:val="20"/>
        </w:rPr>
        <w:t>edište ICES-a, Danska. ICES CM 2015 \ ACOM: 49. 48 str.</w:t>
      </w:r>
    </w:p>
  </w:footnote>
  <w:footnote w:id="75">
    <w:p w14:paraId="14815FEA" w14:textId="064586C8" w:rsidR="00515997" w:rsidRPr="007001AA" w:rsidRDefault="00515997" w:rsidP="006E447D">
      <w:pPr>
        <w:pStyle w:val="PlainText"/>
        <w:spacing w:line="240" w:lineRule="auto"/>
        <w:rPr>
          <w:rFonts w:eastAsia="Calibri"/>
          <w:sz w:val="20"/>
          <w:szCs w:val="20"/>
          <w:lang w:val="hr-HR"/>
        </w:rPr>
      </w:pPr>
      <w:r w:rsidRPr="00A67394">
        <w:rPr>
          <w:rStyle w:val="FootnoteReference"/>
          <w:sz w:val="20"/>
          <w:szCs w:val="20"/>
        </w:rPr>
        <w:footnoteRef/>
      </w:r>
      <w:hyperlink r:id="rId4" w:history="1">
        <w:r w:rsidRPr="00A67394">
          <w:rPr>
            <w:rStyle w:val="Hyperlink"/>
            <w:rFonts w:eastAsia="Calibri"/>
            <w:sz w:val="20"/>
            <w:szCs w:val="20"/>
            <w:lang w:val="hr-HR"/>
          </w:rPr>
          <w:t>https://mingor.gov.hr/UserDocsImages/Uprava_vodnoga_gospodarstva_i_zast_mora/Strategija_upravljanja_morem/Izvjesce_Azuriranje_dok_Strategije_2019.pdf</w:t>
        </w:r>
      </w:hyperlink>
    </w:p>
  </w:footnote>
  <w:footnote w:id="76">
    <w:p w14:paraId="58DF96B3" w14:textId="3EE44093" w:rsidR="00515997" w:rsidRPr="007001AA" w:rsidRDefault="00515997" w:rsidP="006E447D">
      <w:pPr>
        <w:pStyle w:val="Heading3"/>
        <w:numPr>
          <w:ilvl w:val="0"/>
          <w:numId w:val="0"/>
        </w:numPr>
        <w:autoSpaceDE w:val="0"/>
        <w:autoSpaceDN w:val="0"/>
        <w:adjustRightInd w:val="0"/>
        <w:spacing w:before="0" w:after="0" w:line="240" w:lineRule="auto"/>
        <w:contextualSpacing/>
        <w:rPr>
          <w:rFonts w:cs="Calibri"/>
          <w:b w:val="0"/>
          <w:color w:val="auto"/>
          <w:sz w:val="20"/>
          <w:szCs w:val="20"/>
          <w:lang w:val="en-GB"/>
        </w:rPr>
      </w:pPr>
      <w:r w:rsidRPr="006E447D">
        <w:rPr>
          <w:rStyle w:val="FootnoteReference"/>
          <w:rFonts w:eastAsiaTheme="minorHAnsi"/>
          <w:b w:val="0"/>
          <w:bCs w:val="0"/>
          <w:color w:val="auto"/>
          <w:sz w:val="20"/>
          <w:szCs w:val="20"/>
          <w:lang w:eastAsia="en-US"/>
        </w:rPr>
        <w:footnoteRef/>
      </w:r>
      <w:r w:rsidRPr="006E447D">
        <w:rPr>
          <w:rStyle w:val="FootnoteReference"/>
          <w:rFonts w:eastAsiaTheme="minorHAnsi"/>
          <w:b w:val="0"/>
          <w:bCs w:val="0"/>
          <w:color w:val="auto"/>
          <w:sz w:val="20"/>
          <w:szCs w:val="20"/>
          <w:lang w:eastAsia="en-US"/>
        </w:rPr>
        <w:t xml:space="preserve"> </w:t>
      </w:r>
      <w:r w:rsidRPr="007001AA">
        <w:rPr>
          <w:b w:val="0"/>
          <w:color w:val="auto"/>
          <w:sz w:val="20"/>
          <w:szCs w:val="20"/>
          <w:lang w:val="en-GB"/>
        </w:rPr>
        <w:t>na osnovu</w:t>
      </w:r>
      <w:r>
        <w:rPr>
          <w:b w:val="0"/>
          <w:color w:val="auto"/>
          <w:sz w:val="20"/>
          <w:szCs w:val="20"/>
          <w:lang w:val="en-GB"/>
        </w:rPr>
        <w:t>:</w:t>
      </w:r>
      <w:r w:rsidRPr="007001AA">
        <w:rPr>
          <w:b w:val="0"/>
          <w:color w:val="auto"/>
          <w:sz w:val="20"/>
          <w:szCs w:val="20"/>
          <w:lang w:val="en-GB"/>
        </w:rPr>
        <w:t xml:space="preserve"> </w:t>
      </w:r>
      <w:r>
        <w:rPr>
          <w:b w:val="0"/>
          <w:color w:val="auto"/>
          <w:sz w:val="20"/>
          <w:szCs w:val="20"/>
          <w:lang w:val="en-GB"/>
        </w:rPr>
        <w:t>‘’</w:t>
      </w:r>
      <w:r w:rsidRPr="007001AA">
        <w:rPr>
          <w:b w:val="0"/>
          <w:color w:val="auto"/>
          <w:sz w:val="20"/>
          <w:szCs w:val="20"/>
          <w:lang w:val="en-GB"/>
        </w:rPr>
        <w:t>Početn</w:t>
      </w:r>
      <w:r>
        <w:rPr>
          <w:b w:val="0"/>
          <w:color w:val="auto"/>
          <w:sz w:val="20"/>
          <w:szCs w:val="20"/>
          <w:lang w:val="en-GB"/>
        </w:rPr>
        <w:t>a</w:t>
      </w:r>
      <w:r w:rsidRPr="007001AA">
        <w:rPr>
          <w:b w:val="0"/>
          <w:color w:val="auto"/>
          <w:sz w:val="20"/>
          <w:szCs w:val="20"/>
          <w:lang w:val="en-GB"/>
        </w:rPr>
        <w:t xml:space="preserve"> procjene </w:t>
      </w:r>
      <w:r w:rsidRPr="007001AA">
        <w:rPr>
          <w:rFonts w:cs="Calibri"/>
          <w:b w:val="0"/>
          <w:i/>
          <w:color w:val="auto"/>
          <w:sz w:val="20"/>
          <w:szCs w:val="20"/>
          <w:lang w:val="en-GB"/>
        </w:rPr>
        <w:t xml:space="preserve">stanja morske sredine Crne Gore, 2020“ i </w:t>
      </w:r>
      <w:r>
        <w:rPr>
          <w:rFonts w:cs="Calibri"/>
          <w:b w:val="0"/>
          <w:i/>
          <w:color w:val="auto"/>
          <w:sz w:val="20"/>
          <w:szCs w:val="20"/>
          <w:lang w:val="en-GB"/>
        </w:rPr>
        <w:t>‘’</w:t>
      </w:r>
      <w:r w:rsidRPr="007001AA">
        <w:rPr>
          <w:rFonts w:cs="Calibri"/>
          <w:b w:val="0"/>
          <w:i/>
          <w:color w:val="auto"/>
          <w:sz w:val="20"/>
          <w:szCs w:val="20"/>
          <w:lang w:val="en-GB"/>
        </w:rPr>
        <w:t>Ažuriranj</w:t>
      </w:r>
      <w:r>
        <w:rPr>
          <w:rFonts w:cs="Calibri"/>
          <w:b w:val="0"/>
          <w:i/>
          <w:color w:val="auto"/>
          <w:sz w:val="20"/>
          <w:szCs w:val="20"/>
          <w:lang w:val="en-GB"/>
        </w:rPr>
        <w:t>e</w:t>
      </w:r>
      <w:r w:rsidRPr="007001AA">
        <w:rPr>
          <w:rFonts w:cs="Calibri"/>
          <w:b w:val="0"/>
          <w:i/>
          <w:color w:val="auto"/>
          <w:sz w:val="20"/>
          <w:szCs w:val="20"/>
          <w:lang w:val="en-GB"/>
        </w:rPr>
        <w:t xml:space="preserve"> dokumenata morske strategije u Hrvatskoj, 2019</w:t>
      </w:r>
      <w:r>
        <w:rPr>
          <w:rFonts w:cs="Calibri"/>
          <w:b w:val="0"/>
          <w:i/>
          <w:color w:val="auto"/>
          <w:sz w:val="20"/>
          <w:szCs w:val="20"/>
          <w:lang w:val="en-GB"/>
        </w:rPr>
        <w:t>’’.</w:t>
      </w:r>
    </w:p>
    <w:p w14:paraId="2A385D08" w14:textId="26278969" w:rsidR="00515997" w:rsidRPr="007001AA" w:rsidRDefault="00515997">
      <w:pPr>
        <w:pStyle w:val="FootnoteText"/>
        <w:rPr>
          <w:szCs w:val="20"/>
          <w:lang w:val="hr-HR"/>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FBBEF" w14:textId="68B61A60" w:rsidR="00515997" w:rsidRPr="00104344" w:rsidRDefault="00515997" w:rsidP="00104344">
    <w:pPr>
      <w:pStyle w:val="Header"/>
      <w:pBdr>
        <w:bottom w:val="single" w:sz="4" w:space="1" w:color="808080"/>
      </w:pBdr>
      <w:spacing w:before="0" w:after="0"/>
      <w:jc w:val="left"/>
      <w:rPr>
        <w:rFonts w:asciiTheme="minorHAnsi" w:hAnsiTheme="minorHAnsi"/>
        <w:sz w:val="16"/>
        <w:szCs w:val="16"/>
      </w:rPr>
    </w:pPr>
    <w:r w:rsidRPr="00104344">
      <w:rPr>
        <w:rFonts w:asciiTheme="minorHAnsi" w:hAnsiTheme="minorHAnsi"/>
        <w:sz w:val="16"/>
        <w:szCs w:val="16"/>
      </w:rPr>
      <w:t>Technical Assistance for Implementation of the Water Component of the Niger Delta Support Programme</w:t>
    </w:r>
  </w:p>
  <w:p w14:paraId="2A098369" w14:textId="77777777" w:rsidR="00515997" w:rsidRPr="00104344" w:rsidRDefault="00515997" w:rsidP="00104344">
    <w:pPr>
      <w:pStyle w:val="Header"/>
      <w:pBdr>
        <w:bottom w:val="single" w:sz="4" w:space="1" w:color="808080"/>
      </w:pBdr>
      <w:spacing w:before="0" w:after="0"/>
      <w:jc w:val="left"/>
      <w:rPr>
        <w:rFonts w:asciiTheme="minorHAnsi" w:hAnsiTheme="minorHAnsi"/>
        <w:sz w:val="16"/>
        <w:szCs w:val="16"/>
      </w:rPr>
    </w:pPr>
    <w:r w:rsidRPr="00104344">
      <w:rPr>
        <w:rFonts w:asciiTheme="minorHAnsi" w:hAnsiTheme="minorHAnsi"/>
        <w:sz w:val="16"/>
        <w:szCs w:val="16"/>
      </w:rPr>
      <w:t>Service Contract N°FED/2013/317-745</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09F28" w14:textId="2D1ECF62" w:rsidR="00515997" w:rsidRDefault="00515997">
    <w:pPr>
      <w:pStyle w:val="Header"/>
    </w:pPr>
    <w:r>
      <w:rPr>
        <w:noProof/>
        <w:lang w:eastAsia="en-US"/>
      </w:rPr>
      <w:drawing>
        <wp:anchor distT="0" distB="0" distL="114300" distR="114300" simplePos="0" relativeHeight="251663360" behindDoc="0" locked="0" layoutInCell="1" allowOverlap="1" wp14:anchorId="14FA3812" wp14:editId="258830EA">
          <wp:simplePos x="0" y="0"/>
          <wp:positionH relativeFrom="margin">
            <wp:posOffset>-615430</wp:posOffset>
          </wp:positionH>
          <wp:positionV relativeFrom="paragraph">
            <wp:posOffset>-41737</wp:posOffset>
          </wp:positionV>
          <wp:extent cx="6953270" cy="434340"/>
          <wp:effectExtent l="0" t="0" r="0" b="381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70" cy="4343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FAFB1" w14:textId="309E0BA2" w:rsidR="00515997" w:rsidRDefault="00515997">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ED0EE" w14:textId="3A310B9C" w:rsidR="00515997" w:rsidRDefault="00515997">
    <w:pPr>
      <w:pStyle w:val="Header"/>
    </w:pPr>
    <w:r>
      <w:rPr>
        <w:noProof/>
        <w:lang w:eastAsia="en-US"/>
      </w:rPr>
      <w:drawing>
        <wp:anchor distT="0" distB="0" distL="114300" distR="114300" simplePos="0" relativeHeight="251667456" behindDoc="0" locked="0" layoutInCell="1" allowOverlap="1" wp14:anchorId="2A91E745" wp14:editId="3A620D5F">
          <wp:simplePos x="0" y="0"/>
          <wp:positionH relativeFrom="margin">
            <wp:posOffset>-615430</wp:posOffset>
          </wp:positionH>
          <wp:positionV relativeFrom="paragraph">
            <wp:posOffset>-41737</wp:posOffset>
          </wp:positionV>
          <wp:extent cx="6953270" cy="434340"/>
          <wp:effectExtent l="0" t="0" r="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70" cy="4343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3C002" w14:textId="72FB5FFB" w:rsidR="00515997" w:rsidRDefault="0051599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B1F22F5C"/>
    <w:name w:val="WW8Num3"/>
    <w:lvl w:ilvl="0">
      <w:start w:val="1"/>
      <w:numFmt w:val="decimal"/>
      <w:lvlText w:val="%1."/>
      <w:lvlJc w:val="left"/>
      <w:pPr>
        <w:tabs>
          <w:tab w:val="num" w:pos="360"/>
        </w:tabs>
        <w:ind w:left="360" w:hanging="360"/>
      </w:pPr>
      <w:rPr>
        <w:rFonts w:asciiTheme="minorHAnsi" w:eastAsiaTheme="minorHAnsi" w:hAnsiTheme="minorHAnsi" w:cs="AdvOT596495f2"/>
        <w:b w:val="0"/>
        <w:bCs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44EF0"/>
    <w:multiLevelType w:val="hybridMultilevel"/>
    <w:tmpl w:val="3FAE69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04E571C"/>
    <w:multiLevelType w:val="hybridMultilevel"/>
    <w:tmpl w:val="185E537E"/>
    <w:lvl w:ilvl="0" w:tplc="7200CF2E">
      <w:numFmt w:val="bullet"/>
      <w:pStyle w:val="Item1"/>
      <w:lvlText w:val=""/>
      <w:lvlJc w:val="left"/>
      <w:pPr>
        <w:ind w:left="1607" w:hanging="360"/>
      </w:pPr>
      <w:rPr>
        <w:rFonts w:ascii="Symbol" w:hAnsi="Symbol" w:hint="default"/>
      </w:rPr>
    </w:lvl>
    <w:lvl w:ilvl="1" w:tplc="04100003">
      <w:start w:val="1"/>
      <w:numFmt w:val="bullet"/>
      <w:lvlText w:val="o"/>
      <w:lvlJc w:val="left"/>
      <w:pPr>
        <w:ind w:left="2327" w:hanging="360"/>
      </w:pPr>
      <w:rPr>
        <w:rFonts w:ascii="Courier New" w:hAnsi="Courier New" w:cs="Courier New" w:hint="default"/>
      </w:rPr>
    </w:lvl>
    <w:lvl w:ilvl="2" w:tplc="04100005" w:tentative="1">
      <w:start w:val="1"/>
      <w:numFmt w:val="bullet"/>
      <w:lvlText w:val=""/>
      <w:lvlJc w:val="left"/>
      <w:pPr>
        <w:ind w:left="3047" w:hanging="360"/>
      </w:pPr>
      <w:rPr>
        <w:rFonts w:ascii="Wingdings" w:hAnsi="Wingdings" w:hint="default"/>
      </w:rPr>
    </w:lvl>
    <w:lvl w:ilvl="3" w:tplc="04100001" w:tentative="1">
      <w:start w:val="1"/>
      <w:numFmt w:val="bullet"/>
      <w:lvlText w:val=""/>
      <w:lvlJc w:val="left"/>
      <w:pPr>
        <w:ind w:left="3767" w:hanging="360"/>
      </w:pPr>
      <w:rPr>
        <w:rFonts w:ascii="Symbol" w:hAnsi="Symbol" w:hint="default"/>
      </w:rPr>
    </w:lvl>
    <w:lvl w:ilvl="4" w:tplc="04100003" w:tentative="1">
      <w:start w:val="1"/>
      <w:numFmt w:val="bullet"/>
      <w:lvlText w:val="o"/>
      <w:lvlJc w:val="left"/>
      <w:pPr>
        <w:ind w:left="4487" w:hanging="360"/>
      </w:pPr>
      <w:rPr>
        <w:rFonts w:ascii="Courier New" w:hAnsi="Courier New" w:cs="Courier New" w:hint="default"/>
      </w:rPr>
    </w:lvl>
    <w:lvl w:ilvl="5" w:tplc="04100005" w:tentative="1">
      <w:start w:val="1"/>
      <w:numFmt w:val="bullet"/>
      <w:lvlText w:val=""/>
      <w:lvlJc w:val="left"/>
      <w:pPr>
        <w:ind w:left="5207" w:hanging="360"/>
      </w:pPr>
      <w:rPr>
        <w:rFonts w:ascii="Wingdings" w:hAnsi="Wingdings" w:hint="default"/>
      </w:rPr>
    </w:lvl>
    <w:lvl w:ilvl="6" w:tplc="04100001" w:tentative="1">
      <w:start w:val="1"/>
      <w:numFmt w:val="bullet"/>
      <w:lvlText w:val=""/>
      <w:lvlJc w:val="left"/>
      <w:pPr>
        <w:ind w:left="5927" w:hanging="360"/>
      </w:pPr>
      <w:rPr>
        <w:rFonts w:ascii="Symbol" w:hAnsi="Symbol" w:hint="default"/>
      </w:rPr>
    </w:lvl>
    <w:lvl w:ilvl="7" w:tplc="04100003" w:tentative="1">
      <w:start w:val="1"/>
      <w:numFmt w:val="bullet"/>
      <w:lvlText w:val="o"/>
      <w:lvlJc w:val="left"/>
      <w:pPr>
        <w:ind w:left="6647" w:hanging="360"/>
      </w:pPr>
      <w:rPr>
        <w:rFonts w:ascii="Courier New" w:hAnsi="Courier New" w:cs="Courier New" w:hint="default"/>
      </w:rPr>
    </w:lvl>
    <w:lvl w:ilvl="8" w:tplc="04100005" w:tentative="1">
      <w:start w:val="1"/>
      <w:numFmt w:val="bullet"/>
      <w:lvlText w:val=""/>
      <w:lvlJc w:val="left"/>
      <w:pPr>
        <w:ind w:left="7367" w:hanging="360"/>
      </w:pPr>
      <w:rPr>
        <w:rFonts w:ascii="Wingdings" w:hAnsi="Wingdings" w:hint="default"/>
      </w:rPr>
    </w:lvl>
  </w:abstractNum>
  <w:abstractNum w:abstractNumId="3" w15:restartNumberingAfterBreak="0">
    <w:nsid w:val="013F7847"/>
    <w:multiLevelType w:val="hybridMultilevel"/>
    <w:tmpl w:val="7150A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6A75AB"/>
    <w:multiLevelType w:val="hybridMultilevel"/>
    <w:tmpl w:val="C62C3E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7B02144"/>
    <w:multiLevelType w:val="hybridMultilevel"/>
    <w:tmpl w:val="DEA612E2"/>
    <w:lvl w:ilvl="0" w:tplc="AC90A090">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222187"/>
    <w:multiLevelType w:val="multilevel"/>
    <w:tmpl w:val="60AADAFC"/>
    <w:lvl w:ilvl="0">
      <w:start w:val="3"/>
      <w:numFmt w:val="bullet"/>
      <w:pStyle w:val="puces1"/>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8AB4705"/>
    <w:multiLevelType w:val="hybridMultilevel"/>
    <w:tmpl w:val="B6BE0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DD29F9"/>
    <w:multiLevelType w:val="hybridMultilevel"/>
    <w:tmpl w:val="D14CD1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09537507"/>
    <w:multiLevelType w:val="singleLevel"/>
    <w:tmpl w:val="08090001"/>
    <w:lvl w:ilvl="0">
      <w:start w:val="1"/>
      <w:numFmt w:val="bullet"/>
      <w:pStyle w:val="ListNumber5"/>
      <w:lvlText w:val=""/>
      <w:lvlJc w:val="left"/>
      <w:pPr>
        <w:tabs>
          <w:tab w:val="num" w:pos="360"/>
        </w:tabs>
        <w:ind w:left="360" w:hanging="360"/>
      </w:pPr>
      <w:rPr>
        <w:rFonts w:ascii="Symbol" w:hAnsi="Symbol" w:hint="default"/>
      </w:rPr>
    </w:lvl>
  </w:abstractNum>
  <w:abstractNum w:abstractNumId="10" w15:restartNumberingAfterBreak="0">
    <w:nsid w:val="0C565E3A"/>
    <w:multiLevelType w:val="singleLevel"/>
    <w:tmpl w:val="0CF217AE"/>
    <w:lvl w:ilvl="0">
      <w:start w:val="1"/>
      <w:numFmt w:val="bullet"/>
      <w:pStyle w:val="bullets"/>
      <w:lvlText w:val=""/>
      <w:lvlJc w:val="left"/>
      <w:pPr>
        <w:tabs>
          <w:tab w:val="num" w:pos="360"/>
        </w:tabs>
        <w:ind w:left="360" w:hanging="360"/>
      </w:pPr>
      <w:rPr>
        <w:rFonts w:ascii="Symbol" w:hAnsi="Symbol" w:hint="default"/>
      </w:rPr>
    </w:lvl>
  </w:abstractNum>
  <w:abstractNum w:abstractNumId="11" w15:restartNumberingAfterBreak="0">
    <w:nsid w:val="0E273122"/>
    <w:multiLevelType w:val="hybridMultilevel"/>
    <w:tmpl w:val="2AA08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7F2643"/>
    <w:multiLevelType w:val="hybridMultilevel"/>
    <w:tmpl w:val="2AA43A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662728C"/>
    <w:multiLevelType w:val="hybridMultilevel"/>
    <w:tmpl w:val="55B0BAA8"/>
    <w:lvl w:ilvl="0" w:tplc="2C1A0001">
      <w:start w:val="1"/>
      <w:numFmt w:val="bullet"/>
      <w:lvlText w:val=""/>
      <w:lvlJc w:val="left"/>
      <w:pPr>
        <w:ind w:left="1117" w:hanging="360"/>
      </w:pPr>
      <w:rPr>
        <w:rFonts w:ascii="Symbol" w:hAnsi="Symbol" w:hint="default"/>
      </w:rPr>
    </w:lvl>
    <w:lvl w:ilvl="1" w:tplc="2C1A0003">
      <w:start w:val="1"/>
      <w:numFmt w:val="bullet"/>
      <w:lvlText w:val="o"/>
      <w:lvlJc w:val="left"/>
      <w:pPr>
        <w:ind w:left="1837" w:hanging="360"/>
      </w:pPr>
      <w:rPr>
        <w:rFonts w:ascii="Courier New" w:hAnsi="Courier New" w:cs="Courier New" w:hint="default"/>
      </w:rPr>
    </w:lvl>
    <w:lvl w:ilvl="2" w:tplc="2C1A0005">
      <w:start w:val="1"/>
      <w:numFmt w:val="bullet"/>
      <w:lvlText w:val=""/>
      <w:lvlJc w:val="left"/>
      <w:pPr>
        <w:ind w:left="2557" w:hanging="360"/>
      </w:pPr>
      <w:rPr>
        <w:rFonts w:ascii="Wingdings" w:hAnsi="Wingdings" w:hint="default"/>
      </w:rPr>
    </w:lvl>
    <w:lvl w:ilvl="3" w:tplc="2C1A0001">
      <w:start w:val="1"/>
      <w:numFmt w:val="bullet"/>
      <w:lvlText w:val=""/>
      <w:lvlJc w:val="left"/>
      <w:pPr>
        <w:ind w:left="3277" w:hanging="360"/>
      </w:pPr>
      <w:rPr>
        <w:rFonts w:ascii="Symbol" w:hAnsi="Symbol" w:hint="default"/>
      </w:rPr>
    </w:lvl>
    <w:lvl w:ilvl="4" w:tplc="2C1A0003">
      <w:start w:val="1"/>
      <w:numFmt w:val="bullet"/>
      <w:lvlText w:val="o"/>
      <w:lvlJc w:val="left"/>
      <w:pPr>
        <w:ind w:left="3997" w:hanging="360"/>
      </w:pPr>
      <w:rPr>
        <w:rFonts w:ascii="Courier New" w:hAnsi="Courier New" w:cs="Courier New" w:hint="default"/>
      </w:rPr>
    </w:lvl>
    <w:lvl w:ilvl="5" w:tplc="2C1A0005">
      <w:start w:val="1"/>
      <w:numFmt w:val="bullet"/>
      <w:lvlText w:val=""/>
      <w:lvlJc w:val="left"/>
      <w:pPr>
        <w:ind w:left="4717" w:hanging="360"/>
      </w:pPr>
      <w:rPr>
        <w:rFonts w:ascii="Wingdings" w:hAnsi="Wingdings" w:hint="default"/>
      </w:rPr>
    </w:lvl>
    <w:lvl w:ilvl="6" w:tplc="2C1A0001">
      <w:start w:val="1"/>
      <w:numFmt w:val="bullet"/>
      <w:lvlText w:val=""/>
      <w:lvlJc w:val="left"/>
      <w:pPr>
        <w:ind w:left="5437" w:hanging="360"/>
      </w:pPr>
      <w:rPr>
        <w:rFonts w:ascii="Symbol" w:hAnsi="Symbol" w:hint="default"/>
      </w:rPr>
    </w:lvl>
    <w:lvl w:ilvl="7" w:tplc="2C1A0003">
      <w:start w:val="1"/>
      <w:numFmt w:val="bullet"/>
      <w:lvlText w:val="o"/>
      <w:lvlJc w:val="left"/>
      <w:pPr>
        <w:ind w:left="6157" w:hanging="360"/>
      </w:pPr>
      <w:rPr>
        <w:rFonts w:ascii="Courier New" w:hAnsi="Courier New" w:cs="Courier New" w:hint="default"/>
      </w:rPr>
    </w:lvl>
    <w:lvl w:ilvl="8" w:tplc="2C1A0005">
      <w:start w:val="1"/>
      <w:numFmt w:val="bullet"/>
      <w:lvlText w:val=""/>
      <w:lvlJc w:val="left"/>
      <w:pPr>
        <w:ind w:left="6877" w:hanging="360"/>
      </w:pPr>
      <w:rPr>
        <w:rFonts w:ascii="Wingdings" w:hAnsi="Wingdings" w:hint="default"/>
      </w:rPr>
    </w:lvl>
  </w:abstractNum>
  <w:abstractNum w:abstractNumId="14" w15:restartNumberingAfterBreak="0">
    <w:nsid w:val="16FE3B36"/>
    <w:multiLevelType w:val="hybridMultilevel"/>
    <w:tmpl w:val="86D05A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183B3810"/>
    <w:multiLevelType w:val="hybridMultilevel"/>
    <w:tmpl w:val="FD60079E"/>
    <w:lvl w:ilvl="0" w:tplc="5132684A">
      <w:start w:val="1"/>
      <w:numFmt w:val="bullet"/>
      <w:pStyle w:val="StyleJustifiedLinespacingsingle1"/>
      <w:lvlText w:val=""/>
      <w:lvlJc w:val="left"/>
      <w:pPr>
        <w:tabs>
          <w:tab w:val="num" w:pos="900"/>
        </w:tabs>
        <w:ind w:left="900" w:hanging="360"/>
      </w:pPr>
      <w:rPr>
        <w:rFonts w:ascii="Symbol" w:hAnsi="Symbol" w:hint="default"/>
      </w:rPr>
    </w:lvl>
    <w:lvl w:ilvl="1" w:tplc="08090019">
      <w:start w:val="1"/>
      <w:numFmt w:val="bullet"/>
      <w:lvlText w:val="o"/>
      <w:lvlJc w:val="left"/>
      <w:pPr>
        <w:tabs>
          <w:tab w:val="num" w:pos="1800"/>
        </w:tabs>
        <w:ind w:left="1800" w:hanging="360"/>
      </w:pPr>
      <w:rPr>
        <w:rFonts w:ascii="Courier New" w:hAnsi="Courier New" w:hint="default"/>
      </w:rPr>
    </w:lvl>
    <w:lvl w:ilvl="2" w:tplc="0809001B" w:tentative="1">
      <w:start w:val="1"/>
      <w:numFmt w:val="bullet"/>
      <w:lvlText w:val=""/>
      <w:lvlJc w:val="left"/>
      <w:pPr>
        <w:tabs>
          <w:tab w:val="num" w:pos="2520"/>
        </w:tabs>
        <w:ind w:left="2520" w:hanging="360"/>
      </w:pPr>
      <w:rPr>
        <w:rFonts w:ascii="Wingdings" w:hAnsi="Wingdings" w:hint="default"/>
      </w:rPr>
    </w:lvl>
    <w:lvl w:ilvl="3" w:tplc="0809000F">
      <w:start w:val="1"/>
      <w:numFmt w:val="bullet"/>
      <w:lvlText w:val=""/>
      <w:lvlJc w:val="left"/>
      <w:pPr>
        <w:tabs>
          <w:tab w:val="num" w:pos="3240"/>
        </w:tabs>
        <w:ind w:left="3240" w:hanging="360"/>
      </w:pPr>
      <w:rPr>
        <w:rFonts w:ascii="Symbol" w:hAnsi="Symbol" w:hint="default"/>
      </w:rPr>
    </w:lvl>
    <w:lvl w:ilvl="4" w:tplc="08090019" w:tentative="1">
      <w:start w:val="1"/>
      <w:numFmt w:val="bullet"/>
      <w:lvlText w:val="o"/>
      <w:lvlJc w:val="left"/>
      <w:pPr>
        <w:tabs>
          <w:tab w:val="num" w:pos="3960"/>
        </w:tabs>
        <w:ind w:left="3960" w:hanging="360"/>
      </w:pPr>
      <w:rPr>
        <w:rFonts w:ascii="Courier New" w:hAnsi="Courier New" w:hint="default"/>
      </w:rPr>
    </w:lvl>
    <w:lvl w:ilvl="5" w:tplc="0809001B" w:tentative="1">
      <w:start w:val="1"/>
      <w:numFmt w:val="bullet"/>
      <w:lvlText w:val=""/>
      <w:lvlJc w:val="left"/>
      <w:pPr>
        <w:tabs>
          <w:tab w:val="num" w:pos="4680"/>
        </w:tabs>
        <w:ind w:left="4680" w:hanging="360"/>
      </w:pPr>
      <w:rPr>
        <w:rFonts w:ascii="Wingdings" w:hAnsi="Wingdings" w:hint="default"/>
      </w:rPr>
    </w:lvl>
    <w:lvl w:ilvl="6" w:tplc="0809000F" w:tentative="1">
      <w:start w:val="1"/>
      <w:numFmt w:val="bullet"/>
      <w:lvlText w:val=""/>
      <w:lvlJc w:val="left"/>
      <w:pPr>
        <w:tabs>
          <w:tab w:val="num" w:pos="5400"/>
        </w:tabs>
        <w:ind w:left="5400" w:hanging="360"/>
      </w:pPr>
      <w:rPr>
        <w:rFonts w:ascii="Symbol" w:hAnsi="Symbol" w:hint="default"/>
      </w:rPr>
    </w:lvl>
    <w:lvl w:ilvl="7" w:tplc="08090019" w:tentative="1">
      <w:start w:val="1"/>
      <w:numFmt w:val="bullet"/>
      <w:lvlText w:val="o"/>
      <w:lvlJc w:val="left"/>
      <w:pPr>
        <w:tabs>
          <w:tab w:val="num" w:pos="6120"/>
        </w:tabs>
        <w:ind w:left="6120" w:hanging="360"/>
      </w:pPr>
      <w:rPr>
        <w:rFonts w:ascii="Courier New" w:hAnsi="Courier New" w:hint="default"/>
      </w:rPr>
    </w:lvl>
    <w:lvl w:ilvl="8" w:tplc="0809001B"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C1B5C49"/>
    <w:multiLevelType w:val="hybridMultilevel"/>
    <w:tmpl w:val="43B01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8D0E44"/>
    <w:multiLevelType w:val="hybridMultilevel"/>
    <w:tmpl w:val="E86E76D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1D9D3DF4"/>
    <w:multiLevelType w:val="hybridMultilevel"/>
    <w:tmpl w:val="E68C0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4A9333E"/>
    <w:multiLevelType w:val="singleLevel"/>
    <w:tmpl w:val="08090001"/>
    <w:lvl w:ilvl="0">
      <w:start w:val="1"/>
      <w:numFmt w:val="bullet"/>
      <w:pStyle w:val="ListBullet5"/>
      <w:lvlText w:val=""/>
      <w:lvlJc w:val="left"/>
      <w:pPr>
        <w:tabs>
          <w:tab w:val="num" w:pos="360"/>
        </w:tabs>
        <w:ind w:left="360" w:hanging="360"/>
      </w:pPr>
      <w:rPr>
        <w:rFonts w:ascii="Symbol" w:hAnsi="Symbol" w:hint="default"/>
      </w:rPr>
    </w:lvl>
  </w:abstractNum>
  <w:abstractNum w:abstractNumId="21" w15:restartNumberingAfterBreak="0">
    <w:nsid w:val="2715144C"/>
    <w:multiLevelType w:val="hybridMultilevel"/>
    <w:tmpl w:val="C15205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7646FCB"/>
    <w:multiLevelType w:val="hybridMultilevel"/>
    <w:tmpl w:val="19961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EC0B55"/>
    <w:multiLevelType w:val="hybridMultilevel"/>
    <w:tmpl w:val="568C95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5" w15:restartNumberingAfterBreak="0">
    <w:nsid w:val="2BA346C5"/>
    <w:multiLevelType w:val="hybridMultilevel"/>
    <w:tmpl w:val="92066636"/>
    <w:lvl w:ilvl="0" w:tplc="AC90A090">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2E38628B"/>
    <w:multiLevelType w:val="hybridMultilevel"/>
    <w:tmpl w:val="8AC88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9769BB"/>
    <w:multiLevelType w:val="hybridMultilevel"/>
    <w:tmpl w:val="F25416FA"/>
    <w:lvl w:ilvl="0" w:tplc="6C22C766">
      <w:numFmt w:val="bullet"/>
      <w:lvlText w:val="•"/>
      <w:lvlJc w:val="left"/>
      <w:pPr>
        <w:ind w:left="862" w:hanging="360"/>
      </w:pPr>
      <w:rPr>
        <w:rFonts w:ascii="Calibri" w:eastAsia="Wingdings-Regular"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FC84DDA"/>
    <w:multiLevelType w:val="hybridMultilevel"/>
    <w:tmpl w:val="C22EFF86"/>
    <w:lvl w:ilvl="0" w:tplc="041A0001">
      <w:start w:val="1"/>
      <w:numFmt w:val="bullet"/>
      <w:lvlText w:val=""/>
      <w:lvlJc w:val="left"/>
      <w:pPr>
        <w:ind w:left="720" w:hanging="360"/>
      </w:pPr>
      <w:rPr>
        <w:rFonts w:ascii="Symbol" w:hAnsi="Symbol" w:hint="default"/>
        <w:i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33120050"/>
    <w:multiLevelType w:val="hybridMultilevel"/>
    <w:tmpl w:val="35A8C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3F031B6"/>
    <w:multiLevelType w:val="multilevel"/>
    <w:tmpl w:val="86DACC56"/>
    <w:lvl w:ilvl="0">
      <w:start w:val="1"/>
      <w:numFmt w:val="decimal"/>
      <w:pStyle w:val="Annex"/>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33"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36E40104"/>
    <w:multiLevelType w:val="hybridMultilevel"/>
    <w:tmpl w:val="6452308C"/>
    <w:name w:val="List Dash__12"/>
    <w:lvl w:ilvl="0" w:tplc="88F25522">
      <w:start w:val="1"/>
      <w:numFmt w:val="bullet"/>
      <w:pStyle w:val="Bulletlist"/>
      <w:lvlText w:val="►"/>
      <w:lvlJc w:val="left"/>
      <w:pPr>
        <w:ind w:left="720" w:hanging="360"/>
      </w:pPr>
      <w:rPr>
        <w:rFonts w:ascii="Arial" w:hAnsi="Arial" w:hint="default"/>
        <w:color w:val="548DD4" w:themeColor="text2" w:themeTint="99"/>
        <w:sz w:val="20"/>
      </w:rPr>
    </w:lvl>
    <w:lvl w:ilvl="1" w:tplc="04090003">
      <w:start w:val="1"/>
      <w:numFmt w:val="bullet"/>
      <w:lvlText w:val="o"/>
      <w:lvlJc w:val="left"/>
      <w:pPr>
        <w:ind w:left="1440" w:hanging="360"/>
      </w:pPr>
      <w:rPr>
        <w:rFonts w:ascii="Courier New" w:hAnsi="Courier New" w:cs="Verdan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Verdan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Verdana"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36" w15:restartNumberingAfterBreak="0">
    <w:nsid w:val="3CF00E18"/>
    <w:multiLevelType w:val="singleLevel"/>
    <w:tmpl w:val="4E1A982C"/>
    <w:lvl w:ilvl="0">
      <w:start w:val="1"/>
      <w:numFmt w:val="bullet"/>
      <w:pStyle w:val="ListNumber2"/>
      <w:lvlText w:val=""/>
      <w:lvlJc w:val="left"/>
      <w:pPr>
        <w:tabs>
          <w:tab w:val="num" w:pos="283"/>
        </w:tabs>
        <w:ind w:left="283" w:hanging="283"/>
      </w:pPr>
      <w:rPr>
        <w:rFonts w:ascii="Symbol" w:hAnsi="Symbol"/>
      </w:rPr>
    </w:lvl>
  </w:abstractNum>
  <w:abstractNum w:abstractNumId="37" w15:restartNumberingAfterBreak="0">
    <w:nsid w:val="400E0DD1"/>
    <w:multiLevelType w:val="hybridMultilevel"/>
    <w:tmpl w:val="6952DF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422135D8"/>
    <w:multiLevelType w:val="hybridMultilevel"/>
    <w:tmpl w:val="DC46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4F0672D"/>
    <w:multiLevelType w:val="hybridMultilevel"/>
    <w:tmpl w:val="F0081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5CF647E"/>
    <w:multiLevelType w:val="hybridMultilevel"/>
    <w:tmpl w:val="08A4C9CC"/>
    <w:lvl w:ilvl="0" w:tplc="AC90A090">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1" w15:restartNumberingAfterBreak="0">
    <w:nsid w:val="460F7D77"/>
    <w:multiLevelType w:val="hybridMultilevel"/>
    <w:tmpl w:val="2D020D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43" w15:restartNumberingAfterBreak="0">
    <w:nsid w:val="46240D1B"/>
    <w:multiLevelType w:val="hybridMultilevel"/>
    <w:tmpl w:val="0E2863FC"/>
    <w:lvl w:ilvl="0" w:tplc="041A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94E0454"/>
    <w:multiLevelType w:val="hybridMultilevel"/>
    <w:tmpl w:val="72327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C115CE3"/>
    <w:multiLevelType w:val="hybridMultilevel"/>
    <w:tmpl w:val="88B4C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C633B4C"/>
    <w:multiLevelType w:val="hybridMultilevel"/>
    <w:tmpl w:val="28BE5F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4CBE5A21"/>
    <w:multiLevelType w:val="hybridMultilevel"/>
    <w:tmpl w:val="DB2846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4E054BF7"/>
    <w:multiLevelType w:val="hybridMultilevel"/>
    <w:tmpl w:val="04D00E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4EB661EE"/>
    <w:multiLevelType w:val="multilevel"/>
    <w:tmpl w:val="4AF64776"/>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ListParagraph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532F682F"/>
    <w:multiLevelType w:val="hybridMultilevel"/>
    <w:tmpl w:val="FAB6C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52" w15:restartNumberingAfterBreak="0">
    <w:nsid w:val="5527139B"/>
    <w:multiLevelType w:val="hybridMultilevel"/>
    <w:tmpl w:val="C8D049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55E92487"/>
    <w:multiLevelType w:val="hybridMultilevel"/>
    <w:tmpl w:val="1C729A9C"/>
    <w:lvl w:ilvl="0" w:tplc="6C22C766">
      <w:numFmt w:val="bullet"/>
      <w:lvlText w:val="•"/>
      <w:lvlJc w:val="left"/>
      <w:pPr>
        <w:ind w:left="1080" w:hanging="360"/>
      </w:pPr>
      <w:rPr>
        <w:rFonts w:ascii="Calibri" w:eastAsia="Wingdings-Regular"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6B11985"/>
    <w:multiLevelType w:val="hybridMultilevel"/>
    <w:tmpl w:val="655A95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58394A88"/>
    <w:multiLevelType w:val="hybridMultilevel"/>
    <w:tmpl w:val="312E18D6"/>
    <w:lvl w:ilvl="0" w:tplc="6C22C766">
      <w:numFmt w:val="bullet"/>
      <w:lvlText w:val="•"/>
      <w:lvlJc w:val="left"/>
      <w:pPr>
        <w:ind w:left="1080" w:hanging="360"/>
      </w:pPr>
      <w:rPr>
        <w:rFonts w:ascii="Calibri" w:eastAsia="Wingdings-Regular"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8FE5DC0"/>
    <w:multiLevelType w:val="hybridMultilevel"/>
    <w:tmpl w:val="955A37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599279F2"/>
    <w:multiLevelType w:val="multilevel"/>
    <w:tmpl w:val="9FCAB9F4"/>
    <w:lvl w:ilvl="0">
      <w:start w:val="1"/>
      <w:numFmt w:val="decimal"/>
      <w:pStyle w:val="Task"/>
      <w:lvlText w:val="Task %1 -"/>
      <w:lvlJc w:val="left"/>
      <w:pPr>
        <w:ind w:left="786" w:hanging="36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8" w15:restartNumberingAfterBreak="0">
    <w:nsid w:val="59D91FAD"/>
    <w:multiLevelType w:val="hybridMultilevel"/>
    <w:tmpl w:val="AA2253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15:restartNumberingAfterBreak="0">
    <w:nsid w:val="5C6437E8"/>
    <w:multiLevelType w:val="multilevel"/>
    <w:tmpl w:val="7CA416A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NumPar3"/>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6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62" w15:restartNumberingAfterBreak="0">
    <w:nsid w:val="61B413FE"/>
    <w:multiLevelType w:val="singleLevel"/>
    <w:tmpl w:val="08090001"/>
    <w:lvl w:ilvl="0">
      <w:start w:val="1"/>
      <w:numFmt w:val="bullet"/>
      <w:pStyle w:val="NumPar1"/>
      <w:lvlText w:val=""/>
      <w:lvlJc w:val="left"/>
      <w:pPr>
        <w:tabs>
          <w:tab w:val="num" w:pos="360"/>
        </w:tabs>
        <w:ind w:left="360" w:hanging="360"/>
      </w:pPr>
      <w:rPr>
        <w:rFonts w:ascii="Symbol" w:hAnsi="Symbol" w:hint="default"/>
      </w:rPr>
    </w:lvl>
  </w:abstractNum>
  <w:abstractNum w:abstractNumId="6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64" w15:restartNumberingAfterBreak="0">
    <w:nsid w:val="62E12704"/>
    <w:multiLevelType w:val="singleLevel"/>
    <w:tmpl w:val="138E7682"/>
    <w:lvl w:ilvl="0">
      <w:numFmt w:val="none"/>
      <w:pStyle w:val="Bulleted2"/>
      <w:lvlText w:val="-"/>
      <w:lvlJc w:val="left"/>
      <w:pPr>
        <w:tabs>
          <w:tab w:val="num" w:pos="1800"/>
        </w:tabs>
        <w:ind w:left="1800" w:hanging="360"/>
      </w:pPr>
      <w:rPr>
        <w:rFonts w:ascii="Tahoma" w:hAnsi="Tahoma" w:hint="default"/>
        <w:sz w:val="22"/>
      </w:rPr>
    </w:lvl>
  </w:abstractNum>
  <w:abstractNum w:abstractNumId="65" w15:restartNumberingAfterBreak="0">
    <w:nsid w:val="65D03444"/>
    <w:multiLevelType w:val="hybridMultilevel"/>
    <w:tmpl w:val="AC3A9E12"/>
    <w:lvl w:ilvl="0" w:tplc="041A0001">
      <w:start w:val="1"/>
      <w:numFmt w:val="bullet"/>
      <w:lvlText w:val=""/>
      <w:lvlJc w:val="left"/>
      <w:pPr>
        <w:ind w:left="720" w:hanging="360"/>
      </w:pPr>
      <w:rPr>
        <w:rFonts w:ascii="Symbol" w:hAnsi="Symbol" w:hint="default"/>
      </w:rPr>
    </w:lvl>
    <w:lvl w:ilvl="1" w:tplc="C00E5E6C">
      <w:numFmt w:val="bullet"/>
      <w:lvlText w:val="-"/>
      <w:lvlJc w:val="left"/>
      <w:pPr>
        <w:ind w:left="1440" w:hanging="360"/>
      </w:pPr>
      <w:rPr>
        <w:rFonts w:ascii="Calibri" w:eastAsiaTheme="minorHAnsi"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15:restartNumberingAfterBreak="0">
    <w:nsid w:val="66B860FA"/>
    <w:multiLevelType w:val="hybridMultilevel"/>
    <w:tmpl w:val="4240ECC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67016DB0"/>
    <w:multiLevelType w:val="hybridMultilevel"/>
    <w:tmpl w:val="916C7100"/>
    <w:lvl w:ilvl="0" w:tplc="6C22C766">
      <w:numFmt w:val="bullet"/>
      <w:lvlText w:val="•"/>
      <w:lvlJc w:val="left"/>
      <w:pPr>
        <w:ind w:left="1080" w:hanging="360"/>
      </w:pPr>
      <w:rPr>
        <w:rFonts w:ascii="Calibri" w:eastAsia="Wingdings-Regular" w:hAnsi="Calibri" w:cs="Calibr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68" w15:restartNumberingAfterBreak="0">
    <w:nsid w:val="67586C63"/>
    <w:multiLevelType w:val="hybridMultilevel"/>
    <w:tmpl w:val="D56657D0"/>
    <w:lvl w:ilvl="0" w:tplc="6C22C766">
      <w:numFmt w:val="bullet"/>
      <w:lvlText w:val="•"/>
      <w:lvlJc w:val="left"/>
      <w:pPr>
        <w:ind w:left="862" w:hanging="360"/>
      </w:pPr>
      <w:rPr>
        <w:rFonts w:ascii="Calibri" w:eastAsia="Wingdings-Regular" w:hAnsi="Calibri" w:cs="Calibri" w:hint="default"/>
        <w:b/>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9" w15:restartNumberingAfterBreak="0">
    <w:nsid w:val="679D3A24"/>
    <w:multiLevelType w:val="hybridMultilevel"/>
    <w:tmpl w:val="2DE0720E"/>
    <w:lvl w:ilvl="0" w:tplc="FF3C6C06">
      <w:start w:val="1"/>
      <w:numFmt w:val="lowerLetter"/>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D065C14"/>
    <w:multiLevelType w:val="hybridMultilevel"/>
    <w:tmpl w:val="58D686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1"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72" w15:restartNumberingAfterBreak="0">
    <w:nsid w:val="6EE3444F"/>
    <w:multiLevelType w:val="multilevel"/>
    <w:tmpl w:val="371EF7B6"/>
    <w:lvl w:ilvl="0">
      <w:start w:val="1"/>
      <w:numFmt w:val="bullet"/>
      <w:pStyle w:val="TableBullet1"/>
      <w:lvlText w:val=""/>
      <w:lvlJc w:val="left"/>
      <w:pPr>
        <w:tabs>
          <w:tab w:val="num" w:pos="170"/>
        </w:tabs>
        <w:ind w:left="170" w:hanging="170"/>
      </w:pPr>
      <w:rPr>
        <w:rFonts w:ascii="Symbol" w:hAnsi="Symbol" w:hint="default"/>
        <w:color w:val="8064A2" w:themeColor="accent4"/>
      </w:rPr>
    </w:lvl>
    <w:lvl w:ilvl="1">
      <w:start w:val="1"/>
      <w:numFmt w:val="bullet"/>
      <w:pStyle w:val="TableBullet2"/>
      <w:lvlText w:val="–"/>
      <w:lvlJc w:val="left"/>
      <w:pPr>
        <w:tabs>
          <w:tab w:val="num" w:pos="340"/>
        </w:tabs>
        <w:ind w:left="340" w:hanging="170"/>
      </w:pPr>
      <w:rPr>
        <w:rFonts w:ascii="Arial" w:hAnsi="Arial" w:hint="default"/>
        <w:color w:val="8064A2" w:themeColor="accent4"/>
      </w:rPr>
    </w:lvl>
    <w:lvl w:ilvl="2">
      <w:start w:val="1"/>
      <w:numFmt w:val="bullet"/>
      <w:pStyle w:val="TableBullet3"/>
      <w:lvlText w:val="–"/>
      <w:lvlJc w:val="left"/>
      <w:pPr>
        <w:tabs>
          <w:tab w:val="num" w:pos="510"/>
        </w:tabs>
        <w:ind w:left="510" w:hanging="170"/>
      </w:pPr>
      <w:rPr>
        <w:rFonts w:ascii="Arial" w:hAnsi="Arial" w:hint="default"/>
        <w:color w:val="8064A2" w:themeColor="accent4"/>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F932AEF"/>
    <w:multiLevelType w:val="hybridMultilevel"/>
    <w:tmpl w:val="946EE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0A06731"/>
    <w:multiLevelType w:val="multilevel"/>
    <w:tmpl w:val="94A4F33C"/>
    <w:lvl w:ilvl="0">
      <w:start w:val="1"/>
      <w:numFmt w:val="decimal"/>
      <w:pStyle w:val="Heading1"/>
      <w:lvlText w:val="%1"/>
      <w:lvlJc w:val="left"/>
      <w:pPr>
        <w:ind w:left="432" w:hanging="432"/>
      </w:pPr>
    </w:lvl>
    <w:lvl w:ilvl="1">
      <w:start w:val="1"/>
      <w:numFmt w:val="decimal"/>
      <w:pStyle w:val="Heading2"/>
      <w:lvlText w:val="%1.%2"/>
      <w:lvlJc w:val="left"/>
      <w:pPr>
        <w:ind w:left="1002" w:hanging="576"/>
      </w:pPr>
      <w:rPr>
        <w:b/>
        <w:color w:val="365F91" w:themeColor="accent1" w:themeShade="BF"/>
        <w:sz w:val="28"/>
        <w:szCs w:val="28"/>
      </w:rPr>
    </w:lvl>
    <w:lvl w:ilvl="2">
      <w:start w:val="1"/>
      <w:numFmt w:val="decimal"/>
      <w:pStyle w:val="Heading3"/>
      <w:lvlText w:val="%1.%2.%3"/>
      <w:lvlJc w:val="left"/>
      <w:pPr>
        <w:ind w:left="2280" w:hanging="720"/>
      </w:pPr>
      <w:rPr>
        <w:b/>
        <w:bCs w:val="0"/>
        <w:i w:val="0"/>
        <w:iCs w:val="0"/>
        <w:caps w:val="0"/>
        <w:smallCaps w:val="0"/>
        <w:strike w:val="0"/>
        <w:dstrike w:val="0"/>
        <w:outline w:val="0"/>
        <w:shadow w:val="0"/>
        <w:emboss w:val="0"/>
        <w:imprint w:val="0"/>
        <w:noProof w:val="0"/>
        <w:vanish w:val="0"/>
        <w:color w:val="365F91" w:themeColor="accent1" w:themeShade="BF"/>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5"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15:restartNumberingAfterBreak="0">
    <w:nsid w:val="72C24D8A"/>
    <w:multiLevelType w:val="hybridMultilevel"/>
    <w:tmpl w:val="ED3E230C"/>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7" w15:restartNumberingAfterBreak="0">
    <w:nsid w:val="79366EDD"/>
    <w:multiLevelType w:val="hybridMultilevel"/>
    <w:tmpl w:val="C0A04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34"/>
  </w:num>
  <w:num w:numId="3">
    <w:abstractNumId w:val="36"/>
    <w:lvlOverride w:ilvl="0">
      <w:startOverride w:val="1"/>
    </w:lvlOverride>
  </w:num>
  <w:num w:numId="4">
    <w:abstractNumId w:val="49"/>
  </w:num>
  <w:num w:numId="5">
    <w:abstractNumId w:val="6"/>
  </w:num>
  <w:num w:numId="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9"/>
  </w:num>
  <w:num w:numId="9">
    <w:abstractNumId w:val="62"/>
  </w:num>
  <w:num w:numId="10">
    <w:abstractNumId w:val="59"/>
  </w:num>
  <w:num w:numId="11">
    <w:abstractNumId w:val="24"/>
  </w:num>
  <w:num w:numId="12">
    <w:abstractNumId w:val="35"/>
  </w:num>
  <w:num w:numId="13">
    <w:abstractNumId w:val="63"/>
  </w:num>
  <w:num w:numId="14">
    <w:abstractNumId w:val="71"/>
  </w:num>
  <w:num w:numId="15">
    <w:abstractNumId w:val="32"/>
  </w:num>
  <w:num w:numId="16">
    <w:abstractNumId w:val="61"/>
  </w:num>
  <w:num w:numId="17">
    <w:abstractNumId w:val="60"/>
  </w:num>
  <w:num w:numId="18">
    <w:abstractNumId w:val="42"/>
  </w:num>
  <w:num w:numId="19">
    <w:abstractNumId w:val="51"/>
  </w:num>
  <w:num w:numId="20">
    <w:abstractNumId w:val="19"/>
  </w:num>
  <w:num w:numId="21">
    <w:abstractNumId w:val="33"/>
  </w:num>
  <w:num w:numId="22">
    <w:abstractNumId w:val="26"/>
  </w:num>
  <w:num w:numId="23">
    <w:abstractNumId w:val="75"/>
  </w:num>
  <w:num w:numId="24">
    <w:abstractNumId w:val="72"/>
  </w:num>
  <w:num w:numId="25">
    <w:abstractNumId w:val="74"/>
  </w:num>
  <w:num w:numId="26">
    <w:abstractNumId w:val="10"/>
  </w:num>
  <w:num w:numId="27">
    <w:abstractNumId w:val="2"/>
  </w:num>
  <w:num w:numId="28">
    <w:abstractNumId w:val="64"/>
  </w:num>
  <w:num w:numId="29">
    <w:abstractNumId w:val="65"/>
  </w:num>
  <w:num w:numId="30">
    <w:abstractNumId w:val="41"/>
  </w:num>
  <w:num w:numId="31">
    <w:abstractNumId w:val="69"/>
  </w:num>
  <w:num w:numId="32">
    <w:abstractNumId w:val="5"/>
  </w:num>
  <w:num w:numId="33">
    <w:abstractNumId w:val="54"/>
  </w:num>
  <w:num w:numId="34">
    <w:abstractNumId w:val="21"/>
  </w:num>
  <w:num w:numId="35">
    <w:abstractNumId w:val="46"/>
  </w:num>
  <w:num w:numId="36">
    <w:abstractNumId w:val="43"/>
  </w:num>
  <w:num w:numId="37">
    <w:abstractNumId w:val="8"/>
  </w:num>
  <w:num w:numId="38">
    <w:abstractNumId w:val="55"/>
  </w:num>
  <w:num w:numId="39">
    <w:abstractNumId w:val="67"/>
  </w:num>
  <w:num w:numId="40">
    <w:abstractNumId w:val="17"/>
  </w:num>
  <w:num w:numId="41">
    <w:abstractNumId w:val="76"/>
  </w:num>
  <w:num w:numId="42">
    <w:abstractNumId w:val="23"/>
  </w:num>
  <w:num w:numId="43">
    <w:abstractNumId w:val="40"/>
  </w:num>
  <w:num w:numId="44">
    <w:abstractNumId w:val="25"/>
  </w:num>
  <w:num w:numId="45">
    <w:abstractNumId w:val="58"/>
  </w:num>
  <w:num w:numId="46">
    <w:abstractNumId w:val="47"/>
  </w:num>
  <w:num w:numId="47">
    <w:abstractNumId w:val="37"/>
  </w:num>
  <w:num w:numId="48">
    <w:abstractNumId w:val="52"/>
  </w:num>
  <w:num w:numId="49">
    <w:abstractNumId w:val="66"/>
  </w:num>
  <w:num w:numId="50">
    <w:abstractNumId w:val="44"/>
  </w:num>
  <w:num w:numId="51">
    <w:abstractNumId w:val="27"/>
  </w:num>
  <w:num w:numId="52">
    <w:abstractNumId w:val="77"/>
  </w:num>
  <w:num w:numId="53">
    <w:abstractNumId w:val="1"/>
  </w:num>
  <w:num w:numId="54">
    <w:abstractNumId w:val="22"/>
  </w:num>
  <w:num w:numId="55">
    <w:abstractNumId w:val="31"/>
  </w:num>
  <w:num w:numId="56">
    <w:abstractNumId w:val="4"/>
  </w:num>
  <w:num w:numId="57">
    <w:abstractNumId w:val="14"/>
  </w:num>
  <w:num w:numId="58">
    <w:abstractNumId w:val="70"/>
  </w:num>
  <w:num w:numId="59">
    <w:abstractNumId w:val="39"/>
  </w:num>
  <w:num w:numId="60">
    <w:abstractNumId w:val="65"/>
  </w:num>
  <w:num w:numId="61">
    <w:abstractNumId w:val="48"/>
  </w:num>
  <w:num w:numId="62">
    <w:abstractNumId w:val="22"/>
  </w:num>
  <w:num w:numId="63">
    <w:abstractNumId w:val="30"/>
  </w:num>
  <w:num w:numId="64">
    <w:abstractNumId w:val="29"/>
  </w:num>
  <w:num w:numId="65">
    <w:abstractNumId w:val="13"/>
  </w:num>
  <w:num w:numId="66">
    <w:abstractNumId w:val="18"/>
  </w:num>
  <w:num w:numId="67">
    <w:abstractNumId w:val="11"/>
  </w:num>
  <w:num w:numId="68">
    <w:abstractNumId w:val="68"/>
  </w:num>
  <w:num w:numId="69">
    <w:abstractNumId w:val="53"/>
  </w:num>
  <w:num w:numId="70">
    <w:abstractNumId w:val="16"/>
  </w:num>
  <w:num w:numId="71">
    <w:abstractNumId w:val="45"/>
  </w:num>
  <w:num w:numId="72">
    <w:abstractNumId w:val="7"/>
  </w:num>
  <w:num w:numId="73">
    <w:abstractNumId w:val="12"/>
  </w:num>
  <w:num w:numId="74">
    <w:abstractNumId w:val="56"/>
  </w:num>
  <w:num w:numId="75">
    <w:abstractNumId w:val="73"/>
  </w:num>
  <w:num w:numId="76">
    <w:abstractNumId w:val="50"/>
  </w:num>
  <w:num w:numId="77">
    <w:abstractNumId w:val="3"/>
  </w:num>
  <w:num w:numId="78">
    <w:abstractNumId w:val="38"/>
  </w:num>
  <w:num w:numId="79">
    <w:abstractNumId w:val="2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sv-SE" w:vendorID="64" w:dllVersion="4096" w:nlCheck="1" w:checkStyle="0"/>
  <w:activeWritingStyle w:appName="MSWord" w:lang="ru-RU" w:vendorID="64" w:dllVersion="4096" w:nlCheck="1" w:checkStyle="0"/>
  <w:activeWritingStyle w:appName="MSWord" w:lang="en-GB" w:vendorID="64" w:dllVersion="6" w:nlCheck="1" w:checkStyle="1"/>
  <w:activeWritingStyle w:appName="MSWord" w:lang="en-US" w:vendorID="64" w:dllVersion="6" w:nlCheck="1" w:checkStyle="1"/>
  <w:activeWritingStyle w:appName="MSWord" w:lang="fr-BE" w:vendorID="64" w:dllVersion="6" w:nlCheck="1" w:checkStyle="1"/>
  <w:activeWritingStyle w:appName="MSWord" w:lang="fr-BE" w:vendorID="64" w:dllVersion="4096" w:nlCheck="1" w:checkStyle="0"/>
  <w:activeWritingStyle w:appName="MSWord" w:lang="it-IT" w:vendorID="64" w:dllVersion="4096" w:nlCheck="1" w:checkStyle="0"/>
  <w:activeWritingStyle w:appName="MSWord" w:lang="en-GB" w:vendorID="64" w:dllVersion="131078" w:nlCheck="1" w:checkStyle="0"/>
  <w:activeWritingStyle w:appName="MSWord" w:lang="en-US" w:vendorID="64" w:dllVersion="131078" w:nlCheck="1" w:checkStyle="0"/>
  <w:activeWritingStyle w:appName="MSWord" w:lang="fr-BE" w:vendorID="64" w:dllVersion="131078" w:nlCheck="1" w:checkStyle="1"/>
  <w:defaultTabStop w:val="720"/>
  <w:hyphenationZone w:val="0"/>
  <w:doNotHyphenateCap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F04"/>
    <w:rsid w:val="0000126F"/>
    <w:rsid w:val="000012CD"/>
    <w:rsid w:val="0000138E"/>
    <w:rsid w:val="00001745"/>
    <w:rsid w:val="000018E2"/>
    <w:rsid w:val="00001A98"/>
    <w:rsid w:val="000027D3"/>
    <w:rsid w:val="00006A82"/>
    <w:rsid w:val="000072AE"/>
    <w:rsid w:val="00012929"/>
    <w:rsid w:val="00013068"/>
    <w:rsid w:val="000138C5"/>
    <w:rsid w:val="00014457"/>
    <w:rsid w:val="00014B8D"/>
    <w:rsid w:val="000158F1"/>
    <w:rsid w:val="00015D3D"/>
    <w:rsid w:val="00016612"/>
    <w:rsid w:val="00016698"/>
    <w:rsid w:val="0001742C"/>
    <w:rsid w:val="00017614"/>
    <w:rsid w:val="000178D4"/>
    <w:rsid w:val="00017BCC"/>
    <w:rsid w:val="00021BA9"/>
    <w:rsid w:val="000226E1"/>
    <w:rsid w:val="00022B01"/>
    <w:rsid w:val="000234F0"/>
    <w:rsid w:val="000236D0"/>
    <w:rsid w:val="00023CE9"/>
    <w:rsid w:val="00023DFB"/>
    <w:rsid w:val="000240E8"/>
    <w:rsid w:val="00025A3F"/>
    <w:rsid w:val="00030314"/>
    <w:rsid w:val="0003053C"/>
    <w:rsid w:val="000310E7"/>
    <w:rsid w:val="00032E5B"/>
    <w:rsid w:val="00033189"/>
    <w:rsid w:val="00034019"/>
    <w:rsid w:val="00034C03"/>
    <w:rsid w:val="00034DD6"/>
    <w:rsid w:val="00035B39"/>
    <w:rsid w:val="000361D6"/>
    <w:rsid w:val="0003660E"/>
    <w:rsid w:val="000404BF"/>
    <w:rsid w:val="0004062E"/>
    <w:rsid w:val="000408E4"/>
    <w:rsid w:val="000411CE"/>
    <w:rsid w:val="000413B6"/>
    <w:rsid w:val="000428A8"/>
    <w:rsid w:val="00043601"/>
    <w:rsid w:val="00043612"/>
    <w:rsid w:val="00044522"/>
    <w:rsid w:val="00044927"/>
    <w:rsid w:val="00045A24"/>
    <w:rsid w:val="000465ED"/>
    <w:rsid w:val="00046C64"/>
    <w:rsid w:val="00051608"/>
    <w:rsid w:val="00051C8C"/>
    <w:rsid w:val="00052372"/>
    <w:rsid w:val="0005493E"/>
    <w:rsid w:val="000567DD"/>
    <w:rsid w:val="00056E2A"/>
    <w:rsid w:val="00057593"/>
    <w:rsid w:val="0005763C"/>
    <w:rsid w:val="000579BC"/>
    <w:rsid w:val="00057F97"/>
    <w:rsid w:val="00060E2B"/>
    <w:rsid w:val="000619C2"/>
    <w:rsid w:val="000623FF"/>
    <w:rsid w:val="00062F94"/>
    <w:rsid w:val="000633FF"/>
    <w:rsid w:val="00065C76"/>
    <w:rsid w:val="0006650E"/>
    <w:rsid w:val="00070578"/>
    <w:rsid w:val="00071524"/>
    <w:rsid w:val="00071989"/>
    <w:rsid w:val="000726C8"/>
    <w:rsid w:val="0007328E"/>
    <w:rsid w:val="000735D6"/>
    <w:rsid w:val="00073855"/>
    <w:rsid w:val="00073A9E"/>
    <w:rsid w:val="00073FA7"/>
    <w:rsid w:val="000755F8"/>
    <w:rsid w:val="00075F15"/>
    <w:rsid w:val="00076324"/>
    <w:rsid w:val="00076828"/>
    <w:rsid w:val="00077F58"/>
    <w:rsid w:val="00080AF7"/>
    <w:rsid w:val="000810E5"/>
    <w:rsid w:val="000817B3"/>
    <w:rsid w:val="00081AD7"/>
    <w:rsid w:val="00082412"/>
    <w:rsid w:val="000833BC"/>
    <w:rsid w:val="00083697"/>
    <w:rsid w:val="00085672"/>
    <w:rsid w:val="00085C0E"/>
    <w:rsid w:val="00086C37"/>
    <w:rsid w:val="0008771E"/>
    <w:rsid w:val="00090441"/>
    <w:rsid w:val="0009065C"/>
    <w:rsid w:val="0009245C"/>
    <w:rsid w:val="00092AD1"/>
    <w:rsid w:val="00093973"/>
    <w:rsid w:val="0009452A"/>
    <w:rsid w:val="00095672"/>
    <w:rsid w:val="00095E63"/>
    <w:rsid w:val="00096AC3"/>
    <w:rsid w:val="00096DD4"/>
    <w:rsid w:val="00096EB1"/>
    <w:rsid w:val="000970D1"/>
    <w:rsid w:val="00097CBF"/>
    <w:rsid w:val="00097D78"/>
    <w:rsid w:val="000A03DE"/>
    <w:rsid w:val="000A06EB"/>
    <w:rsid w:val="000A077C"/>
    <w:rsid w:val="000A07FB"/>
    <w:rsid w:val="000A1083"/>
    <w:rsid w:val="000A161D"/>
    <w:rsid w:val="000A190E"/>
    <w:rsid w:val="000A1E9C"/>
    <w:rsid w:val="000A2FFC"/>
    <w:rsid w:val="000A30D1"/>
    <w:rsid w:val="000A3748"/>
    <w:rsid w:val="000A3786"/>
    <w:rsid w:val="000A3C9A"/>
    <w:rsid w:val="000A4DF4"/>
    <w:rsid w:val="000A4F80"/>
    <w:rsid w:val="000A5189"/>
    <w:rsid w:val="000A5E32"/>
    <w:rsid w:val="000A5F98"/>
    <w:rsid w:val="000A6F74"/>
    <w:rsid w:val="000A7402"/>
    <w:rsid w:val="000A784D"/>
    <w:rsid w:val="000B0AF9"/>
    <w:rsid w:val="000B3022"/>
    <w:rsid w:val="000B314A"/>
    <w:rsid w:val="000B392F"/>
    <w:rsid w:val="000B3E46"/>
    <w:rsid w:val="000B5173"/>
    <w:rsid w:val="000B5F2F"/>
    <w:rsid w:val="000B6D25"/>
    <w:rsid w:val="000B7863"/>
    <w:rsid w:val="000C07CD"/>
    <w:rsid w:val="000C0F59"/>
    <w:rsid w:val="000C1E7A"/>
    <w:rsid w:val="000C2180"/>
    <w:rsid w:val="000C3199"/>
    <w:rsid w:val="000C38A7"/>
    <w:rsid w:val="000C38ED"/>
    <w:rsid w:val="000C59F0"/>
    <w:rsid w:val="000C7A4C"/>
    <w:rsid w:val="000C7E00"/>
    <w:rsid w:val="000D0ED1"/>
    <w:rsid w:val="000D10A6"/>
    <w:rsid w:val="000D113B"/>
    <w:rsid w:val="000D1E20"/>
    <w:rsid w:val="000D2A81"/>
    <w:rsid w:val="000D2E25"/>
    <w:rsid w:val="000D3BB1"/>
    <w:rsid w:val="000D4239"/>
    <w:rsid w:val="000D43F4"/>
    <w:rsid w:val="000D5ABB"/>
    <w:rsid w:val="000D5C2C"/>
    <w:rsid w:val="000D6373"/>
    <w:rsid w:val="000D6469"/>
    <w:rsid w:val="000D6796"/>
    <w:rsid w:val="000D7E1E"/>
    <w:rsid w:val="000E0263"/>
    <w:rsid w:val="000E16DA"/>
    <w:rsid w:val="000E1877"/>
    <w:rsid w:val="000E2092"/>
    <w:rsid w:val="000E55B8"/>
    <w:rsid w:val="000E633E"/>
    <w:rsid w:val="000E655D"/>
    <w:rsid w:val="000F4B37"/>
    <w:rsid w:val="000F5EFB"/>
    <w:rsid w:val="000F63E2"/>
    <w:rsid w:val="000F6799"/>
    <w:rsid w:val="000F695C"/>
    <w:rsid w:val="000F75FA"/>
    <w:rsid w:val="000F7E81"/>
    <w:rsid w:val="001008BC"/>
    <w:rsid w:val="001019BE"/>
    <w:rsid w:val="00101CA4"/>
    <w:rsid w:val="0010264B"/>
    <w:rsid w:val="0010380C"/>
    <w:rsid w:val="00103983"/>
    <w:rsid w:val="00104344"/>
    <w:rsid w:val="001065A4"/>
    <w:rsid w:val="00106D42"/>
    <w:rsid w:val="00106E17"/>
    <w:rsid w:val="00107889"/>
    <w:rsid w:val="00110804"/>
    <w:rsid w:val="00110E13"/>
    <w:rsid w:val="0011263C"/>
    <w:rsid w:val="001126E2"/>
    <w:rsid w:val="0011379D"/>
    <w:rsid w:val="00114414"/>
    <w:rsid w:val="00114A61"/>
    <w:rsid w:val="00115E47"/>
    <w:rsid w:val="00116EE4"/>
    <w:rsid w:val="00117A05"/>
    <w:rsid w:val="00117FB1"/>
    <w:rsid w:val="00120D23"/>
    <w:rsid w:val="00122D91"/>
    <w:rsid w:val="001239F6"/>
    <w:rsid w:val="00124FF5"/>
    <w:rsid w:val="00125351"/>
    <w:rsid w:val="001263D3"/>
    <w:rsid w:val="00126742"/>
    <w:rsid w:val="00126CA4"/>
    <w:rsid w:val="00130F72"/>
    <w:rsid w:val="00131076"/>
    <w:rsid w:val="0013110F"/>
    <w:rsid w:val="0013127D"/>
    <w:rsid w:val="00132374"/>
    <w:rsid w:val="0013339B"/>
    <w:rsid w:val="00133A02"/>
    <w:rsid w:val="00134636"/>
    <w:rsid w:val="00134EB4"/>
    <w:rsid w:val="001360BF"/>
    <w:rsid w:val="00136651"/>
    <w:rsid w:val="0013784E"/>
    <w:rsid w:val="00137BC7"/>
    <w:rsid w:val="0014046F"/>
    <w:rsid w:val="0014185F"/>
    <w:rsid w:val="00143860"/>
    <w:rsid w:val="00143AA3"/>
    <w:rsid w:val="00144759"/>
    <w:rsid w:val="0014556F"/>
    <w:rsid w:val="001470AC"/>
    <w:rsid w:val="0014710A"/>
    <w:rsid w:val="00147458"/>
    <w:rsid w:val="0014790D"/>
    <w:rsid w:val="00147BA1"/>
    <w:rsid w:val="00151948"/>
    <w:rsid w:val="00151BD7"/>
    <w:rsid w:val="00152E7F"/>
    <w:rsid w:val="001536EF"/>
    <w:rsid w:val="00153A21"/>
    <w:rsid w:val="00155A71"/>
    <w:rsid w:val="00155FBA"/>
    <w:rsid w:val="001569B6"/>
    <w:rsid w:val="00157167"/>
    <w:rsid w:val="001606E6"/>
    <w:rsid w:val="00161843"/>
    <w:rsid w:val="00163047"/>
    <w:rsid w:val="00164DA7"/>
    <w:rsid w:val="001654B7"/>
    <w:rsid w:val="00165CC0"/>
    <w:rsid w:val="00166CB3"/>
    <w:rsid w:val="00167288"/>
    <w:rsid w:val="001707EC"/>
    <w:rsid w:val="00170EE3"/>
    <w:rsid w:val="00171B93"/>
    <w:rsid w:val="001739B1"/>
    <w:rsid w:val="00174486"/>
    <w:rsid w:val="001745A8"/>
    <w:rsid w:val="001756A1"/>
    <w:rsid w:val="001763C4"/>
    <w:rsid w:val="00176F47"/>
    <w:rsid w:val="00177D6C"/>
    <w:rsid w:val="001803DE"/>
    <w:rsid w:val="00180781"/>
    <w:rsid w:val="001807BE"/>
    <w:rsid w:val="00181377"/>
    <w:rsid w:val="0018166F"/>
    <w:rsid w:val="00181774"/>
    <w:rsid w:val="00181B21"/>
    <w:rsid w:val="00182E41"/>
    <w:rsid w:val="0018401F"/>
    <w:rsid w:val="0018413F"/>
    <w:rsid w:val="00184A51"/>
    <w:rsid w:val="0018618D"/>
    <w:rsid w:val="00186796"/>
    <w:rsid w:val="00186ADD"/>
    <w:rsid w:val="001873D3"/>
    <w:rsid w:val="001902DE"/>
    <w:rsid w:val="00190478"/>
    <w:rsid w:val="001909CE"/>
    <w:rsid w:val="00191205"/>
    <w:rsid w:val="00191DC1"/>
    <w:rsid w:val="001928B4"/>
    <w:rsid w:val="00193863"/>
    <w:rsid w:val="00193FE0"/>
    <w:rsid w:val="00195A90"/>
    <w:rsid w:val="00195C00"/>
    <w:rsid w:val="001962DC"/>
    <w:rsid w:val="001962FA"/>
    <w:rsid w:val="001966E6"/>
    <w:rsid w:val="00196CD0"/>
    <w:rsid w:val="00196EC3"/>
    <w:rsid w:val="001970E4"/>
    <w:rsid w:val="0019795F"/>
    <w:rsid w:val="00197CD3"/>
    <w:rsid w:val="001A1F22"/>
    <w:rsid w:val="001A21CA"/>
    <w:rsid w:val="001A2376"/>
    <w:rsid w:val="001A2FFA"/>
    <w:rsid w:val="001A4A23"/>
    <w:rsid w:val="001A50F5"/>
    <w:rsid w:val="001A5DE6"/>
    <w:rsid w:val="001A6081"/>
    <w:rsid w:val="001A66AA"/>
    <w:rsid w:val="001A7EAC"/>
    <w:rsid w:val="001B1018"/>
    <w:rsid w:val="001B1622"/>
    <w:rsid w:val="001B1E92"/>
    <w:rsid w:val="001B5AB6"/>
    <w:rsid w:val="001B7328"/>
    <w:rsid w:val="001B78E7"/>
    <w:rsid w:val="001B7E19"/>
    <w:rsid w:val="001C0088"/>
    <w:rsid w:val="001C175B"/>
    <w:rsid w:val="001C1826"/>
    <w:rsid w:val="001C2E7E"/>
    <w:rsid w:val="001C5030"/>
    <w:rsid w:val="001C6020"/>
    <w:rsid w:val="001C6CCA"/>
    <w:rsid w:val="001D11C2"/>
    <w:rsid w:val="001D1F7B"/>
    <w:rsid w:val="001D25E2"/>
    <w:rsid w:val="001D55A8"/>
    <w:rsid w:val="001D5635"/>
    <w:rsid w:val="001D5B79"/>
    <w:rsid w:val="001D633C"/>
    <w:rsid w:val="001D6381"/>
    <w:rsid w:val="001D6B32"/>
    <w:rsid w:val="001E0688"/>
    <w:rsid w:val="001E0F7F"/>
    <w:rsid w:val="001E178B"/>
    <w:rsid w:val="001E28B9"/>
    <w:rsid w:val="001E38A8"/>
    <w:rsid w:val="001E3BE8"/>
    <w:rsid w:val="001E40A5"/>
    <w:rsid w:val="001E437E"/>
    <w:rsid w:val="001E4486"/>
    <w:rsid w:val="001E4A52"/>
    <w:rsid w:val="001E5166"/>
    <w:rsid w:val="001E52CC"/>
    <w:rsid w:val="001E550F"/>
    <w:rsid w:val="001E55A7"/>
    <w:rsid w:val="001E6971"/>
    <w:rsid w:val="001E6B73"/>
    <w:rsid w:val="001E757A"/>
    <w:rsid w:val="001E7B87"/>
    <w:rsid w:val="001E7CDE"/>
    <w:rsid w:val="001F0FB4"/>
    <w:rsid w:val="001F1B24"/>
    <w:rsid w:val="001F46B0"/>
    <w:rsid w:val="001F4C1D"/>
    <w:rsid w:val="001F5A4C"/>
    <w:rsid w:val="00200095"/>
    <w:rsid w:val="002013DD"/>
    <w:rsid w:val="00202310"/>
    <w:rsid w:val="002029E6"/>
    <w:rsid w:val="00203396"/>
    <w:rsid w:val="002033EA"/>
    <w:rsid w:val="00203A94"/>
    <w:rsid w:val="00203D0A"/>
    <w:rsid w:val="00203DBF"/>
    <w:rsid w:val="00203F9F"/>
    <w:rsid w:val="0020432C"/>
    <w:rsid w:val="002048C4"/>
    <w:rsid w:val="00204F8C"/>
    <w:rsid w:val="00205294"/>
    <w:rsid w:val="002056D9"/>
    <w:rsid w:val="00206305"/>
    <w:rsid w:val="002079B4"/>
    <w:rsid w:val="00210464"/>
    <w:rsid w:val="00210A05"/>
    <w:rsid w:val="00210A16"/>
    <w:rsid w:val="00210FA3"/>
    <w:rsid w:val="00211FAA"/>
    <w:rsid w:val="002129D6"/>
    <w:rsid w:val="002132E1"/>
    <w:rsid w:val="00213CF0"/>
    <w:rsid w:val="002154EF"/>
    <w:rsid w:val="0021572F"/>
    <w:rsid w:val="00215C57"/>
    <w:rsid w:val="00216C60"/>
    <w:rsid w:val="00217417"/>
    <w:rsid w:val="0022096A"/>
    <w:rsid w:val="0022110A"/>
    <w:rsid w:val="00221AB8"/>
    <w:rsid w:val="002224E6"/>
    <w:rsid w:val="002229A2"/>
    <w:rsid w:val="00222F17"/>
    <w:rsid w:val="002230E9"/>
    <w:rsid w:val="002230F6"/>
    <w:rsid w:val="002235B2"/>
    <w:rsid w:val="0022436F"/>
    <w:rsid w:val="00225097"/>
    <w:rsid w:val="00226220"/>
    <w:rsid w:val="00226222"/>
    <w:rsid w:val="0022697B"/>
    <w:rsid w:val="0022697E"/>
    <w:rsid w:val="002272FE"/>
    <w:rsid w:val="00234174"/>
    <w:rsid w:val="002361D0"/>
    <w:rsid w:val="00236EFF"/>
    <w:rsid w:val="00236FA3"/>
    <w:rsid w:val="002408A3"/>
    <w:rsid w:val="00241ED0"/>
    <w:rsid w:val="002426E6"/>
    <w:rsid w:val="00242CA1"/>
    <w:rsid w:val="00243E2C"/>
    <w:rsid w:val="002453CD"/>
    <w:rsid w:val="00245729"/>
    <w:rsid w:val="0024572A"/>
    <w:rsid w:val="00245C60"/>
    <w:rsid w:val="00246766"/>
    <w:rsid w:val="00246D25"/>
    <w:rsid w:val="002476A0"/>
    <w:rsid w:val="00247CB5"/>
    <w:rsid w:val="002515F7"/>
    <w:rsid w:val="00251B9F"/>
    <w:rsid w:val="00251F7F"/>
    <w:rsid w:val="00252121"/>
    <w:rsid w:val="00253639"/>
    <w:rsid w:val="00256B70"/>
    <w:rsid w:val="00256B98"/>
    <w:rsid w:val="002609BA"/>
    <w:rsid w:val="00260D1F"/>
    <w:rsid w:val="002618D6"/>
    <w:rsid w:val="00261BAD"/>
    <w:rsid w:val="00262C47"/>
    <w:rsid w:val="002633A5"/>
    <w:rsid w:val="00264A27"/>
    <w:rsid w:val="00264F4C"/>
    <w:rsid w:val="002656B2"/>
    <w:rsid w:val="00265DAE"/>
    <w:rsid w:val="002668C9"/>
    <w:rsid w:val="00267C90"/>
    <w:rsid w:val="00270073"/>
    <w:rsid w:val="00270141"/>
    <w:rsid w:val="00271022"/>
    <w:rsid w:val="00272F70"/>
    <w:rsid w:val="002737B5"/>
    <w:rsid w:val="002741F8"/>
    <w:rsid w:val="0027470D"/>
    <w:rsid w:val="00274D95"/>
    <w:rsid w:val="002754B0"/>
    <w:rsid w:val="002757A1"/>
    <w:rsid w:val="00276EE8"/>
    <w:rsid w:val="0027748D"/>
    <w:rsid w:val="00280DC7"/>
    <w:rsid w:val="002818A9"/>
    <w:rsid w:val="00282040"/>
    <w:rsid w:val="002846A2"/>
    <w:rsid w:val="002847A4"/>
    <w:rsid w:val="002848DE"/>
    <w:rsid w:val="00285B4E"/>
    <w:rsid w:val="00285DBE"/>
    <w:rsid w:val="00287D66"/>
    <w:rsid w:val="00287F71"/>
    <w:rsid w:val="00290C71"/>
    <w:rsid w:val="00291309"/>
    <w:rsid w:val="002920FD"/>
    <w:rsid w:val="00293E68"/>
    <w:rsid w:val="002943A3"/>
    <w:rsid w:val="002948FF"/>
    <w:rsid w:val="00294FF3"/>
    <w:rsid w:val="002955D5"/>
    <w:rsid w:val="002957E7"/>
    <w:rsid w:val="00296057"/>
    <w:rsid w:val="00297721"/>
    <w:rsid w:val="002A0A1D"/>
    <w:rsid w:val="002A18C6"/>
    <w:rsid w:val="002A2B33"/>
    <w:rsid w:val="002A32AF"/>
    <w:rsid w:val="002A4FE5"/>
    <w:rsid w:val="002A5081"/>
    <w:rsid w:val="002A59A1"/>
    <w:rsid w:val="002A5BC9"/>
    <w:rsid w:val="002A5C59"/>
    <w:rsid w:val="002A64C1"/>
    <w:rsid w:val="002A7176"/>
    <w:rsid w:val="002A726B"/>
    <w:rsid w:val="002A7F0C"/>
    <w:rsid w:val="002A7F6D"/>
    <w:rsid w:val="002B0742"/>
    <w:rsid w:val="002B1403"/>
    <w:rsid w:val="002B19CD"/>
    <w:rsid w:val="002B3192"/>
    <w:rsid w:val="002B3DAC"/>
    <w:rsid w:val="002B5096"/>
    <w:rsid w:val="002B5849"/>
    <w:rsid w:val="002B5DF8"/>
    <w:rsid w:val="002B6264"/>
    <w:rsid w:val="002C0133"/>
    <w:rsid w:val="002C0276"/>
    <w:rsid w:val="002C0444"/>
    <w:rsid w:val="002C0B50"/>
    <w:rsid w:val="002C0B9F"/>
    <w:rsid w:val="002C0BC5"/>
    <w:rsid w:val="002C1747"/>
    <w:rsid w:val="002C23F4"/>
    <w:rsid w:val="002C3EAA"/>
    <w:rsid w:val="002C643E"/>
    <w:rsid w:val="002C72E2"/>
    <w:rsid w:val="002D031E"/>
    <w:rsid w:val="002D0890"/>
    <w:rsid w:val="002D0ADB"/>
    <w:rsid w:val="002D1379"/>
    <w:rsid w:val="002D2362"/>
    <w:rsid w:val="002D2CFE"/>
    <w:rsid w:val="002D412C"/>
    <w:rsid w:val="002D42B2"/>
    <w:rsid w:val="002D4309"/>
    <w:rsid w:val="002D4490"/>
    <w:rsid w:val="002D64EE"/>
    <w:rsid w:val="002D6822"/>
    <w:rsid w:val="002D69E7"/>
    <w:rsid w:val="002E08B4"/>
    <w:rsid w:val="002E0E41"/>
    <w:rsid w:val="002E12CB"/>
    <w:rsid w:val="002E238E"/>
    <w:rsid w:val="002E23E6"/>
    <w:rsid w:val="002E2663"/>
    <w:rsid w:val="002E2B0F"/>
    <w:rsid w:val="002E40A6"/>
    <w:rsid w:val="002E4264"/>
    <w:rsid w:val="002E44D7"/>
    <w:rsid w:val="002E5358"/>
    <w:rsid w:val="002E5821"/>
    <w:rsid w:val="002E5A21"/>
    <w:rsid w:val="002E74ED"/>
    <w:rsid w:val="002E75E3"/>
    <w:rsid w:val="002E7700"/>
    <w:rsid w:val="002E7BFE"/>
    <w:rsid w:val="002F0A67"/>
    <w:rsid w:val="002F233C"/>
    <w:rsid w:val="002F4901"/>
    <w:rsid w:val="002F5519"/>
    <w:rsid w:val="002F58A5"/>
    <w:rsid w:val="002F64D7"/>
    <w:rsid w:val="00300634"/>
    <w:rsid w:val="00300901"/>
    <w:rsid w:val="00300976"/>
    <w:rsid w:val="00301A96"/>
    <w:rsid w:val="00302828"/>
    <w:rsid w:val="0030319B"/>
    <w:rsid w:val="003044EC"/>
    <w:rsid w:val="00304702"/>
    <w:rsid w:val="00312240"/>
    <w:rsid w:val="0031274A"/>
    <w:rsid w:val="003129C6"/>
    <w:rsid w:val="00312B76"/>
    <w:rsid w:val="003138D7"/>
    <w:rsid w:val="00314550"/>
    <w:rsid w:val="003148BE"/>
    <w:rsid w:val="0031550A"/>
    <w:rsid w:val="00315DE5"/>
    <w:rsid w:val="003162FB"/>
    <w:rsid w:val="00316FC6"/>
    <w:rsid w:val="00317767"/>
    <w:rsid w:val="00317D2A"/>
    <w:rsid w:val="00320800"/>
    <w:rsid w:val="00321099"/>
    <w:rsid w:val="00321339"/>
    <w:rsid w:val="003228C8"/>
    <w:rsid w:val="003233AB"/>
    <w:rsid w:val="003233CA"/>
    <w:rsid w:val="00323A75"/>
    <w:rsid w:val="00323D06"/>
    <w:rsid w:val="0032480F"/>
    <w:rsid w:val="00324979"/>
    <w:rsid w:val="003255AF"/>
    <w:rsid w:val="003259E7"/>
    <w:rsid w:val="00325CBE"/>
    <w:rsid w:val="00325F29"/>
    <w:rsid w:val="00326C00"/>
    <w:rsid w:val="00327070"/>
    <w:rsid w:val="00327213"/>
    <w:rsid w:val="00327591"/>
    <w:rsid w:val="00327A32"/>
    <w:rsid w:val="00327EF9"/>
    <w:rsid w:val="003304DA"/>
    <w:rsid w:val="00331251"/>
    <w:rsid w:val="003315DA"/>
    <w:rsid w:val="00331A75"/>
    <w:rsid w:val="00332A46"/>
    <w:rsid w:val="0033312D"/>
    <w:rsid w:val="00333766"/>
    <w:rsid w:val="003337E8"/>
    <w:rsid w:val="00334520"/>
    <w:rsid w:val="00334AD3"/>
    <w:rsid w:val="00336A6D"/>
    <w:rsid w:val="00337178"/>
    <w:rsid w:val="003415D9"/>
    <w:rsid w:val="00341868"/>
    <w:rsid w:val="0034186A"/>
    <w:rsid w:val="00341C69"/>
    <w:rsid w:val="0034276C"/>
    <w:rsid w:val="00343AA8"/>
    <w:rsid w:val="003446B6"/>
    <w:rsid w:val="00344CCF"/>
    <w:rsid w:val="003455B3"/>
    <w:rsid w:val="003466C5"/>
    <w:rsid w:val="00346DF4"/>
    <w:rsid w:val="00350047"/>
    <w:rsid w:val="00350938"/>
    <w:rsid w:val="00351075"/>
    <w:rsid w:val="003510C9"/>
    <w:rsid w:val="0035116A"/>
    <w:rsid w:val="003517D5"/>
    <w:rsid w:val="00352895"/>
    <w:rsid w:val="003532D2"/>
    <w:rsid w:val="0035423E"/>
    <w:rsid w:val="00354716"/>
    <w:rsid w:val="003555C0"/>
    <w:rsid w:val="00355FC8"/>
    <w:rsid w:val="00356390"/>
    <w:rsid w:val="003567CF"/>
    <w:rsid w:val="003567E7"/>
    <w:rsid w:val="00356C6E"/>
    <w:rsid w:val="00356FE5"/>
    <w:rsid w:val="003572CC"/>
    <w:rsid w:val="00357A75"/>
    <w:rsid w:val="003600F9"/>
    <w:rsid w:val="003610C6"/>
    <w:rsid w:val="00361C2F"/>
    <w:rsid w:val="00361ED2"/>
    <w:rsid w:val="0036208F"/>
    <w:rsid w:val="0036240B"/>
    <w:rsid w:val="00362B5C"/>
    <w:rsid w:val="0036342D"/>
    <w:rsid w:val="003651CA"/>
    <w:rsid w:val="0036557F"/>
    <w:rsid w:val="00365CF3"/>
    <w:rsid w:val="00366087"/>
    <w:rsid w:val="00367C4D"/>
    <w:rsid w:val="003726EC"/>
    <w:rsid w:val="00372891"/>
    <w:rsid w:val="00373186"/>
    <w:rsid w:val="00373444"/>
    <w:rsid w:val="00373754"/>
    <w:rsid w:val="0037398B"/>
    <w:rsid w:val="00373AC6"/>
    <w:rsid w:val="00373E5A"/>
    <w:rsid w:val="00373F35"/>
    <w:rsid w:val="00376B56"/>
    <w:rsid w:val="00377D7C"/>
    <w:rsid w:val="003801F2"/>
    <w:rsid w:val="003812AD"/>
    <w:rsid w:val="00382CA7"/>
    <w:rsid w:val="00383700"/>
    <w:rsid w:val="00384282"/>
    <w:rsid w:val="00386FEA"/>
    <w:rsid w:val="00387195"/>
    <w:rsid w:val="0038740E"/>
    <w:rsid w:val="003877DD"/>
    <w:rsid w:val="00387945"/>
    <w:rsid w:val="00387A3C"/>
    <w:rsid w:val="00390298"/>
    <w:rsid w:val="0039095C"/>
    <w:rsid w:val="0039175B"/>
    <w:rsid w:val="00391870"/>
    <w:rsid w:val="00392811"/>
    <w:rsid w:val="00392BE4"/>
    <w:rsid w:val="00393190"/>
    <w:rsid w:val="00393647"/>
    <w:rsid w:val="003936D4"/>
    <w:rsid w:val="00395D2C"/>
    <w:rsid w:val="00396362"/>
    <w:rsid w:val="00397BA7"/>
    <w:rsid w:val="00397E47"/>
    <w:rsid w:val="003A057C"/>
    <w:rsid w:val="003A0615"/>
    <w:rsid w:val="003A1851"/>
    <w:rsid w:val="003A197F"/>
    <w:rsid w:val="003A1D9F"/>
    <w:rsid w:val="003A2248"/>
    <w:rsid w:val="003A2F4C"/>
    <w:rsid w:val="003A31C4"/>
    <w:rsid w:val="003A3523"/>
    <w:rsid w:val="003A439D"/>
    <w:rsid w:val="003A4D07"/>
    <w:rsid w:val="003A5832"/>
    <w:rsid w:val="003A6234"/>
    <w:rsid w:val="003A6AB0"/>
    <w:rsid w:val="003A74BD"/>
    <w:rsid w:val="003B029A"/>
    <w:rsid w:val="003B0BC3"/>
    <w:rsid w:val="003B1ECE"/>
    <w:rsid w:val="003B217A"/>
    <w:rsid w:val="003B24FB"/>
    <w:rsid w:val="003B263A"/>
    <w:rsid w:val="003B307C"/>
    <w:rsid w:val="003B33D9"/>
    <w:rsid w:val="003B37BB"/>
    <w:rsid w:val="003B3EF1"/>
    <w:rsid w:val="003B5B58"/>
    <w:rsid w:val="003B6DD1"/>
    <w:rsid w:val="003B7148"/>
    <w:rsid w:val="003B71F4"/>
    <w:rsid w:val="003C0A9F"/>
    <w:rsid w:val="003C159B"/>
    <w:rsid w:val="003C18E4"/>
    <w:rsid w:val="003C191A"/>
    <w:rsid w:val="003C2BC8"/>
    <w:rsid w:val="003C421B"/>
    <w:rsid w:val="003C4FB6"/>
    <w:rsid w:val="003C5370"/>
    <w:rsid w:val="003C586B"/>
    <w:rsid w:val="003C5A0A"/>
    <w:rsid w:val="003C5AAE"/>
    <w:rsid w:val="003C7656"/>
    <w:rsid w:val="003C7B63"/>
    <w:rsid w:val="003C7BEE"/>
    <w:rsid w:val="003D3C1F"/>
    <w:rsid w:val="003D4972"/>
    <w:rsid w:val="003D4B49"/>
    <w:rsid w:val="003D4EF3"/>
    <w:rsid w:val="003D52F6"/>
    <w:rsid w:val="003D64C9"/>
    <w:rsid w:val="003D6778"/>
    <w:rsid w:val="003D7837"/>
    <w:rsid w:val="003E13E1"/>
    <w:rsid w:val="003E2385"/>
    <w:rsid w:val="003E2817"/>
    <w:rsid w:val="003E33DC"/>
    <w:rsid w:val="003E428A"/>
    <w:rsid w:val="003E481A"/>
    <w:rsid w:val="003E53FF"/>
    <w:rsid w:val="003F13B0"/>
    <w:rsid w:val="003F3C44"/>
    <w:rsid w:val="003F4037"/>
    <w:rsid w:val="003F706B"/>
    <w:rsid w:val="003F78F3"/>
    <w:rsid w:val="0040040B"/>
    <w:rsid w:val="004015E5"/>
    <w:rsid w:val="00402463"/>
    <w:rsid w:val="00402E92"/>
    <w:rsid w:val="0040568C"/>
    <w:rsid w:val="00407408"/>
    <w:rsid w:val="00407826"/>
    <w:rsid w:val="004113CA"/>
    <w:rsid w:val="0041295A"/>
    <w:rsid w:val="00413320"/>
    <w:rsid w:val="0041462A"/>
    <w:rsid w:val="00414B13"/>
    <w:rsid w:val="004153FA"/>
    <w:rsid w:val="00415B53"/>
    <w:rsid w:val="00415CBA"/>
    <w:rsid w:val="00416A9C"/>
    <w:rsid w:val="00417D2F"/>
    <w:rsid w:val="00420F5C"/>
    <w:rsid w:val="00421C68"/>
    <w:rsid w:val="00421FD0"/>
    <w:rsid w:val="004222BD"/>
    <w:rsid w:val="00422AD7"/>
    <w:rsid w:val="00422DC8"/>
    <w:rsid w:val="004236E0"/>
    <w:rsid w:val="00423704"/>
    <w:rsid w:val="00425CB1"/>
    <w:rsid w:val="0042716A"/>
    <w:rsid w:val="004271B9"/>
    <w:rsid w:val="00427688"/>
    <w:rsid w:val="004277B0"/>
    <w:rsid w:val="00427E2A"/>
    <w:rsid w:val="00432CCB"/>
    <w:rsid w:val="00436666"/>
    <w:rsid w:val="00436903"/>
    <w:rsid w:val="00437264"/>
    <w:rsid w:val="004376C7"/>
    <w:rsid w:val="0043777B"/>
    <w:rsid w:val="00437EBA"/>
    <w:rsid w:val="00437FEC"/>
    <w:rsid w:val="00440171"/>
    <w:rsid w:val="0044089F"/>
    <w:rsid w:val="00441263"/>
    <w:rsid w:val="00441512"/>
    <w:rsid w:val="0044188E"/>
    <w:rsid w:val="00441FF3"/>
    <w:rsid w:val="0044243F"/>
    <w:rsid w:val="0044401D"/>
    <w:rsid w:val="0044459C"/>
    <w:rsid w:val="00445E08"/>
    <w:rsid w:val="0044767E"/>
    <w:rsid w:val="00447CAE"/>
    <w:rsid w:val="00452437"/>
    <w:rsid w:val="00452A55"/>
    <w:rsid w:val="00453380"/>
    <w:rsid w:val="0045354D"/>
    <w:rsid w:val="004535AA"/>
    <w:rsid w:val="004550B8"/>
    <w:rsid w:val="0045544F"/>
    <w:rsid w:val="00455464"/>
    <w:rsid w:val="00455DF5"/>
    <w:rsid w:val="00456BC7"/>
    <w:rsid w:val="00457014"/>
    <w:rsid w:val="00457496"/>
    <w:rsid w:val="00457ED2"/>
    <w:rsid w:val="00460090"/>
    <w:rsid w:val="00460111"/>
    <w:rsid w:val="0046102B"/>
    <w:rsid w:val="0046145C"/>
    <w:rsid w:val="00461D9D"/>
    <w:rsid w:val="00462B1B"/>
    <w:rsid w:val="0046315C"/>
    <w:rsid w:val="004632FF"/>
    <w:rsid w:val="004644F0"/>
    <w:rsid w:val="004647D5"/>
    <w:rsid w:val="00465BB5"/>
    <w:rsid w:val="00465DD3"/>
    <w:rsid w:val="004674A2"/>
    <w:rsid w:val="004703D4"/>
    <w:rsid w:val="0047058C"/>
    <w:rsid w:val="00470EE4"/>
    <w:rsid w:val="00471985"/>
    <w:rsid w:val="00471D3C"/>
    <w:rsid w:val="0047259B"/>
    <w:rsid w:val="004725D3"/>
    <w:rsid w:val="00473236"/>
    <w:rsid w:val="00473AD0"/>
    <w:rsid w:val="00474C4C"/>
    <w:rsid w:val="00474EC1"/>
    <w:rsid w:val="00477058"/>
    <w:rsid w:val="00477089"/>
    <w:rsid w:val="00480592"/>
    <w:rsid w:val="00480AAB"/>
    <w:rsid w:val="00480C90"/>
    <w:rsid w:val="00483CAD"/>
    <w:rsid w:val="00483F34"/>
    <w:rsid w:val="004845FE"/>
    <w:rsid w:val="00484783"/>
    <w:rsid w:val="00484FCF"/>
    <w:rsid w:val="004858F3"/>
    <w:rsid w:val="0048631E"/>
    <w:rsid w:val="004866B8"/>
    <w:rsid w:val="00487A6A"/>
    <w:rsid w:val="00490A8C"/>
    <w:rsid w:val="00491D75"/>
    <w:rsid w:val="00493BE3"/>
    <w:rsid w:val="0049477F"/>
    <w:rsid w:val="0049520D"/>
    <w:rsid w:val="00495A75"/>
    <w:rsid w:val="00495B22"/>
    <w:rsid w:val="00496597"/>
    <w:rsid w:val="0049692E"/>
    <w:rsid w:val="00497075"/>
    <w:rsid w:val="004A0649"/>
    <w:rsid w:val="004A126B"/>
    <w:rsid w:val="004A16F8"/>
    <w:rsid w:val="004A1A3E"/>
    <w:rsid w:val="004A6B4B"/>
    <w:rsid w:val="004A73ED"/>
    <w:rsid w:val="004A78D5"/>
    <w:rsid w:val="004B033F"/>
    <w:rsid w:val="004B074A"/>
    <w:rsid w:val="004B1768"/>
    <w:rsid w:val="004B18AA"/>
    <w:rsid w:val="004B2587"/>
    <w:rsid w:val="004B263D"/>
    <w:rsid w:val="004B363F"/>
    <w:rsid w:val="004B4075"/>
    <w:rsid w:val="004B46DC"/>
    <w:rsid w:val="004B4752"/>
    <w:rsid w:val="004B5EF6"/>
    <w:rsid w:val="004B6396"/>
    <w:rsid w:val="004B63EF"/>
    <w:rsid w:val="004B68D8"/>
    <w:rsid w:val="004B6A1E"/>
    <w:rsid w:val="004B70B5"/>
    <w:rsid w:val="004B7307"/>
    <w:rsid w:val="004C0E78"/>
    <w:rsid w:val="004C1B16"/>
    <w:rsid w:val="004C3A51"/>
    <w:rsid w:val="004C3ACE"/>
    <w:rsid w:val="004C3EEE"/>
    <w:rsid w:val="004C425E"/>
    <w:rsid w:val="004C4983"/>
    <w:rsid w:val="004C4AC7"/>
    <w:rsid w:val="004C5038"/>
    <w:rsid w:val="004C5A17"/>
    <w:rsid w:val="004C5F42"/>
    <w:rsid w:val="004C70E7"/>
    <w:rsid w:val="004C75D0"/>
    <w:rsid w:val="004D0636"/>
    <w:rsid w:val="004D104F"/>
    <w:rsid w:val="004D128C"/>
    <w:rsid w:val="004D1D44"/>
    <w:rsid w:val="004D1F3E"/>
    <w:rsid w:val="004D21CF"/>
    <w:rsid w:val="004D3BF8"/>
    <w:rsid w:val="004D4A61"/>
    <w:rsid w:val="004D50EC"/>
    <w:rsid w:val="004D51F7"/>
    <w:rsid w:val="004D5B12"/>
    <w:rsid w:val="004D6D17"/>
    <w:rsid w:val="004E0018"/>
    <w:rsid w:val="004E0B37"/>
    <w:rsid w:val="004E1265"/>
    <w:rsid w:val="004E18BB"/>
    <w:rsid w:val="004E1BDB"/>
    <w:rsid w:val="004E25FB"/>
    <w:rsid w:val="004E2697"/>
    <w:rsid w:val="004E2791"/>
    <w:rsid w:val="004E3310"/>
    <w:rsid w:val="004E3E8D"/>
    <w:rsid w:val="004E40B7"/>
    <w:rsid w:val="004E4E0C"/>
    <w:rsid w:val="004E5D64"/>
    <w:rsid w:val="004E6096"/>
    <w:rsid w:val="004E6396"/>
    <w:rsid w:val="004E68FA"/>
    <w:rsid w:val="004F0F4E"/>
    <w:rsid w:val="004F0F90"/>
    <w:rsid w:val="004F1BFF"/>
    <w:rsid w:val="004F255F"/>
    <w:rsid w:val="004F26E3"/>
    <w:rsid w:val="004F2F63"/>
    <w:rsid w:val="004F3602"/>
    <w:rsid w:val="004F411F"/>
    <w:rsid w:val="004F4F0A"/>
    <w:rsid w:val="004F67B6"/>
    <w:rsid w:val="004F6944"/>
    <w:rsid w:val="004F6AED"/>
    <w:rsid w:val="004F762D"/>
    <w:rsid w:val="004F7D29"/>
    <w:rsid w:val="00500B93"/>
    <w:rsid w:val="005014F2"/>
    <w:rsid w:val="00503174"/>
    <w:rsid w:val="00503772"/>
    <w:rsid w:val="005044FF"/>
    <w:rsid w:val="00505C2C"/>
    <w:rsid w:val="005062BC"/>
    <w:rsid w:val="0050686E"/>
    <w:rsid w:val="0051065F"/>
    <w:rsid w:val="00510967"/>
    <w:rsid w:val="005112AF"/>
    <w:rsid w:val="00512E04"/>
    <w:rsid w:val="00513D08"/>
    <w:rsid w:val="005148BC"/>
    <w:rsid w:val="00514BA0"/>
    <w:rsid w:val="00514ED8"/>
    <w:rsid w:val="00515997"/>
    <w:rsid w:val="00517444"/>
    <w:rsid w:val="00520F56"/>
    <w:rsid w:val="00521579"/>
    <w:rsid w:val="00521797"/>
    <w:rsid w:val="00521A98"/>
    <w:rsid w:val="0052449C"/>
    <w:rsid w:val="00524A3E"/>
    <w:rsid w:val="00524CB2"/>
    <w:rsid w:val="00525E5D"/>
    <w:rsid w:val="00526644"/>
    <w:rsid w:val="005269B6"/>
    <w:rsid w:val="00527ACB"/>
    <w:rsid w:val="00530233"/>
    <w:rsid w:val="0053175F"/>
    <w:rsid w:val="00531C27"/>
    <w:rsid w:val="00531D8C"/>
    <w:rsid w:val="0053329A"/>
    <w:rsid w:val="00533726"/>
    <w:rsid w:val="00534546"/>
    <w:rsid w:val="00534AD1"/>
    <w:rsid w:val="00536FC5"/>
    <w:rsid w:val="005372CF"/>
    <w:rsid w:val="00537A59"/>
    <w:rsid w:val="0054020A"/>
    <w:rsid w:val="005409C2"/>
    <w:rsid w:val="0054179B"/>
    <w:rsid w:val="00542FBE"/>
    <w:rsid w:val="00543183"/>
    <w:rsid w:val="00543AA4"/>
    <w:rsid w:val="005444CB"/>
    <w:rsid w:val="00544752"/>
    <w:rsid w:val="00544CD9"/>
    <w:rsid w:val="005453CE"/>
    <w:rsid w:val="00546196"/>
    <w:rsid w:val="005462F9"/>
    <w:rsid w:val="00546978"/>
    <w:rsid w:val="00546C35"/>
    <w:rsid w:val="0054797C"/>
    <w:rsid w:val="00552071"/>
    <w:rsid w:val="00553A70"/>
    <w:rsid w:val="00554780"/>
    <w:rsid w:val="00554C1A"/>
    <w:rsid w:val="0055597B"/>
    <w:rsid w:val="00556273"/>
    <w:rsid w:val="00556ED9"/>
    <w:rsid w:val="005574CE"/>
    <w:rsid w:val="00560039"/>
    <w:rsid w:val="00560048"/>
    <w:rsid w:val="005610D6"/>
    <w:rsid w:val="00562C61"/>
    <w:rsid w:val="00563C4A"/>
    <w:rsid w:val="0056487E"/>
    <w:rsid w:val="00564A6E"/>
    <w:rsid w:val="00564B9F"/>
    <w:rsid w:val="0056513B"/>
    <w:rsid w:val="00565974"/>
    <w:rsid w:val="0056647A"/>
    <w:rsid w:val="0056662C"/>
    <w:rsid w:val="00567455"/>
    <w:rsid w:val="005678AB"/>
    <w:rsid w:val="00571592"/>
    <w:rsid w:val="005721FC"/>
    <w:rsid w:val="00573812"/>
    <w:rsid w:val="00574293"/>
    <w:rsid w:val="00574B0D"/>
    <w:rsid w:val="005757C0"/>
    <w:rsid w:val="00575DBF"/>
    <w:rsid w:val="00576015"/>
    <w:rsid w:val="00577609"/>
    <w:rsid w:val="00577E7E"/>
    <w:rsid w:val="005803A0"/>
    <w:rsid w:val="0058097D"/>
    <w:rsid w:val="005809B5"/>
    <w:rsid w:val="00580DD4"/>
    <w:rsid w:val="00581F13"/>
    <w:rsid w:val="005823CA"/>
    <w:rsid w:val="005827C2"/>
    <w:rsid w:val="00583B1D"/>
    <w:rsid w:val="00583F63"/>
    <w:rsid w:val="0058479F"/>
    <w:rsid w:val="00585E84"/>
    <w:rsid w:val="005874EF"/>
    <w:rsid w:val="005879F9"/>
    <w:rsid w:val="00587CBC"/>
    <w:rsid w:val="00590711"/>
    <w:rsid w:val="00590DBC"/>
    <w:rsid w:val="005911DD"/>
    <w:rsid w:val="005917B3"/>
    <w:rsid w:val="005919E1"/>
    <w:rsid w:val="00592037"/>
    <w:rsid w:val="00592DB1"/>
    <w:rsid w:val="00593FD6"/>
    <w:rsid w:val="00594DEC"/>
    <w:rsid w:val="00595E2E"/>
    <w:rsid w:val="00596C20"/>
    <w:rsid w:val="00597060"/>
    <w:rsid w:val="0059752D"/>
    <w:rsid w:val="005975B1"/>
    <w:rsid w:val="00597A6F"/>
    <w:rsid w:val="00597B18"/>
    <w:rsid w:val="005A19DD"/>
    <w:rsid w:val="005A2015"/>
    <w:rsid w:val="005A2A33"/>
    <w:rsid w:val="005A3E57"/>
    <w:rsid w:val="005A48FC"/>
    <w:rsid w:val="005A53DB"/>
    <w:rsid w:val="005A5740"/>
    <w:rsid w:val="005A6063"/>
    <w:rsid w:val="005A60C8"/>
    <w:rsid w:val="005A6177"/>
    <w:rsid w:val="005A61DA"/>
    <w:rsid w:val="005A69C4"/>
    <w:rsid w:val="005A7716"/>
    <w:rsid w:val="005B09A5"/>
    <w:rsid w:val="005B202D"/>
    <w:rsid w:val="005B2344"/>
    <w:rsid w:val="005B2E98"/>
    <w:rsid w:val="005B3B2F"/>
    <w:rsid w:val="005B4BA1"/>
    <w:rsid w:val="005B5377"/>
    <w:rsid w:val="005B552F"/>
    <w:rsid w:val="005B64BE"/>
    <w:rsid w:val="005B7530"/>
    <w:rsid w:val="005B7A30"/>
    <w:rsid w:val="005C0E2E"/>
    <w:rsid w:val="005C123B"/>
    <w:rsid w:val="005C24F9"/>
    <w:rsid w:val="005C2B42"/>
    <w:rsid w:val="005C30E6"/>
    <w:rsid w:val="005C3B8F"/>
    <w:rsid w:val="005C3E10"/>
    <w:rsid w:val="005C4DCC"/>
    <w:rsid w:val="005C52A4"/>
    <w:rsid w:val="005C5DFA"/>
    <w:rsid w:val="005C668D"/>
    <w:rsid w:val="005C69E6"/>
    <w:rsid w:val="005C7674"/>
    <w:rsid w:val="005C77DE"/>
    <w:rsid w:val="005C782C"/>
    <w:rsid w:val="005C7FC2"/>
    <w:rsid w:val="005D0075"/>
    <w:rsid w:val="005D00DB"/>
    <w:rsid w:val="005D055E"/>
    <w:rsid w:val="005D08E1"/>
    <w:rsid w:val="005D2057"/>
    <w:rsid w:val="005D20DA"/>
    <w:rsid w:val="005D2BCB"/>
    <w:rsid w:val="005D2D58"/>
    <w:rsid w:val="005D4412"/>
    <w:rsid w:val="005D557E"/>
    <w:rsid w:val="005D6251"/>
    <w:rsid w:val="005D78D7"/>
    <w:rsid w:val="005E02F3"/>
    <w:rsid w:val="005E07E6"/>
    <w:rsid w:val="005E12BB"/>
    <w:rsid w:val="005E12C7"/>
    <w:rsid w:val="005E3183"/>
    <w:rsid w:val="005E3835"/>
    <w:rsid w:val="005E4243"/>
    <w:rsid w:val="005E483C"/>
    <w:rsid w:val="005E5218"/>
    <w:rsid w:val="005E636E"/>
    <w:rsid w:val="005F0D58"/>
    <w:rsid w:val="005F0EB1"/>
    <w:rsid w:val="005F1FBD"/>
    <w:rsid w:val="005F2588"/>
    <w:rsid w:val="005F2EE7"/>
    <w:rsid w:val="005F4C2D"/>
    <w:rsid w:val="005F4EA6"/>
    <w:rsid w:val="005F78CF"/>
    <w:rsid w:val="006004F1"/>
    <w:rsid w:val="00600CA6"/>
    <w:rsid w:val="006020E7"/>
    <w:rsid w:val="00602643"/>
    <w:rsid w:val="00602B4D"/>
    <w:rsid w:val="0060331B"/>
    <w:rsid w:val="00604529"/>
    <w:rsid w:val="006045F5"/>
    <w:rsid w:val="00605469"/>
    <w:rsid w:val="006075FE"/>
    <w:rsid w:val="006077B6"/>
    <w:rsid w:val="00607A6D"/>
    <w:rsid w:val="006104CE"/>
    <w:rsid w:val="006107D0"/>
    <w:rsid w:val="00611800"/>
    <w:rsid w:val="006128D7"/>
    <w:rsid w:val="00613052"/>
    <w:rsid w:val="00613105"/>
    <w:rsid w:val="00613449"/>
    <w:rsid w:val="00613A53"/>
    <w:rsid w:val="0061406F"/>
    <w:rsid w:val="00615243"/>
    <w:rsid w:val="00615A1E"/>
    <w:rsid w:val="00615D4E"/>
    <w:rsid w:val="00615E48"/>
    <w:rsid w:val="00615E5F"/>
    <w:rsid w:val="00616A29"/>
    <w:rsid w:val="00616BC1"/>
    <w:rsid w:val="006171E9"/>
    <w:rsid w:val="00620022"/>
    <w:rsid w:val="00620D5E"/>
    <w:rsid w:val="0062163E"/>
    <w:rsid w:val="00621A6B"/>
    <w:rsid w:val="00621EB7"/>
    <w:rsid w:val="00621F6C"/>
    <w:rsid w:val="0062224A"/>
    <w:rsid w:val="00622E22"/>
    <w:rsid w:val="00623980"/>
    <w:rsid w:val="00623BEA"/>
    <w:rsid w:val="00625689"/>
    <w:rsid w:val="006258CC"/>
    <w:rsid w:val="00627087"/>
    <w:rsid w:val="00627D80"/>
    <w:rsid w:val="00630DA5"/>
    <w:rsid w:val="0063100E"/>
    <w:rsid w:val="0063174F"/>
    <w:rsid w:val="006317BE"/>
    <w:rsid w:val="006319B4"/>
    <w:rsid w:val="00632299"/>
    <w:rsid w:val="006324BD"/>
    <w:rsid w:val="00632AFF"/>
    <w:rsid w:val="0063326A"/>
    <w:rsid w:val="00636B06"/>
    <w:rsid w:val="006374AD"/>
    <w:rsid w:val="006377AF"/>
    <w:rsid w:val="00640304"/>
    <w:rsid w:val="006409F6"/>
    <w:rsid w:val="00643835"/>
    <w:rsid w:val="00644A4E"/>
    <w:rsid w:val="00644D3D"/>
    <w:rsid w:val="006465DC"/>
    <w:rsid w:val="00647559"/>
    <w:rsid w:val="00647DDD"/>
    <w:rsid w:val="00650AEF"/>
    <w:rsid w:val="00651093"/>
    <w:rsid w:val="00651E41"/>
    <w:rsid w:val="00652363"/>
    <w:rsid w:val="006525CE"/>
    <w:rsid w:val="0065377E"/>
    <w:rsid w:val="006537BE"/>
    <w:rsid w:val="006537E5"/>
    <w:rsid w:val="00655852"/>
    <w:rsid w:val="00656DCD"/>
    <w:rsid w:val="00657453"/>
    <w:rsid w:val="00657B2F"/>
    <w:rsid w:val="00661223"/>
    <w:rsid w:val="006612D6"/>
    <w:rsid w:val="00661480"/>
    <w:rsid w:val="006618D6"/>
    <w:rsid w:val="006631E3"/>
    <w:rsid w:val="0066388C"/>
    <w:rsid w:val="00663A00"/>
    <w:rsid w:val="006643F8"/>
    <w:rsid w:val="006648F0"/>
    <w:rsid w:val="006648F7"/>
    <w:rsid w:val="00664EA0"/>
    <w:rsid w:val="006654A6"/>
    <w:rsid w:val="006710FD"/>
    <w:rsid w:val="0067118F"/>
    <w:rsid w:val="00672591"/>
    <w:rsid w:val="0067352B"/>
    <w:rsid w:val="006748DD"/>
    <w:rsid w:val="0067490C"/>
    <w:rsid w:val="0067722A"/>
    <w:rsid w:val="006776B6"/>
    <w:rsid w:val="00677B4C"/>
    <w:rsid w:val="0068056B"/>
    <w:rsid w:val="00680B65"/>
    <w:rsid w:val="00683525"/>
    <w:rsid w:val="006839B5"/>
    <w:rsid w:val="00683BCB"/>
    <w:rsid w:val="006858B6"/>
    <w:rsid w:val="006859F1"/>
    <w:rsid w:val="00692B18"/>
    <w:rsid w:val="006937AA"/>
    <w:rsid w:val="00694471"/>
    <w:rsid w:val="006946AB"/>
    <w:rsid w:val="006951FF"/>
    <w:rsid w:val="00695454"/>
    <w:rsid w:val="00695891"/>
    <w:rsid w:val="00695DAE"/>
    <w:rsid w:val="0069670A"/>
    <w:rsid w:val="006A017C"/>
    <w:rsid w:val="006A092A"/>
    <w:rsid w:val="006A10A2"/>
    <w:rsid w:val="006A10E0"/>
    <w:rsid w:val="006A2CDB"/>
    <w:rsid w:val="006A2F3D"/>
    <w:rsid w:val="006A30DB"/>
    <w:rsid w:val="006A322E"/>
    <w:rsid w:val="006A33DD"/>
    <w:rsid w:val="006A3B5A"/>
    <w:rsid w:val="006A4B16"/>
    <w:rsid w:val="006A5725"/>
    <w:rsid w:val="006A5F0F"/>
    <w:rsid w:val="006A5F7D"/>
    <w:rsid w:val="006A6AC2"/>
    <w:rsid w:val="006A6FBE"/>
    <w:rsid w:val="006A72D8"/>
    <w:rsid w:val="006A7A79"/>
    <w:rsid w:val="006A7CA8"/>
    <w:rsid w:val="006B06E0"/>
    <w:rsid w:val="006B0BDE"/>
    <w:rsid w:val="006B117B"/>
    <w:rsid w:val="006B1940"/>
    <w:rsid w:val="006B25D2"/>
    <w:rsid w:val="006B29B6"/>
    <w:rsid w:val="006B31BF"/>
    <w:rsid w:val="006B3513"/>
    <w:rsid w:val="006B36D3"/>
    <w:rsid w:val="006B56E4"/>
    <w:rsid w:val="006B6111"/>
    <w:rsid w:val="006B69F0"/>
    <w:rsid w:val="006B75DD"/>
    <w:rsid w:val="006B779E"/>
    <w:rsid w:val="006C0021"/>
    <w:rsid w:val="006C015E"/>
    <w:rsid w:val="006C02BC"/>
    <w:rsid w:val="006C0CF9"/>
    <w:rsid w:val="006C0EB8"/>
    <w:rsid w:val="006C2349"/>
    <w:rsid w:val="006C2A6C"/>
    <w:rsid w:val="006C59F3"/>
    <w:rsid w:val="006C6D25"/>
    <w:rsid w:val="006C79D7"/>
    <w:rsid w:val="006C7C81"/>
    <w:rsid w:val="006D084C"/>
    <w:rsid w:val="006D0ABB"/>
    <w:rsid w:val="006D1927"/>
    <w:rsid w:val="006D1F32"/>
    <w:rsid w:val="006D28AE"/>
    <w:rsid w:val="006D3343"/>
    <w:rsid w:val="006D4452"/>
    <w:rsid w:val="006D4BD0"/>
    <w:rsid w:val="006D4E60"/>
    <w:rsid w:val="006D5476"/>
    <w:rsid w:val="006D6B32"/>
    <w:rsid w:val="006D7630"/>
    <w:rsid w:val="006D7D31"/>
    <w:rsid w:val="006E070C"/>
    <w:rsid w:val="006E384C"/>
    <w:rsid w:val="006E396B"/>
    <w:rsid w:val="006E447D"/>
    <w:rsid w:val="006E7A44"/>
    <w:rsid w:val="006E7B26"/>
    <w:rsid w:val="006E7B46"/>
    <w:rsid w:val="006F0289"/>
    <w:rsid w:val="006F0337"/>
    <w:rsid w:val="006F15EE"/>
    <w:rsid w:val="006F1B1F"/>
    <w:rsid w:val="006F1CD5"/>
    <w:rsid w:val="006F1D32"/>
    <w:rsid w:val="006F3C9A"/>
    <w:rsid w:val="006F4667"/>
    <w:rsid w:val="006F478C"/>
    <w:rsid w:val="006F49DC"/>
    <w:rsid w:val="006F4E0D"/>
    <w:rsid w:val="006F6D91"/>
    <w:rsid w:val="006F740E"/>
    <w:rsid w:val="006F745D"/>
    <w:rsid w:val="007001AA"/>
    <w:rsid w:val="007004D8"/>
    <w:rsid w:val="007005CD"/>
    <w:rsid w:val="007009AD"/>
    <w:rsid w:val="00700DBC"/>
    <w:rsid w:val="00701301"/>
    <w:rsid w:val="007037CC"/>
    <w:rsid w:val="00703C5A"/>
    <w:rsid w:val="007067BE"/>
    <w:rsid w:val="00710AC9"/>
    <w:rsid w:val="00711215"/>
    <w:rsid w:val="00711981"/>
    <w:rsid w:val="00712937"/>
    <w:rsid w:val="00713316"/>
    <w:rsid w:val="007142EF"/>
    <w:rsid w:val="00714338"/>
    <w:rsid w:val="00715BF6"/>
    <w:rsid w:val="00716E2C"/>
    <w:rsid w:val="007170D9"/>
    <w:rsid w:val="007207EF"/>
    <w:rsid w:val="00721014"/>
    <w:rsid w:val="00721775"/>
    <w:rsid w:val="00721E1B"/>
    <w:rsid w:val="007236D4"/>
    <w:rsid w:val="00723872"/>
    <w:rsid w:val="0072483B"/>
    <w:rsid w:val="00724A1B"/>
    <w:rsid w:val="007271B5"/>
    <w:rsid w:val="00727DDB"/>
    <w:rsid w:val="007306D6"/>
    <w:rsid w:val="00731E31"/>
    <w:rsid w:val="007320D0"/>
    <w:rsid w:val="00732507"/>
    <w:rsid w:val="00732532"/>
    <w:rsid w:val="0073425A"/>
    <w:rsid w:val="007343B1"/>
    <w:rsid w:val="007348C9"/>
    <w:rsid w:val="00735141"/>
    <w:rsid w:val="00735300"/>
    <w:rsid w:val="007356CC"/>
    <w:rsid w:val="00735BA9"/>
    <w:rsid w:val="00736441"/>
    <w:rsid w:val="00737A63"/>
    <w:rsid w:val="00737F7D"/>
    <w:rsid w:val="007402E3"/>
    <w:rsid w:val="00740DE9"/>
    <w:rsid w:val="00740F40"/>
    <w:rsid w:val="00741496"/>
    <w:rsid w:val="00741F8B"/>
    <w:rsid w:val="00742E0F"/>
    <w:rsid w:val="00744466"/>
    <w:rsid w:val="00745268"/>
    <w:rsid w:val="00745C26"/>
    <w:rsid w:val="0074640B"/>
    <w:rsid w:val="00746EFC"/>
    <w:rsid w:val="00747C13"/>
    <w:rsid w:val="007519D0"/>
    <w:rsid w:val="00752AF4"/>
    <w:rsid w:val="007550E0"/>
    <w:rsid w:val="0075521A"/>
    <w:rsid w:val="00755346"/>
    <w:rsid w:val="0075588B"/>
    <w:rsid w:val="0075619B"/>
    <w:rsid w:val="0075718A"/>
    <w:rsid w:val="00757375"/>
    <w:rsid w:val="007574CA"/>
    <w:rsid w:val="00757A3E"/>
    <w:rsid w:val="00757DEB"/>
    <w:rsid w:val="00761849"/>
    <w:rsid w:val="0076185D"/>
    <w:rsid w:val="00761CF9"/>
    <w:rsid w:val="00762376"/>
    <w:rsid w:val="007627D3"/>
    <w:rsid w:val="007629BC"/>
    <w:rsid w:val="00764872"/>
    <w:rsid w:val="0076494C"/>
    <w:rsid w:val="0076684A"/>
    <w:rsid w:val="007705A1"/>
    <w:rsid w:val="00770993"/>
    <w:rsid w:val="00770C39"/>
    <w:rsid w:val="007711D0"/>
    <w:rsid w:val="00771569"/>
    <w:rsid w:val="00771DF4"/>
    <w:rsid w:val="00772597"/>
    <w:rsid w:val="00772C3D"/>
    <w:rsid w:val="00772DE3"/>
    <w:rsid w:val="00773932"/>
    <w:rsid w:val="007746ED"/>
    <w:rsid w:val="0077485A"/>
    <w:rsid w:val="00776747"/>
    <w:rsid w:val="00777B2B"/>
    <w:rsid w:val="007803B8"/>
    <w:rsid w:val="00780FB6"/>
    <w:rsid w:val="007815B0"/>
    <w:rsid w:val="0078206A"/>
    <w:rsid w:val="00782084"/>
    <w:rsid w:val="007824EE"/>
    <w:rsid w:val="00782B35"/>
    <w:rsid w:val="007840D1"/>
    <w:rsid w:val="0078498F"/>
    <w:rsid w:val="00784AF1"/>
    <w:rsid w:val="00784CAA"/>
    <w:rsid w:val="00784F42"/>
    <w:rsid w:val="00785A65"/>
    <w:rsid w:val="00786B0C"/>
    <w:rsid w:val="00787781"/>
    <w:rsid w:val="00790208"/>
    <w:rsid w:val="0079188B"/>
    <w:rsid w:val="00791CA6"/>
    <w:rsid w:val="00791D40"/>
    <w:rsid w:val="007929C7"/>
    <w:rsid w:val="00792BDA"/>
    <w:rsid w:val="00793352"/>
    <w:rsid w:val="00794228"/>
    <w:rsid w:val="00794669"/>
    <w:rsid w:val="007948CB"/>
    <w:rsid w:val="0079529B"/>
    <w:rsid w:val="007959D6"/>
    <w:rsid w:val="00795B56"/>
    <w:rsid w:val="00795DC5"/>
    <w:rsid w:val="007979B0"/>
    <w:rsid w:val="007A0C64"/>
    <w:rsid w:val="007A302A"/>
    <w:rsid w:val="007A3124"/>
    <w:rsid w:val="007A43AC"/>
    <w:rsid w:val="007A4DB4"/>
    <w:rsid w:val="007A65F7"/>
    <w:rsid w:val="007A6EEF"/>
    <w:rsid w:val="007A7212"/>
    <w:rsid w:val="007A7520"/>
    <w:rsid w:val="007A76EC"/>
    <w:rsid w:val="007A7A04"/>
    <w:rsid w:val="007B038D"/>
    <w:rsid w:val="007B06AF"/>
    <w:rsid w:val="007B0A22"/>
    <w:rsid w:val="007B138E"/>
    <w:rsid w:val="007B2FCB"/>
    <w:rsid w:val="007B361E"/>
    <w:rsid w:val="007B3941"/>
    <w:rsid w:val="007B5B99"/>
    <w:rsid w:val="007B5D14"/>
    <w:rsid w:val="007B6650"/>
    <w:rsid w:val="007C14D2"/>
    <w:rsid w:val="007C1C11"/>
    <w:rsid w:val="007C1DEA"/>
    <w:rsid w:val="007C2366"/>
    <w:rsid w:val="007C34D4"/>
    <w:rsid w:val="007C395A"/>
    <w:rsid w:val="007C4BFC"/>
    <w:rsid w:val="007C4F00"/>
    <w:rsid w:val="007C7527"/>
    <w:rsid w:val="007C75DB"/>
    <w:rsid w:val="007C7CF6"/>
    <w:rsid w:val="007D0A17"/>
    <w:rsid w:val="007D0C91"/>
    <w:rsid w:val="007D189F"/>
    <w:rsid w:val="007D31CB"/>
    <w:rsid w:val="007D34C8"/>
    <w:rsid w:val="007D3811"/>
    <w:rsid w:val="007D5736"/>
    <w:rsid w:val="007D5ADA"/>
    <w:rsid w:val="007D6CB7"/>
    <w:rsid w:val="007D7394"/>
    <w:rsid w:val="007D777B"/>
    <w:rsid w:val="007E2B89"/>
    <w:rsid w:val="007E3358"/>
    <w:rsid w:val="007E4323"/>
    <w:rsid w:val="007E595C"/>
    <w:rsid w:val="007E5C21"/>
    <w:rsid w:val="007E5CB3"/>
    <w:rsid w:val="007E621F"/>
    <w:rsid w:val="007F0078"/>
    <w:rsid w:val="007F05B7"/>
    <w:rsid w:val="007F2775"/>
    <w:rsid w:val="007F38E9"/>
    <w:rsid w:val="007F528E"/>
    <w:rsid w:val="007F5494"/>
    <w:rsid w:val="007F70C7"/>
    <w:rsid w:val="008002B4"/>
    <w:rsid w:val="00800E43"/>
    <w:rsid w:val="00800EA3"/>
    <w:rsid w:val="0080180A"/>
    <w:rsid w:val="00804B6A"/>
    <w:rsid w:val="0080610E"/>
    <w:rsid w:val="00806F36"/>
    <w:rsid w:val="00807778"/>
    <w:rsid w:val="0081006D"/>
    <w:rsid w:val="00810164"/>
    <w:rsid w:val="008103B4"/>
    <w:rsid w:val="00810E6C"/>
    <w:rsid w:val="0081106D"/>
    <w:rsid w:val="00812B31"/>
    <w:rsid w:val="00812DD6"/>
    <w:rsid w:val="00814160"/>
    <w:rsid w:val="00814600"/>
    <w:rsid w:val="00816A1C"/>
    <w:rsid w:val="00817267"/>
    <w:rsid w:val="00821043"/>
    <w:rsid w:val="008211D8"/>
    <w:rsid w:val="0082285F"/>
    <w:rsid w:val="00822BF5"/>
    <w:rsid w:val="00823622"/>
    <w:rsid w:val="00823EC7"/>
    <w:rsid w:val="00824959"/>
    <w:rsid w:val="00825899"/>
    <w:rsid w:val="00826156"/>
    <w:rsid w:val="00827315"/>
    <w:rsid w:val="008273F4"/>
    <w:rsid w:val="00827F10"/>
    <w:rsid w:val="00830809"/>
    <w:rsid w:val="008316AF"/>
    <w:rsid w:val="00831D56"/>
    <w:rsid w:val="0083203D"/>
    <w:rsid w:val="008320C0"/>
    <w:rsid w:val="00832835"/>
    <w:rsid w:val="00832EA9"/>
    <w:rsid w:val="00834418"/>
    <w:rsid w:val="00834D1C"/>
    <w:rsid w:val="008356EA"/>
    <w:rsid w:val="00835ED7"/>
    <w:rsid w:val="00835F16"/>
    <w:rsid w:val="00837141"/>
    <w:rsid w:val="00841971"/>
    <w:rsid w:val="0084232F"/>
    <w:rsid w:val="00842661"/>
    <w:rsid w:val="008429C0"/>
    <w:rsid w:val="008429F2"/>
    <w:rsid w:val="00842A83"/>
    <w:rsid w:val="00842BC0"/>
    <w:rsid w:val="00843362"/>
    <w:rsid w:val="00844C07"/>
    <w:rsid w:val="00845639"/>
    <w:rsid w:val="00845A33"/>
    <w:rsid w:val="00846481"/>
    <w:rsid w:val="008468C8"/>
    <w:rsid w:val="008476D4"/>
    <w:rsid w:val="00850703"/>
    <w:rsid w:val="0085099F"/>
    <w:rsid w:val="008515E7"/>
    <w:rsid w:val="00852357"/>
    <w:rsid w:val="008524BE"/>
    <w:rsid w:val="00853B8D"/>
    <w:rsid w:val="008545BE"/>
    <w:rsid w:val="00854D6D"/>
    <w:rsid w:val="008561DD"/>
    <w:rsid w:val="00856839"/>
    <w:rsid w:val="008571AB"/>
    <w:rsid w:val="008572AA"/>
    <w:rsid w:val="008605CF"/>
    <w:rsid w:val="008623F5"/>
    <w:rsid w:val="008635C5"/>
    <w:rsid w:val="00864357"/>
    <w:rsid w:val="0086490A"/>
    <w:rsid w:val="00864B0C"/>
    <w:rsid w:val="00865EA3"/>
    <w:rsid w:val="008665B1"/>
    <w:rsid w:val="008677CA"/>
    <w:rsid w:val="00867DF4"/>
    <w:rsid w:val="008711F7"/>
    <w:rsid w:val="00873D63"/>
    <w:rsid w:val="0087418C"/>
    <w:rsid w:val="008744B5"/>
    <w:rsid w:val="008758DC"/>
    <w:rsid w:val="0088141C"/>
    <w:rsid w:val="00881DB5"/>
    <w:rsid w:val="00882D5D"/>
    <w:rsid w:val="00883577"/>
    <w:rsid w:val="00884455"/>
    <w:rsid w:val="00884CA3"/>
    <w:rsid w:val="00885EC8"/>
    <w:rsid w:val="00886187"/>
    <w:rsid w:val="00886878"/>
    <w:rsid w:val="00887049"/>
    <w:rsid w:val="00890871"/>
    <w:rsid w:val="00890A13"/>
    <w:rsid w:val="0089451C"/>
    <w:rsid w:val="00895AA8"/>
    <w:rsid w:val="00895B6E"/>
    <w:rsid w:val="00895BE2"/>
    <w:rsid w:val="00896B32"/>
    <w:rsid w:val="008977D6"/>
    <w:rsid w:val="008A1497"/>
    <w:rsid w:val="008A2209"/>
    <w:rsid w:val="008A2962"/>
    <w:rsid w:val="008A2AAD"/>
    <w:rsid w:val="008A31C6"/>
    <w:rsid w:val="008A452B"/>
    <w:rsid w:val="008A561C"/>
    <w:rsid w:val="008A6549"/>
    <w:rsid w:val="008A69F0"/>
    <w:rsid w:val="008A6C2D"/>
    <w:rsid w:val="008A7B65"/>
    <w:rsid w:val="008B001E"/>
    <w:rsid w:val="008B1E40"/>
    <w:rsid w:val="008B25AD"/>
    <w:rsid w:val="008B2E8B"/>
    <w:rsid w:val="008B2F0C"/>
    <w:rsid w:val="008B3782"/>
    <w:rsid w:val="008B3FC5"/>
    <w:rsid w:val="008B4393"/>
    <w:rsid w:val="008B4A81"/>
    <w:rsid w:val="008B4B7B"/>
    <w:rsid w:val="008B6690"/>
    <w:rsid w:val="008B6848"/>
    <w:rsid w:val="008C041D"/>
    <w:rsid w:val="008C0B37"/>
    <w:rsid w:val="008C1536"/>
    <w:rsid w:val="008C1E30"/>
    <w:rsid w:val="008C2DF2"/>
    <w:rsid w:val="008C3D55"/>
    <w:rsid w:val="008C3F7A"/>
    <w:rsid w:val="008C4361"/>
    <w:rsid w:val="008C4C71"/>
    <w:rsid w:val="008C4EC0"/>
    <w:rsid w:val="008C52EC"/>
    <w:rsid w:val="008C5FE2"/>
    <w:rsid w:val="008C6E01"/>
    <w:rsid w:val="008C74A9"/>
    <w:rsid w:val="008C78A2"/>
    <w:rsid w:val="008D208F"/>
    <w:rsid w:val="008D32D5"/>
    <w:rsid w:val="008D3576"/>
    <w:rsid w:val="008D3D91"/>
    <w:rsid w:val="008D3F6E"/>
    <w:rsid w:val="008D4269"/>
    <w:rsid w:val="008D4318"/>
    <w:rsid w:val="008D4381"/>
    <w:rsid w:val="008D515E"/>
    <w:rsid w:val="008D526F"/>
    <w:rsid w:val="008D5CCB"/>
    <w:rsid w:val="008D69E4"/>
    <w:rsid w:val="008D7D1C"/>
    <w:rsid w:val="008E07BD"/>
    <w:rsid w:val="008E0B2D"/>
    <w:rsid w:val="008E1641"/>
    <w:rsid w:val="008E1DB1"/>
    <w:rsid w:val="008E1E8F"/>
    <w:rsid w:val="008E32FE"/>
    <w:rsid w:val="008E3B40"/>
    <w:rsid w:val="008E423A"/>
    <w:rsid w:val="008E4742"/>
    <w:rsid w:val="008E5B68"/>
    <w:rsid w:val="008E5C62"/>
    <w:rsid w:val="008E6948"/>
    <w:rsid w:val="008E73E1"/>
    <w:rsid w:val="008E7D5E"/>
    <w:rsid w:val="008F04D8"/>
    <w:rsid w:val="008F07AF"/>
    <w:rsid w:val="008F09B5"/>
    <w:rsid w:val="008F2866"/>
    <w:rsid w:val="008F31DC"/>
    <w:rsid w:val="008F388E"/>
    <w:rsid w:val="008F3B2F"/>
    <w:rsid w:val="008F4D70"/>
    <w:rsid w:val="008F50AD"/>
    <w:rsid w:val="008F6E37"/>
    <w:rsid w:val="008F76BC"/>
    <w:rsid w:val="008F78FB"/>
    <w:rsid w:val="009004E4"/>
    <w:rsid w:val="009008EE"/>
    <w:rsid w:val="0090274C"/>
    <w:rsid w:val="00902FAE"/>
    <w:rsid w:val="0090493A"/>
    <w:rsid w:val="00907454"/>
    <w:rsid w:val="00907797"/>
    <w:rsid w:val="00907917"/>
    <w:rsid w:val="0091134E"/>
    <w:rsid w:val="00911C11"/>
    <w:rsid w:val="00912505"/>
    <w:rsid w:val="009125F5"/>
    <w:rsid w:val="00912B47"/>
    <w:rsid w:val="009140DF"/>
    <w:rsid w:val="00914DE5"/>
    <w:rsid w:val="00915515"/>
    <w:rsid w:val="00915617"/>
    <w:rsid w:val="00916295"/>
    <w:rsid w:val="00916306"/>
    <w:rsid w:val="009170EC"/>
    <w:rsid w:val="00917989"/>
    <w:rsid w:val="009217CF"/>
    <w:rsid w:val="00922DC3"/>
    <w:rsid w:val="009237EC"/>
    <w:rsid w:val="00923891"/>
    <w:rsid w:val="00924BE9"/>
    <w:rsid w:val="00925981"/>
    <w:rsid w:val="00926296"/>
    <w:rsid w:val="0092758E"/>
    <w:rsid w:val="009276C4"/>
    <w:rsid w:val="00927EFE"/>
    <w:rsid w:val="00930128"/>
    <w:rsid w:val="009303A6"/>
    <w:rsid w:val="00930E9A"/>
    <w:rsid w:val="00930EA2"/>
    <w:rsid w:val="00931899"/>
    <w:rsid w:val="00931DD2"/>
    <w:rsid w:val="00934F72"/>
    <w:rsid w:val="009356D1"/>
    <w:rsid w:val="00936706"/>
    <w:rsid w:val="00936BE4"/>
    <w:rsid w:val="00936DE0"/>
    <w:rsid w:val="00937307"/>
    <w:rsid w:val="00937569"/>
    <w:rsid w:val="009379B4"/>
    <w:rsid w:val="00937DD5"/>
    <w:rsid w:val="00940EDC"/>
    <w:rsid w:val="00941205"/>
    <w:rsid w:val="00941702"/>
    <w:rsid w:val="00941F15"/>
    <w:rsid w:val="00943030"/>
    <w:rsid w:val="00945857"/>
    <w:rsid w:val="0094586A"/>
    <w:rsid w:val="00950651"/>
    <w:rsid w:val="00950EFA"/>
    <w:rsid w:val="00950FB0"/>
    <w:rsid w:val="00951AE4"/>
    <w:rsid w:val="00951CEE"/>
    <w:rsid w:val="00952C6E"/>
    <w:rsid w:val="00953334"/>
    <w:rsid w:val="00953F34"/>
    <w:rsid w:val="00954419"/>
    <w:rsid w:val="00955244"/>
    <w:rsid w:val="009561B0"/>
    <w:rsid w:val="00960C00"/>
    <w:rsid w:val="00960E3C"/>
    <w:rsid w:val="009611D5"/>
    <w:rsid w:val="00961DC1"/>
    <w:rsid w:val="009625B6"/>
    <w:rsid w:val="0096421B"/>
    <w:rsid w:val="00964510"/>
    <w:rsid w:val="00964A79"/>
    <w:rsid w:val="009650BF"/>
    <w:rsid w:val="00965760"/>
    <w:rsid w:val="00965884"/>
    <w:rsid w:val="00965F54"/>
    <w:rsid w:val="00965FD7"/>
    <w:rsid w:val="00966E7D"/>
    <w:rsid w:val="00967043"/>
    <w:rsid w:val="00967E50"/>
    <w:rsid w:val="00971473"/>
    <w:rsid w:val="00971862"/>
    <w:rsid w:val="00971A95"/>
    <w:rsid w:val="00971CAF"/>
    <w:rsid w:val="00972487"/>
    <w:rsid w:val="009734AA"/>
    <w:rsid w:val="009746E1"/>
    <w:rsid w:val="009750B7"/>
    <w:rsid w:val="00975156"/>
    <w:rsid w:val="00975189"/>
    <w:rsid w:val="00977001"/>
    <w:rsid w:val="00977009"/>
    <w:rsid w:val="0097749E"/>
    <w:rsid w:val="00977520"/>
    <w:rsid w:val="00981CA1"/>
    <w:rsid w:val="00982D0A"/>
    <w:rsid w:val="00982D8C"/>
    <w:rsid w:val="00982E88"/>
    <w:rsid w:val="009836B1"/>
    <w:rsid w:val="00983A11"/>
    <w:rsid w:val="009861F1"/>
    <w:rsid w:val="00987BED"/>
    <w:rsid w:val="009906CB"/>
    <w:rsid w:val="00990934"/>
    <w:rsid w:val="00990DE3"/>
    <w:rsid w:val="00991F05"/>
    <w:rsid w:val="00992484"/>
    <w:rsid w:val="00992A35"/>
    <w:rsid w:val="009936B5"/>
    <w:rsid w:val="00993758"/>
    <w:rsid w:val="0099441D"/>
    <w:rsid w:val="00994A14"/>
    <w:rsid w:val="00994BBE"/>
    <w:rsid w:val="00994F09"/>
    <w:rsid w:val="00997C4B"/>
    <w:rsid w:val="00997EF1"/>
    <w:rsid w:val="009A01AB"/>
    <w:rsid w:val="009A0227"/>
    <w:rsid w:val="009A1B91"/>
    <w:rsid w:val="009A25BD"/>
    <w:rsid w:val="009A2662"/>
    <w:rsid w:val="009A300B"/>
    <w:rsid w:val="009A3A98"/>
    <w:rsid w:val="009A3CEB"/>
    <w:rsid w:val="009A4033"/>
    <w:rsid w:val="009A4C87"/>
    <w:rsid w:val="009A4D01"/>
    <w:rsid w:val="009A76C9"/>
    <w:rsid w:val="009B0894"/>
    <w:rsid w:val="009B08D3"/>
    <w:rsid w:val="009B2231"/>
    <w:rsid w:val="009B2269"/>
    <w:rsid w:val="009B2D03"/>
    <w:rsid w:val="009B32CA"/>
    <w:rsid w:val="009B3C12"/>
    <w:rsid w:val="009B3EFD"/>
    <w:rsid w:val="009B40E5"/>
    <w:rsid w:val="009B433A"/>
    <w:rsid w:val="009B4A49"/>
    <w:rsid w:val="009B6035"/>
    <w:rsid w:val="009B60BE"/>
    <w:rsid w:val="009B62EA"/>
    <w:rsid w:val="009B77D4"/>
    <w:rsid w:val="009B79C1"/>
    <w:rsid w:val="009B7D42"/>
    <w:rsid w:val="009C181A"/>
    <w:rsid w:val="009C1AC0"/>
    <w:rsid w:val="009C1DA6"/>
    <w:rsid w:val="009C261B"/>
    <w:rsid w:val="009C28F4"/>
    <w:rsid w:val="009C2E56"/>
    <w:rsid w:val="009C39DB"/>
    <w:rsid w:val="009C429B"/>
    <w:rsid w:val="009C474C"/>
    <w:rsid w:val="009C4C08"/>
    <w:rsid w:val="009C5507"/>
    <w:rsid w:val="009C59F7"/>
    <w:rsid w:val="009C7E9A"/>
    <w:rsid w:val="009C7EC9"/>
    <w:rsid w:val="009D1769"/>
    <w:rsid w:val="009D232B"/>
    <w:rsid w:val="009D244F"/>
    <w:rsid w:val="009D336C"/>
    <w:rsid w:val="009D3D70"/>
    <w:rsid w:val="009D53D4"/>
    <w:rsid w:val="009D59D4"/>
    <w:rsid w:val="009D5AE1"/>
    <w:rsid w:val="009D723E"/>
    <w:rsid w:val="009D72D6"/>
    <w:rsid w:val="009D748E"/>
    <w:rsid w:val="009D7987"/>
    <w:rsid w:val="009D7D54"/>
    <w:rsid w:val="009E0204"/>
    <w:rsid w:val="009E0D16"/>
    <w:rsid w:val="009E227E"/>
    <w:rsid w:val="009E2941"/>
    <w:rsid w:val="009E2C74"/>
    <w:rsid w:val="009E3A88"/>
    <w:rsid w:val="009E4B22"/>
    <w:rsid w:val="009F01DB"/>
    <w:rsid w:val="009F13B8"/>
    <w:rsid w:val="009F17A4"/>
    <w:rsid w:val="009F3C0C"/>
    <w:rsid w:val="009F3C1E"/>
    <w:rsid w:val="009F43FC"/>
    <w:rsid w:val="009F46E3"/>
    <w:rsid w:val="009F5186"/>
    <w:rsid w:val="009F5BD6"/>
    <w:rsid w:val="009F673B"/>
    <w:rsid w:val="009F77E1"/>
    <w:rsid w:val="00A00EE6"/>
    <w:rsid w:val="00A04C8A"/>
    <w:rsid w:val="00A05E72"/>
    <w:rsid w:val="00A0605E"/>
    <w:rsid w:val="00A10B56"/>
    <w:rsid w:val="00A1106A"/>
    <w:rsid w:val="00A111A7"/>
    <w:rsid w:val="00A11465"/>
    <w:rsid w:val="00A115BA"/>
    <w:rsid w:val="00A1234C"/>
    <w:rsid w:val="00A12863"/>
    <w:rsid w:val="00A12C8F"/>
    <w:rsid w:val="00A13BEA"/>
    <w:rsid w:val="00A13FE2"/>
    <w:rsid w:val="00A1459F"/>
    <w:rsid w:val="00A14832"/>
    <w:rsid w:val="00A155A1"/>
    <w:rsid w:val="00A1681D"/>
    <w:rsid w:val="00A209C0"/>
    <w:rsid w:val="00A222D6"/>
    <w:rsid w:val="00A22865"/>
    <w:rsid w:val="00A23ECF"/>
    <w:rsid w:val="00A2458B"/>
    <w:rsid w:val="00A25335"/>
    <w:rsid w:val="00A258FF"/>
    <w:rsid w:val="00A26241"/>
    <w:rsid w:val="00A268C6"/>
    <w:rsid w:val="00A2713F"/>
    <w:rsid w:val="00A27B7C"/>
    <w:rsid w:val="00A27E31"/>
    <w:rsid w:val="00A31192"/>
    <w:rsid w:val="00A32D32"/>
    <w:rsid w:val="00A3590B"/>
    <w:rsid w:val="00A3777C"/>
    <w:rsid w:val="00A40231"/>
    <w:rsid w:val="00A41BBC"/>
    <w:rsid w:val="00A42289"/>
    <w:rsid w:val="00A42557"/>
    <w:rsid w:val="00A42F46"/>
    <w:rsid w:val="00A42FC9"/>
    <w:rsid w:val="00A4311F"/>
    <w:rsid w:val="00A43665"/>
    <w:rsid w:val="00A439A1"/>
    <w:rsid w:val="00A449FE"/>
    <w:rsid w:val="00A46104"/>
    <w:rsid w:val="00A46948"/>
    <w:rsid w:val="00A46AEE"/>
    <w:rsid w:val="00A46B32"/>
    <w:rsid w:val="00A50B20"/>
    <w:rsid w:val="00A527FB"/>
    <w:rsid w:val="00A52A39"/>
    <w:rsid w:val="00A52E7D"/>
    <w:rsid w:val="00A5342E"/>
    <w:rsid w:val="00A53566"/>
    <w:rsid w:val="00A53A80"/>
    <w:rsid w:val="00A53C7D"/>
    <w:rsid w:val="00A54470"/>
    <w:rsid w:val="00A547E9"/>
    <w:rsid w:val="00A562A6"/>
    <w:rsid w:val="00A56979"/>
    <w:rsid w:val="00A56B76"/>
    <w:rsid w:val="00A6097B"/>
    <w:rsid w:val="00A62607"/>
    <w:rsid w:val="00A627A4"/>
    <w:rsid w:val="00A62B1F"/>
    <w:rsid w:val="00A637CC"/>
    <w:rsid w:val="00A644D7"/>
    <w:rsid w:val="00A64524"/>
    <w:rsid w:val="00A648FB"/>
    <w:rsid w:val="00A64DB6"/>
    <w:rsid w:val="00A6546E"/>
    <w:rsid w:val="00A65A59"/>
    <w:rsid w:val="00A669A6"/>
    <w:rsid w:val="00A66C00"/>
    <w:rsid w:val="00A672D9"/>
    <w:rsid w:val="00A67394"/>
    <w:rsid w:val="00A6767E"/>
    <w:rsid w:val="00A67D33"/>
    <w:rsid w:val="00A7076B"/>
    <w:rsid w:val="00A72DBB"/>
    <w:rsid w:val="00A73C8D"/>
    <w:rsid w:val="00A73D05"/>
    <w:rsid w:val="00A73DCA"/>
    <w:rsid w:val="00A7512E"/>
    <w:rsid w:val="00A75862"/>
    <w:rsid w:val="00A75CB6"/>
    <w:rsid w:val="00A768A6"/>
    <w:rsid w:val="00A76E20"/>
    <w:rsid w:val="00A7765D"/>
    <w:rsid w:val="00A802C2"/>
    <w:rsid w:val="00A81581"/>
    <w:rsid w:val="00A8194D"/>
    <w:rsid w:val="00A81C4D"/>
    <w:rsid w:val="00A830CA"/>
    <w:rsid w:val="00A835A6"/>
    <w:rsid w:val="00A83D79"/>
    <w:rsid w:val="00A85118"/>
    <w:rsid w:val="00A85885"/>
    <w:rsid w:val="00A86719"/>
    <w:rsid w:val="00A869CD"/>
    <w:rsid w:val="00A86B1F"/>
    <w:rsid w:val="00A87735"/>
    <w:rsid w:val="00A87A14"/>
    <w:rsid w:val="00A87AED"/>
    <w:rsid w:val="00A87E6E"/>
    <w:rsid w:val="00A90447"/>
    <w:rsid w:val="00A90457"/>
    <w:rsid w:val="00A90DC5"/>
    <w:rsid w:val="00A90E5B"/>
    <w:rsid w:val="00A9225D"/>
    <w:rsid w:val="00A926E7"/>
    <w:rsid w:val="00A92A60"/>
    <w:rsid w:val="00A93375"/>
    <w:rsid w:val="00A9366B"/>
    <w:rsid w:val="00A94101"/>
    <w:rsid w:val="00A94401"/>
    <w:rsid w:val="00A945A5"/>
    <w:rsid w:val="00A95347"/>
    <w:rsid w:val="00A961D3"/>
    <w:rsid w:val="00A96468"/>
    <w:rsid w:val="00A96A4C"/>
    <w:rsid w:val="00A96EA1"/>
    <w:rsid w:val="00A974E1"/>
    <w:rsid w:val="00A97AF7"/>
    <w:rsid w:val="00AA0663"/>
    <w:rsid w:val="00AA1558"/>
    <w:rsid w:val="00AA2F50"/>
    <w:rsid w:val="00AA3672"/>
    <w:rsid w:val="00AA4074"/>
    <w:rsid w:val="00AA44F1"/>
    <w:rsid w:val="00AA49B3"/>
    <w:rsid w:val="00AA57DF"/>
    <w:rsid w:val="00AA67CC"/>
    <w:rsid w:val="00AA6B01"/>
    <w:rsid w:val="00AA6D51"/>
    <w:rsid w:val="00AA755B"/>
    <w:rsid w:val="00AA7AC3"/>
    <w:rsid w:val="00AB01D9"/>
    <w:rsid w:val="00AB0495"/>
    <w:rsid w:val="00AB0499"/>
    <w:rsid w:val="00AB0C48"/>
    <w:rsid w:val="00AB123E"/>
    <w:rsid w:val="00AB1C16"/>
    <w:rsid w:val="00AB3222"/>
    <w:rsid w:val="00AB3E73"/>
    <w:rsid w:val="00AB3EC7"/>
    <w:rsid w:val="00AB44E2"/>
    <w:rsid w:val="00AB4FC8"/>
    <w:rsid w:val="00AB690A"/>
    <w:rsid w:val="00AB7386"/>
    <w:rsid w:val="00AB7590"/>
    <w:rsid w:val="00AC0DCF"/>
    <w:rsid w:val="00AC1210"/>
    <w:rsid w:val="00AC18DE"/>
    <w:rsid w:val="00AC28BA"/>
    <w:rsid w:val="00AC3937"/>
    <w:rsid w:val="00AC3B22"/>
    <w:rsid w:val="00AC3FE7"/>
    <w:rsid w:val="00AC4A36"/>
    <w:rsid w:val="00AC53DC"/>
    <w:rsid w:val="00AC6053"/>
    <w:rsid w:val="00AC63D0"/>
    <w:rsid w:val="00AC6408"/>
    <w:rsid w:val="00AC67E5"/>
    <w:rsid w:val="00AC6C5C"/>
    <w:rsid w:val="00AC7196"/>
    <w:rsid w:val="00AD002E"/>
    <w:rsid w:val="00AD0040"/>
    <w:rsid w:val="00AD0D4A"/>
    <w:rsid w:val="00AD1930"/>
    <w:rsid w:val="00AD1CDD"/>
    <w:rsid w:val="00AD20D2"/>
    <w:rsid w:val="00AD2390"/>
    <w:rsid w:val="00AD3016"/>
    <w:rsid w:val="00AD34DD"/>
    <w:rsid w:val="00AD3938"/>
    <w:rsid w:val="00AD3AE0"/>
    <w:rsid w:val="00AD3E38"/>
    <w:rsid w:val="00AD4450"/>
    <w:rsid w:val="00AD451F"/>
    <w:rsid w:val="00AD4916"/>
    <w:rsid w:val="00AD5E23"/>
    <w:rsid w:val="00AD638A"/>
    <w:rsid w:val="00AD66E9"/>
    <w:rsid w:val="00AD6723"/>
    <w:rsid w:val="00AD6835"/>
    <w:rsid w:val="00AD6A26"/>
    <w:rsid w:val="00AD7A3C"/>
    <w:rsid w:val="00AD7F11"/>
    <w:rsid w:val="00AE0948"/>
    <w:rsid w:val="00AE0DBE"/>
    <w:rsid w:val="00AE2793"/>
    <w:rsid w:val="00AE2F6D"/>
    <w:rsid w:val="00AE4136"/>
    <w:rsid w:val="00AE43EB"/>
    <w:rsid w:val="00AE5DBD"/>
    <w:rsid w:val="00AE61A2"/>
    <w:rsid w:val="00AE6471"/>
    <w:rsid w:val="00AE65B1"/>
    <w:rsid w:val="00AE791D"/>
    <w:rsid w:val="00AF0447"/>
    <w:rsid w:val="00AF1F14"/>
    <w:rsid w:val="00AF2108"/>
    <w:rsid w:val="00AF2911"/>
    <w:rsid w:val="00AF2C3A"/>
    <w:rsid w:val="00AF405E"/>
    <w:rsid w:val="00AF46B1"/>
    <w:rsid w:val="00AF47EE"/>
    <w:rsid w:val="00AF52B4"/>
    <w:rsid w:val="00AF5DCF"/>
    <w:rsid w:val="00AF609F"/>
    <w:rsid w:val="00AF71A0"/>
    <w:rsid w:val="00B002FC"/>
    <w:rsid w:val="00B005A0"/>
    <w:rsid w:val="00B00C57"/>
    <w:rsid w:val="00B01531"/>
    <w:rsid w:val="00B01CB7"/>
    <w:rsid w:val="00B01F32"/>
    <w:rsid w:val="00B022C8"/>
    <w:rsid w:val="00B0259A"/>
    <w:rsid w:val="00B0576A"/>
    <w:rsid w:val="00B05982"/>
    <w:rsid w:val="00B05BCA"/>
    <w:rsid w:val="00B0605B"/>
    <w:rsid w:val="00B060E5"/>
    <w:rsid w:val="00B100D2"/>
    <w:rsid w:val="00B105C1"/>
    <w:rsid w:val="00B10CB0"/>
    <w:rsid w:val="00B1178A"/>
    <w:rsid w:val="00B11BAD"/>
    <w:rsid w:val="00B135E7"/>
    <w:rsid w:val="00B152A6"/>
    <w:rsid w:val="00B155F3"/>
    <w:rsid w:val="00B15830"/>
    <w:rsid w:val="00B15C04"/>
    <w:rsid w:val="00B1655C"/>
    <w:rsid w:val="00B1739F"/>
    <w:rsid w:val="00B21657"/>
    <w:rsid w:val="00B224E9"/>
    <w:rsid w:val="00B2265D"/>
    <w:rsid w:val="00B22E7D"/>
    <w:rsid w:val="00B23467"/>
    <w:rsid w:val="00B23701"/>
    <w:rsid w:val="00B24895"/>
    <w:rsid w:val="00B24F37"/>
    <w:rsid w:val="00B25726"/>
    <w:rsid w:val="00B3056D"/>
    <w:rsid w:val="00B30ADF"/>
    <w:rsid w:val="00B30CD5"/>
    <w:rsid w:val="00B31DA3"/>
    <w:rsid w:val="00B3349D"/>
    <w:rsid w:val="00B3425D"/>
    <w:rsid w:val="00B34BBE"/>
    <w:rsid w:val="00B34EFC"/>
    <w:rsid w:val="00B35C1D"/>
    <w:rsid w:val="00B36D82"/>
    <w:rsid w:val="00B37705"/>
    <w:rsid w:val="00B37747"/>
    <w:rsid w:val="00B37A8D"/>
    <w:rsid w:val="00B407DB"/>
    <w:rsid w:val="00B40C8D"/>
    <w:rsid w:val="00B41584"/>
    <w:rsid w:val="00B41598"/>
    <w:rsid w:val="00B43377"/>
    <w:rsid w:val="00B4451D"/>
    <w:rsid w:val="00B447D2"/>
    <w:rsid w:val="00B44C4B"/>
    <w:rsid w:val="00B44C61"/>
    <w:rsid w:val="00B4532C"/>
    <w:rsid w:val="00B45DA0"/>
    <w:rsid w:val="00B45EBA"/>
    <w:rsid w:val="00B4601E"/>
    <w:rsid w:val="00B462FB"/>
    <w:rsid w:val="00B46462"/>
    <w:rsid w:val="00B47FB0"/>
    <w:rsid w:val="00B50111"/>
    <w:rsid w:val="00B51D3D"/>
    <w:rsid w:val="00B51EA2"/>
    <w:rsid w:val="00B527F8"/>
    <w:rsid w:val="00B52DD2"/>
    <w:rsid w:val="00B53734"/>
    <w:rsid w:val="00B5431A"/>
    <w:rsid w:val="00B5444D"/>
    <w:rsid w:val="00B548FD"/>
    <w:rsid w:val="00B55254"/>
    <w:rsid w:val="00B57D13"/>
    <w:rsid w:val="00B609F5"/>
    <w:rsid w:val="00B61A98"/>
    <w:rsid w:val="00B61B7E"/>
    <w:rsid w:val="00B625F4"/>
    <w:rsid w:val="00B6416E"/>
    <w:rsid w:val="00B64F4D"/>
    <w:rsid w:val="00B66F7B"/>
    <w:rsid w:val="00B66F95"/>
    <w:rsid w:val="00B670E8"/>
    <w:rsid w:val="00B67CD4"/>
    <w:rsid w:val="00B708FA"/>
    <w:rsid w:val="00B715E4"/>
    <w:rsid w:val="00B716B9"/>
    <w:rsid w:val="00B7188B"/>
    <w:rsid w:val="00B71D9B"/>
    <w:rsid w:val="00B72D84"/>
    <w:rsid w:val="00B7406F"/>
    <w:rsid w:val="00B74394"/>
    <w:rsid w:val="00B749DE"/>
    <w:rsid w:val="00B760B0"/>
    <w:rsid w:val="00B76538"/>
    <w:rsid w:val="00B776E8"/>
    <w:rsid w:val="00B77C08"/>
    <w:rsid w:val="00B811AE"/>
    <w:rsid w:val="00B81660"/>
    <w:rsid w:val="00B81CD1"/>
    <w:rsid w:val="00B82438"/>
    <w:rsid w:val="00B83FA4"/>
    <w:rsid w:val="00B85F63"/>
    <w:rsid w:val="00B86970"/>
    <w:rsid w:val="00B86EA8"/>
    <w:rsid w:val="00B903CC"/>
    <w:rsid w:val="00B90514"/>
    <w:rsid w:val="00B90DC0"/>
    <w:rsid w:val="00B91537"/>
    <w:rsid w:val="00B9177B"/>
    <w:rsid w:val="00B91E54"/>
    <w:rsid w:val="00B92549"/>
    <w:rsid w:val="00B94129"/>
    <w:rsid w:val="00B9471C"/>
    <w:rsid w:val="00B94BBC"/>
    <w:rsid w:val="00B94EF2"/>
    <w:rsid w:val="00B9504C"/>
    <w:rsid w:val="00B95B27"/>
    <w:rsid w:val="00BA019B"/>
    <w:rsid w:val="00BA0785"/>
    <w:rsid w:val="00BA0823"/>
    <w:rsid w:val="00BA0A43"/>
    <w:rsid w:val="00BA24EA"/>
    <w:rsid w:val="00BA2694"/>
    <w:rsid w:val="00BA3162"/>
    <w:rsid w:val="00BA3847"/>
    <w:rsid w:val="00BA3A3B"/>
    <w:rsid w:val="00BA3C9A"/>
    <w:rsid w:val="00BA47C7"/>
    <w:rsid w:val="00BA483C"/>
    <w:rsid w:val="00BA51DD"/>
    <w:rsid w:val="00BA634F"/>
    <w:rsid w:val="00BA7270"/>
    <w:rsid w:val="00BA7E6F"/>
    <w:rsid w:val="00BA7FA5"/>
    <w:rsid w:val="00BB0F51"/>
    <w:rsid w:val="00BB3169"/>
    <w:rsid w:val="00BB3D35"/>
    <w:rsid w:val="00BB3EF5"/>
    <w:rsid w:val="00BB4528"/>
    <w:rsid w:val="00BB5376"/>
    <w:rsid w:val="00BB6459"/>
    <w:rsid w:val="00BB673B"/>
    <w:rsid w:val="00BB6D68"/>
    <w:rsid w:val="00BB7371"/>
    <w:rsid w:val="00BB7864"/>
    <w:rsid w:val="00BC00A9"/>
    <w:rsid w:val="00BC0479"/>
    <w:rsid w:val="00BC08CB"/>
    <w:rsid w:val="00BC0A9F"/>
    <w:rsid w:val="00BC117C"/>
    <w:rsid w:val="00BC11B8"/>
    <w:rsid w:val="00BC1494"/>
    <w:rsid w:val="00BC188F"/>
    <w:rsid w:val="00BC2390"/>
    <w:rsid w:val="00BC2F19"/>
    <w:rsid w:val="00BC3C4A"/>
    <w:rsid w:val="00BC44CB"/>
    <w:rsid w:val="00BC5535"/>
    <w:rsid w:val="00BC60C6"/>
    <w:rsid w:val="00BC78ED"/>
    <w:rsid w:val="00BD1B15"/>
    <w:rsid w:val="00BD2937"/>
    <w:rsid w:val="00BD2B16"/>
    <w:rsid w:val="00BD5341"/>
    <w:rsid w:val="00BD62B8"/>
    <w:rsid w:val="00BD6E8A"/>
    <w:rsid w:val="00BD7AA1"/>
    <w:rsid w:val="00BD7D8E"/>
    <w:rsid w:val="00BE04CF"/>
    <w:rsid w:val="00BE0C75"/>
    <w:rsid w:val="00BE3516"/>
    <w:rsid w:val="00BF19E7"/>
    <w:rsid w:val="00BF1DE0"/>
    <w:rsid w:val="00BF2784"/>
    <w:rsid w:val="00BF3D5E"/>
    <w:rsid w:val="00BF4801"/>
    <w:rsid w:val="00BF4CA1"/>
    <w:rsid w:val="00BF5086"/>
    <w:rsid w:val="00BF53E6"/>
    <w:rsid w:val="00BF65EE"/>
    <w:rsid w:val="00BF6EF3"/>
    <w:rsid w:val="00BF70DB"/>
    <w:rsid w:val="00BF7346"/>
    <w:rsid w:val="00BF737F"/>
    <w:rsid w:val="00BF79F0"/>
    <w:rsid w:val="00BF7CFA"/>
    <w:rsid w:val="00C000AE"/>
    <w:rsid w:val="00C00464"/>
    <w:rsid w:val="00C00AA3"/>
    <w:rsid w:val="00C00D06"/>
    <w:rsid w:val="00C02729"/>
    <w:rsid w:val="00C0548A"/>
    <w:rsid w:val="00C05E07"/>
    <w:rsid w:val="00C05FB3"/>
    <w:rsid w:val="00C07659"/>
    <w:rsid w:val="00C07BF5"/>
    <w:rsid w:val="00C07C1E"/>
    <w:rsid w:val="00C10100"/>
    <w:rsid w:val="00C1028E"/>
    <w:rsid w:val="00C10ABB"/>
    <w:rsid w:val="00C10C63"/>
    <w:rsid w:val="00C10EE0"/>
    <w:rsid w:val="00C11141"/>
    <w:rsid w:val="00C11819"/>
    <w:rsid w:val="00C121CC"/>
    <w:rsid w:val="00C12F18"/>
    <w:rsid w:val="00C13553"/>
    <w:rsid w:val="00C1375E"/>
    <w:rsid w:val="00C14654"/>
    <w:rsid w:val="00C147C3"/>
    <w:rsid w:val="00C1507C"/>
    <w:rsid w:val="00C15B90"/>
    <w:rsid w:val="00C15D25"/>
    <w:rsid w:val="00C15DC4"/>
    <w:rsid w:val="00C17AD2"/>
    <w:rsid w:val="00C2087C"/>
    <w:rsid w:val="00C20E6F"/>
    <w:rsid w:val="00C21924"/>
    <w:rsid w:val="00C21B7D"/>
    <w:rsid w:val="00C22057"/>
    <w:rsid w:val="00C227AF"/>
    <w:rsid w:val="00C22D14"/>
    <w:rsid w:val="00C24AC9"/>
    <w:rsid w:val="00C26D98"/>
    <w:rsid w:val="00C27270"/>
    <w:rsid w:val="00C279CC"/>
    <w:rsid w:val="00C27D65"/>
    <w:rsid w:val="00C27EEA"/>
    <w:rsid w:val="00C307A5"/>
    <w:rsid w:val="00C31D21"/>
    <w:rsid w:val="00C31F31"/>
    <w:rsid w:val="00C31F73"/>
    <w:rsid w:val="00C33858"/>
    <w:rsid w:val="00C345D6"/>
    <w:rsid w:val="00C35D1E"/>
    <w:rsid w:val="00C36C3A"/>
    <w:rsid w:val="00C375FD"/>
    <w:rsid w:val="00C40E20"/>
    <w:rsid w:val="00C415FE"/>
    <w:rsid w:val="00C42757"/>
    <w:rsid w:val="00C428F5"/>
    <w:rsid w:val="00C42B0B"/>
    <w:rsid w:val="00C42C2A"/>
    <w:rsid w:val="00C430BE"/>
    <w:rsid w:val="00C44CA3"/>
    <w:rsid w:val="00C456DE"/>
    <w:rsid w:val="00C4571A"/>
    <w:rsid w:val="00C459CB"/>
    <w:rsid w:val="00C470F8"/>
    <w:rsid w:val="00C50A28"/>
    <w:rsid w:val="00C50CED"/>
    <w:rsid w:val="00C50DB8"/>
    <w:rsid w:val="00C51116"/>
    <w:rsid w:val="00C527DD"/>
    <w:rsid w:val="00C52E6F"/>
    <w:rsid w:val="00C52F17"/>
    <w:rsid w:val="00C53535"/>
    <w:rsid w:val="00C53612"/>
    <w:rsid w:val="00C53702"/>
    <w:rsid w:val="00C55460"/>
    <w:rsid w:val="00C56410"/>
    <w:rsid w:val="00C56423"/>
    <w:rsid w:val="00C564A3"/>
    <w:rsid w:val="00C60DC6"/>
    <w:rsid w:val="00C6117B"/>
    <w:rsid w:val="00C6266F"/>
    <w:rsid w:val="00C6274D"/>
    <w:rsid w:val="00C6317C"/>
    <w:rsid w:val="00C6341E"/>
    <w:rsid w:val="00C6411E"/>
    <w:rsid w:val="00C6445F"/>
    <w:rsid w:val="00C65BC4"/>
    <w:rsid w:val="00C67159"/>
    <w:rsid w:val="00C673F6"/>
    <w:rsid w:val="00C703B9"/>
    <w:rsid w:val="00C7054B"/>
    <w:rsid w:val="00C712BD"/>
    <w:rsid w:val="00C71A12"/>
    <w:rsid w:val="00C71A8B"/>
    <w:rsid w:val="00C727EB"/>
    <w:rsid w:val="00C72D71"/>
    <w:rsid w:val="00C7300E"/>
    <w:rsid w:val="00C7710B"/>
    <w:rsid w:val="00C77117"/>
    <w:rsid w:val="00C77B82"/>
    <w:rsid w:val="00C8019E"/>
    <w:rsid w:val="00C8184F"/>
    <w:rsid w:val="00C83E25"/>
    <w:rsid w:val="00C857BA"/>
    <w:rsid w:val="00C86871"/>
    <w:rsid w:val="00C87B62"/>
    <w:rsid w:val="00C902DE"/>
    <w:rsid w:val="00C90C33"/>
    <w:rsid w:val="00C90C9F"/>
    <w:rsid w:val="00C91769"/>
    <w:rsid w:val="00C918F0"/>
    <w:rsid w:val="00C91E6A"/>
    <w:rsid w:val="00C92D17"/>
    <w:rsid w:val="00C93C63"/>
    <w:rsid w:val="00C942A3"/>
    <w:rsid w:val="00C94509"/>
    <w:rsid w:val="00C94C45"/>
    <w:rsid w:val="00C95291"/>
    <w:rsid w:val="00C95C60"/>
    <w:rsid w:val="00C95E1C"/>
    <w:rsid w:val="00C95EF7"/>
    <w:rsid w:val="00C9607F"/>
    <w:rsid w:val="00C9624B"/>
    <w:rsid w:val="00C96D3F"/>
    <w:rsid w:val="00C96D55"/>
    <w:rsid w:val="00C971EB"/>
    <w:rsid w:val="00C975E6"/>
    <w:rsid w:val="00C9775F"/>
    <w:rsid w:val="00C97816"/>
    <w:rsid w:val="00CA164E"/>
    <w:rsid w:val="00CA3978"/>
    <w:rsid w:val="00CA3C96"/>
    <w:rsid w:val="00CA4AA8"/>
    <w:rsid w:val="00CA5262"/>
    <w:rsid w:val="00CA555A"/>
    <w:rsid w:val="00CA5756"/>
    <w:rsid w:val="00CA671E"/>
    <w:rsid w:val="00CA711E"/>
    <w:rsid w:val="00CA789F"/>
    <w:rsid w:val="00CB15FE"/>
    <w:rsid w:val="00CB17D5"/>
    <w:rsid w:val="00CB18A5"/>
    <w:rsid w:val="00CB20E7"/>
    <w:rsid w:val="00CB249D"/>
    <w:rsid w:val="00CB2BF2"/>
    <w:rsid w:val="00CB2D03"/>
    <w:rsid w:val="00CB3400"/>
    <w:rsid w:val="00CB36F6"/>
    <w:rsid w:val="00CB4B4E"/>
    <w:rsid w:val="00CB5018"/>
    <w:rsid w:val="00CB52A6"/>
    <w:rsid w:val="00CB5A11"/>
    <w:rsid w:val="00CB6577"/>
    <w:rsid w:val="00CB7936"/>
    <w:rsid w:val="00CC1882"/>
    <w:rsid w:val="00CC1FFD"/>
    <w:rsid w:val="00CC23EC"/>
    <w:rsid w:val="00CC2CD9"/>
    <w:rsid w:val="00CC3165"/>
    <w:rsid w:val="00CC33C9"/>
    <w:rsid w:val="00CC3C15"/>
    <w:rsid w:val="00CC57A8"/>
    <w:rsid w:val="00CC5D8B"/>
    <w:rsid w:val="00CC68BD"/>
    <w:rsid w:val="00CC6C64"/>
    <w:rsid w:val="00CD07D0"/>
    <w:rsid w:val="00CD16E3"/>
    <w:rsid w:val="00CD2537"/>
    <w:rsid w:val="00CD498F"/>
    <w:rsid w:val="00CD574B"/>
    <w:rsid w:val="00CD6F51"/>
    <w:rsid w:val="00CD754E"/>
    <w:rsid w:val="00CD75FC"/>
    <w:rsid w:val="00CD795C"/>
    <w:rsid w:val="00CD7976"/>
    <w:rsid w:val="00CD7C15"/>
    <w:rsid w:val="00CE00E1"/>
    <w:rsid w:val="00CE0160"/>
    <w:rsid w:val="00CE02F1"/>
    <w:rsid w:val="00CE0FF4"/>
    <w:rsid w:val="00CE10E6"/>
    <w:rsid w:val="00CE1233"/>
    <w:rsid w:val="00CE1E84"/>
    <w:rsid w:val="00CE2363"/>
    <w:rsid w:val="00CE4245"/>
    <w:rsid w:val="00CE43DA"/>
    <w:rsid w:val="00CE4B80"/>
    <w:rsid w:val="00CE4BCB"/>
    <w:rsid w:val="00CE4D81"/>
    <w:rsid w:val="00CE58D0"/>
    <w:rsid w:val="00CE5A88"/>
    <w:rsid w:val="00CE7C2C"/>
    <w:rsid w:val="00CF00CE"/>
    <w:rsid w:val="00CF06A5"/>
    <w:rsid w:val="00CF0AAF"/>
    <w:rsid w:val="00CF4B47"/>
    <w:rsid w:val="00CF4C47"/>
    <w:rsid w:val="00CF568B"/>
    <w:rsid w:val="00CF583B"/>
    <w:rsid w:val="00CF68BA"/>
    <w:rsid w:val="00CF7E4B"/>
    <w:rsid w:val="00D0012B"/>
    <w:rsid w:val="00D00683"/>
    <w:rsid w:val="00D010A8"/>
    <w:rsid w:val="00D01725"/>
    <w:rsid w:val="00D0203E"/>
    <w:rsid w:val="00D03CC3"/>
    <w:rsid w:val="00D0472E"/>
    <w:rsid w:val="00D0598D"/>
    <w:rsid w:val="00D06921"/>
    <w:rsid w:val="00D06AC0"/>
    <w:rsid w:val="00D07A33"/>
    <w:rsid w:val="00D10DC9"/>
    <w:rsid w:val="00D1148F"/>
    <w:rsid w:val="00D118B5"/>
    <w:rsid w:val="00D11CE8"/>
    <w:rsid w:val="00D11E78"/>
    <w:rsid w:val="00D11FE2"/>
    <w:rsid w:val="00D1226C"/>
    <w:rsid w:val="00D133D9"/>
    <w:rsid w:val="00D14F7A"/>
    <w:rsid w:val="00D15700"/>
    <w:rsid w:val="00D17A2C"/>
    <w:rsid w:val="00D22328"/>
    <w:rsid w:val="00D22FE5"/>
    <w:rsid w:val="00D25156"/>
    <w:rsid w:val="00D25583"/>
    <w:rsid w:val="00D255FC"/>
    <w:rsid w:val="00D25BAA"/>
    <w:rsid w:val="00D25EE2"/>
    <w:rsid w:val="00D278E9"/>
    <w:rsid w:val="00D27AF5"/>
    <w:rsid w:val="00D27C7E"/>
    <w:rsid w:val="00D310C9"/>
    <w:rsid w:val="00D3152F"/>
    <w:rsid w:val="00D32277"/>
    <w:rsid w:val="00D35542"/>
    <w:rsid w:val="00D35594"/>
    <w:rsid w:val="00D3661E"/>
    <w:rsid w:val="00D37737"/>
    <w:rsid w:val="00D400BC"/>
    <w:rsid w:val="00D40AE5"/>
    <w:rsid w:val="00D416FA"/>
    <w:rsid w:val="00D419DD"/>
    <w:rsid w:val="00D41A50"/>
    <w:rsid w:val="00D4220F"/>
    <w:rsid w:val="00D42F34"/>
    <w:rsid w:val="00D42F46"/>
    <w:rsid w:val="00D44E2E"/>
    <w:rsid w:val="00D44E45"/>
    <w:rsid w:val="00D45E23"/>
    <w:rsid w:val="00D46CBD"/>
    <w:rsid w:val="00D47369"/>
    <w:rsid w:val="00D509C8"/>
    <w:rsid w:val="00D50C0B"/>
    <w:rsid w:val="00D5162D"/>
    <w:rsid w:val="00D51C47"/>
    <w:rsid w:val="00D5345F"/>
    <w:rsid w:val="00D5522F"/>
    <w:rsid w:val="00D5561F"/>
    <w:rsid w:val="00D5599E"/>
    <w:rsid w:val="00D55E88"/>
    <w:rsid w:val="00D56ACC"/>
    <w:rsid w:val="00D56CAF"/>
    <w:rsid w:val="00D56FF9"/>
    <w:rsid w:val="00D573A1"/>
    <w:rsid w:val="00D57955"/>
    <w:rsid w:val="00D60714"/>
    <w:rsid w:val="00D609AA"/>
    <w:rsid w:val="00D61176"/>
    <w:rsid w:val="00D611BA"/>
    <w:rsid w:val="00D617EB"/>
    <w:rsid w:val="00D61B02"/>
    <w:rsid w:val="00D62F43"/>
    <w:rsid w:val="00D6321E"/>
    <w:rsid w:val="00D6336A"/>
    <w:rsid w:val="00D639A8"/>
    <w:rsid w:val="00D63C32"/>
    <w:rsid w:val="00D63C71"/>
    <w:rsid w:val="00D63CEB"/>
    <w:rsid w:val="00D63F16"/>
    <w:rsid w:val="00D64862"/>
    <w:rsid w:val="00D649BD"/>
    <w:rsid w:val="00D64C8B"/>
    <w:rsid w:val="00D65F04"/>
    <w:rsid w:val="00D66974"/>
    <w:rsid w:val="00D66A98"/>
    <w:rsid w:val="00D67E04"/>
    <w:rsid w:val="00D70912"/>
    <w:rsid w:val="00D70BE8"/>
    <w:rsid w:val="00D71058"/>
    <w:rsid w:val="00D71066"/>
    <w:rsid w:val="00D72ED7"/>
    <w:rsid w:val="00D7379B"/>
    <w:rsid w:val="00D74798"/>
    <w:rsid w:val="00D749D7"/>
    <w:rsid w:val="00D74B90"/>
    <w:rsid w:val="00D74C22"/>
    <w:rsid w:val="00D75939"/>
    <w:rsid w:val="00D7669A"/>
    <w:rsid w:val="00D771C4"/>
    <w:rsid w:val="00D77837"/>
    <w:rsid w:val="00D8144F"/>
    <w:rsid w:val="00D81A72"/>
    <w:rsid w:val="00D81B02"/>
    <w:rsid w:val="00D81EAF"/>
    <w:rsid w:val="00D825B1"/>
    <w:rsid w:val="00D8291F"/>
    <w:rsid w:val="00D82F65"/>
    <w:rsid w:val="00D8318D"/>
    <w:rsid w:val="00D831E2"/>
    <w:rsid w:val="00D83894"/>
    <w:rsid w:val="00D83AAE"/>
    <w:rsid w:val="00D83E47"/>
    <w:rsid w:val="00D8403D"/>
    <w:rsid w:val="00D864A3"/>
    <w:rsid w:val="00D868D8"/>
    <w:rsid w:val="00D8758B"/>
    <w:rsid w:val="00D87C18"/>
    <w:rsid w:val="00D90936"/>
    <w:rsid w:val="00D90B1D"/>
    <w:rsid w:val="00D90B80"/>
    <w:rsid w:val="00D90C66"/>
    <w:rsid w:val="00D90F3A"/>
    <w:rsid w:val="00D914F7"/>
    <w:rsid w:val="00D929AC"/>
    <w:rsid w:val="00D932B6"/>
    <w:rsid w:val="00D94C04"/>
    <w:rsid w:val="00D95669"/>
    <w:rsid w:val="00D97080"/>
    <w:rsid w:val="00D973AF"/>
    <w:rsid w:val="00D977C1"/>
    <w:rsid w:val="00D97868"/>
    <w:rsid w:val="00DA007C"/>
    <w:rsid w:val="00DA07A2"/>
    <w:rsid w:val="00DA10F1"/>
    <w:rsid w:val="00DA1779"/>
    <w:rsid w:val="00DA2CE7"/>
    <w:rsid w:val="00DA3063"/>
    <w:rsid w:val="00DA3D23"/>
    <w:rsid w:val="00DA4B5A"/>
    <w:rsid w:val="00DA5C9D"/>
    <w:rsid w:val="00DA6B61"/>
    <w:rsid w:val="00DA78EF"/>
    <w:rsid w:val="00DA7DB9"/>
    <w:rsid w:val="00DB1386"/>
    <w:rsid w:val="00DB2FA4"/>
    <w:rsid w:val="00DB348A"/>
    <w:rsid w:val="00DB418F"/>
    <w:rsid w:val="00DB4302"/>
    <w:rsid w:val="00DB45F8"/>
    <w:rsid w:val="00DB4A0C"/>
    <w:rsid w:val="00DB4DD1"/>
    <w:rsid w:val="00DB56BF"/>
    <w:rsid w:val="00DB688C"/>
    <w:rsid w:val="00DB68A1"/>
    <w:rsid w:val="00DB79BD"/>
    <w:rsid w:val="00DC062D"/>
    <w:rsid w:val="00DC090A"/>
    <w:rsid w:val="00DC1266"/>
    <w:rsid w:val="00DC129F"/>
    <w:rsid w:val="00DC2B94"/>
    <w:rsid w:val="00DC2D79"/>
    <w:rsid w:val="00DC3AE8"/>
    <w:rsid w:val="00DC6473"/>
    <w:rsid w:val="00DC6ABE"/>
    <w:rsid w:val="00DC6C86"/>
    <w:rsid w:val="00DC6F14"/>
    <w:rsid w:val="00DC71EC"/>
    <w:rsid w:val="00DC79A3"/>
    <w:rsid w:val="00DD0329"/>
    <w:rsid w:val="00DD1212"/>
    <w:rsid w:val="00DD17E8"/>
    <w:rsid w:val="00DD1DB3"/>
    <w:rsid w:val="00DD35C2"/>
    <w:rsid w:val="00DD3A11"/>
    <w:rsid w:val="00DD485E"/>
    <w:rsid w:val="00DD747F"/>
    <w:rsid w:val="00DE06A3"/>
    <w:rsid w:val="00DE14F9"/>
    <w:rsid w:val="00DE223B"/>
    <w:rsid w:val="00DE2860"/>
    <w:rsid w:val="00DE3BED"/>
    <w:rsid w:val="00DE3C1B"/>
    <w:rsid w:val="00DE4509"/>
    <w:rsid w:val="00DE4747"/>
    <w:rsid w:val="00DE48D3"/>
    <w:rsid w:val="00DE4F58"/>
    <w:rsid w:val="00DE563A"/>
    <w:rsid w:val="00DE5E28"/>
    <w:rsid w:val="00DE668E"/>
    <w:rsid w:val="00DE6A45"/>
    <w:rsid w:val="00DF032D"/>
    <w:rsid w:val="00DF0EED"/>
    <w:rsid w:val="00DF168E"/>
    <w:rsid w:val="00DF285D"/>
    <w:rsid w:val="00DF4437"/>
    <w:rsid w:val="00DF47C1"/>
    <w:rsid w:val="00DF4C84"/>
    <w:rsid w:val="00DF552B"/>
    <w:rsid w:val="00DF573F"/>
    <w:rsid w:val="00DF6C50"/>
    <w:rsid w:val="00DF7616"/>
    <w:rsid w:val="00E011FF"/>
    <w:rsid w:val="00E01215"/>
    <w:rsid w:val="00E02169"/>
    <w:rsid w:val="00E02762"/>
    <w:rsid w:val="00E037A0"/>
    <w:rsid w:val="00E03F9C"/>
    <w:rsid w:val="00E0426D"/>
    <w:rsid w:val="00E049CB"/>
    <w:rsid w:val="00E05B70"/>
    <w:rsid w:val="00E05BDD"/>
    <w:rsid w:val="00E05FC7"/>
    <w:rsid w:val="00E06260"/>
    <w:rsid w:val="00E0687D"/>
    <w:rsid w:val="00E0795B"/>
    <w:rsid w:val="00E07F07"/>
    <w:rsid w:val="00E1089F"/>
    <w:rsid w:val="00E10915"/>
    <w:rsid w:val="00E10ABA"/>
    <w:rsid w:val="00E10F8F"/>
    <w:rsid w:val="00E110F1"/>
    <w:rsid w:val="00E11511"/>
    <w:rsid w:val="00E1208F"/>
    <w:rsid w:val="00E12108"/>
    <w:rsid w:val="00E13EFE"/>
    <w:rsid w:val="00E17CB1"/>
    <w:rsid w:val="00E20486"/>
    <w:rsid w:val="00E2056D"/>
    <w:rsid w:val="00E20C77"/>
    <w:rsid w:val="00E20FD0"/>
    <w:rsid w:val="00E2147F"/>
    <w:rsid w:val="00E217FC"/>
    <w:rsid w:val="00E2184B"/>
    <w:rsid w:val="00E21C0E"/>
    <w:rsid w:val="00E22E1C"/>
    <w:rsid w:val="00E22EA6"/>
    <w:rsid w:val="00E23FFB"/>
    <w:rsid w:val="00E24300"/>
    <w:rsid w:val="00E243D1"/>
    <w:rsid w:val="00E247C0"/>
    <w:rsid w:val="00E24841"/>
    <w:rsid w:val="00E24BF8"/>
    <w:rsid w:val="00E25059"/>
    <w:rsid w:val="00E27862"/>
    <w:rsid w:val="00E27B72"/>
    <w:rsid w:val="00E32621"/>
    <w:rsid w:val="00E32A42"/>
    <w:rsid w:val="00E33709"/>
    <w:rsid w:val="00E33EBF"/>
    <w:rsid w:val="00E35E89"/>
    <w:rsid w:val="00E36579"/>
    <w:rsid w:val="00E365B0"/>
    <w:rsid w:val="00E36DAD"/>
    <w:rsid w:val="00E377FB"/>
    <w:rsid w:val="00E37BDD"/>
    <w:rsid w:val="00E40159"/>
    <w:rsid w:val="00E40236"/>
    <w:rsid w:val="00E40C65"/>
    <w:rsid w:val="00E4149A"/>
    <w:rsid w:val="00E429D2"/>
    <w:rsid w:val="00E42D2B"/>
    <w:rsid w:val="00E434CB"/>
    <w:rsid w:val="00E4576F"/>
    <w:rsid w:val="00E45C69"/>
    <w:rsid w:val="00E4684A"/>
    <w:rsid w:val="00E474B0"/>
    <w:rsid w:val="00E476DD"/>
    <w:rsid w:val="00E50BBD"/>
    <w:rsid w:val="00E518EC"/>
    <w:rsid w:val="00E51AA6"/>
    <w:rsid w:val="00E52AB8"/>
    <w:rsid w:val="00E53148"/>
    <w:rsid w:val="00E554F7"/>
    <w:rsid w:val="00E556F6"/>
    <w:rsid w:val="00E559A0"/>
    <w:rsid w:val="00E56CD3"/>
    <w:rsid w:val="00E575DD"/>
    <w:rsid w:val="00E60CDE"/>
    <w:rsid w:val="00E60DE4"/>
    <w:rsid w:val="00E620B4"/>
    <w:rsid w:val="00E63778"/>
    <w:rsid w:val="00E63DC1"/>
    <w:rsid w:val="00E63FEF"/>
    <w:rsid w:val="00E646C7"/>
    <w:rsid w:val="00E6562B"/>
    <w:rsid w:val="00E659E2"/>
    <w:rsid w:val="00E65EBD"/>
    <w:rsid w:val="00E6687A"/>
    <w:rsid w:val="00E66B6F"/>
    <w:rsid w:val="00E711AD"/>
    <w:rsid w:val="00E716AD"/>
    <w:rsid w:val="00E73ACC"/>
    <w:rsid w:val="00E743F6"/>
    <w:rsid w:val="00E76AC8"/>
    <w:rsid w:val="00E770C4"/>
    <w:rsid w:val="00E77733"/>
    <w:rsid w:val="00E77D52"/>
    <w:rsid w:val="00E800A8"/>
    <w:rsid w:val="00E8147C"/>
    <w:rsid w:val="00E81F79"/>
    <w:rsid w:val="00E8650E"/>
    <w:rsid w:val="00E86F4C"/>
    <w:rsid w:val="00E90C18"/>
    <w:rsid w:val="00E921C9"/>
    <w:rsid w:val="00E92396"/>
    <w:rsid w:val="00E92586"/>
    <w:rsid w:val="00E9599C"/>
    <w:rsid w:val="00EA083B"/>
    <w:rsid w:val="00EA36D8"/>
    <w:rsid w:val="00EA4A93"/>
    <w:rsid w:val="00EA5D7B"/>
    <w:rsid w:val="00EA66C4"/>
    <w:rsid w:val="00EA7353"/>
    <w:rsid w:val="00EA7AE1"/>
    <w:rsid w:val="00EA7BAC"/>
    <w:rsid w:val="00EB0091"/>
    <w:rsid w:val="00EB0F72"/>
    <w:rsid w:val="00EB1E14"/>
    <w:rsid w:val="00EB2D9D"/>
    <w:rsid w:val="00EB3B6E"/>
    <w:rsid w:val="00EB40A7"/>
    <w:rsid w:val="00EB43D2"/>
    <w:rsid w:val="00EB495A"/>
    <w:rsid w:val="00EB53F6"/>
    <w:rsid w:val="00EB5E10"/>
    <w:rsid w:val="00EC028C"/>
    <w:rsid w:val="00EC34A9"/>
    <w:rsid w:val="00EC35F3"/>
    <w:rsid w:val="00EC37E9"/>
    <w:rsid w:val="00EC3987"/>
    <w:rsid w:val="00EC3DD3"/>
    <w:rsid w:val="00EC4367"/>
    <w:rsid w:val="00EC441C"/>
    <w:rsid w:val="00EC4EF0"/>
    <w:rsid w:val="00EC4F58"/>
    <w:rsid w:val="00EC5872"/>
    <w:rsid w:val="00EC64EA"/>
    <w:rsid w:val="00EC68C5"/>
    <w:rsid w:val="00EC73C0"/>
    <w:rsid w:val="00EC7A91"/>
    <w:rsid w:val="00ED0415"/>
    <w:rsid w:val="00ED05B6"/>
    <w:rsid w:val="00ED265A"/>
    <w:rsid w:val="00ED30EE"/>
    <w:rsid w:val="00ED4570"/>
    <w:rsid w:val="00ED508B"/>
    <w:rsid w:val="00EE06BC"/>
    <w:rsid w:val="00EE1F74"/>
    <w:rsid w:val="00EE2E4F"/>
    <w:rsid w:val="00EE3569"/>
    <w:rsid w:val="00EE3F8A"/>
    <w:rsid w:val="00EE5B00"/>
    <w:rsid w:val="00EE78C9"/>
    <w:rsid w:val="00EE7C3F"/>
    <w:rsid w:val="00EF0431"/>
    <w:rsid w:val="00EF06BB"/>
    <w:rsid w:val="00EF0830"/>
    <w:rsid w:val="00EF0AAE"/>
    <w:rsid w:val="00EF1596"/>
    <w:rsid w:val="00EF2653"/>
    <w:rsid w:val="00EF267B"/>
    <w:rsid w:val="00EF26D5"/>
    <w:rsid w:val="00EF456C"/>
    <w:rsid w:val="00EF5041"/>
    <w:rsid w:val="00EF5A7C"/>
    <w:rsid w:val="00EF6B52"/>
    <w:rsid w:val="00EF7672"/>
    <w:rsid w:val="00F002B7"/>
    <w:rsid w:val="00F00BA2"/>
    <w:rsid w:val="00F00FB5"/>
    <w:rsid w:val="00F01653"/>
    <w:rsid w:val="00F02207"/>
    <w:rsid w:val="00F0297B"/>
    <w:rsid w:val="00F02DF3"/>
    <w:rsid w:val="00F04F17"/>
    <w:rsid w:val="00F05468"/>
    <w:rsid w:val="00F05590"/>
    <w:rsid w:val="00F05874"/>
    <w:rsid w:val="00F0598F"/>
    <w:rsid w:val="00F05EF9"/>
    <w:rsid w:val="00F06297"/>
    <w:rsid w:val="00F063DB"/>
    <w:rsid w:val="00F06AFC"/>
    <w:rsid w:val="00F07027"/>
    <w:rsid w:val="00F073FF"/>
    <w:rsid w:val="00F07C42"/>
    <w:rsid w:val="00F07D7C"/>
    <w:rsid w:val="00F11C59"/>
    <w:rsid w:val="00F11C84"/>
    <w:rsid w:val="00F11DF3"/>
    <w:rsid w:val="00F1215E"/>
    <w:rsid w:val="00F12FAB"/>
    <w:rsid w:val="00F1306D"/>
    <w:rsid w:val="00F13433"/>
    <w:rsid w:val="00F13698"/>
    <w:rsid w:val="00F168B1"/>
    <w:rsid w:val="00F172D8"/>
    <w:rsid w:val="00F21B22"/>
    <w:rsid w:val="00F22E14"/>
    <w:rsid w:val="00F22E73"/>
    <w:rsid w:val="00F24963"/>
    <w:rsid w:val="00F249B8"/>
    <w:rsid w:val="00F25CD2"/>
    <w:rsid w:val="00F25ED5"/>
    <w:rsid w:val="00F261AB"/>
    <w:rsid w:val="00F2754F"/>
    <w:rsid w:val="00F27C65"/>
    <w:rsid w:val="00F31C3D"/>
    <w:rsid w:val="00F31D7D"/>
    <w:rsid w:val="00F32641"/>
    <w:rsid w:val="00F328E3"/>
    <w:rsid w:val="00F32AED"/>
    <w:rsid w:val="00F32F71"/>
    <w:rsid w:val="00F3312D"/>
    <w:rsid w:val="00F3411B"/>
    <w:rsid w:val="00F34A4D"/>
    <w:rsid w:val="00F357E9"/>
    <w:rsid w:val="00F358ED"/>
    <w:rsid w:val="00F3755C"/>
    <w:rsid w:val="00F403B1"/>
    <w:rsid w:val="00F408A1"/>
    <w:rsid w:val="00F40D3E"/>
    <w:rsid w:val="00F4119C"/>
    <w:rsid w:val="00F42C7F"/>
    <w:rsid w:val="00F43609"/>
    <w:rsid w:val="00F44F0E"/>
    <w:rsid w:val="00F4588F"/>
    <w:rsid w:val="00F458A1"/>
    <w:rsid w:val="00F460F3"/>
    <w:rsid w:val="00F4619B"/>
    <w:rsid w:val="00F46295"/>
    <w:rsid w:val="00F46B2C"/>
    <w:rsid w:val="00F46DC5"/>
    <w:rsid w:val="00F46EEC"/>
    <w:rsid w:val="00F476D7"/>
    <w:rsid w:val="00F47B6B"/>
    <w:rsid w:val="00F5014C"/>
    <w:rsid w:val="00F5120E"/>
    <w:rsid w:val="00F51348"/>
    <w:rsid w:val="00F519E1"/>
    <w:rsid w:val="00F5248F"/>
    <w:rsid w:val="00F52985"/>
    <w:rsid w:val="00F52DE9"/>
    <w:rsid w:val="00F5372A"/>
    <w:rsid w:val="00F551AA"/>
    <w:rsid w:val="00F558BB"/>
    <w:rsid w:val="00F57B51"/>
    <w:rsid w:val="00F60D3C"/>
    <w:rsid w:val="00F60E5F"/>
    <w:rsid w:val="00F6131E"/>
    <w:rsid w:val="00F6182B"/>
    <w:rsid w:val="00F61A74"/>
    <w:rsid w:val="00F62184"/>
    <w:rsid w:val="00F62378"/>
    <w:rsid w:val="00F62C9D"/>
    <w:rsid w:val="00F63C01"/>
    <w:rsid w:val="00F6445A"/>
    <w:rsid w:val="00F64DD1"/>
    <w:rsid w:val="00F65AB4"/>
    <w:rsid w:val="00F65CFF"/>
    <w:rsid w:val="00F66857"/>
    <w:rsid w:val="00F669E1"/>
    <w:rsid w:val="00F67A80"/>
    <w:rsid w:val="00F67B6E"/>
    <w:rsid w:val="00F70920"/>
    <w:rsid w:val="00F70F49"/>
    <w:rsid w:val="00F712B6"/>
    <w:rsid w:val="00F719BD"/>
    <w:rsid w:val="00F71BC7"/>
    <w:rsid w:val="00F7275C"/>
    <w:rsid w:val="00F72912"/>
    <w:rsid w:val="00F72B6A"/>
    <w:rsid w:val="00F734F4"/>
    <w:rsid w:val="00F73676"/>
    <w:rsid w:val="00F737B4"/>
    <w:rsid w:val="00F737E6"/>
    <w:rsid w:val="00F74C90"/>
    <w:rsid w:val="00F75359"/>
    <w:rsid w:val="00F75811"/>
    <w:rsid w:val="00F75B3A"/>
    <w:rsid w:val="00F765AE"/>
    <w:rsid w:val="00F76A19"/>
    <w:rsid w:val="00F81673"/>
    <w:rsid w:val="00F83848"/>
    <w:rsid w:val="00F846AF"/>
    <w:rsid w:val="00F8504E"/>
    <w:rsid w:val="00F86B44"/>
    <w:rsid w:val="00F86F89"/>
    <w:rsid w:val="00F87505"/>
    <w:rsid w:val="00F87CBE"/>
    <w:rsid w:val="00F904BA"/>
    <w:rsid w:val="00F91576"/>
    <w:rsid w:val="00F91A5A"/>
    <w:rsid w:val="00F92022"/>
    <w:rsid w:val="00F928C8"/>
    <w:rsid w:val="00F93678"/>
    <w:rsid w:val="00F93F5F"/>
    <w:rsid w:val="00F94D19"/>
    <w:rsid w:val="00F95323"/>
    <w:rsid w:val="00F96386"/>
    <w:rsid w:val="00F97C7F"/>
    <w:rsid w:val="00FA1225"/>
    <w:rsid w:val="00FA2874"/>
    <w:rsid w:val="00FA2E8F"/>
    <w:rsid w:val="00FA3AFA"/>
    <w:rsid w:val="00FA419F"/>
    <w:rsid w:val="00FA432B"/>
    <w:rsid w:val="00FB0381"/>
    <w:rsid w:val="00FB049B"/>
    <w:rsid w:val="00FB1DA8"/>
    <w:rsid w:val="00FB2B7B"/>
    <w:rsid w:val="00FB34EA"/>
    <w:rsid w:val="00FB3586"/>
    <w:rsid w:val="00FB38AB"/>
    <w:rsid w:val="00FB3CBC"/>
    <w:rsid w:val="00FB41CC"/>
    <w:rsid w:val="00FB55BF"/>
    <w:rsid w:val="00FB5C67"/>
    <w:rsid w:val="00FB60D8"/>
    <w:rsid w:val="00FB6C82"/>
    <w:rsid w:val="00FB7FA0"/>
    <w:rsid w:val="00FB7FC4"/>
    <w:rsid w:val="00FC00A6"/>
    <w:rsid w:val="00FC029C"/>
    <w:rsid w:val="00FC0690"/>
    <w:rsid w:val="00FC06E3"/>
    <w:rsid w:val="00FC0EC0"/>
    <w:rsid w:val="00FC1C17"/>
    <w:rsid w:val="00FC1F8E"/>
    <w:rsid w:val="00FC2367"/>
    <w:rsid w:val="00FC32DA"/>
    <w:rsid w:val="00FC3F01"/>
    <w:rsid w:val="00FC40D6"/>
    <w:rsid w:val="00FC4ADD"/>
    <w:rsid w:val="00FC4FE9"/>
    <w:rsid w:val="00FC61B1"/>
    <w:rsid w:val="00FC6DDB"/>
    <w:rsid w:val="00FC7214"/>
    <w:rsid w:val="00FD1382"/>
    <w:rsid w:val="00FD2303"/>
    <w:rsid w:val="00FD337B"/>
    <w:rsid w:val="00FD46AD"/>
    <w:rsid w:val="00FD50CF"/>
    <w:rsid w:val="00FD6ADB"/>
    <w:rsid w:val="00FD78DB"/>
    <w:rsid w:val="00FD79D4"/>
    <w:rsid w:val="00FE1421"/>
    <w:rsid w:val="00FE1488"/>
    <w:rsid w:val="00FE2123"/>
    <w:rsid w:val="00FE2179"/>
    <w:rsid w:val="00FE29B6"/>
    <w:rsid w:val="00FE5728"/>
    <w:rsid w:val="00FE5927"/>
    <w:rsid w:val="00FE712C"/>
    <w:rsid w:val="00FF0135"/>
    <w:rsid w:val="00FF045D"/>
    <w:rsid w:val="00FF45C7"/>
    <w:rsid w:val="00FF4CD5"/>
    <w:rsid w:val="00FF509D"/>
    <w:rsid w:val="00FF554D"/>
    <w:rsid w:val="00FF61D4"/>
    <w:rsid w:val="00FF626E"/>
    <w:rsid w:val="00FF6A65"/>
    <w:rsid w:val="00FF6C26"/>
    <w:rsid w:val="00FF6E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49"/>
    <o:shapelayout v:ext="edit">
      <o:idmap v:ext="edit" data="1"/>
    </o:shapelayout>
  </w:shapeDefaults>
  <w:decimalSymbol w:val="."/>
  <w:listSeparator w:val=","/>
  <w14:docId w14:val="4F085CE3"/>
  <w15:docId w15:val="{0838E1EF-BA39-4009-B635-FFA728D0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uiPriority="9" w:unhideWhenUsed="1" w:qFormat="1"/>
    <w:lsdException w:name="heading 9" w:locked="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qFormat="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0"/>
    <w:lsdException w:name="Closing" w:semiHidden="1" w:uiPriority="0" w:unhideWhenUsed="1"/>
    <w:lsdException w:name="Signature" w:semiHidden="1" w:uiPriority="0" w:unhideWhenUsed="1"/>
    <w:lsdException w:name="Default Paragraph Font" w:locked="1" w:semiHidden="1" w:uiPriority="0"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locked="1"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22"/>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C5C"/>
    <w:pPr>
      <w:spacing w:before="60" w:after="60" w:line="276" w:lineRule="auto"/>
      <w:jc w:val="both"/>
    </w:pPr>
    <w:rPr>
      <w:rFonts w:ascii="Calibri" w:hAnsi="Calibri"/>
      <w:sz w:val="22"/>
      <w:lang w:eastAsia="fr-FR"/>
    </w:rPr>
  </w:style>
  <w:style w:type="paragraph" w:styleId="Heading1">
    <w:name w:val="heading 1"/>
    <w:basedOn w:val="Normal"/>
    <w:next w:val="Normal"/>
    <w:link w:val="Heading1Char"/>
    <w:uiPriority w:val="9"/>
    <w:qFormat/>
    <w:rsid w:val="004C5F42"/>
    <w:pPr>
      <w:keepNext/>
      <w:numPr>
        <w:numId w:val="25"/>
      </w:numPr>
      <w:spacing w:before="480" w:after="240"/>
      <w:ind w:left="431" w:hanging="431"/>
      <w:outlineLvl w:val="0"/>
    </w:pPr>
    <w:rPr>
      <w:b/>
      <w:bCs/>
      <w:caps/>
      <w:color w:val="17365D" w:themeColor="text2" w:themeShade="BF"/>
      <w:kern w:val="32"/>
      <w:sz w:val="40"/>
      <w:szCs w:val="32"/>
    </w:rPr>
  </w:style>
  <w:style w:type="paragraph" w:styleId="Heading2">
    <w:name w:val="heading 2"/>
    <w:basedOn w:val="Normal"/>
    <w:next w:val="Normal"/>
    <w:link w:val="Heading2Char"/>
    <w:uiPriority w:val="9"/>
    <w:qFormat/>
    <w:rsid w:val="00F05468"/>
    <w:pPr>
      <w:keepNext/>
      <w:numPr>
        <w:ilvl w:val="1"/>
        <w:numId w:val="25"/>
      </w:numPr>
      <w:spacing w:before="480" w:after="240"/>
      <w:outlineLvl w:val="1"/>
    </w:pPr>
    <w:rPr>
      <w:b/>
      <w:bCs/>
      <w:iCs/>
      <w:caps/>
      <w:color w:val="365F91" w:themeColor="accent1" w:themeShade="BF"/>
      <w:sz w:val="28"/>
      <w:szCs w:val="28"/>
    </w:rPr>
  </w:style>
  <w:style w:type="paragraph" w:styleId="Heading3">
    <w:name w:val="heading 3"/>
    <w:basedOn w:val="Normal"/>
    <w:next w:val="Normal"/>
    <w:link w:val="Heading3Char"/>
    <w:uiPriority w:val="9"/>
    <w:qFormat/>
    <w:rsid w:val="002D42B2"/>
    <w:pPr>
      <w:keepNext/>
      <w:numPr>
        <w:ilvl w:val="2"/>
        <w:numId w:val="25"/>
      </w:numPr>
      <w:spacing w:before="240" w:after="240"/>
      <w:ind w:left="2138"/>
      <w:jc w:val="left"/>
      <w:outlineLvl w:val="2"/>
    </w:pPr>
    <w:rPr>
      <w:b/>
      <w:bCs/>
      <w:color w:val="365F91" w:themeColor="accent1" w:themeShade="BF"/>
      <w:sz w:val="26"/>
      <w:szCs w:val="26"/>
    </w:rPr>
  </w:style>
  <w:style w:type="paragraph" w:styleId="Heading4">
    <w:name w:val="heading 4"/>
    <w:basedOn w:val="Normal"/>
    <w:next w:val="Normal"/>
    <w:link w:val="Heading4Char"/>
    <w:uiPriority w:val="9"/>
    <w:qFormat/>
    <w:rsid w:val="00203D0A"/>
    <w:pPr>
      <w:numPr>
        <w:ilvl w:val="3"/>
        <w:numId w:val="25"/>
      </w:numPr>
      <w:spacing w:before="240" w:after="240"/>
      <w:outlineLvl w:val="3"/>
    </w:pPr>
    <w:rPr>
      <w:b/>
      <w:u w:val="single"/>
    </w:rPr>
  </w:style>
  <w:style w:type="paragraph" w:styleId="Heading5">
    <w:name w:val="heading 5"/>
    <w:basedOn w:val="Normal"/>
    <w:next w:val="Normal"/>
    <w:link w:val="Heading5Char"/>
    <w:uiPriority w:val="9"/>
    <w:qFormat/>
    <w:rsid w:val="003A1851"/>
    <w:pPr>
      <w:numPr>
        <w:ilvl w:val="4"/>
        <w:numId w:val="25"/>
      </w:numPr>
      <w:spacing w:before="240"/>
      <w:outlineLvl w:val="4"/>
    </w:pPr>
    <w:rPr>
      <w:b/>
      <w:bCs/>
      <w:i/>
      <w:iCs/>
      <w:sz w:val="26"/>
      <w:szCs w:val="26"/>
    </w:rPr>
  </w:style>
  <w:style w:type="paragraph" w:styleId="Heading6">
    <w:name w:val="heading 6"/>
    <w:basedOn w:val="Normal"/>
    <w:next w:val="Normal"/>
    <w:link w:val="Heading6Char"/>
    <w:uiPriority w:val="9"/>
    <w:qFormat/>
    <w:rsid w:val="003A1851"/>
    <w:pPr>
      <w:numPr>
        <w:ilvl w:val="5"/>
        <w:numId w:val="25"/>
      </w:numPr>
      <w:spacing w:before="240"/>
      <w:outlineLvl w:val="5"/>
    </w:pPr>
    <w:rPr>
      <w:b/>
      <w:bCs/>
      <w:szCs w:val="22"/>
    </w:rPr>
  </w:style>
  <w:style w:type="paragraph" w:styleId="Heading7">
    <w:name w:val="heading 7"/>
    <w:basedOn w:val="Normal"/>
    <w:next w:val="Normal"/>
    <w:link w:val="Heading7Char"/>
    <w:uiPriority w:val="9"/>
    <w:qFormat/>
    <w:rsid w:val="003A1851"/>
    <w:pPr>
      <w:numPr>
        <w:ilvl w:val="6"/>
        <w:numId w:val="25"/>
      </w:numPr>
      <w:spacing w:before="240"/>
      <w:outlineLvl w:val="6"/>
    </w:pPr>
    <w:rPr>
      <w:sz w:val="24"/>
    </w:rPr>
  </w:style>
  <w:style w:type="paragraph" w:styleId="Heading8">
    <w:name w:val="heading 8"/>
    <w:basedOn w:val="Normal"/>
    <w:next w:val="Normal"/>
    <w:link w:val="Heading8Char"/>
    <w:uiPriority w:val="9"/>
    <w:qFormat/>
    <w:rsid w:val="003A1851"/>
    <w:pPr>
      <w:numPr>
        <w:ilvl w:val="7"/>
        <w:numId w:val="25"/>
      </w:numPr>
      <w:spacing w:before="240"/>
      <w:outlineLvl w:val="7"/>
    </w:pPr>
    <w:rPr>
      <w:i/>
      <w:iCs/>
      <w:sz w:val="24"/>
    </w:rPr>
  </w:style>
  <w:style w:type="paragraph" w:styleId="Heading9">
    <w:name w:val="heading 9"/>
    <w:basedOn w:val="Normal"/>
    <w:next w:val="Normal"/>
    <w:link w:val="Heading9Char"/>
    <w:uiPriority w:val="9"/>
    <w:qFormat/>
    <w:rsid w:val="003A1851"/>
    <w:pPr>
      <w:numPr>
        <w:ilvl w:val="8"/>
        <w:numId w:val="25"/>
      </w:numPr>
      <w:spacing w:before="24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4C5F42"/>
    <w:rPr>
      <w:rFonts w:ascii="Calibri" w:hAnsi="Calibri"/>
      <w:b/>
      <w:bCs/>
      <w:caps/>
      <w:color w:val="17365D" w:themeColor="text2" w:themeShade="BF"/>
      <w:kern w:val="32"/>
      <w:sz w:val="40"/>
      <w:szCs w:val="32"/>
      <w:lang w:eastAsia="fr-FR"/>
    </w:rPr>
  </w:style>
  <w:style w:type="character" w:customStyle="1" w:styleId="Heading2Char">
    <w:name w:val="Heading 2 Char"/>
    <w:link w:val="Heading2"/>
    <w:uiPriority w:val="9"/>
    <w:locked/>
    <w:rsid w:val="00F05468"/>
    <w:rPr>
      <w:rFonts w:ascii="Calibri" w:hAnsi="Calibri"/>
      <w:b/>
      <w:bCs/>
      <w:iCs/>
      <w:caps/>
      <w:color w:val="365F91" w:themeColor="accent1" w:themeShade="BF"/>
      <w:sz w:val="28"/>
      <w:szCs w:val="28"/>
      <w:lang w:eastAsia="fr-FR"/>
    </w:rPr>
  </w:style>
  <w:style w:type="character" w:customStyle="1" w:styleId="Heading3Char">
    <w:name w:val="Heading 3 Char"/>
    <w:link w:val="Heading3"/>
    <w:uiPriority w:val="9"/>
    <w:locked/>
    <w:rsid w:val="002D42B2"/>
    <w:rPr>
      <w:rFonts w:ascii="Calibri" w:hAnsi="Calibri"/>
      <w:b/>
      <w:bCs/>
      <w:color w:val="365F91" w:themeColor="accent1" w:themeShade="BF"/>
      <w:sz w:val="26"/>
      <w:szCs w:val="26"/>
      <w:lang w:eastAsia="fr-FR"/>
    </w:rPr>
  </w:style>
  <w:style w:type="character" w:customStyle="1" w:styleId="Heading4Char">
    <w:name w:val="Heading 4 Char"/>
    <w:link w:val="Heading4"/>
    <w:uiPriority w:val="9"/>
    <w:locked/>
    <w:rsid w:val="00203D0A"/>
    <w:rPr>
      <w:rFonts w:ascii="Calibri" w:hAnsi="Calibri"/>
      <w:b/>
      <w:sz w:val="22"/>
      <w:u w:val="single"/>
      <w:lang w:eastAsia="fr-FR"/>
    </w:rPr>
  </w:style>
  <w:style w:type="character" w:customStyle="1" w:styleId="Heading5Char">
    <w:name w:val="Heading 5 Char"/>
    <w:link w:val="Heading5"/>
    <w:uiPriority w:val="9"/>
    <w:locked/>
    <w:rsid w:val="003A1851"/>
    <w:rPr>
      <w:rFonts w:ascii="Calibri" w:hAnsi="Calibri"/>
      <w:b/>
      <w:bCs/>
      <w:i/>
      <w:iCs/>
      <w:sz w:val="26"/>
      <w:szCs w:val="26"/>
      <w:lang w:eastAsia="fr-FR"/>
    </w:rPr>
  </w:style>
  <w:style w:type="character" w:customStyle="1" w:styleId="Heading6Char">
    <w:name w:val="Heading 6 Char"/>
    <w:link w:val="Heading6"/>
    <w:uiPriority w:val="9"/>
    <w:locked/>
    <w:rsid w:val="003A1851"/>
    <w:rPr>
      <w:rFonts w:ascii="Calibri" w:hAnsi="Calibri"/>
      <w:b/>
      <w:bCs/>
      <w:sz w:val="22"/>
      <w:szCs w:val="22"/>
      <w:lang w:eastAsia="fr-FR"/>
    </w:rPr>
  </w:style>
  <w:style w:type="character" w:customStyle="1" w:styleId="Heading7Char">
    <w:name w:val="Heading 7 Char"/>
    <w:link w:val="Heading7"/>
    <w:uiPriority w:val="9"/>
    <w:locked/>
    <w:rsid w:val="003A1851"/>
    <w:rPr>
      <w:rFonts w:ascii="Calibri" w:hAnsi="Calibri"/>
      <w:lang w:eastAsia="fr-FR"/>
    </w:rPr>
  </w:style>
  <w:style w:type="character" w:customStyle="1" w:styleId="Heading8Char">
    <w:name w:val="Heading 8 Char"/>
    <w:link w:val="Heading8"/>
    <w:uiPriority w:val="9"/>
    <w:locked/>
    <w:rsid w:val="003A1851"/>
    <w:rPr>
      <w:rFonts w:ascii="Calibri" w:hAnsi="Calibri"/>
      <w:i/>
      <w:iCs/>
      <w:lang w:eastAsia="fr-FR"/>
    </w:rPr>
  </w:style>
  <w:style w:type="character" w:customStyle="1" w:styleId="Heading9Char">
    <w:name w:val="Heading 9 Char"/>
    <w:link w:val="Heading9"/>
    <w:uiPriority w:val="9"/>
    <w:locked/>
    <w:rsid w:val="003A1851"/>
    <w:rPr>
      <w:rFonts w:ascii="Cambria" w:hAnsi="Cambria"/>
      <w:sz w:val="22"/>
      <w:szCs w:val="22"/>
      <w:lang w:eastAsia="fr-FR"/>
    </w:rPr>
  </w:style>
  <w:style w:type="paragraph" w:customStyle="1" w:styleId="Legal1">
    <w:name w:val="Legal 1"/>
    <w:basedOn w:val="Normal"/>
    <w:uiPriority w:val="99"/>
    <w:rsid w:val="00BF7CFA"/>
    <w:pPr>
      <w:widowControl w:val="0"/>
    </w:pPr>
  </w:style>
  <w:style w:type="paragraph" w:customStyle="1" w:styleId="Legal2">
    <w:name w:val="Legal 2"/>
    <w:basedOn w:val="Normal"/>
    <w:uiPriority w:val="99"/>
    <w:rsid w:val="00BF7CFA"/>
    <w:pPr>
      <w:widowControl w:val="0"/>
    </w:pPr>
  </w:style>
  <w:style w:type="paragraph" w:customStyle="1" w:styleId="Legal3">
    <w:name w:val="Legal 3"/>
    <w:basedOn w:val="Normal"/>
    <w:uiPriority w:val="99"/>
    <w:rsid w:val="00BF7CFA"/>
    <w:pPr>
      <w:widowControl w:val="0"/>
    </w:pPr>
  </w:style>
  <w:style w:type="paragraph" w:customStyle="1" w:styleId="Legal4">
    <w:name w:val="Legal 4"/>
    <w:basedOn w:val="Normal"/>
    <w:uiPriority w:val="99"/>
    <w:rsid w:val="00BF7CFA"/>
    <w:pPr>
      <w:widowControl w:val="0"/>
    </w:pPr>
  </w:style>
  <w:style w:type="paragraph" w:customStyle="1" w:styleId="Legal5">
    <w:name w:val="Legal 5"/>
    <w:basedOn w:val="Normal"/>
    <w:uiPriority w:val="99"/>
    <w:rsid w:val="00BF7CFA"/>
    <w:pPr>
      <w:widowControl w:val="0"/>
    </w:pPr>
  </w:style>
  <w:style w:type="paragraph" w:customStyle="1" w:styleId="Legal6">
    <w:name w:val="Legal 6"/>
    <w:basedOn w:val="Normal"/>
    <w:uiPriority w:val="99"/>
    <w:rsid w:val="00BF7CFA"/>
    <w:pPr>
      <w:widowControl w:val="0"/>
    </w:pPr>
  </w:style>
  <w:style w:type="paragraph" w:customStyle="1" w:styleId="Legal7">
    <w:name w:val="Legal 7"/>
    <w:basedOn w:val="Normal"/>
    <w:uiPriority w:val="99"/>
    <w:rsid w:val="00BF7CFA"/>
    <w:pPr>
      <w:widowControl w:val="0"/>
    </w:pPr>
  </w:style>
  <w:style w:type="paragraph" w:customStyle="1" w:styleId="Legal8">
    <w:name w:val="Legal 8"/>
    <w:basedOn w:val="Normal"/>
    <w:uiPriority w:val="99"/>
    <w:rsid w:val="00BF7CFA"/>
    <w:pPr>
      <w:widowControl w:val="0"/>
    </w:pPr>
  </w:style>
  <w:style w:type="paragraph" w:customStyle="1" w:styleId="Legal9">
    <w:name w:val="Legal 9"/>
    <w:basedOn w:val="Normal"/>
    <w:uiPriority w:val="99"/>
    <w:rsid w:val="00BF7CFA"/>
    <w:pPr>
      <w:widowControl w:val="0"/>
    </w:pPr>
  </w:style>
  <w:style w:type="paragraph" w:customStyle="1" w:styleId="Level1">
    <w:name w:val="Level 1"/>
    <w:basedOn w:val="Normal"/>
    <w:uiPriority w:val="99"/>
    <w:rsid w:val="00BF7CFA"/>
    <w:pPr>
      <w:widowControl w:val="0"/>
    </w:pPr>
  </w:style>
  <w:style w:type="paragraph" w:customStyle="1" w:styleId="Level2">
    <w:name w:val="Level 2"/>
    <w:basedOn w:val="Normal"/>
    <w:uiPriority w:val="99"/>
    <w:rsid w:val="00BF7CFA"/>
    <w:pPr>
      <w:widowControl w:val="0"/>
    </w:pPr>
  </w:style>
  <w:style w:type="paragraph" w:customStyle="1" w:styleId="Level3">
    <w:name w:val="Level 3"/>
    <w:basedOn w:val="Normal"/>
    <w:uiPriority w:val="99"/>
    <w:rsid w:val="00BF7CFA"/>
    <w:pPr>
      <w:widowControl w:val="0"/>
    </w:pPr>
  </w:style>
  <w:style w:type="paragraph" w:customStyle="1" w:styleId="Level4">
    <w:name w:val="Level 4"/>
    <w:basedOn w:val="Normal"/>
    <w:uiPriority w:val="99"/>
    <w:rsid w:val="00BF7CFA"/>
    <w:pPr>
      <w:widowControl w:val="0"/>
    </w:pPr>
  </w:style>
  <w:style w:type="paragraph" w:customStyle="1" w:styleId="Level5">
    <w:name w:val="Level 5"/>
    <w:basedOn w:val="Normal"/>
    <w:uiPriority w:val="99"/>
    <w:rsid w:val="00BF7CFA"/>
    <w:pPr>
      <w:widowControl w:val="0"/>
    </w:pPr>
  </w:style>
  <w:style w:type="paragraph" w:customStyle="1" w:styleId="Level6">
    <w:name w:val="Level 6"/>
    <w:basedOn w:val="Normal"/>
    <w:uiPriority w:val="99"/>
    <w:rsid w:val="00BF7CFA"/>
    <w:pPr>
      <w:widowControl w:val="0"/>
    </w:pPr>
  </w:style>
  <w:style w:type="paragraph" w:customStyle="1" w:styleId="Level7">
    <w:name w:val="Level 7"/>
    <w:basedOn w:val="Normal"/>
    <w:uiPriority w:val="99"/>
    <w:rsid w:val="00BF7CFA"/>
    <w:pPr>
      <w:widowControl w:val="0"/>
    </w:pPr>
  </w:style>
  <w:style w:type="paragraph" w:customStyle="1" w:styleId="Level8">
    <w:name w:val="Level 8"/>
    <w:basedOn w:val="Normal"/>
    <w:uiPriority w:val="99"/>
    <w:rsid w:val="00BF7CFA"/>
    <w:pPr>
      <w:widowControl w:val="0"/>
    </w:pPr>
  </w:style>
  <w:style w:type="paragraph" w:customStyle="1" w:styleId="Level9">
    <w:name w:val="Level 9"/>
    <w:basedOn w:val="Normal"/>
    <w:uiPriority w:val="99"/>
    <w:rsid w:val="00BF7CFA"/>
    <w:pPr>
      <w:widowControl w:val="0"/>
    </w:pPr>
  </w:style>
  <w:style w:type="paragraph" w:styleId="FootnoteText">
    <w:name w:val="footnote text"/>
    <w:aliases w:val="Fußnotentextf,Footnote Text Char Char Char,Footnote Text Char Char,Fußnote,5_G,fn,Note de bas de page Car Car Car,Note de bas de page Car Car Car Car Car,Note de bas de page Car Car Car Car,Note de bas de page Car Car,f,~FootnoteText,Text"/>
    <w:basedOn w:val="Normal"/>
    <w:link w:val="FootnoteTextChar"/>
    <w:uiPriority w:val="99"/>
    <w:qFormat/>
    <w:rsid w:val="00BF7CFA"/>
    <w:pPr>
      <w:widowControl w:val="0"/>
      <w:ind w:firstLine="720"/>
    </w:pPr>
    <w:rPr>
      <w:sz w:val="20"/>
    </w:rPr>
  </w:style>
  <w:style w:type="character" w:customStyle="1" w:styleId="FootnoteTextChar">
    <w:name w:val="Footnote Text Char"/>
    <w:aliases w:val="Fußnotentextf Char1,Footnote Text Char Char Char Char1,Footnote Text Char Char Char2,Fußnote Char1,5_G Char1,fn Char,Note de bas de page Car Car Car Char,Note de bas de page Car Car Car Car Car Char,Note de bas de page Car Car Char"/>
    <w:link w:val="FootnoteText"/>
    <w:uiPriority w:val="99"/>
    <w:qFormat/>
    <w:rsid w:val="006B17B0"/>
    <w:rPr>
      <w:rFonts w:ascii="Arial" w:hAnsi="Arial"/>
      <w:sz w:val="20"/>
      <w:szCs w:val="20"/>
      <w:lang w:eastAsia="fr-FR"/>
    </w:rPr>
  </w:style>
  <w:style w:type="character" w:styleId="FootnoteReference">
    <w:name w:val="footnote reference"/>
    <w:aliases w:val="BVI fnr,4_G,16 Point,Superscript 6 Point,Superscript 6 Point + 11 pt, BVI fnr,ftref,Footnote Reference Char Char Char,Carattere Char Carattere Carattere Char Carattere Char Carattere Char Char Char1 Char,nota pié di pagina,SUPERS"/>
    <w:link w:val="CharCharCharCharCarChar"/>
    <w:uiPriority w:val="99"/>
    <w:qFormat/>
    <w:rsid w:val="00BF7CFA"/>
    <w:rPr>
      <w:rFonts w:cs="Times New Roman"/>
      <w:vertAlign w:val="superscript"/>
    </w:rPr>
  </w:style>
  <w:style w:type="character" w:styleId="CommentReference">
    <w:name w:val="annotation reference"/>
    <w:semiHidden/>
    <w:rsid w:val="003A1851"/>
    <w:rPr>
      <w:rFonts w:cs="Times New Roman"/>
      <w:sz w:val="16"/>
      <w:szCs w:val="16"/>
    </w:rPr>
  </w:style>
  <w:style w:type="paragraph" w:styleId="CommentText">
    <w:name w:val="annotation text"/>
    <w:basedOn w:val="Normal"/>
    <w:link w:val="CommentTextChar"/>
    <w:semiHidden/>
    <w:rsid w:val="003A1851"/>
    <w:rPr>
      <w:sz w:val="20"/>
    </w:rPr>
  </w:style>
  <w:style w:type="character" w:customStyle="1" w:styleId="CommentTextChar">
    <w:name w:val="Comment Text Char"/>
    <w:link w:val="CommentText"/>
    <w:semiHidden/>
    <w:locked/>
    <w:rsid w:val="003A1851"/>
    <w:rPr>
      <w:rFonts w:ascii="Arial" w:hAnsi="Arial" w:cs="Times New Roman"/>
      <w:lang w:val="en-US"/>
    </w:rPr>
  </w:style>
  <w:style w:type="paragraph" w:styleId="CommentSubject">
    <w:name w:val="annotation subject"/>
    <w:basedOn w:val="CommentText"/>
    <w:next w:val="CommentText"/>
    <w:link w:val="CommentSubjectChar"/>
    <w:semiHidden/>
    <w:rsid w:val="003A1851"/>
    <w:rPr>
      <w:b/>
      <w:bCs/>
    </w:rPr>
  </w:style>
  <w:style w:type="character" w:customStyle="1" w:styleId="CommentSubjectChar">
    <w:name w:val="Comment Subject Char"/>
    <w:link w:val="CommentSubject"/>
    <w:semiHidden/>
    <w:locked/>
    <w:rsid w:val="003A1851"/>
    <w:rPr>
      <w:rFonts w:ascii="Arial" w:hAnsi="Arial" w:cs="Times New Roman"/>
      <w:b/>
      <w:bCs/>
      <w:lang w:val="en-US"/>
    </w:rPr>
  </w:style>
  <w:style w:type="paragraph" w:styleId="BalloonText">
    <w:name w:val="Balloon Text"/>
    <w:basedOn w:val="Normal"/>
    <w:link w:val="BalloonTextChar"/>
    <w:uiPriority w:val="99"/>
    <w:semiHidden/>
    <w:rsid w:val="003A1851"/>
    <w:pPr>
      <w:spacing w:before="0" w:after="0"/>
    </w:pPr>
    <w:rPr>
      <w:rFonts w:ascii="Tahoma" w:hAnsi="Tahoma"/>
      <w:sz w:val="16"/>
      <w:szCs w:val="16"/>
    </w:rPr>
  </w:style>
  <w:style w:type="character" w:customStyle="1" w:styleId="BalloonTextChar">
    <w:name w:val="Balloon Text Char"/>
    <w:link w:val="BalloonText"/>
    <w:uiPriority w:val="99"/>
    <w:semiHidden/>
    <w:locked/>
    <w:rsid w:val="003A1851"/>
    <w:rPr>
      <w:rFonts w:ascii="Tahoma" w:hAnsi="Tahoma" w:cs="Tahoma"/>
      <w:sz w:val="16"/>
      <w:szCs w:val="16"/>
      <w:lang w:val="en-US"/>
    </w:rPr>
  </w:style>
  <w:style w:type="paragraph" w:styleId="ListParagraph">
    <w:name w:val="List Paragraph"/>
    <w:aliases w:val="PDP DOCUMENT SUBTITLE,Bullet Points,Liste Paragraf,Liststycke SKL,Normal bullet 2,Table of contents numbered,En tête 1,Header bold,Heading 2_sj,List_Paragraph,Multilevel para_II,ADB Normal,List Paragraph in table,heading 4,6,List1,Dot pt"/>
    <w:basedOn w:val="Normal"/>
    <w:uiPriority w:val="34"/>
    <w:qFormat/>
    <w:rsid w:val="006E7B46"/>
    <w:pPr>
      <w:ind w:left="720"/>
      <w:contextualSpacing/>
    </w:pPr>
  </w:style>
  <w:style w:type="paragraph" w:styleId="TOCHeading">
    <w:name w:val="TOC Heading"/>
    <w:basedOn w:val="Heading1"/>
    <w:next w:val="Normal"/>
    <w:uiPriority w:val="39"/>
    <w:qFormat/>
    <w:rsid w:val="00AC63D0"/>
    <w:pPr>
      <w:keepLines/>
      <w:numPr>
        <w:numId w:val="0"/>
      </w:numPr>
      <w:spacing w:after="0"/>
      <w:jc w:val="left"/>
      <w:outlineLvl w:val="9"/>
    </w:pPr>
    <w:rPr>
      <w:rFonts w:ascii="Cambria" w:eastAsia="MS Gothic" w:hAnsi="Cambria"/>
      <w:color w:val="365F91"/>
      <w:kern w:val="0"/>
      <w:szCs w:val="28"/>
      <w:lang w:eastAsia="ja-JP"/>
    </w:rPr>
  </w:style>
  <w:style w:type="paragraph" w:styleId="TOC1">
    <w:name w:val="toc 1"/>
    <w:basedOn w:val="Normal"/>
    <w:next w:val="Normal"/>
    <w:autoRedefine/>
    <w:uiPriority w:val="39"/>
    <w:locked/>
    <w:rsid w:val="00AC63D0"/>
    <w:pPr>
      <w:spacing w:before="120" w:after="120"/>
      <w:jc w:val="left"/>
    </w:pPr>
    <w:rPr>
      <w:rFonts w:asciiTheme="minorHAnsi" w:hAnsiTheme="minorHAnsi"/>
      <w:b/>
      <w:bCs/>
      <w:caps/>
      <w:sz w:val="20"/>
    </w:rPr>
  </w:style>
  <w:style w:type="paragraph" w:styleId="TOC2">
    <w:name w:val="toc 2"/>
    <w:basedOn w:val="Normal"/>
    <w:next w:val="Normal"/>
    <w:autoRedefine/>
    <w:uiPriority w:val="39"/>
    <w:locked/>
    <w:rsid w:val="000C7A4C"/>
    <w:pPr>
      <w:tabs>
        <w:tab w:val="left" w:pos="880"/>
        <w:tab w:val="right" w:leader="dot" w:pos="9344"/>
      </w:tabs>
      <w:spacing w:before="0" w:after="0" w:line="240" w:lineRule="auto"/>
      <w:ind w:left="220"/>
      <w:jc w:val="left"/>
    </w:pPr>
    <w:rPr>
      <w:rFonts w:asciiTheme="minorHAnsi" w:hAnsiTheme="minorHAnsi"/>
      <w:smallCaps/>
      <w:sz w:val="20"/>
    </w:rPr>
  </w:style>
  <w:style w:type="paragraph" w:styleId="TOC3">
    <w:name w:val="toc 3"/>
    <w:basedOn w:val="Normal"/>
    <w:next w:val="Normal"/>
    <w:autoRedefine/>
    <w:uiPriority w:val="39"/>
    <w:locked/>
    <w:rsid w:val="00ED265A"/>
    <w:pPr>
      <w:tabs>
        <w:tab w:val="left" w:pos="1134"/>
        <w:tab w:val="right" w:leader="dot" w:pos="9344"/>
      </w:tabs>
      <w:spacing w:before="0" w:after="0"/>
      <w:ind w:left="440"/>
      <w:jc w:val="left"/>
    </w:pPr>
    <w:rPr>
      <w:rFonts w:asciiTheme="minorHAnsi" w:hAnsiTheme="minorHAnsi"/>
      <w:i/>
      <w:iCs/>
      <w:sz w:val="20"/>
    </w:rPr>
  </w:style>
  <w:style w:type="paragraph" w:styleId="TOC4">
    <w:name w:val="toc 4"/>
    <w:basedOn w:val="Normal"/>
    <w:next w:val="Normal"/>
    <w:autoRedefine/>
    <w:uiPriority w:val="39"/>
    <w:unhideWhenUsed/>
    <w:locked/>
    <w:rsid w:val="00AC63D0"/>
    <w:pPr>
      <w:spacing w:before="0" w:after="0"/>
      <w:ind w:left="660"/>
      <w:jc w:val="left"/>
    </w:pPr>
    <w:rPr>
      <w:rFonts w:asciiTheme="minorHAnsi" w:hAnsiTheme="minorHAnsi"/>
      <w:sz w:val="18"/>
      <w:szCs w:val="18"/>
    </w:rPr>
  </w:style>
  <w:style w:type="paragraph" w:styleId="TOC5">
    <w:name w:val="toc 5"/>
    <w:basedOn w:val="Normal"/>
    <w:next w:val="Normal"/>
    <w:autoRedefine/>
    <w:uiPriority w:val="39"/>
    <w:unhideWhenUsed/>
    <w:locked/>
    <w:rsid w:val="00AC63D0"/>
    <w:pPr>
      <w:spacing w:before="0" w:after="0"/>
      <w:ind w:left="880"/>
      <w:jc w:val="left"/>
    </w:pPr>
    <w:rPr>
      <w:rFonts w:asciiTheme="minorHAnsi" w:hAnsiTheme="minorHAnsi"/>
      <w:sz w:val="18"/>
      <w:szCs w:val="18"/>
    </w:rPr>
  </w:style>
  <w:style w:type="paragraph" w:styleId="TOC6">
    <w:name w:val="toc 6"/>
    <w:basedOn w:val="Normal"/>
    <w:next w:val="Normal"/>
    <w:autoRedefine/>
    <w:uiPriority w:val="39"/>
    <w:unhideWhenUsed/>
    <w:locked/>
    <w:rsid w:val="00AC63D0"/>
    <w:pPr>
      <w:spacing w:before="0" w:after="0"/>
      <w:ind w:left="1100"/>
      <w:jc w:val="left"/>
    </w:pPr>
    <w:rPr>
      <w:rFonts w:asciiTheme="minorHAnsi" w:hAnsiTheme="minorHAnsi"/>
      <w:sz w:val="18"/>
      <w:szCs w:val="18"/>
    </w:rPr>
  </w:style>
  <w:style w:type="paragraph" w:styleId="TOC7">
    <w:name w:val="toc 7"/>
    <w:basedOn w:val="Normal"/>
    <w:next w:val="Normal"/>
    <w:autoRedefine/>
    <w:uiPriority w:val="39"/>
    <w:unhideWhenUsed/>
    <w:locked/>
    <w:rsid w:val="00AC63D0"/>
    <w:pPr>
      <w:spacing w:before="0" w:after="0"/>
      <w:ind w:left="1320"/>
      <w:jc w:val="left"/>
    </w:pPr>
    <w:rPr>
      <w:rFonts w:asciiTheme="minorHAnsi" w:hAnsiTheme="minorHAnsi"/>
      <w:sz w:val="18"/>
      <w:szCs w:val="18"/>
    </w:rPr>
  </w:style>
  <w:style w:type="paragraph" w:styleId="TOC8">
    <w:name w:val="toc 8"/>
    <w:basedOn w:val="Normal"/>
    <w:next w:val="Normal"/>
    <w:autoRedefine/>
    <w:uiPriority w:val="39"/>
    <w:unhideWhenUsed/>
    <w:locked/>
    <w:rsid w:val="00AC63D0"/>
    <w:pPr>
      <w:spacing w:before="0" w:after="0"/>
      <w:ind w:left="1540"/>
      <w:jc w:val="left"/>
    </w:pPr>
    <w:rPr>
      <w:rFonts w:asciiTheme="minorHAnsi" w:hAnsiTheme="minorHAnsi"/>
      <w:sz w:val="18"/>
      <w:szCs w:val="18"/>
    </w:rPr>
  </w:style>
  <w:style w:type="paragraph" w:styleId="TOC9">
    <w:name w:val="toc 9"/>
    <w:basedOn w:val="Normal"/>
    <w:next w:val="Normal"/>
    <w:autoRedefine/>
    <w:uiPriority w:val="39"/>
    <w:unhideWhenUsed/>
    <w:locked/>
    <w:rsid w:val="00AC63D0"/>
    <w:pPr>
      <w:spacing w:before="0" w:after="0"/>
      <w:ind w:left="1760"/>
      <w:jc w:val="left"/>
    </w:pPr>
    <w:rPr>
      <w:rFonts w:asciiTheme="minorHAnsi" w:hAnsiTheme="minorHAnsi"/>
      <w:sz w:val="18"/>
      <w:szCs w:val="18"/>
    </w:rPr>
  </w:style>
  <w:style w:type="character" w:styleId="Hyperlink">
    <w:name w:val="Hyperlink"/>
    <w:uiPriority w:val="99"/>
    <w:unhideWhenUsed/>
    <w:rsid w:val="00AC63D0"/>
    <w:rPr>
      <w:color w:val="0000FF"/>
      <w:u w:val="single"/>
    </w:rPr>
  </w:style>
  <w:style w:type="paragraph" w:styleId="Header">
    <w:name w:val="header"/>
    <w:basedOn w:val="Normal"/>
    <w:link w:val="HeaderChar"/>
    <w:uiPriority w:val="99"/>
    <w:rsid w:val="00DE6A45"/>
    <w:pPr>
      <w:tabs>
        <w:tab w:val="center" w:pos="4153"/>
        <w:tab w:val="right" w:pos="8306"/>
      </w:tabs>
    </w:pPr>
  </w:style>
  <w:style w:type="paragraph" w:styleId="Footer">
    <w:name w:val="footer"/>
    <w:aliases w:val="Footer2"/>
    <w:basedOn w:val="Normal"/>
    <w:link w:val="FooterChar"/>
    <w:uiPriority w:val="99"/>
    <w:rsid w:val="00DE6A45"/>
    <w:pPr>
      <w:tabs>
        <w:tab w:val="center" w:pos="4153"/>
        <w:tab w:val="right" w:pos="8306"/>
      </w:tabs>
    </w:pPr>
  </w:style>
  <w:style w:type="character" w:styleId="PageNumber">
    <w:name w:val="page number"/>
    <w:basedOn w:val="DefaultParagraphFont"/>
    <w:rsid w:val="00DE6A45"/>
  </w:style>
  <w:style w:type="paragraph" w:customStyle="1" w:styleId="WEDC-Tablecellheading">
    <w:name w:val="WEDC - Table cell heading"/>
    <w:rsid w:val="00D90C66"/>
    <w:rPr>
      <w:rFonts w:ascii="Arial" w:hAnsi="Arial"/>
      <w:b/>
      <w:sz w:val="16"/>
      <w:lang w:val="en-GB"/>
    </w:rPr>
  </w:style>
  <w:style w:type="paragraph" w:customStyle="1" w:styleId="WEDC-Tabletext">
    <w:name w:val="WEDC - Table text"/>
    <w:rsid w:val="00D90C66"/>
    <w:pPr>
      <w:tabs>
        <w:tab w:val="left" w:pos="170"/>
        <w:tab w:val="left" w:pos="340"/>
        <w:tab w:val="left" w:pos="510"/>
        <w:tab w:val="left" w:pos="680"/>
      </w:tabs>
    </w:pPr>
    <w:rPr>
      <w:rFonts w:ascii="Arial" w:hAnsi="Arial" w:cs="Arial"/>
      <w:bCs/>
      <w:sz w:val="16"/>
      <w:szCs w:val="16"/>
      <w:lang w:val="en-GB"/>
    </w:rPr>
  </w:style>
  <w:style w:type="paragraph" w:customStyle="1" w:styleId="WEDC-Tabletitle">
    <w:name w:val="WEDC - Table title"/>
    <w:rsid w:val="00D90C66"/>
    <w:pPr>
      <w:keepNext/>
    </w:pPr>
    <w:rPr>
      <w:rFonts w:ascii="Arial" w:hAnsi="Arial" w:cs="Arial"/>
      <w:b/>
      <w:sz w:val="18"/>
      <w:lang w:val="en-GB"/>
    </w:rPr>
  </w:style>
  <w:style w:type="paragraph" w:styleId="BodyTextIndent">
    <w:name w:val="Body Text Indent"/>
    <w:basedOn w:val="Normal"/>
    <w:link w:val="BodyTextIndentChar"/>
    <w:rsid w:val="00D90C66"/>
    <w:pPr>
      <w:spacing w:before="0" w:after="0"/>
      <w:ind w:left="720"/>
    </w:pPr>
    <w:rPr>
      <w:rFonts w:ascii="Tahoma" w:hAnsi="Tahoma"/>
      <w:sz w:val="24"/>
    </w:rPr>
  </w:style>
  <w:style w:type="character" w:customStyle="1" w:styleId="BodyTextIndentChar">
    <w:name w:val="Body Text Indent Char"/>
    <w:link w:val="BodyTextIndent"/>
    <w:rsid w:val="00D90C66"/>
    <w:rPr>
      <w:rFonts w:ascii="Tahoma" w:hAnsi="Tahoma" w:cs="Tahoma"/>
      <w:sz w:val="24"/>
      <w:szCs w:val="24"/>
    </w:rPr>
  </w:style>
  <w:style w:type="table" w:styleId="TableGrid">
    <w:name w:val="Table Grid"/>
    <w:aliases w:val="Tabella Copertina,Golder_Table"/>
    <w:basedOn w:val="TableNormal"/>
    <w:uiPriority w:val="39"/>
    <w:qFormat/>
    <w:locked/>
    <w:rsid w:val="00A87E6E"/>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Table title"/>
    <w:basedOn w:val="Normal"/>
    <w:link w:val="NormalWebChar"/>
    <w:uiPriority w:val="99"/>
    <w:unhideWhenUsed/>
    <w:qFormat/>
    <w:rsid w:val="00621EB7"/>
    <w:pPr>
      <w:spacing w:before="0" w:after="0"/>
    </w:pPr>
    <w:rPr>
      <w:b/>
      <w:bCs/>
      <w:lang w:val="en-GB"/>
    </w:rPr>
  </w:style>
  <w:style w:type="paragraph" w:customStyle="1" w:styleId="Default">
    <w:name w:val="Default"/>
    <w:qFormat/>
    <w:rsid w:val="0049520D"/>
    <w:pPr>
      <w:autoSpaceDE w:val="0"/>
      <w:autoSpaceDN w:val="0"/>
      <w:adjustRightInd w:val="0"/>
    </w:pPr>
    <w:rPr>
      <w:rFonts w:ascii="Arial" w:eastAsia="Calibri" w:hAnsi="Arial" w:cs="Arial"/>
      <w:color w:val="000000"/>
    </w:rPr>
  </w:style>
  <w:style w:type="paragraph" w:styleId="BodyText2">
    <w:name w:val="Body Text 2"/>
    <w:basedOn w:val="Normal"/>
    <w:link w:val="BodyText2Char"/>
    <w:semiHidden/>
    <w:unhideWhenUsed/>
    <w:rsid w:val="0035116A"/>
    <w:pPr>
      <w:spacing w:before="0" w:after="120" w:line="480" w:lineRule="auto"/>
      <w:jc w:val="left"/>
    </w:pPr>
    <w:rPr>
      <w:rFonts w:eastAsia="Calibri"/>
      <w:szCs w:val="22"/>
      <w:lang w:val="en-GB"/>
    </w:rPr>
  </w:style>
  <w:style w:type="character" w:customStyle="1" w:styleId="BodyText2Char">
    <w:name w:val="Body Text 2 Char"/>
    <w:link w:val="BodyText2"/>
    <w:uiPriority w:val="99"/>
    <w:semiHidden/>
    <w:rsid w:val="0035116A"/>
    <w:rPr>
      <w:rFonts w:ascii="Calibri" w:eastAsia="Calibri" w:hAnsi="Calibri" w:cs="Times New Roman"/>
      <w:sz w:val="22"/>
      <w:szCs w:val="22"/>
      <w:lang w:val="en-GB"/>
    </w:rPr>
  </w:style>
  <w:style w:type="paragraph" w:customStyle="1" w:styleId="StyleJustifiedLinespacingsingle1">
    <w:name w:val="Style Justified Line spacing:  single1"/>
    <w:basedOn w:val="Normal"/>
    <w:uiPriority w:val="99"/>
    <w:rsid w:val="00BC5535"/>
    <w:pPr>
      <w:numPr>
        <w:numId w:val="1"/>
      </w:numPr>
      <w:spacing w:before="0" w:after="0"/>
      <w:jc w:val="left"/>
    </w:pPr>
    <w:rPr>
      <w:rFonts w:ascii="Times New Roman" w:eastAsia="SimSun" w:hAnsi="Times New Roman"/>
      <w:sz w:val="24"/>
      <w:lang w:val="en-GB" w:eastAsia="zh-CN"/>
    </w:rPr>
  </w:style>
  <w:style w:type="paragraph" w:styleId="Caption">
    <w:name w:val="caption"/>
    <w:aliases w:val="~Caption"/>
    <w:basedOn w:val="Normal"/>
    <w:next w:val="Normal"/>
    <w:link w:val="CaptionChar"/>
    <w:uiPriority w:val="35"/>
    <w:qFormat/>
    <w:locked/>
    <w:rsid w:val="00EB43D2"/>
    <w:rPr>
      <w:rFonts w:eastAsia="Arial Unicode MS" w:cs="Arial Unicode MS"/>
      <w:b/>
      <w:sz w:val="20"/>
    </w:rPr>
  </w:style>
  <w:style w:type="paragraph" w:customStyle="1" w:styleId="StyleArial11ptJustifiedAfter6pt1">
    <w:name w:val="Style Arial 11 pt Justified After:  6 pt1"/>
    <w:basedOn w:val="Normal"/>
    <w:rsid w:val="004A78D5"/>
    <w:pPr>
      <w:spacing w:before="0" w:after="120" w:line="240" w:lineRule="atLeast"/>
    </w:pPr>
    <w:rPr>
      <w:lang w:val="en-GB" w:eastAsia="en-US"/>
    </w:rPr>
  </w:style>
  <w:style w:type="character" w:customStyle="1" w:styleId="FootnoteTextChar1">
    <w:name w:val="Footnote Text Char1"/>
    <w:aliases w:val="Fußnotentextf Char,Footnote Text Char Char Char Char,Footnote Text Char Char Char1,Fußnote Char,5_G Char"/>
    <w:rsid w:val="00EE06BC"/>
    <w:rPr>
      <w:rFonts w:ascii="Cambria" w:eastAsia="Times New Roman" w:hAnsi="Cambria" w:cs="Times New Roman"/>
      <w:sz w:val="18"/>
      <w:szCs w:val="18"/>
      <w:lang w:val="fr-BE" w:eastAsia="fr-BE"/>
    </w:rPr>
  </w:style>
  <w:style w:type="paragraph" w:customStyle="1" w:styleId="Bulletlist">
    <w:name w:val="Bullet list"/>
    <w:basedOn w:val="Normal"/>
    <w:link w:val="BulletlistCar"/>
    <w:rsid w:val="00581F13"/>
    <w:pPr>
      <w:numPr>
        <w:numId w:val="2"/>
      </w:numPr>
    </w:pPr>
    <w:rPr>
      <w:sz w:val="20"/>
      <w:lang w:val="en-GB" w:eastAsia="en-US"/>
    </w:rPr>
  </w:style>
  <w:style w:type="character" w:customStyle="1" w:styleId="BulletlistCar">
    <w:name w:val="Bullet list Car"/>
    <w:link w:val="Bulletlist"/>
    <w:rsid w:val="00581F13"/>
    <w:rPr>
      <w:rFonts w:ascii="Calibri" w:hAnsi="Calibri"/>
      <w:sz w:val="20"/>
      <w:lang w:val="en-GB"/>
    </w:rPr>
  </w:style>
  <w:style w:type="paragraph" w:styleId="ListBullet">
    <w:name w:val="List Bullet"/>
    <w:basedOn w:val="Normal"/>
    <w:rsid w:val="006B3513"/>
    <w:pPr>
      <w:numPr>
        <w:numId w:val="4"/>
      </w:numPr>
      <w:spacing w:before="0" w:after="240"/>
    </w:pPr>
    <w:rPr>
      <w:rFonts w:ascii="Times New Roman" w:hAnsi="Times New Roman"/>
      <w:sz w:val="24"/>
      <w:lang w:val="en-GB" w:eastAsia="en-US"/>
    </w:rPr>
  </w:style>
  <w:style w:type="paragraph" w:styleId="ListNumber2">
    <w:name w:val="List Number 2"/>
    <w:basedOn w:val="Normal"/>
    <w:rsid w:val="006B3513"/>
    <w:pPr>
      <w:numPr>
        <w:numId w:val="3"/>
      </w:numPr>
      <w:tabs>
        <w:tab w:val="clear" w:pos="283"/>
        <w:tab w:val="num" w:pos="1911"/>
      </w:tabs>
      <w:spacing w:before="0" w:after="240"/>
      <w:ind w:left="1911" w:hanging="709"/>
    </w:pPr>
    <w:rPr>
      <w:rFonts w:ascii="Times New Roman" w:hAnsi="Times New Roman"/>
      <w:sz w:val="24"/>
      <w:lang w:val="en-GB" w:eastAsia="en-US"/>
    </w:rPr>
  </w:style>
  <w:style w:type="paragraph" w:customStyle="1" w:styleId="ListParagraph1">
    <w:name w:val="List Paragraph1"/>
    <w:basedOn w:val="Normal"/>
    <w:link w:val="ListParagraphChar"/>
    <w:rsid w:val="006B3513"/>
    <w:pPr>
      <w:numPr>
        <w:ilvl w:val="2"/>
        <w:numId w:val="4"/>
      </w:numPr>
      <w:autoSpaceDE w:val="0"/>
      <w:autoSpaceDN w:val="0"/>
      <w:adjustRightInd w:val="0"/>
      <w:spacing w:before="0" w:after="0"/>
      <w:contextualSpacing/>
    </w:pPr>
    <w:rPr>
      <w:rFonts w:ascii="Times New Roman" w:eastAsia="Calibri" w:hAnsi="Times New Roman"/>
      <w:sz w:val="24"/>
      <w:lang w:eastAsia="en-US"/>
    </w:rPr>
  </w:style>
  <w:style w:type="character" w:customStyle="1" w:styleId="HeaderChar">
    <w:name w:val="Header Char"/>
    <w:link w:val="Header"/>
    <w:uiPriority w:val="99"/>
    <w:rsid w:val="00104344"/>
    <w:rPr>
      <w:rFonts w:ascii="Arial" w:hAnsi="Arial"/>
      <w:sz w:val="22"/>
      <w:lang w:eastAsia="fr-FR"/>
    </w:rPr>
  </w:style>
  <w:style w:type="paragraph" w:styleId="DocumentMap">
    <w:name w:val="Document Map"/>
    <w:basedOn w:val="Normal"/>
    <w:link w:val="DocumentMapChar"/>
    <w:uiPriority w:val="99"/>
    <w:semiHidden/>
    <w:unhideWhenUsed/>
    <w:rsid w:val="00E63778"/>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E63778"/>
    <w:rPr>
      <w:rFonts w:ascii="Tahoma" w:hAnsi="Tahoma" w:cs="Tahoma"/>
      <w:sz w:val="16"/>
      <w:szCs w:val="16"/>
      <w:lang w:eastAsia="fr-FR"/>
    </w:rPr>
  </w:style>
  <w:style w:type="character" w:customStyle="1" w:styleId="NotedebasdepageCar1">
    <w:name w:val="Note de bas de page Car1"/>
    <w:aliases w:val="fn Car,Note de bas de page Car Car Car Car1,Note de bas de page Car Car Car Car Car Car,Note de bas de page Car Car Car Car Car1,Note de bas de page Car Car Car1,Footnote Text Char Car Car,Footnote Text Char1 Char Car Car,f Car"/>
    <w:basedOn w:val="DefaultParagraphFont"/>
    <w:semiHidden/>
    <w:rsid w:val="00752AF4"/>
    <w:rPr>
      <w:rFonts w:ascii="Times New Roman" w:eastAsia="Times New Roman" w:hAnsi="Times New Roman" w:cs="Times New Roman"/>
      <w:sz w:val="20"/>
      <w:szCs w:val="20"/>
      <w:lang w:val="sv-SE" w:eastAsia="en-GB"/>
    </w:rPr>
  </w:style>
  <w:style w:type="character" w:customStyle="1" w:styleId="ListParagraphChar">
    <w:name w:val="List Paragraph Char"/>
    <w:aliases w:val="PDP DOCUMENT SUBTITLE Char,Bullet Points Char,Liste Paragraf Char,Liststycke SKL Char,Normal bullet 2 Char,Bullet list Char,Table of contents numbered Char,En tête 1 Char,Header bold Char,Heading 2_sj Char,List_Paragraph Char,6 Char"/>
    <w:basedOn w:val="DefaultParagraphFont"/>
    <w:link w:val="ListParagraph1"/>
    <w:locked/>
    <w:rsid w:val="00752AF4"/>
    <w:rPr>
      <w:rFonts w:eastAsia="Calibri"/>
    </w:rPr>
  </w:style>
  <w:style w:type="paragraph" w:styleId="BodyText">
    <w:name w:val="Body Text"/>
    <w:aliases w:val="uvlaka 2,  uvlaka 2"/>
    <w:basedOn w:val="Normal"/>
    <w:link w:val="BodyTextChar"/>
    <w:uiPriority w:val="1"/>
    <w:unhideWhenUsed/>
    <w:qFormat/>
    <w:rsid w:val="00BA3847"/>
    <w:pPr>
      <w:spacing w:after="120"/>
    </w:pPr>
  </w:style>
  <w:style w:type="character" w:customStyle="1" w:styleId="BodyTextChar">
    <w:name w:val="Body Text Char"/>
    <w:aliases w:val="uvlaka 2 Char,  uvlaka 2 Char"/>
    <w:basedOn w:val="DefaultParagraphFont"/>
    <w:link w:val="BodyText"/>
    <w:uiPriority w:val="1"/>
    <w:rsid w:val="00BA3847"/>
    <w:rPr>
      <w:rFonts w:ascii="Calibri" w:hAnsi="Calibri"/>
      <w:sz w:val="22"/>
      <w:lang w:eastAsia="fr-FR"/>
    </w:rPr>
  </w:style>
  <w:style w:type="paragraph" w:styleId="PlainText">
    <w:name w:val="Plain Text"/>
    <w:basedOn w:val="Normal"/>
    <w:link w:val="PlainTextChar"/>
    <w:unhideWhenUsed/>
    <w:rsid w:val="00BA3847"/>
    <w:pPr>
      <w:spacing w:before="0" w:after="0"/>
      <w:jc w:val="left"/>
    </w:pPr>
    <w:rPr>
      <w:rFonts w:eastAsiaTheme="minorHAnsi" w:cstheme="minorBidi"/>
      <w:szCs w:val="21"/>
      <w:lang w:eastAsia="en-US"/>
    </w:rPr>
  </w:style>
  <w:style w:type="character" w:customStyle="1" w:styleId="PlainTextChar">
    <w:name w:val="Plain Text Char"/>
    <w:basedOn w:val="DefaultParagraphFont"/>
    <w:link w:val="PlainText"/>
    <w:uiPriority w:val="99"/>
    <w:semiHidden/>
    <w:rsid w:val="00BA3847"/>
    <w:rPr>
      <w:rFonts w:ascii="Calibri" w:eastAsiaTheme="minorHAnsi" w:hAnsi="Calibri" w:cstheme="minorBidi"/>
      <w:sz w:val="22"/>
      <w:szCs w:val="21"/>
    </w:rPr>
  </w:style>
  <w:style w:type="paragraph" w:customStyle="1" w:styleId="puces1">
    <w:name w:val="puces 1"/>
    <w:basedOn w:val="ListParagraph"/>
    <w:rsid w:val="00A672D9"/>
    <w:pPr>
      <w:numPr>
        <w:numId w:val="5"/>
      </w:numPr>
      <w:ind w:hanging="294"/>
    </w:pPr>
  </w:style>
  <w:style w:type="paragraph" w:customStyle="1" w:styleId="Task">
    <w:name w:val="Task"/>
    <w:basedOn w:val="ListParagraph"/>
    <w:rsid w:val="00441263"/>
    <w:pPr>
      <w:numPr>
        <w:numId w:val="6"/>
      </w:numPr>
      <w:tabs>
        <w:tab w:val="left" w:pos="1418"/>
      </w:tabs>
      <w:ind w:left="1475" w:hanging="1021"/>
    </w:pPr>
  </w:style>
  <w:style w:type="paragraph" w:styleId="NoSpacing">
    <w:name w:val="No Spacing"/>
    <w:link w:val="NoSpacingChar"/>
    <w:qFormat/>
    <w:rsid w:val="00A96EA1"/>
    <w:pPr>
      <w:jc w:val="both"/>
    </w:pPr>
    <w:rPr>
      <w:rFonts w:ascii="Arial" w:hAnsi="Arial"/>
      <w:sz w:val="22"/>
      <w:lang w:eastAsia="fr-FR"/>
    </w:rPr>
  </w:style>
  <w:style w:type="character" w:customStyle="1" w:styleId="FooterChar">
    <w:name w:val="Footer Char"/>
    <w:aliases w:val="Footer2 Char"/>
    <w:basedOn w:val="DefaultParagraphFont"/>
    <w:link w:val="Footer"/>
    <w:uiPriority w:val="99"/>
    <w:rsid w:val="00B3425D"/>
    <w:rPr>
      <w:rFonts w:ascii="Calibri" w:hAnsi="Calibri"/>
      <w:sz w:val="22"/>
      <w:lang w:eastAsia="fr-FR"/>
    </w:rPr>
  </w:style>
  <w:style w:type="paragraph" w:customStyle="1" w:styleId="BodyText0">
    <w:name w:val="~BodyText"/>
    <w:basedOn w:val="Normal"/>
    <w:rsid w:val="00F737B4"/>
    <w:pPr>
      <w:spacing w:before="260" w:after="0" w:line="260" w:lineRule="exact"/>
      <w:jc w:val="left"/>
    </w:pPr>
    <w:rPr>
      <w:rFonts w:ascii="Arial" w:hAnsi="Arial" w:cs="Arial"/>
      <w:sz w:val="20"/>
      <w:lang w:val="en-GB" w:eastAsia="en-GB"/>
    </w:rPr>
  </w:style>
  <w:style w:type="paragraph" w:customStyle="1" w:styleId="TableParagraph">
    <w:name w:val="Table Paragraph"/>
    <w:basedOn w:val="Normal"/>
    <w:uiPriority w:val="1"/>
    <w:qFormat/>
    <w:rsid w:val="005B3B2F"/>
    <w:pPr>
      <w:widowControl w:val="0"/>
      <w:autoSpaceDE w:val="0"/>
      <w:autoSpaceDN w:val="0"/>
      <w:spacing w:before="0" w:after="0"/>
      <w:jc w:val="left"/>
    </w:pPr>
    <w:rPr>
      <w:rFonts w:ascii="Arial" w:eastAsia="Arial" w:hAnsi="Arial" w:cs="Arial"/>
      <w:szCs w:val="22"/>
      <w:lang w:eastAsia="en-US"/>
    </w:rPr>
  </w:style>
  <w:style w:type="paragraph" w:customStyle="1" w:styleId="ZnakCharCharZnakZnakZnak">
    <w:name w:val="Znak Char Char Znak Znak Znak"/>
    <w:basedOn w:val="Normal"/>
    <w:rsid w:val="008B3782"/>
    <w:pPr>
      <w:spacing w:before="0" w:after="160" w:line="240" w:lineRule="exact"/>
      <w:jc w:val="left"/>
    </w:pPr>
    <w:rPr>
      <w:rFonts w:ascii="Verdana" w:hAnsi="Verdana"/>
      <w:sz w:val="20"/>
      <w:lang w:eastAsia="en-US"/>
    </w:rPr>
  </w:style>
  <w:style w:type="paragraph" w:customStyle="1" w:styleId="Text4">
    <w:name w:val="Text 4"/>
    <w:basedOn w:val="Normal"/>
    <w:rsid w:val="008B3782"/>
    <w:pPr>
      <w:tabs>
        <w:tab w:val="left" w:pos="2302"/>
      </w:tabs>
      <w:spacing w:before="0" w:after="240"/>
      <w:ind w:left="1202"/>
    </w:pPr>
    <w:rPr>
      <w:rFonts w:ascii="Arial" w:hAnsi="Arial"/>
      <w:sz w:val="20"/>
      <w:lang w:val="en-GB" w:eastAsia="en-GB"/>
    </w:rPr>
  </w:style>
  <w:style w:type="paragraph" w:styleId="Title">
    <w:name w:val="Title"/>
    <w:basedOn w:val="Normal"/>
    <w:link w:val="TitleChar"/>
    <w:locked/>
    <w:rsid w:val="008B3782"/>
    <w:pPr>
      <w:spacing w:before="0" w:after="0"/>
      <w:jc w:val="center"/>
    </w:pPr>
    <w:rPr>
      <w:rFonts w:ascii="Times New Roman" w:hAnsi="Times New Roman"/>
      <w:b/>
      <w:lang w:val="en-GB" w:eastAsia="en-US"/>
    </w:rPr>
  </w:style>
  <w:style w:type="character" w:customStyle="1" w:styleId="TitleChar">
    <w:name w:val="Title Char"/>
    <w:basedOn w:val="DefaultParagraphFont"/>
    <w:link w:val="Title"/>
    <w:rsid w:val="008B3782"/>
    <w:rPr>
      <w:b/>
      <w:sz w:val="22"/>
      <w:lang w:val="en-GB"/>
    </w:rPr>
  </w:style>
  <w:style w:type="paragraph" w:styleId="Subtitle">
    <w:name w:val="Subtitle"/>
    <w:aliases w:val="Figure title"/>
    <w:basedOn w:val="Normal"/>
    <w:link w:val="SubtitleChar"/>
    <w:uiPriority w:val="11"/>
    <w:qFormat/>
    <w:locked/>
    <w:rsid w:val="00621EB7"/>
    <w:pPr>
      <w:spacing w:before="0" w:after="0"/>
    </w:pPr>
    <w:rPr>
      <w:b/>
      <w:bCs/>
      <w:lang w:val="en-GB"/>
    </w:rPr>
  </w:style>
  <w:style w:type="character" w:customStyle="1" w:styleId="SubtitleChar">
    <w:name w:val="Subtitle Char"/>
    <w:aliases w:val="Figure title Char"/>
    <w:basedOn w:val="DefaultParagraphFont"/>
    <w:link w:val="Subtitle"/>
    <w:uiPriority w:val="11"/>
    <w:rsid w:val="00621EB7"/>
    <w:rPr>
      <w:rFonts w:ascii="Calibri" w:hAnsi="Calibri"/>
      <w:b/>
      <w:bCs/>
      <w:sz w:val="22"/>
      <w:lang w:val="en-GB" w:eastAsia="fr-FR"/>
    </w:rPr>
  </w:style>
  <w:style w:type="paragraph" w:customStyle="1" w:styleId="bullet">
    <w:name w:val="bullet"/>
    <w:basedOn w:val="Normal"/>
    <w:rsid w:val="008B3782"/>
    <w:pPr>
      <w:spacing w:before="0" w:after="0" w:line="264" w:lineRule="auto"/>
      <w:ind w:left="360" w:hanging="360"/>
    </w:pPr>
    <w:rPr>
      <w:rFonts w:ascii="Times New Roman" w:hAnsi="Times New Roman"/>
      <w:spacing w:val="-3"/>
      <w:lang w:val="en-GB" w:eastAsia="en-US"/>
    </w:rPr>
  </w:style>
  <w:style w:type="paragraph" w:customStyle="1" w:styleId="GLAVAE">
    <w:name w:val="GLAVAE"/>
    <w:basedOn w:val="Normal"/>
    <w:rsid w:val="008B3782"/>
    <w:pPr>
      <w:jc w:val="center"/>
    </w:pPr>
    <w:rPr>
      <w:rFonts w:ascii="Arial Narrow" w:hAnsi="Arial Narrow"/>
      <w:color w:val="000000"/>
      <w:kern w:val="28"/>
      <w:sz w:val="16"/>
      <w:lang w:val="sr-Latn-BA" w:eastAsia="sr-Latn-BA"/>
    </w:rPr>
  </w:style>
  <w:style w:type="character" w:styleId="Emphasis">
    <w:name w:val="Emphasis"/>
    <w:uiPriority w:val="20"/>
    <w:qFormat/>
    <w:locked/>
    <w:rsid w:val="008B3782"/>
    <w:rPr>
      <w:i/>
      <w:iCs/>
    </w:rPr>
  </w:style>
  <w:style w:type="character" w:styleId="SubtleEmphasis">
    <w:name w:val="Subtle Emphasis"/>
    <w:uiPriority w:val="19"/>
    <w:rsid w:val="008B3782"/>
    <w:rPr>
      <w:i/>
      <w:iCs/>
      <w:color w:val="808080"/>
    </w:rPr>
  </w:style>
  <w:style w:type="paragraph" w:customStyle="1" w:styleId="BlockquoteCharCharCharChar">
    <w:name w:val="Blockquote Char Char Char Char"/>
    <w:basedOn w:val="Normal"/>
    <w:link w:val="BlockquoteCharCharCharCharChar1"/>
    <w:rsid w:val="008B3782"/>
    <w:pPr>
      <w:widowControl w:val="0"/>
      <w:spacing w:before="100" w:after="100"/>
      <w:ind w:left="360" w:right="360"/>
      <w:jc w:val="left"/>
    </w:pPr>
    <w:rPr>
      <w:rFonts w:ascii="Times New Roman" w:hAnsi="Times New Roman"/>
      <w:snapToGrid w:val="0"/>
      <w:sz w:val="24"/>
      <w:lang w:eastAsia="en-US"/>
    </w:rPr>
  </w:style>
  <w:style w:type="paragraph" w:customStyle="1" w:styleId="ZnakZnak2ZnakZnakZnak2ZnakZnakZnak1">
    <w:name w:val="Znak Znak2 Znak Znak Znak2 Znak Znak Znak1"/>
    <w:basedOn w:val="Normal"/>
    <w:rsid w:val="008B3782"/>
    <w:pPr>
      <w:spacing w:before="0" w:after="160" w:line="240" w:lineRule="exact"/>
      <w:jc w:val="left"/>
    </w:pPr>
    <w:rPr>
      <w:rFonts w:ascii="Arial" w:hAnsi="Arial"/>
      <w:sz w:val="20"/>
      <w:lang w:eastAsia="en-US"/>
    </w:rPr>
  </w:style>
  <w:style w:type="paragraph" w:customStyle="1" w:styleId="Text1">
    <w:name w:val="Text 1"/>
    <w:basedOn w:val="Normal"/>
    <w:rsid w:val="008B3782"/>
    <w:pPr>
      <w:spacing w:before="0" w:after="240"/>
      <w:ind w:left="482"/>
    </w:pPr>
    <w:rPr>
      <w:rFonts w:ascii="Arial" w:hAnsi="Arial"/>
      <w:sz w:val="20"/>
      <w:lang w:val="en-GB" w:eastAsia="en-GB"/>
    </w:rPr>
  </w:style>
  <w:style w:type="paragraph" w:customStyle="1" w:styleId="Text2">
    <w:name w:val="Text 2"/>
    <w:basedOn w:val="Normal"/>
    <w:rsid w:val="008B3782"/>
    <w:pPr>
      <w:tabs>
        <w:tab w:val="left" w:pos="2161"/>
      </w:tabs>
      <w:spacing w:before="0" w:after="240"/>
      <w:ind w:left="1202"/>
    </w:pPr>
    <w:rPr>
      <w:rFonts w:ascii="Arial" w:hAnsi="Arial"/>
      <w:sz w:val="20"/>
      <w:lang w:val="en-GB" w:eastAsia="en-GB"/>
    </w:rPr>
  </w:style>
  <w:style w:type="paragraph" w:customStyle="1" w:styleId="Text3">
    <w:name w:val="Text 3"/>
    <w:basedOn w:val="Normal"/>
    <w:rsid w:val="008B3782"/>
    <w:pPr>
      <w:tabs>
        <w:tab w:val="left" w:pos="2302"/>
      </w:tabs>
      <w:spacing w:before="0" w:after="240"/>
      <w:ind w:left="1202"/>
    </w:pPr>
    <w:rPr>
      <w:rFonts w:ascii="Arial" w:hAnsi="Arial"/>
      <w:sz w:val="20"/>
      <w:lang w:val="en-GB" w:eastAsia="en-GB"/>
    </w:rPr>
  </w:style>
  <w:style w:type="paragraph" w:customStyle="1" w:styleId="Address">
    <w:name w:val="Address"/>
    <w:basedOn w:val="Normal"/>
    <w:rsid w:val="008B3782"/>
    <w:pPr>
      <w:spacing w:before="0" w:after="0"/>
      <w:jc w:val="left"/>
    </w:pPr>
    <w:rPr>
      <w:rFonts w:ascii="Arial" w:hAnsi="Arial"/>
      <w:sz w:val="20"/>
      <w:lang w:val="en-GB" w:eastAsia="en-GB"/>
    </w:rPr>
  </w:style>
  <w:style w:type="paragraph" w:customStyle="1" w:styleId="AddressTL">
    <w:name w:val="AddressTL"/>
    <w:basedOn w:val="Normal"/>
    <w:next w:val="Normal"/>
    <w:rsid w:val="008B3782"/>
    <w:pPr>
      <w:spacing w:before="0" w:after="720"/>
      <w:jc w:val="left"/>
    </w:pPr>
    <w:rPr>
      <w:rFonts w:ascii="Arial" w:hAnsi="Arial"/>
      <w:sz w:val="20"/>
      <w:lang w:val="en-GB" w:eastAsia="en-GB"/>
    </w:rPr>
  </w:style>
  <w:style w:type="paragraph" w:customStyle="1" w:styleId="AddressTR">
    <w:name w:val="AddressTR"/>
    <w:basedOn w:val="Normal"/>
    <w:next w:val="Normal"/>
    <w:rsid w:val="008B3782"/>
    <w:pPr>
      <w:spacing w:before="0" w:after="720"/>
      <w:ind w:left="5103"/>
      <w:jc w:val="left"/>
    </w:pPr>
    <w:rPr>
      <w:rFonts w:ascii="Arial" w:hAnsi="Arial"/>
      <w:sz w:val="20"/>
      <w:lang w:val="en-GB" w:eastAsia="en-GB"/>
    </w:rPr>
  </w:style>
  <w:style w:type="paragraph" w:styleId="BlockText">
    <w:name w:val="Block Text"/>
    <w:basedOn w:val="Normal"/>
    <w:rsid w:val="008B3782"/>
    <w:pPr>
      <w:spacing w:before="0" w:after="120"/>
      <w:ind w:left="1440" w:right="1440"/>
    </w:pPr>
    <w:rPr>
      <w:rFonts w:ascii="Arial" w:hAnsi="Arial"/>
      <w:sz w:val="20"/>
      <w:lang w:val="en-GB" w:eastAsia="en-GB"/>
    </w:rPr>
  </w:style>
  <w:style w:type="paragraph" w:styleId="BodyText3">
    <w:name w:val="Body Text 3"/>
    <w:basedOn w:val="Normal"/>
    <w:link w:val="BodyText3Char"/>
    <w:rsid w:val="008B3782"/>
    <w:pPr>
      <w:spacing w:before="0" w:after="120"/>
    </w:pPr>
    <w:rPr>
      <w:rFonts w:ascii="Arial" w:hAnsi="Arial"/>
      <w:sz w:val="16"/>
      <w:lang w:val="en-GB" w:eastAsia="en-GB"/>
    </w:rPr>
  </w:style>
  <w:style w:type="character" w:customStyle="1" w:styleId="BodyText3Char">
    <w:name w:val="Body Text 3 Char"/>
    <w:basedOn w:val="DefaultParagraphFont"/>
    <w:link w:val="BodyText3"/>
    <w:rsid w:val="008B3782"/>
    <w:rPr>
      <w:rFonts w:ascii="Arial" w:hAnsi="Arial"/>
      <w:sz w:val="16"/>
      <w:lang w:val="en-GB" w:eastAsia="en-GB"/>
    </w:rPr>
  </w:style>
  <w:style w:type="paragraph" w:styleId="BodyTextFirstIndent">
    <w:name w:val="Body Text First Indent"/>
    <w:basedOn w:val="BodyText"/>
    <w:link w:val="BodyTextFirstIndentChar"/>
    <w:rsid w:val="008B3782"/>
    <w:pPr>
      <w:spacing w:before="0"/>
      <w:ind w:firstLine="210"/>
    </w:pPr>
    <w:rPr>
      <w:rFonts w:ascii="Arial" w:hAnsi="Arial"/>
      <w:sz w:val="20"/>
      <w:lang w:val="en-GB" w:eastAsia="en-GB"/>
    </w:rPr>
  </w:style>
  <w:style w:type="character" w:customStyle="1" w:styleId="BodyTextFirstIndentChar">
    <w:name w:val="Body Text First Indent Char"/>
    <w:basedOn w:val="BodyTextChar"/>
    <w:link w:val="BodyTextFirstIndent"/>
    <w:rsid w:val="008B3782"/>
    <w:rPr>
      <w:rFonts w:ascii="Arial" w:hAnsi="Arial"/>
      <w:sz w:val="22"/>
      <w:lang w:val="en-GB" w:eastAsia="en-GB"/>
    </w:rPr>
  </w:style>
  <w:style w:type="paragraph" w:styleId="BodyTextFirstIndent2">
    <w:name w:val="Body Text First Indent 2"/>
    <w:basedOn w:val="BodyTextIndent"/>
    <w:link w:val="BodyTextFirstIndent2Char"/>
    <w:rsid w:val="008B3782"/>
    <w:pPr>
      <w:spacing w:after="120"/>
      <w:ind w:left="283" w:firstLine="210"/>
    </w:pPr>
    <w:rPr>
      <w:rFonts w:ascii="Arial" w:hAnsi="Arial"/>
      <w:sz w:val="20"/>
      <w:szCs w:val="20"/>
      <w:lang w:val="en-GB" w:eastAsia="en-GB"/>
    </w:rPr>
  </w:style>
  <w:style w:type="character" w:customStyle="1" w:styleId="BodyTextFirstIndent2Char">
    <w:name w:val="Body Text First Indent 2 Char"/>
    <w:basedOn w:val="BodyTextIndentChar"/>
    <w:link w:val="BodyTextFirstIndent2"/>
    <w:rsid w:val="008B3782"/>
    <w:rPr>
      <w:rFonts w:ascii="Arial" w:hAnsi="Arial" w:cs="Tahoma"/>
      <w:sz w:val="24"/>
      <w:szCs w:val="24"/>
      <w:lang w:val="en-GB" w:eastAsia="en-GB"/>
    </w:rPr>
  </w:style>
  <w:style w:type="paragraph" w:styleId="BodyTextIndent2">
    <w:name w:val="Body Text Indent 2"/>
    <w:basedOn w:val="Normal"/>
    <w:link w:val="BodyTextIndent2Char"/>
    <w:rsid w:val="008B3782"/>
    <w:pPr>
      <w:spacing w:before="0" w:after="120" w:line="480" w:lineRule="auto"/>
      <w:ind w:left="283"/>
    </w:pPr>
    <w:rPr>
      <w:rFonts w:ascii="Arial" w:hAnsi="Arial"/>
      <w:sz w:val="20"/>
      <w:lang w:val="en-GB" w:eastAsia="en-GB"/>
    </w:rPr>
  </w:style>
  <w:style w:type="character" w:customStyle="1" w:styleId="BodyTextIndent2Char">
    <w:name w:val="Body Text Indent 2 Char"/>
    <w:basedOn w:val="DefaultParagraphFont"/>
    <w:link w:val="BodyTextIndent2"/>
    <w:rsid w:val="008B3782"/>
    <w:rPr>
      <w:rFonts w:ascii="Arial" w:hAnsi="Arial"/>
      <w:lang w:val="en-GB" w:eastAsia="en-GB"/>
    </w:rPr>
  </w:style>
  <w:style w:type="paragraph" w:styleId="BodyTextIndent3">
    <w:name w:val="Body Text Indent 3"/>
    <w:basedOn w:val="Normal"/>
    <w:link w:val="BodyTextIndent3Char"/>
    <w:rsid w:val="008B3782"/>
    <w:pPr>
      <w:spacing w:before="0" w:after="120"/>
      <w:ind w:left="283"/>
    </w:pPr>
    <w:rPr>
      <w:rFonts w:ascii="Arial" w:hAnsi="Arial"/>
      <w:sz w:val="16"/>
      <w:lang w:val="en-GB" w:eastAsia="en-GB"/>
    </w:rPr>
  </w:style>
  <w:style w:type="character" w:customStyle="1" w:styleId="BodyTextIndent3Char">
    <w:name w:val="Body Text Indent 3 Char"/>
    <w:basedOn w:val="DefaultParagraphFont"/>
    <w:link w:val="BodyTextIndent3"/>
    <w:rsid w:val="008B3782"/>
    <w:rPr>
      <w:rFonts w:ascii="Arial" w:hAnsi="Arial"/>
      <w:sz w:val="16"/>
      <w:lang w:val="en-GB" w:eastAsia="en-GB"/>
    </w:rPr>
  </w:style>
  <w:style w:type="paragraph" w:customStyle="1" w:styleId="ChapterTitle">
    <w:name w:val="ChapterTitle"/>
    <w:basedOn w:val="Normal"/>
    <w:next w:val="SectionTitle"/>
    <w:rsid w:val="008B3782"/>
    <w:pPr>
      <w:keepNext/>
      <w:spacing w:before="0" w:after="480"/>
      <w:jc w:val="center"/>
    </w:pPr>
    <w:rPr>
      <w:rFonts w:ascii="Arial" w:hAnsi="Arial"/>
      <w:b/>
      <w:sz w:val="32"/>
      <w:lang w:val="en-GB" w:eastAsia="en-GB"/>
    </w:rPr>
  </w:style>
  <w:style w:type="paragraph" w:customStyle="1" w:styleId="SectionTitle">
    <w:name w:val="SectionTitle"/>
    <w:basedOn w:val="Normal"/>
    <w:next w:val="Heading1"/>
    <w:rsid w:val="008B3782"/>
    <w:pPr>
      <w:keepNext/>
      <w:spacing w:before="0" w:after="480"/>
      <w:jc w:val="center"/>
    </w:pPr>
    <w:rPr>
      <w:rFonts w:ascii="Arial" w:hAnsi="Arial"/>
      <w:b/>
      <w:smallCaps/>
      <w:sz w:val="28"/>
      <w:lang w:val="en-GB" w:eastAsia="en-GB"/>
    </w:rPr>
  </w:style>
  <w:style w:type="paragraph" w:styleId="Closing">
    <w:name w:val="Closing"/>
    <w:basedOn w:val="Normal"/>
    <w:link w:val="ClosingChar"/>
    <w:rsid w:val="008B3782"/>
    <w:pPr>
      <w:spacing w:before="0" w:after="240"/>
      <w:ind w:left="4252"/>
    </w:pPr>
    <w:rPr>
      <w:rFonts w:ascii="Arial" w:hAnsi="Arial"/>
      <w:sz w:val="20"/>
      <w:lang w:val="en-GB" w:eastAsia="en-GB"/>
    </w:rPr>
  </w:style>
  <w:style w:type="character" w:customStyle="1" w:styleId="ClosingChar">
    <w:name w:val="Closing Char"/>
    <w:basedOn w:val="DefaultParagraphFont"/>
    <w:link w:val="Closing"/>
    <w:rsid w:val="008B3782"/>
    <w:rPr>
      <w:rFonts w:ascii="Arial" w:hAnsi="Arial"/>
      <w:lang w:val="en-GB" w:eastAsia="en-GB"/>
    </w:rPr>
  </w:style>
  <w:style w:type="paragraph" w:styleId="Date">
    <w:name w:val="Date"/>
    <w:basedOn w:val="Normal"/>
    <w:next w:val="References"/>
    <w:link w:val="DateChar"/>
    <w:rsid w:val="008B3782"/>
    <w:pPr>
      <w:spacing w:before="0" w:after="0"/>
      <w:ind w:left="5103" w:right="-567"/>
      <w:jc w:val="left"/>
    </w:pPr>
    <w:rPr>
      <w:rFonts w:ascii="Arial" w:hAnsi="Arial"/>
      <w:sz w:val="20"/>
      <w:lang w:val="en-GB" w:eastAsia="en-GB"/>
    </w:rPr>
  </w:style>
  <w:style w:type="character" w:customStyle="1" w:styleId="DateChar">
    <w:name w:val="Date Char"/>
    <w:basedOn w:val="DefaultParagraphFont"/>
    <w:link w:val="Date"/>
    <w:rsid w:val="008B3782"/>
    <w:rPr>
      <w:rFonts w:ascii="Arial" w:hAnsi="Arial"/>
      <w:lang w:val="en-GB" w:eastAsia="en-GB"/>
    </w:rPr>
  </w:style>
  <w:style w:type="paragraph" w:customStyle="1" w:styleId="References">
    <w:name w:val="References"/>
    <w:basedOn w:val="Normal"/>
    <w:next w:val="AddressTR"/>
    <w:rsid w:val="008B3782"/>
    <w:pPr>
      <w:spacing w:before="0" w:after="240"/>
      <w:ind w:left="5103"/>
      <w:jc w:val="left"/>
    </w:pPr>
    <w:rPr>
      <w:rFonts w:ascii="Arial" w:hAnsi="Arial"/>
      <w:sz w:val="20"/>
      <w:lang w:val="en-GB" w:eastAsia="en-GB"/>
    </w:rPr>
  </w:style>
  <w:style w:type="paragraph" w:customStyle="1" w:styleId="DoubSign">
    <w:name w:val="DoubSign"/>
    <w:basedOn w:val="Normal"/>
    <w:next w:val="Enclosures"/>
    <w:rsid w:val="008B3782"/>
    <w:pPr>
      <w:tabs>
        <w:tab w:val="left" w:pos="5103"/>
      </w:tabs>
      <w:spacing w:before="1200" w:after="0"/>
      <w:jc w:val="left"/>
    </w:pPr>
    <w:rPr>
      <w:rFonts w:ascii="Arial" w:hAnsi="Arial"/>
      <w:sz w:val="20"/>
      <w:lang w:val="en-GB" w:eastAsia="en-GB"/>
    </w:rPr>
  </w:style>
  <w:style w:type="paragraph" w:customStyle="1" w:styleId="Enclosures">
    <w:name w:val="Enclosures"/>
    <w:basedOn w:val="Normal"/>
    <w:rsid w:val="008B3782"/>
    <w:pPr>
      <w:keepNext/>
      <w:keepLines/>
      <w:tabs>
        <w:tab w:val="left" w:pos="5642"/>
      </w:tabs>
      <w:spacing w:before="480" w:after="0"/>
      <w:ind w:left="1191" w:hanging="1191"/>
      <w:jc w:val="left"/>
    </w:pPr>
    <w:rPr>
      <w:rFonts w:ascii="Arial" w:hAnsi="Arial"/>
      <w:sz w:val="20"/>
      <w:lang w:val="en-GB" w:eastAsia="en-GB"/>
    </w:rPr>
  </w:style>
  <w:style w:type="paragraph" w:styleId="EnvelopeAddress">
    <w:name w:val="envelope address"/>
    <w:basedOn w:val="Normal"/>
    <w:rsid w:val="008B3782"/>
    <w:pPr>
      <w:framePr w:w="7920" w:h="1980" w:hRule="exact" w:hSpace="180" w:wrap="auto" w:hAnchor="page" w:xAlign="center" w:yAlign="bottom"/>
      <w:spacing w:before="0" w:after="0"/>
    </w:pPr>
    <w:rPr>
      <w:rFonts w:ascii="Arial" w:hAnsi="Arial"/>
      <w:sz w:val="20"/>
      <w:lang w:val="en-GB" w:eastAsia="en-GB"/>
    </w:rPr>
  </w:style>
  <w:style w:type="paragraph" w:styleId="EnvelopeReturn">
    <w:name w:val="envelope return"/>
    <w:basedOn w:val="Normal"/>
    <w:rsid w:val="008B3782"/>
    <w:pPr>
      <w:spacing w:before="0" w:after="0"/>
    </w:pPr>
    <w:rPr>
      <w:rFonts w:ascii="Arial" w:hAnsi="Arial"/>
      <w:sz w:val="20"/>
      <w:lang w:val="en-GB" w:eastAsia="en-GB"/>
    </w:rPr>
  </w:style>
  <w:style w:type="paragraph" w:styleId="List">
    <w:name w:val="List"/>
    <w:basedOn w:val="Normal"/>
    <w:rsid w:val="008B3782"/>
    <w:pPr>
      <w:spacing w:before="0" w:after="240"/>
      <w:ind w:left="283" w:hanging="283"/>
    </w:pPr>
    <w:rPr>
      <w:rFonts w:ascii="Arial" w:hAnsi="Arial"/>
      <w:sz w:val="20"/>
      <w:lang w:val="en-GB" w:eastAsia="en-GB"/>
    </w:rPr>
  </w:style>
  <w:style w:type="paragraph" w:styleId="List2">
    <w:name w:val="List 2"/>
    <w:basedOn w:val="Normal"/>
    <w:rsid w:val="008B3782"/>
    <w:pPr>
      <w:spacing w:before="0" w:after="240"/>
      <w:ind w:left="566" w:hanging="283"/>
    </w:pPr>
    <w:rPr>
      <w:rFonts w:ascii="Arial" w:hAnsi="Arial"/>
      <w:sz w:val="20"/>
      <w:lang w:val="en-GB" w:eastAsia="en-GB"/>
    </w:rPr>
  </w:style>
  <w:style w:type="paragraph" w:styleId="List3">
    <w:name w:val="List 3"/>
    <w:basedOn w:val="Normal"/>
    <w:rsid w:val="008B3782"/>
    <w:pPr>
      <w:spacing w:before="0" w:after="240"/>
      <w:ind w:left="849" w:hanging="283"/>
    </w:pPr>
    <w:rPr>
      <w:rFonts w:ascii="Arial" w:hAnsi="Arial"/>
      <w:sz w:val="20"/>
      <w:lang w:val="en-GB" w:eastAsia="en-GB"/>
    </w:rPr>
  </w:style>
  <w:style w:type="paragraph" w:styleId="List4">
    <w:name w:val="List 4"/>
    <w:basedOn w:val="Normal"/>
    <w:rsid w:val="008B3782"/>
    <w:pPr>
      <w:spacing w:before="0" w:after="240"/>
      <w:ind w:left="1132" w:hanging="283"/>
    </w:pPr>
    <w:rPr>
      <w:rFonts w:ascii="Arial" w:hAnsi="Arial"/>
      <w:sz w:val="20"/>
      <w:lang w:val="en-GB" w:eastAsia="en-GB"/>
    </w:rPr>
  </w:style>
  <w:style w:type="paragraph" w:styleId="List5">
    <w:name w:val="List 5"/>
    <w:basedOn w:val="Normal"/>
    <w:rsid w:val="008B3782"/>
    <w:pPr>
      <w:spacing w:before="0" w:after="240"/>
      <w:ind w:left="1415" w:hanging="283"/>
    </w:pPr>
    <w:rPr>
      <w:rFonts w:ascii="Arial" w:hAnsi="Arial"/>
      <w:sz w:val="20"/>
      <w:lang w:val="en-GB" w:eastAsia="en-GB"/>
    </w:rPr>
  </w:style>
  <w:style w:type="paragraph" w:styleId="ListBullet2">
    <w:name w:val="List Bullet 2"/>
    <w:basedOn w:val="Text2"/>
    <w:rsid w:val="008B3782"/>
    <w:pPr>
      <w:numPr>
        <w:numId w:val="12"/>
      </w:numPr>
      <w:tabs>
        <w:tab w:val="clear" w:pos="2161"/>
      </w:tabs>
    </w:pPr>
    <w:rPr>
      <w:rFonts w:ascii="Times New Roman" w:hAnsi="Times New Roman"/>
      <w:sz w:val="24"/>
      <w:lang w:eastAsia="en-US"/>
    </w:rPr>
  </w:style>
  <w:style w:type="paragraph" w:styleId="ListBullet3">
    <w:name w:val="List Bullet 3"/>
    <w:basedOn w:val="Text3"/>
    <w:rsid w:val="008B3782"/>
    <w:pPr>
      <w:numPr>
        <w:numId w:val="13"/>
      </w:numPr>
      <w:tabs>
        <w:tab w:val="clear" w:pos="2302"/>
      </w:tabs>
    </w:pPr>
    <w:rPr>
      <w:rFonts w:ascii="Times New Roman" w:hAnsi="Times New Roman"/>
      <w:sz w:val="24"/>
      <w:lang w:eastAsia="en-US"/>
    </w:rPr>
  </w:style>
  <w:style w:type="paragraph" w:styleId="ListBullet4">
    <w:name w:val="List Bullet 4"/>
    <w:basedOn w:val="Text4"/>
    <w:rsid w:val="008B3782"/>
    <w:pPr>
      <w:numPr>
        <w:numId w:val="14"/>
      </w:numPr>
      <w:tabs>
        <w:tab w:val="clear" w:pos="2302"/>
      </w:tabs>
    </w:pPr>
    <w:rPr>
      <w:rFonts w:ascii="Times New Roman" w:hAnsi="Times New Roman"/>
      <w:sz w:val="24"/>
      <w:lang w:eastAsia="en-US"/>
    </w:rPr>
  </w:style>
  <w:style w:type="paragraph" w:styleId="ListBullet5">
    <w:name w:val="List Bullet 5"/>
    <w:basedOn w:val="Normal"/>
    <w:autoRedefine/>
    <w:rsid w:val="008B3782"/>
    <w:pPr>
      <w:numPr>
        <w:numId w:val="7"/>
      </w:numPr>
      <w:spacing w:before="0" w:after="240"/>
    </w:pPr>
    <w:rPr>
      <w:rFonts w:ascii="Arial" w:hAnsi="Arial"/>
      <w:sz w:val="20"/>
      <w:lang w:val="en-GB" w:eastAsia="en-GB"/>
    </w:rPr>
  </w:style>
  <w:style w:type="paragraph" w:styleId="ListContinue">
    <w:name w:val="List Continue"/>
    <w:basedOn w:val="Normal"/>
    <w:rsid w:val="008B3782"/>
    <w:pPr>
      <w:spacing w:before="0" w:after="120"/>
      <w:ind w:left="283"/>
    </w:pPr>
    <w:rPr>
      <w:rFonts w:ascii="Arial" w:hAnsi="Arial"/>
      <w:sz w:val="20"/>
      <w:lang w:val="en-GB" w:eastAsia="en-GB"/>
    </w:rPr>
  </w:style>
  <w:style w:type="paragraph" w:styleId="ListContinue2">
    <w:name w:val="List Continue 2"/>
    <w:basedOn w:val="Normal"/>
    <w:rsid w:val="008B3782"/>
    <w:pPr>
      <w:spacing w:before="0" w:after="120"/>
      <w:ind w:left="566"/>
    </w:pPr>
    <w:rPr>
      <w:rFonts w:ascii="Arial" w:hAnsi="Arial"/>
      <w:sz w:val="20"/>
      <w:lang w:val="en-GB" w:eastAsia="en-GB"/>
    </w:rPr>
  </w:style>
  <w:style w:type="paragraph" w:styleId="ListContinue3">
    <w:name w:val="List Continue 3"/>
    <w:basedOn w:val="Normal"/>
    <w:rsid w:val="008B3782"/>
    <w:pPr>
      <w:spacing w:before="0" w:after="120"/>
      <w:ind w:left="849"/>
    </w:pPr>
    <w:rPr>
      <w:rFonts w:ascii="Arial" w:hAnsi="Arial"/>
      <w:sz w:val="20"/>
      <w:lang w:val="en-GB" w:eastAsia="en-GB"/>
    </w:rPr>
  </w:style>
  <w:style w:type="paragraph" w:styleId="ListContinue4">
    <w:name w:val="List Continue 4"/>
    <w:basedOn w:val="Normal"/>
    <w:rsid w:val="008B3782"/>
    <w:pPr>
      <w:spacing w:before="0" w:after="120"/>
      <w:ind w:left="1132"/>
    </w:pPr>
    <w:rPr>
      <w:rFonts w:ascii="Arial" w:hAnsi="Arial"/>
      <w:sz w:val="20"/>
      <w:lang w:val="en-GB" w:eastAsia="en-GB"/>
    </w:rPr>
  </w:style>
  <w:style w:type="paragraph" w:styleId="ListContinue5">
    <w:name w:val="List Continue 5"/>
    <w:basedOn w:val="Normal"/>
    <w:rsid w:val="008B3782"/>
    <w:pPr>
      <w:spacing w:before="0" w:after="120"/>
      <w:ind w:left="1415"/>
    </w:pPr>
    <w:rPr>
      <w:rFonts w:ascii="Arial" w:hAnsi="Arial"/>
      <w:sz w:val="20"/>
      <w:lang w:val="en-GB" w:eastAsia="en-GB"/>
    </w:rPr>
  </w:style>
  <w:style w:type="paragraph" w:styleId="ListNumber">
    <w:name w:val="List Number"/>
    <w:basedOn w:val="Normal"/>
    <w:rsid w:val="008B3782"/>
    <w:pPr>
      <w:numPr>
        <w:numId w:val="20"/>
      </w:numPr>
      <w:spacing w:before="0" w:after="240"/>
    </w:pPr>
    <w:rPr>
      <w:rFonts w:ascii="Times New Roman" w:hAnsi="Times New Roman"/>
      <w:sz w:val="24"/>
      <w:lang w:val="en-GB" w:eastAsia="en-US"/>
    </w:rPr>
  </w:style>
  <w:style w:type="paragraph" w:styleId="ListNumber3">
    <w:name w:val="List Number 3"/>
    <w:basedOn w:val="Text3"/>
    <w:rsid w:val="008B3782"/>
    <w:pPr>
      <w:numPr>
        <w:numId w:val="22"/>
      </w:numPr>
      <w:tabs>
        <w:tab w:val="clear" w:pos="2302"/>
      </w:tabs>
    </w:pPr>
    <w:rPr>
      <w:rFonts w:ascii="Times New Roman" w:hAnsi="Times New Roman"/>
      <w:sz w:val="24"/>
      <w:lang w:eastAsia="en-US"/>
    </w:rPr>
  </w:style>
  <w:style w:type="paragraph" w:styleId="ListNumber4">
    <w:name w:val="List Number 4"/>
    <w:basedOn w:val="Text4"/>
    <w:rsid w:val="008B3782"/>
    <w:pPr>
      <w:numPr>
        <w:numId w:val="23"/>
      </w:numPr>
      <w:tabs>
        <w:tab w:val="clear" w:pos="2302"/>
      </w:tabs>
    </w:pPr>
    <w:rPr>
      <w:rFonts w:ascii="Times New Roman" w:hAnsi="Times New Roman"/>
      <w:sz w:val="24"/>
      <w:lang w:eastAsia="en-US"/>
    </w:rPr>
  </w:style>
  <w:style w:type="paragraph" w:styleId="ListNumber5">
    <w:name w:val="List Number 5"/>
    <w:basedOn w:val="Normal"/>
    <w:rsid w:val="008B3782"/>
    <w:pPr>
      <w:numPr>
        <w:numId w:val="8"/>
      </w:numPr>
      <w:spacing w:before="0" w:after="240"/>
    </w:pPr>
    <w:rPr>
      <w:rFonts w:ascii="Arial" w:hAnsi="Arial"/>
      <w:sz w:val="20"/>
      <w:lang w:val="en-GB" w:eastAsia="en-GB"/>
    </w:rPr>
  </w:style>
  <w:style w:type="paragraph" w:styleId="MessageHeader">
    <w:name w:val="Message Header"/>
    <w:basedOn w:val="Normal"/>
    <w:link w:val="MessageHeaderChar"/>
    <w:rsid w:val="008B3782"/>
    <w:pPr>
      <w:pBdr>
        <w:top w:val="single" w:sz="6" w:space="1" w:color="auto"/>
        <w:left w:val="single" w:sz="6" w:space="1" w:color="auto"/>
        <w:bottom w:val="single" w:sz="6" w:space="1" w:color="auto"/>
        <w:right w:val="single" w:sz="6" w:space="1" w:color="auto"/>
      </w:pBdr>
      <w:shd w:val="pct20" w:color="auto" w:fill="auto"/>
      <w:spacing w:before="0" w:after="240"/>
      <w:ind w:left="1134" w:hanging="1134"/>
    </w:pPr>
    <w:rPr>
      <w:rFonts w:ascii="Arial" w:hAnsi="Arial"/>
      <w:sz w:val="20"/>
      <w:lang w:val="en-GB" w:eastAsia="en-GB"/>
    </w:rPr>
  </w:style>
  <w:style w:type="character" w:customStyle="1" w:styleId="MessageHeaderChar">
    <w:name w:val="Message Header Char"/>
    <w:basedOn w:val="DefaultParagraphFont"/>
    <w:link w:val="MessageHeader"/>
    <w:rsid w:val="008B3782"/>
    <w:rPr>
      <w:rFonts w:ascii="Arial" w:hAnsi="Arial"/>
      <w:shd w:val="pct20" w:color="auto" w:fill="auto"/>
      <w:lang w:val="en-GB" w:eastAsia="en-GB"/>
    </w:rPr>
  </w:style>
  <w:style w:type="paragraph" w:styleId="NormalIndent">
    <w:name w:val="Normal Indent"/>
    <w:basedOn w:val="Normal"/>
    <w:rsid w:val="008B3782"/>
    <w:pPr>
      <w:spacing w:before="0" w:after="240"/>
      <w:ind w:left="720"/>
    </w:pPr>
    <w:rPr>
      <w:rFonts w:ascii="Arial" w:hAnsi="Arial"/>
      <w:sz w:val="20"/>
      <w:lang w:val="en-GB" w:eastAsia="en-GB"/>
    </w:rPr>
  </w:style>
  <w:style w:type="paragraph" w:styleId="NoteHeading">
    <w:name w:val="Note Heading"/>
    <w:basedOn w:val="Normal"/>
    <w:next w:val="Normal"/>
    <w:link w:val="NoteHeadingChar"/>
    <w:rsid w:val="008B3782"/>
    <w:pPr>
      <w:spacing w:before="0" w:after="240"/>
    </w:pPr>
    <w:rPr>
      <w:rFonts w:ascii="Arial" w:hAnsi="Arial"/>
      <w:sz w:val="20"/>
      <w:lang w:val="en-GB" w:eastAsia="en-GB"/>
    </w:rPr>
  </w:style>
  <w:style w:type="character" w:customStyle="1" w:styleId="NoteHeadingChar">
    <w:name w:val="Note Heading Char"/>
    <w:basedOn w:val="DefaultParagraphFont"/>
    <w:link w:val="NoteHeading"/>
    <w:rsid w:val="008B3782"/>
    <w:rPr>
      <w:rFonts w:ascii="Arial" w:hAnsi="Arial"/>
      <w:lang w:val="en-GB" w:eastAsia="en-GB"/>
    </w:rPr>
  </w:style>
  <w:style w:type="paragraph" w:customStyle="1" w:styleId="NoteHead">
    <w:name w:val="NoteHead"/>
    <w:basedOn w:val="Normal"/>
    <w:next w:val="Subject"/>
    <w:rsid w:val="008B3782"/>
    <w:pPr>
      <w:spacing w:before="720" w:after="720"/>
      <w:jc w:val="center"/>
    </w:pPr>
    <w:rPr>
      <w:rFonts w:ascii="Arial" w:hAnsi="Arial"/>
      <w:b/>
      <w:smallCaps/>
      <w:sz w:val="20"/>
      <w:lang w:val="en-GB" w:eastAsia="en-GB"/>
    </w:rPr>
  </w:style>
  <w:style w:type="paragraph" w:customStyle="1" w:styleId="Subject">
    <w:name w:val="Subject"/>
    <w:basedOn w:val="Normal"/>
    <w:next w:val="Normal"/>
    <w:rsid w:val="008B3782"/>
    <w:pPr>
      <w:spacing w:before="0" w:after="480"/>
      <w:ind w:left="1191" w:hanging="1191"/>
      <w:jc w:val="left"/>
    </w:pPr>
    <w:rPr>
      <w:rFonts w:ascii="Arial" w:hAnsi="Arial"/>
      <w:b/>
      <w:sz w:val="20"/>
      <w:lang w:val="en-GB" w:eastAsia="en-GB"/>
    </w:rPr>
  </w:style>
  <w:style w:type="paragraph" w:customStyle="1" w:styleId="NoteList">
    <w:name w:val="NoteList"/>
    <w:basedOn w:val="Normal"/>
    <w:next w:val="Subject"/>
    <w:rsid w:val="008B3782"/>
    <w:pPr>
      <w:tabs>
        <w:tab w:val="left" w:pos="5823"/>
      </w:tabs>
      <w:spacing w:before="720" w:after="720"/>
      <w:ind w:left="5104" w:hanging="3119"/>
      <w:jc w:val="left"/>
    </w:pPr>
    <w:rPr>
      <w:rFonts w:ascii="Arial" w:hAnsi="Arial"/>
      <w:b/>
      <w:smallCaps/>
      <w:sz w:val="20"/>
      <w:lang w:val="en-GB" w:eastAsia="en-GB"/>
    </w:rPr>
  </w:style>
  <w:style w:type="paragraph" w:customStyle="1" w:styleId="NumPar1">
    <w:name w:val="NumPar 1"/>
    <w:basedOn w:val="Heading1"/>
    <w:next w:val="Text1"/>
    <w:rsid w:val="008B3782"/>
    <w:pPr>
      <w:keepNext w:val="0"/>
      <w:numPr>
        <w:numId w:val="9"/>
      </w:numPr>
      <w:ind w:left="483" w:hanging="483"/>
      <w:outlineLvl w:val="9"/>
    </w:pPr>
    <w:rPr>
      <w:rFonts w:ascii="Arial" w:hAnsi="Arial" w:cs="Arial"/>
      <w:color w:val="auto"/>
      <w:kern w:val="28"/>
      <w:sz w:val="28"/>
      <w:szCs w:val="28"/>
      <w:lang w:val="en-GB" w:eastAsia="en-GB"/>
    </w:rPr>
  </w:style>
  <w:style w:type="paragraph" w:customStyle="1" w:styleId="NumPar2">
    <w:name w:val="NumPar 2"/>
    <w:basedOn w:val="Heading2"/>
    <w:next w:val="Text2"/>
    <w:rsid w:val="008B3782"/>
    <w:pPr>
      <w:keepNext w:val="0"/>
      <w:numPr>
        <w:ilvl w:val="0"/>
        <w:numId w:val="0"/>
      </w:numPr>
      <w:spacing w:before="0"/>
      <w:ind w:left="480"/>
      <w:jc w:val="left"/>
      <w:outlineLvl w:val="9"/>
    </w:pPr>
    <w:rPr>
      <w:rFonts w:ascii="Arial" w:hAnsi="Arial"/>
      <w:b w:val="0"/>
      <w:bCs w:val="0"/>
      <w:iCs w:val="0"/>
      <w:color w:val="auto"/>
      <w:sz w:val="20"/>
      <w:szCs w:val="20"/>
      <w:lang w:val="en-GB" w:eastAsia="en-GB"/>
    </w:rPr>
  </w:style>
  <w:style w:type="paragraph" w:customStyle="1" w:styleId="NumPar3">
    <w:name w:val="NumPar 3"/>
    <w:basedOn w:val="Heading3"/>
    <w:next w:val="Text3"/>
    <w:rsid w:val="008B3782"/>
    <w:pPr>
      <w:keepNext w:val="0"/>
      <w:numPr>
        <w:numId w:val="10"/>
      </w:numPr>
      <w:suppressAutoHyphens/>
      <w:outlineLvl w:val="9"/>
    </w:pPr>
    <w:rPr>
      <w:rFonts w:ascii="Times New Roman" w:hAnsi="Times New Roman"/>
      <w:bCs w:val="0"/>
      <w:i/>
      <w:sz w:val="22"/>
      <w:szCs w:val="22"/>
      <w:lang w:val="en-GB" w:eastAsia="ar-SA"/>
    </w:rPr>
  </w:style>
  <w:style w:type="paragraph" w:customStyle="1" w:styleId="NumPar4">
    <w:name w:val="NumPar 4"/>
    <w:basedOn w:val="Heading4"/>
    <w:next w:val="Text4"/>
    <w:rsid w:val="008B3782"/>
    <w:pPr>
      <w:spacing w:before="0"/>
      <w:outlineLvl w:val="9"/>
    </w:pPr>
    <w:rPr>
      <w:rFonts w:ascii="Arial" w:hAnsi="Arial"/>
      <w:bCs/>
      <w:sz w:val="20"/>
      <w:szCs w:val="20"/>
      <w:lang w:val="en-GB" w:eastAsia="en-GB"/>
    </w:rPr>
  </w:style>
  <w:style w:type="paragraph" w:customStyle="1" w:styleId="PartTitle">
    <w:name w:val="PartTitle"/>
    <w:basedOn w:val="Normal"/>
    <w:next w:val="ChapterTitle"/>
    <w:rsid w:val="008B3782"/>
    <w:pPr>
      <w:keepNext/>
      <w:pageBreakBefore/>
      <w:spacing w:before="0" w:after="480"/>
      <w:jc w:val="center"/>
    </w:pPr>
    <w:rPr>
      <w:rFonts w:ascii="Arial" w:hAnsi="Arial"/>
      <w:b/>
      <w:sz w:val="36"/>
      <w:lang w:val="en-GB" w:eastAsia="en-GB"/>
    </w:rPr>
  </w:style>
  <w:style w:type="paragraph" w:styleId="Salutation">
    <w:name w:val="Salutation"/>
    <w:basedOn w:val="Normal"/>
    <w:next w:val="Normal"/>
    <w:link w:val="SalutationChar"/>
    <w:rsid w:val="008B3782"/>
    <w:pPr>
      <w:spacing w:before="0" w:after="240"/>
    </w:pPr>
    <w:rPr>
      <w:rFonts w:ascii="Arial" w:hAnsi="Arial"/>
      <w:sz w:val="20"/>
      <w:lang w:val="en-GB" w:eastAsia="en-GB"/>
    </w:rPr>
  </w:style>
  <w:style w:type="character" w:customStyle="1" w:styleId="SalutationChar">
    <w:name w:val="Salutation Char"/>
    <w:basedOn w:val="DefaultParagraphFont"/>
    <w:link w:val="Salutation"/>
    <w:rsid w:val="008B3782"/>
    <w:rPr>
      <w:rFonts w:ascii="Arial" w:hAnsi="Arial"/>
      <w:lang w:val="en-GB" w:eastAsia="en-GB"/>
    </w:rPr>
  </w:style>
  <w:style w:type="paragraph" w:styleId="Signature">
    <w:name w:val="Signature"/>
    <w:basedOn w:val="Normal"/>
    <w:next w:val="Enclosures"/>
    <w:link w:val="SignatureChar"/>
    <w:rsid w:val="008B3782"/>
    <w:pPr>
      <w:tabs>
        <w:tab w:val="left" w:pos="5103"/>
      </w:tabs>
      <w:spacing w:before="1200" w:after="0"/>
      <w:ind w:left="5103"/>
      <w:jc w:val="center"/>
    </w:pPr>
    <w:rPr>
      <w:rFonts w:ascii="Arial" w:hAnsi="Arial"/>
      <w:sz w:val="20"/>
      <w:lang w:val="en-GB" w:eastAsia="en-GB"/>
    </w:rPr>
  </w:style>
  <w:style w:type="character" w:customStyle="1" w:styleId="SignatureChar">
    <w:name w:val="Signature Char"/>
    <w:basedOn w:val="DefaultParagraphFont"/>
    <w:link w:val="Signature"/>
    <w:rsid w:val="008B3782"/>
    <w:rPr>
      <w:rFonts w:ascii="Arial" w:hAnsi="Arial"/>
      <w:lang w:val="en-GB" w:eastAsia="en-GB"/>
    </w:rPr>
  </w:style>
  <w:style w:type="paragraph" w:customStyle="1" w:styleId="SubTitle1">
    <w:name w:val="SubTitle 1"/>
    <w:basedOn w:val="Normal"/>
    <w:next w:val="SubTitle2"/>
    <w:rsid w:val="008B3782"/>
    <w:pPr>
      <w:spacing w:before="0" w:after="240"/>
      <w:jc w:val="center"/>
    </w:pPr>
    <w:rPr>
      <w:rFonts w:ascii="Arial" w:hAnsi="Arial"/>
      <w:b/>
      <w:sz w:val="40"/>
      <w:lang w:val="en-GB" w:eastAsia="en-GB"/>
    </w:rPr>
  </w:style>
  <w:style w:type="paragraph" w:customStyle="1" w:styleId="SubTitle2">
    <w:name w:val="SubTitle 2"/>
    <w:basedOn w:val="Normal"/>
    <w:rsid w:val="008B3782"/>
    <w:pPr>
      <w:spacing w:before="0" w:after="240"/>
      <w:jc w:val="center"/>
    </w:pPr>
    <w:rPr>
      <w:rFonts w:ascii="Arial" w:hAnsi="Arial"/>
      <w:b/>
      <w:sz w:val="32"/>
      <w:lang w:val="en-GB" w:eastAsia="en-GB"/>
    </w:rPr>
  </w:style>
  <w:style w:type="paragraph" w:customStyle="1" w:styleId="YReferences">
    <w:name w:val="YReferences"/>
    <w:basedOn w:val="Normal"/>
    <w:next w:val="Normal"/>
    <w:rsid w:val="008B3782"/>
    <w:pPr>
      <w:spacing w:before="0" w:after="480"/>
      <w:ind w:left="1191" w:hanging="1191"/>
    </w:pPr>
    <w:rPr>
      <w:rFonts w:ascii="Arial" w:hAnsi="Arial"/>
      <w:sz w:val="20"/>
      <w:lang w:val="en-GB" w:eastAsia="en-GB"/>
    </w:rPr>
  </w:style>
  <w:style w:type="paragraph" w:customStyle="1" w:styleId="Heading2b">
    <w:name w:val="Heading2b"/>
    <w:basedOn w:val="Normal"/>
    <w:rsid w:val="008B3782"/>
    <w:pPr>
      <w:spacing w:before="0" w:after="240"/>
      <w:ind w:left="567" w:hanging="567"/>
      <w:jc w:val="center"/>
    </w:pPr>
    <w:rPr>
      <w:rFonts w:ascii="Arial" w:hAnsi="Arial"/>
      <w:b/>
      <w:sz w:val="20"/>
      <w:u w:val="single"/>
      <w:lang w:val="en-GB" w:eastAsia="en-GB"/>
    </w:rPr>
  </w:style>
  <w:style w:type="paragraph" w:customStyle="1" w:styleId="Annexetitle">
    <w:name w:val="Annexe_title"/>
    <w:basedOn w:val="Heading1"/>
    <w:next w:val="Normal"/>
    <w:autoRedefine/>
    <w:rsid w:val="008B3782"/>
    <w:pPr>
      <w:keepNext w:val="0"/>
      <w:pageBreakBefore/>
      <w:tabs>
        <w:tab w:val="num" w:pos="360"/>
        <w:tab w:val="left" w:pos="1701"/>
        <w:tab w:val="left" w:pos="2552"/>
      </w:tabs>
      <w:ind w:left="360" w:hanging="360"/>
      <w:jc w:val="center"/>
      <w:outlineLvl w:val="9"/>
    </w:pPr>
    <w:rPr>
      <w:rFonts w:ascii="Arial" w:hAnsi="Arial" w:cs="Arial"/>
      <w:b w:val="0"/>
      <w:caps w:val="0"/>
      <w:color w:val="auto"/>
      <w:kern w:val="0"/>
      <w:sz w:val="28"/>
      <w:szCs w:val="28"/>
      <w:lang w:val="en-GB" w:eastAsia="en-GB"/>
    </w:rPr>
  </w:style>
  <w:style w:type="paragraph" w:customStyle="1" w:styleId="normaltableau">
    <w:name w:val="normal_tableau"/>
    <w:basedOn w:val="Normal"/>
    <w:rsid w:val="008B3782"/>
    <w:pPr>
      <w:spacing w:before="120" w:after="120"/>
    </w:pPr>
    <w:rPr>
      <w:rFonts w:ascii="Optima" w:hAnsi="Optima"/>
      <w:lang w:val="en-GB" w:eastAsia="en-GB"/>
    </w:rPr>
  </w:style>
  <w:style w:type="paragraph" w:customStyle="1" w:styleId="Contact">
    <w:name w:val="Contact"/>
    <w:basedOn w:val="Normal"/>
    <w:next w:val="Normal"/>
    <w:rsid w:val="008B3782"/>
    <w:pPr>
      <w:spacing w:before="0" w:after="480"/>
      <w:ind w:left="567" w:hanging="567"/>
      <w:jc w:val="left"/>
    </w:pPr>
    <w:rPr>
      <w:rFonts w:ascii="Times New Roman" w:hAnsi="Times New Roman"/>
      <w:sz w:val="24"/>
      <w:lang w:val="en-GB" w:eastAsia="en-US"/>
    </w:rPr>
  </w:style>
  <w:style w:type="paragraph" w:customStyle="1" w:styleId="ListBullet1">
    <w:name w:val="List Bullet 1"/>
    <w:basedOn w:val="Text1"/>
    <w:rsid w:val="008B3782"/>
    <w:pPr>
      <w:numPr>
        <w:numId w:val="11"/>
      </w:numPr>
    </w:pPr>
    <w:rPr>
      <w:rFonts w:ascii="Times New Roman" w:hAnsi="Times New Roman"/>
      <w:sz w:val="24"/>
      <w:lang w:eastAsia="en-US"/>
    </w:rPr>
  </w:style>
  <w:style w:type="paragraph" w:customStyle="1" w:styleId="ListDash">
    <w:name w:val="List Dash"/>
    <w:basedOn w:val="Normal"/>
    <w:rsid w:val="008B3782"/>
    <w:pPr>
      <w:numPr>
        <w:numId w:val="15"/>
      </w:numPr>
      <w:spacing w:before="0" w:after="240"/>
    </w:pPr>
    <w:rPr>
      <w:rFonts w:ascii="Times New Roman" w:hAnsi="Times New Roman"/>
      <w:sz w:val="24"/>
      <w:lang w:val="en-GB" w:eastAsia="en-US"/>
    </w:rPr>
  </w:style>
  <w:style w:type="paragraph" w:customStyle="1" w:styleId="ListDash1">
    <w:name w:val="List Dash 1"/>
    <w:basedOn w:val="Text1"/>
    <w:rsid w:val="008B3782"/>
    <w:pPr>
      <w:numPr>
        <w:numId w:val="16"/>
      </w:numPr>
    </w:pPr>
    <w:rPr>
      <w:rFonts w:ascii="Times New Roman" w:hAnsi="Times New Roman"/>
      <w:sz w:val="24"/>
      <w:lang w:eastAsia="en-US"/>
    </w:rPr>
  </w:style>
  <w:style w:type="paragraph" w:customStyle="1" w:styleId="ListDash2">
    <w:name w:val="List Dash 2"/>
    <w:basedOn w:val="Text2"/>
    <w:rsid w:val="008B3782"/>
    <w:pPr>
      <w:numPr>
        <w:numId w:val="17"/>
      </w:numPr>
      <w:tabs>
        <w:tab w:val="clear" w:pos="2161"/>
      </w:tabs>
    </w:pPr>
    <w:rPr>
      <w:rFonts w:ascii="Times New Roman" w:hAnsi="Times New Roman"/>
      <w:sz w:val="24"/>
      <w:lang w:eastAsia="en-US"/>
    </w:rPr>
  </w:style>
  <w:style w:type="paragraph" w:customStyle="1" w:styleId="ListDash3">
    <w:name w:val="List Dash 3"/>
    <w:basedOn w:val="Text3"/>
    <w:rsid w:val="008B3782"/>
    <w:pPr>
      <w:numPr>
        <w:numId w:val="18"/>
      </w:numPr>
      <w:tabs>
        <w:tab w:val="clear" w:pos="2302"/>
      </w:tabs>
    </w:pPr>
    <w:rPr>
      <w:rFonts w:ascii="Times New Roman" w:hAnsi="Times New Roman"/>
      <w:sz w:val="24"/>
      <w:lang w:eastAsia="en-US"/>
    </w:rPr>
  </w:style>
  <w:style w:type="paragraph" w:customStyle="1" w:styleId="ListDash4">
    <w:name w:val="List Dash 4"/>
    <w:basedOn w:val="Text4"/>
    <w:rsid w:val="008B3782"/>
    <w:pPr>
      <w:numPr>
        <w:numId w:val="19"/>
      </w:numPr>
      <w:tabs>
        <w:tab w:val="clear" w:pos="2302"/>
      </w:tabs>
    </w:pPr>
    <w:rPr>
      <w:rFonts w:ascii="Times New Roman" w:hAnsi="Times New Roman"/>
      <w:sz w:val="24"/>
      <w:lang w:eastAsia="en-US"/>
    </w:rPr>
  </w:style>
  <w:style w:type="paragraph" w:customStyle="1" w:styleId="ListNumber1">
    <w:name w:val="List Number 1"/>
    <w:basedOn w:val="Text1"/>
    <w:rsid w:val="008B3782"/>
    <w:pPr>
      <w:numPr>
        <w:numId w:val="21"/>
      </w:numPr>
    </w:pPr>
    <w:rPr>
      <w:rFonts w:ascii="Times New Roman" w:hAnsi="Times New Roman"/>
      <w:sz w:val="24"/>
      <w:lang w:eastAsia="en-US"/>
    </w:rPr>
  </w:style>
  <w:style w:type="paragraph" w:customStyle="1" w:styleId="ListNumberLevel2">
    <w:name w:val="List Number (Level 2)"/>
    <w:basedOn w:val="Normal"/>
    <w:rsid w:val="008B3782"/>
    <w:pPr>
      <w:numPr>
        <w:ilvl w:val="1"/>
        <w:numId w:val="20"/>
      </w:numPr>
      <w:spacing w:before="0" w:after="240"/>
    </w:pPr>
    <w:rPr>
      <w:rFonts w:ascii="Times New Roman" w:hAnsi="Times New Roman"/>
      <w:sz w:val="24"/>
      <w:lang w:val="en-GB" w:eastAsia="en-US"/>
    </w:rPr>
  </w:style>
  <w:style w:type="paragraph" w:customStyle="1" w:styleId="ListNumber1Level2">
    <w:name w:val="List Number 1 (Level 2)"/>
    <w:basedOn w:val="Text1"/>
    <w:rsid w:val="008B3782"/>
    <w:pPr>
      <w:numPr>
        <w:ilvl w:val="1"/>
        <w:numId w:val="21"/>
      </w:numPr>
    </w:pPr>
    <w:rPr>
      <w:rFonts w:ascii="Times New Roman" w:hAnsi="Times New Roman"/>
      <w:sz w:val="24"/>
      <w:lang w:eastAsia="en-US"/>
    </w:rPr>
  </w:style>
  <w:style w:type="paragraph" w:customStyle="1" w:styleId="ListNumber2Level2">
    <w:name w:val="List Number 2 (Level 2)"/>
    <w:basedOn w:val="Text2"/>
    <w:rsid w:val="008B3782"/>
    <w:pPr>
      <w:tabs>
        <w:tab w:val="clear" w:pos="2161"/>
        <w:tab w:val="num" w:pos="2619"/>
      </w:tabs>
      <w:ind w:left="2619" w:hanging="708"/>
    </w:pPr>
    <w:rPr>
      <w:rFonts w:ascii="Times New Roman" w:hAnsi="Times New Roman"/>
      <w:sz w:val="24"/>
      <w:lang w:eastAsia="en-US"/>
    </w:rPr>
  </w:style>
  <w:style w:type="paragraph" w:customStyle="1" w:styleId="ListNumber3Level2">
    <w:name w:val="List Number 3 (Level 2)"/>
    <w:basedOn w:val="Text3"/>
    <w:rsid w:val="008B3782"/>
    <w:pPr>
      <w:numPr>
        <w:ilvl w:val="1"/>
        <w:numId w:val="22"/>
      </w:numPr>
      <w:tabs>
        <w:tab w:val="clear" w:pos="2302"/>
      </w:tabs>
    </w:pPr>
    <w:rPr>
      <w:rFonts w:ascii="Times New Roman" w:hAnsi="Times New Roman"/>
      <w:sz w:val="24"/>
      <w:lang w:eastAsia="en-US"/>
    </w:rPr>
  </w:style>
  <w:style w:type="paragraph" w:customStyle="1" w:styleId="ListNumber4Level2">
    <w:name w:val="List Number 4 (Level 2)"/>
    <w:basedOn w:val="Text4"/>
    <w:rsid w:val="008B3782"/>
    <w:pPr>
      <w:numPr>
        <w:ilvl w:val="1"/>
        <w:numId w:val="23"/>
      </w:numPr>
      <w:tabs>
        <w:tab w:val="clear" w:pos="2302"/>
      </w:tabs>
    </w:pPr>
    <w:rPr>
      <w:rFonts w:ascii="Times New Roman" w:hAnsi="Times New Roman"/>
      <w:sz w:val="24"/>
      <w:lang w:eastAsia="en-US"/>
    </w:rPr>
  </w:style>
  <w:style w:type="paragraph" w:customStyle="1" w:styleId="ListNumberLevel3">
    <w:name w:val="List Number (Level 3)"/>
    <w:basedOn w:val="Normal"/>
    <w:rsid w:val="008B3782"/>
    <w:pPr>
      <w:numPr>
        <w:ilvl w:val="2"/>
        <w:numId w:val="20"/>
      </w:numPr>
      <w:spacing w:before="0" w:after="240"/>
    </w:pPr>
    <w:rPr>
      <w:rFonts w:ascii="Times New Roman" w:hAnsi="Times New Roman"/>
      <w:sz w:val="24"/>
      <w:lang w:val="en-GB" w:eastAsia="en-US"/>
    </w:rPr>
  </w:style>
  <w:style w:type="paragraph" w:customStyle="1" w:styleId="ListNumber1Level3">
    <w:name w:val="List Number 1 (Level 3)"/>
    <w:basedOn w:val="Text1"/>
    <w:rsid w:val="008B3782"/>
    <w:pPr>
      <w:numPr>
        <w:ilvl w:val="2"/>
        <w:numId w:val="21"/>
      </w:numPr>
    </w:pPr>
    <w:rPr>
      <w:rFonts w:ascii="Times New Roman" w:hAnsi="Times New Roman"/>
      <w:sz w:val="24"/>
      <w:lang w:eastAsia="en-US"/>
    </w:rPr>
  </w:style>
  <w:style w:type="paragraph" w:customStyle="1" w:styleId="ListNumber2Level3">
    <w:name w:val="List Number 2 (Level 3)"/>
    <w:basedOn w:val="Text2"/>
    <w:rsid w:val="008B3782"/>
    <w:pPr>
      <w:tabs>
        <w:tab w:val="clear" w:pos="2161"/>
        <w:tab w:val="num" w:pos="3328"/>
      </w:tabs>
      <w:ind w:left="3328" w:hanging="709"/>
    </w:pPr>
    <w:rPr>
      <w:rFonts w:ascii="Times New Roman" w:hAnsi="Times New Roman"/>
      <w:sz w:val="24"/>
      <w:lang w:eastAsia="en-US"/>
    </w:rPr>
  </w:style>
  <w:style w:type="paragraph" w:customStyle="1" w:styleId="ListNumber3Level3">
    <w:name w:val="List Number 3 (Level 3)"/>
    <w:basedOn w:val="Text3"/>
    <w:rsid w:val="008B3782"/>
    <w:pPr>
      <w:numPr>
        <w:ilvl w:val="2"/>
        <w:numId w:val="22"/>
      </w:numPr>
      <w:tabs>
        <w:tab w:val="clear" w:pos="2302"/>
      </w:tabs>
    </w:pPr>
    <w:rPr>
      <w:rFonts w:ascii="Times New Roman" w:hAnsi="Times New Roman"/>
      <w:sz w:val="24"/>
      <w:lang w:eastAsia="en-US"/>
    </w:rPr>
  </w:style>
  <w:style w:type="paragraph" w:customStyle="1" w:styleId="ListNumber4Level3">
    <w:name w:val="List Number 4 (Level 3)"/>
    <w:basedOn w:val="Text4"/>
    <w:rsid w:val="008B3782"/>
    <w:pPr>
      <w:numPr>
        <w:ilvl w:val="2"/>
        <w:numId w:val="23"/>
      </w:numPr>
      <w:tabs>
        <w:tab w:val="clear" w:pos="2302"/>
      </w:tabs>
    </w:pPr>
    <w:rPr>
      <w:rFonts w:ascii="Times New Roman" w:hAnsi="Times New Roman"/>
      <w:sz w:val="24"/>
      <w:lang w:eastAsia="en-US"/>
    </w:rPr>
  </w:style>
  <w:style w:type="paragraph" w:customStyle="1" w:styleId="ListNumberLevel4">
    <w:name w:val="List Number (Level 4)"/>
    <w:basedOn w:val="Normal"/>
    <w:rsid w:val="008B3782"/>
    <w:pPr>
      <w:numPr>
        <w:ilvl w:val="3"/>
        <w:numId w:val="20"/>
      </w:numPr>
      <w:spacing w:before="0" w:after="240"/>
    </w:pPr>
    <w:rPr>
      <w:rFonts w:ascii="Times New Roman" w:hAnsi="Times New Roman"/>
      <w:sz w:val="24"/>
      <w:lang w:val="en-GB" w:eastAsia="en-US"/>
    </w:rPr>
  </w:style>
  <w:style w:type="paragraph" w:customStyle="1" w:styleId="ListNumber1Level4">
    <w:name w:val="List Number 1 (Level 4)"/>
    <w:basedOn w:val="Text1"/>
    <w:rsid w:val="008B3782"/>
    <w:pPr>
      <w:numPr>
        <w:ilvl w:val="3"/>
        <w:numId w:val="21"/>
      </w:numPr>
    </w:pPr>
    <w:rPr>
      <w:rFonts w:ascii="Times New Roman" w:hAnsi="Times New Roman"/>
      <w:sz w:val="24"/>
      <w:lang w:eastAsia="en-US"/>
    </w:rPr>
  </w:style>
  <w:style w:type="paragraph" w:customStyle="1" w:styleId="ListNumber2Level4">
    <w:name w:val="List Number 2 (Level 4)"/>
    <w:basedOn w:val="Text2"/>
    <w:rsid w:val="008B3782"/>
    <w:pPr>
      <w:tabs>
        <w:tab w:val="clear" w:pos="2161"/>
        <w:tab w:val="num" w:pos="4037"/>
      </w:tabs>
      <w:ind w:left="4037" w:hanging="709"/>
    </w:pPr>
    <w:rPr>
      <w:rFonts w:ascii="Times New Roman" w:hAnsi="Times New Roman"/>
      <w:sz w:val="24"/>
      <w:lang w:eastAsia="en-US"/>
    </w:rPr>
  </w:style>
  <w:style w:type="paragraph" w:customStyle="1" w:styleId="ListNumber3Level4">
    <w:name w:val="List Number 3 (Level 4)"/>
    <w:basedOn w:val="Text3"/>
    <w:rsid w:val="008B3782"/>
    <w:pPr>
      <w:numPr>
        <w:ilvl w:val="3"/>
        <w:numId w:val="22"/>
      </w:numPr>
      <w:tabs>
        <w:tab w:val="clear" w:pos="2302"/>
      </w:tabs>
    </w:pPr>
    <w:rPr>
      <w:rFonts w:ascii="Times New Roman" w:hAnsi="Times New Roman"/>
      <w:sz w:val="24"/>
      <w:lang w:eastAsia="en-US"/>
    </w:rPr>
  </w:style>
  <w:style w:type="paragraph" w:customStyle="1" w:styleId="ListNumber4Level4">
    <w:name w:val="List Number 4 (Level 4)"/>
    <w:basedOn w:val="Text4"/>
    <w:rsid w:val="008B3782"/>
    <w:pPr>
      <w:numPr>
        <w:ilvl w:val="3"/>
        <w:numId w:val="23"/>
      </w:numPr>
      <w:tabs>
        <w:tab w:val="clear" w:pos="2302"/>
      </w:tabs>
    </w:pPr>
    <w:rPr>
      <w:rFonts w:ascii="Times New Roman" w:hAnsi="Times New Roman"/>
      <w:sz w:val="24"/>
      <w:lang w:eastAsia="en-US"/>
    </w:rPr>
  </w:style>
  <w:style w:type="paragraph" w:customStyle="1" w:styleId="ETFBodyText">
    <w:name w:val="ETF Body Text"/>
    <w:basedOn w:val="Normal"/>
    <w:rsid w:val="008B3782"/>
    <w:pPr>
      <w:jc w:val="left"/>
    </w:pPr>
    <w:rPr>
      <w:rFonts w:ascii="Arial" w:hAnsi="Arial" w:cs="Arial"/>
      <w:sz w:val="24"/>
      <w:lang w:val="fr-FR"/>
    </w:rPr>
  </w:style>
  <w:style w:type="paragraph" w:customStyle="1" w:styleId="Car">
    <w:name w:val="Car"/>
    <w:basedOn w:val="Normal"/>
    <w:rsid w:val="008B3782"/>
    <w:pPr>
      <w:autoSpaceDE w:val="0"/>
      <w:autoSpaceDN w:val="0"/>
      <w:spacing w:before="0" w:after="160" w:line="240" w:lineRule="exact"/>
      <w:jc w:val="left"/>
    </w:pPr>
    <w:rPr>
      <w:rFonts w:ascii="Arial" w:hAnsi="Arial" w:cs="Arial"/>
      <w:sz w:val="20"/>
      <w:lang w:eastAsia="en-US"/>
    </w:rPr>
  </w:style>
  <w:style w:type="paragraph" w:customStyle="1" w:styleId="Initial">
    <w:name w:val="Initial"/>
    <w:rsid w:val="008B3782"/>
    <w:pPr>
      <w:tabs>
        <w:tab w:val="left" w:pos="-720"/>
      </w:tabs>
      <w:suppressAutoHyphens/>
      <w:jc w:val="both"/>
    </w:pPr>
    <w:rPr>
      <w:spacing w:val="-3"/>
    </w:rPr>
  </w:style>
  <w:style w:type="paragraph" w:customStyle="1" w:styleId="CarattereCharCharCharCarattere">
    <w:name w:val="Carattere Char Char Char Carattere"/>
    <w:basedOn w:val="Normal"/>
    <w:rsid w:val="008B3782"/>
    <w:pPr>
      <w:spacing w:before="0" w:after="160" w:line="240" w:lineRule="exact"/>
      <w:jc w:val="left"/>
    </w:pPr>
    <w:rPr>
      <w:rFonts w:ascii="Verdana" w:hAnsi="Verdana"/>
      <w:sz w:val="20"/>
      <w:lang w:val="en-GB" w:eastAsia="en-US"/>
    </w:rPr>
  </w:style>
  <w:style w:type="character" w:customStyle="1" w:styleId="Normal1">
    <w:name w:val="Normal1"/>
    <w:rsid w:val="008B3782"/>
    <w:rPr>
      <w:rFonts w:ascii="Times New Roman" w:hAnsi="Times New Roman"/>
      <w:sz w:val="24"/>
    </w:rPr>
  </w:style>
  <w:style w:type="paragraph" w:customStyle="1" w:styleId="ZnakCharChar">
    <w:name w:val="Znak Char Char"/>
    <w:basedOn w:val="Normal"/>
    <w:rsid w:val="008B3782"/>
    <w:pPr>
      <w:spacing w:before="0" w:after="160" w:line="240" w:lineRule="exact"/>
      <w:jc w:val="left"/>
    </w:pPr>
    <w:rPr>
      <w:rFonts w:ascii="Verdana" w:hAnsi="Verdana"/>
      <w:sz w:val="20"/>
      <w:lang w:eastAsia="en-US"/>
    </w:rPr>
  </w:style>
  <w:style w:type="numbering" w:customStyle="1" w:styleId="Bezlisty1">
    <w:name w:val="Bez listy1"/>
    <w:next w:val="NoList"/>
    <w:uiPriority w:val="99"/>
    <w:semiHidden/>
    <w:unhideWhenUsed/>
    <w:rsid w:val="008B3782"/>
  </w:style>
  <w:style w:type="paragraph" w:customStyle="1" w:styleId="Documentgeneraltitle">
    <w:name w:val="Document general title"/>
    <w:basedOn w:val="Heading1"/>
    <w:link w:val="DocumentgeneraltitleChar"/>
    <w:qFormat/>
    <w:rsid w:val="00621EB7"/>
    <w:pPr>
      <w:numPr>
        <w:numId w:val="0"/>
      </w:numPr>
      <w:spacing w:after="480"/>
      <w:jc w:val="center"/>
    </w:pPr>
    <w:rPr>
      <w:sz w:val="32"/>
      <w:lang w:val="en-GB"/>
    </w:rPr>
  </w:style>
  <w:style w:type="character" w:customStyle="1" w:styleId="DocumentgeneraltitleChar">
    <w:name w:val="Document general title Char"/>
    <w:link w:val="Documentgeneraltitle"/>
    <w:rsid w:val="00621EB7"/>
    <w:rPr>
      <w:rFonts w:ascii="Calibri" w:hAnsi="Calibri"/>
      <w:b/>
      <w:bCs/>
      <w:caps/>
      <w:color w:val="17365D" w:themeColor="text2" w:themeShade="BF"/>
      <w:kern w:val="32"/>
      <w:sz w:val="32"/>
      <w:szCs w:val="32"/>
      <w:lang w:val="en-GB" w:eastAsia="fr-FR"/>
    </w:rPr>
  </w:style>
  <w:style w:type="paragraph" w:customStyle="1" w:styleId="Akapitzlist1">
    <w:name w:val="Akapit z listą1"/>
    <w:basedOn w:val="Normal"/>
    <w:uiPriority w:val="34"/>
    <w:rsid w:val="008B3782"/>
    <w:pPr>
      <w:spacing w:before="0" w:after="0"/>
      <w:ind w:left="720"/>
      <w:jc w:val="left"/>
    </w:pPr>
    <w:rPr>
      <w:rFonts w:ascii="Arial" w:hAnsi="Arial"/>
      <w:lang w:val="en-GB" w:eastAsia="en-US"/>
    </w:rPr>
  </w:style>
  <w:style w:type="character" w:styleId="HTMLCite">
    <w:name w:val="HTML Cite"/>
    <w:uiPriority w:val="99"/>
    <w:semiHidden/>
    <w:unhideWhenUsed/>
    <w:rsid w:val="008B3782"/>
    <w:rPr>
      <w:i/>
      <w:iCs/>
    </w:rPr>
  </w:style>
  <w:style w:type="paragraph" w:customStyle="1" w:styleId="CM7">
    <w:name w:val="CM7"/>
    <w:basedOn w:val="Default"/>
    <w:next w:val="Default"/>
    <w:uiPriority w:val="99"/>
    <w:rsid w:val="008B3782"/>
    <w:pPr>
      <w:widowControl w:val="0"/>
    </w:pPr>
    <w:rPr>
      <w:rFonts w:eastAsia="Times New Roman"/>
      <w:color w:val="auto"/>
      <w:lang w:val="en-GB" w:eastAsia="en-GB"/>
    </w:rPr>
  </w:style>
  <w:style w:type="paragraph" w:customStyle="1" w:styleId="CM2">
    <w:name w:val="CM2"/>
    <w:basedOn w:val="Default"/>
    <w:next w:val="Default"/>
    <w:uiPriority w:val="99"/>
    <w:rsid w:val="008B3782"/>
    <w:pPr>
      <w:widowControl w:val="0"/>
      <w:spacing w:line="253" w:lineRule="atLeast"/>
    </w:pPr>
    <w:rPr>
      <w:rFonts w:eastAsia="Times New Roman"/>
      <w:color w:val="auto"/>
      <w:lang w:val="en-GB" w:eastAsia="en-GB"/>
    </w:rPr>
  </w:style>
  <w:style w:type="character" w:customStyle="1" w:styleId="Odwoanieintensywne1">
    <w:name w:val="Odwołanie intensywne1"/>
    <w:uiPriority w:val="32"/>
    <w:rsid w:val="008B3782"/>
    <w:rPr>
      <w:b/>
      <w:bCs/>
      <w:smallCaps/>
      <w:color w:val="C0504D"/>
      <w:spacing w:val="5"/>
      <w:u w:val="single"/>
    </w:rPr>
  </w:style>
  <w:style w:type="paragraph" w:customStyle="1" w:styleId="normalboldnobox">
    <w:name w:val="normal bold no box"/>
    <w:basedOn w:val="Normal"/>
    <w:rsid w:val="008B3782"/>
    <w:pPr>
      <w:spacing w:before="0" w:after="0"/>
    </w:pPr>
    <w:rPr>
      <w:rFonts w:ascii="Century Gothic" w:hAnsi="Century Gothic" w:cs="Arial"/>
      <w:b/>
      <w:bCs/>
      <w:sz w:val="20"/>
      <w:lang w:val="en-NZ" w:eastAsia="en-US"/>
    </w:rPr>
  </w:style>
  <w:style w:type="paragraph" w:customStyle="1" w:styleId="Nagwekspisutreci1">
    <w:name w:val="Nagłówek spisu treści1"/>
    <w:basedOn w:val="Heading1"/>
    <w:next w:val="Normal"/>
    <w:uiPriority w:val="39"/>
    <w:semiHidden/>
    <w:unhideWhenUsed/>
    <w:qFormat/>
    <w:rsid w:val="008B3782"/>
    <w:pPr>
      <w:keepLines/>
      <w:tabs>
        <w:tab w:val="num" w:pos="360"/>
      </w:tabs>
      <w:ind w:left="360" w:hanging="360"/>
      <w:jc w:val="left"/>
      <w:outlineLvl w:val="9"/>
    </w:pPr>
    <w:rPr>
      <w:rFonts w:ascii="Cambria" w:hAnsi="Cambria" w:cs="Arial"/>
      <w:b w:val="0"/>
      <w:bCs w:val="0"/>
      <w:color w:val="365F91"/>
      <w:kern w:val="0"/>
      <w:sz w:val="28"/>
      <w:szCs w:val="28"/>
      <w:lang w:val="it-IT" w:eastAsia="en-US"/>
    </w:rPr>
  </w:style>
  <w:style w:type="paragraph" w:customStyle="1" w:styleId="Bezodstpw1">
    <w:name w:val="Bez odstępów1"/>
    <w:uiPriority w:val="1"/>
    <w:rsid w:val="008B3782"/>
    <w:pPr>
      <w:jc w:val="both"/>
    </w:pPr>
    <w:rPr>
      <w:lang w:val="en-GB" w:eastAsia="en-GB"/>
    </w:rPr>
  </w:style>
  <w:style w:type="table" w:customStyle="1" w:styleId="Tabela-Siatka1">
    <w:name w:val="Tabela - Siatka1"/>
    <w:basedOn w:val="TableNormal"/>
    <w:next w:val="TableGrid"/>
    <w:uiPriority w:val="59"/>
    <w:rsid w:val="008B3782"/>
    <w:rPr>
      <w:rFonts w:ascii="Calibri" w:eastAsia="Calibri" w:hAnsi="Calibri"/>
      <w:sz w:val="22"/>
      <w:szCs w:val="22"/>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ockquoteCharCharCharCharChar1">
    <w:name w:val="Blockquote Char Char Char Char Char1"/>
    <w:link w:val="BlockquoteCharCharCharChar"/>
    <w:rsid w:val="008B3782"/>
    <w:rPr>
      <w:snapToGrid w:val="0"/>
      <w:sz w:val="24"/>
      <w:szCs w:val="24"/>
    </w:rPr>
  </w:style>
  <w:style w:type="character" w:customStyle="1" w:styleId="StyleBodyTextIndentArialChar">
    <w:name w:val="Style Body Text Indent + Arial Char"/>
    <w:rsid w:val="008B3782"/>
    <w:rPr>
      <w:rFonts w:ascii="Arial" w:hAnsi="Arial"/>
      <w:sz w:val="22"/>
      <w:szCs w:val="24"/>
      <w:lang w:val="sl-SI" w:eastAsia="en-US" w:bidi="ar-SA"/>
    </w:rPr>
  </w:style>
  <w:style w:type="character" w:styleId="Strong">
    <w:name w:val="Strong"/>
    <w:uiPriority w:val="22"/>
    <w:locked/>
    <w:rsid w:val="008B3782"/>
    <w:rPr>
      <w:b/>
      <w:bCs/>
    </w:rPr>
  </w:style>
  <w:style w:type="paragraph" w:customStyle="1" w:styleId="StyleBodyTextIndentArial">
    <w:name w:val="Style Body Text Indent + Arial"/>
    <w:basedOn w:val="Normal"/>
    <w:rsid w:val="008B3782"/>
    <w:pPr>
      <w:spacing w:before="0" w:after="0"/>
    </w:pPr>
    <w:rPr>
      <w:rFonts w:ascii="Arial" w:hAnsi="Arial"/>
      <w:lang w:val="sl-SI" w:eastAsia="en-US"/>
    </w:rPr>
  </w:style>
  <w:style w:type="character" w:customStyle="1" w:styleId="hp">
    <w:name w:val="hp"/>
    <w:basedOn w:val="DefaultParagraphFont"/>
    <w:rsid w:val="008B3782"/>
  </w:style>
  <w:style w:type="character" w:customStyle="1" w:styleId="categorydata">
    <w:name w:val="category_data"/>
    <w:basedOn w:val="DefaultParagraphFont"/>
    <w:rsid w:val="008B3782"/>
  </w:style>
  <w:style w:type="character" w:customStyle="1" w:styleId="category">
    <w:name w:val="category"/>
    <w:basedOn w:val="DefaultParagraphFont"/>
    <w:rsid w:val="008B3782"/>
  </w:style>
  <w:style w:type="character" w:customStyle="1" w:styleId="mw-headline">
    <w:name w:val="mw-headline"/>
    <w:basedOn w:val="DefaultParagraphFont"/>
    <w:rsid w:val="008B3782"/>
  </w:style>
  <w:style w:type="character" w:customStyle="1" w:styleId="il">
    <w:name w:val="il"/>
    <w:basedOn w:val="DefaultParagraphFont"/>
    <w:rsid w:val="008B3782"/>
  </w:style>
  <w:style w:type="character" w:customStyle="1" w:styleId="apple-converted-space">
    <w:name w:val="apple-converted-space"/>
    <w:basedOn w:val="DefaultParagraphFont"/>
    <w:rsid w:val="008B3782"/>
  </w:style>
  <w:style w:type="character" w:customStyle="1" w:styleId="highlightedsearchterm">
    <w:name w:val="highlightedsearchterm"/>
    <w:basedOn w:val="DefaultParagraphFont"/>
    <w:rsid w:val="008B3782"/>
  </w:style>
  <w:style w:type="character" w:customStyle="1" w:styleId="hps">
    <w:name w:val="hps"/>
    <w:basedOn w:val="DefaultParagraphFont"/>
    <w:rsid w:val="008B3782"/>
  </w:style>
  <w:style w:type="paragraph" w:styleId="TableofFigures">
    <w:name w:val="table of figures"/>
    <w:aliases w:val="List of Tables"/>
    <w:basedOn w:val="Normal"/>
    <w:next w:val="Normal"/>
    <w:link w:val="TableofFiguresChar"/>
    <w:autoRedefine/>
    <w:uiPriority w:val="99"/>
    <w:unhideWhenUsed/>
    <w:qFormat/>
    <w:rsid w:val="00D932B6"/>
    <w:pPr>
      <w:spacing w:before="0" w:after="0"/>
      <w:jc w:val="left"/>
    </w:pPr>
    <w:rPr>
      <w:sz w:val="20"/>
      <w:szCs w:val="22"/>
      <w:lang w:val="en-GB" w:eastAsia="en-US"/>
    </w:rPr>
  </w:style>
  <w:style w:type="character" w:customStyle="1" w:styleId="NoSpacingChar">
    <w:name w:val="No Spacing Char"/>
    <w:link w:val="NoSpacing"/>
    <w:uiPriority w:val="1"/>
    <w:rsid w:val="008B3782"/>
    <w:rPr>
      <w:rFonts w:ascii="Arial" w:hAnsi="Arial"/>
      <w:sz w:val="22"/>
      <w:lang w:eastAsia="fr-FR"/>
    </w:rPr>
  </w:style>
  <w:style w:type="paragraph" w:styleId="EndnoteText">
    <w:name w:val="endnote text"/>
    <w:basedOn w:val="Normal"/>
    <w:link w:val="EndnoteTextChar"/>
    <w:uiPriority w:val="99"/>
    <w:semiHidden/>
    <w:unhideWhenUsed/>
    <w:rsid w:val="008B3782"/>
    <w:pPr>
      <w:spacing w:before="0" w:after="0"/>
      <w:jc w:val="left"/>
    </w:pPr>
    <w:rPr>
      <w:sz w:val="20"/>
      <w:lang w:val="en-GB" w:eastAsia="en-US"/>
    </w:rPr>
  </w:style>
  <w:style w:type="character" w:customStyle="1" w:styleId="EndnoteTextChar">
    <w:name w:val="Endnote Text Char"/>
    <w:basedOn w:val="DefaultParagraphFont"/>
    <w:link w:val="EndnoteText"/>
    <w:uiPriority w:val="99"/>
    <w:semiHidden/>
    <w:rsid w:val="008B3782"/>
    <w:rPr>
      <w:rFonts w:ascii="Calibri" w:hAnsi="Calibri"/>
      <w:lang w:val="en-GB"/>
    </w:rPr>
  </w:style>
  <w:style w:type="character" w:styleId="EndnoteReference">
    <w:name w:val="endnote reference"/>
    <w:uiPriority w:val="99"/>
    <w:semiHidden/>
    <w:unhideWhenUsed/>
    <w:rsid w:val="008B3782"/>
    <w:rPr>
      <w:vertAlign w:val="superscript"/>
    </w:rPr>
  </w:style>
  <w:style w:type="paragraph" w:customStyle="1" w:styleId="TableBullet2">
    <w:name w:val="~TableBullet2"/>
    <w:basedOn w:val="TableTextLeft"/>
    <w:rsid w:val="00EC7A91"/>
    <w:pPr>
      <w:numPr>
        <w:ilvl w:val="1"/>
        <w:numId w:val="24"/>
      </w:numPr>
    </w:pPr>
  </w:style>
  <w:style w:type="paragraph" w:customStyle="1" w:styleId="TableBullet3">
    <w:name w:val="~TableBullet3"/>
    <w:basedOn w:val="TableTextLeft"/>
    <w:rsid w:val="00EC7A91"/>
    <w:pPr>
      <w:numPr>
        <w:ilvl w:val="2"/>
        <w:numId w:val="24"/>
      </w:numPr>
    </w:pPr>
  </w:style>
  <w:style w:type="paragraph" w:customStyle="1" w:styleId="TableTextLeft">
    <w:name w:val="~TableTextLeft"/>
    <w:basedOn w:val="Normal"/>
    <w:rsid w:val="00EC7A91"/>
    <w:pPr>
      <w:spacing w:after="20"/>
      <w:jc w:val="left"/>
    </w:pPr>
    <w:rPr>
      <w:rFonts w:asciiTheme="minorHAnsi" w:eastAsiaTheme="minorHAnsi" w:hAnsiTheme="minorHAnsi" w:cstheme="minorBidi"/>
      <w:sz w:val="17"/>
      <w:lang w:val="en-GB" w:eastAsia="en-US"/>
    </w:rPr>
  </w:style>
  <w:style w:type="paragraph" w:customStyle="1" w:styleId="TableBullet1">
    <w:name w:val="~TableBullet1"/>
    <w:basedOn w:val="TableTextLeft"/>
    <w:rsid w:val="00EC7A91"/>
    <w:pPr>
      <w:numPr>
        <w:numId w:val="24"/>
      </w:numPr>
    </w:pPr>
    <w:rPr>
      <w:rFonts w:eastAsia="Calibri" w:cs="Arial"/>
    </w:rPr>
  </w:style>
  <w:style w:type="paragraph" w:customStyle="1" w:styleId="TableHeadingLeft">
    <w:name w:val="~TableHeadingLeft"/>
    <w:basedOn w:val="TableTextLeft"/>
    <w:rsid w:val="00EC7A91"/>
    <w:pPr>
      <w:keepNext/>
      <w:spacing w:before="80" w:after="40"/>
    </w:pPr>
    <w:rPr>
      <w:b/>
      <w:color w:val="FFFFFF" w:themeColor="background1"/>
      <w:szCs w:val="26"/>
    </w:rPr>
  </w:style>
  <w:style w:type="paragraph" w:customStyle="1" w:styleId="TableHeadingRight">
    <w:name w:val="~TableHeadingRight"/>
    <w:basedOn w:val="TableHeadingLeft"/>
    <w:rsid w:val="00EC7A91"/>
    <w:pPr>
      <w:jc w:val="right"/>
    </w:pPr>
  </w:style>
  <w:style w:type="paragraph" w:customStyle="1" w:styleId="TableTextRight">
    <w:name w:val="~TableTextRight"/>
    <w:basedOn w:val="TableTextLeft"/>
    <w:rsid w:val="00EC7A91"/>
    <w:pPr>
      <w:jc w:val="right"/>
    </w:pPr>
  </w:style>
  <w:style w:type="character" w:customStyle="1" w:styleId="CaptionChar">
    <w:name w:val="Caption Char"/>
    <w:aliases w:val="~Caption Char"/>
    <w:basedOn w:val="DefaultParagraphFont"/>
    <w:link w:val="Caption"/>
    <w:rsid w:val="00EB43D2"/>
    <w:rPr>
      <w:rFonts w:ascii="Calibri" w:eastAsia="Arial Unicode MS" w:hAnsi="Calibri" w:cs="Arial Unicode MS"/>
      <w:b/>
      <w:sz w:val="20"/>
      <w:lang w:eastAsia="fr-FR"/>
    </w:rPr>
  </w:style>
  <w:style w:type="table" w:customStyle="1" w:styleId="MottMacTable">
    <w:name w:val="~MottMacTable"/>
    <w:basedOn w:val="TableNormal"/>
    <w:uiPriority w:val="99"/>
    <w:rsid w:val="00EC7A91"/>
    <w:rPr>
      <w:rFonts w:asciiTheme="minorHAnsi" w:eastAsiaTheme="minorHAnsi" w:hAnsiTheme="minorHAnsi" w:cstheme="minorBidi"/>
      <w:lang w:val="en-GB"/>
    </w:rPr>
    <w:tblPr>
      <w:tblBorders>
        <w:top w:val="single" w:sz="4" w:space="0" w:color="4F81BD" w:themeColor="accent1"/>
        <w:bottom w:val="single" w:sz="4" w:space="0" w:color="4F81BD" w:themeColor="accent1"/>
        <w:insideH w:val="single" w:sz="4" w:space="0" w:color="4F81BD" w:themeColor="accent1"/>
      </w:tblBorders>
    </w:tblPr>
    <w:tcPr>
      <w:shd w:val="clear" w:color="auto" w:fill="FFFFFF" w:themeFill="background1"/>
    </w:tcPr>
    <w:tblStylePr w:type="firstRow">
      <w:tblPr/>
      <w:tcPr>
        <w:shd w:val="clear" w:color="auto" w:fill="4F81BD" w:themeFill="accent1"/>
      </w:tcPr>
    </w:tblStylePr>
  </w:style>
  <w:style w:type="paragraph" w:customStyle="1" w:styleId="InsideAddress">
    <w:name w:val="Inside Address"/>
    <w:basedOn w:val="Normal"/>
    <w:rsid w:val="00D46CBD"/>
    <w:pPr>
      <w:spacing w:before="0" w:after="0" w:line="240" w:lineRule="atLeast"/>
    </w:pPr>
    <w:rPr>
      <w:rFonts w:ascii="Arial" w:eastAsia="MS Mincho" w:hAnsi="Arial"/>
      <w:kern w:val="18"/>
      <w:szCs w:val="20"/>
      <w:lang w:val="en-GB" w:eastAsia="en-US"/>
    </w:rPr>
  </w:style>
  <w:style w:type="paragraph" w:styleId="HTMLPreformatted">
    <w:name w:val="HTML Preformatted"/>
    <w:basedOn w:val="Normal"/>
    <w:link w:val="HTMLPreformattedChar"/>
    <w:uiPriority w:val="99"/>
    <w:unhideWhenUsed/>
    <w:rsid w:val="00E770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w:hAnsi="Courier" w:cs="Courier"/>
      <w:sz w:val="20"/>
      <w:szCs w:val="20"/>
      <w:lang w:val="en-GB" w:eastAsia="en-US"/>
    </w:rPr>
  </w:style>
  <w:style w:type="character" w:customStyle="1" w:styleId="HTMLPreformattedChar">
    <w:name w:val="HTML Preformatted Char"/>
    <w:basedOn w:val="DefaultParagraphFont"/>
    <w:link w:val="HTMLPreformatted"/>
    <w:uiPriority w:val="99"/>
    <w:rsid w:val="00E770C4"/>
    <w:rPr>
      <w:rFonts w:ascii="Courier" w:hAnsi="Courier" w:cs="Courier"/>
      <w:sz w:val="20"/>
      <w:szCs w:val="20"/>
      <w:lang w:val="en-GB"/>
    </w:rPr>
  </w:style>
  <w:style w:type="paragraph" w:styleId="Revision">
    <w:name w:val="Revision"/>
    <w:hidden/>
    <w:uiPriority w:val="99"/>
    <w:semiHidden/>
    <w:rsid w:val="00326C00"/>
    <w:rPr>
      <w:rFonts w:ascii="Calibri" w:hAnsi="Calibri"/>
      <w:sz w:val="22"/>
      <w:lang w:eastAsia="fr-FR"/>
    </w:rPr>
  </w:style>
  <w:style w:type="table" w:customStyle="1" w:styleId="TableGrid7">
    <w:name w:val="Table Grid7"/>
    <w:basedOn w:val="TableNormal"/>
    <w:next w:val="TableGrid"/>
    <w:uiPriority w:val="59"/>
    <w:rsid w:val="003162FB"/>
    <w:pPr>
      <w:spacing w:before="120"/>
      <w:ind w:left="1134"/>
    </w:pPr>
    <w:rPr>
      <w:rFonts w:ascii="Garamond" w:eastAsia="Calibri" w:hAnsi="Garamond"/>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pic-highlight">
    <w:name w:val="topic-highlight"/>
    <w:basedOn w:val="DefaultParagraphFont"/>
    <w:rsid w:val="00A50B20"/>
  </w:style>
  <w:style w:type="paragraph" w:customStyle="1" w:styleId="bullets">
    <w:name w:val="bullets"/>
    <w:basedOn w:val="Normal"/>
    <w:rsid w:val="00D81EAF"/>
    <w:pPr>
      <w:numPr>
        <w:numId w:val="26"/>
      </w:numPr>
      <w:spacing w:before="0" w:after="0"/>
      <w:jc w:val="left"/>
    </w:pPr>
    <w:rPr>
      <w:rFonts w:ascii="Times New Roman" w:hAnsi="Times New Roman"/>
      <w:sz w:val="24"/>
      <w:szCs w:val="20"/>
      <w:lang w:val="es-ES" w:eastAsia="es-ES" w:bidi="he-IL"/>
    </w:rPr>
  </w:style>
  <w:style w:type="paragraph" w:customStyle="1" w:styleId="Tablecontents">
    <w:name w:val="Table contents"/>
    <w:basedOn w:val="Normal"/>
    <w:semiHidden/>
    <w:rsid w:val="00D81EAF"/>
    <w:pPr>
      <w:suppressAutoHyphens/>
      <w:spacing w:before="40" w:after="40"/>
      <w:jc w:val="center"/>
    </w:pPr>
    <w:rPr>
      <w:rFonts w:ascii="Arial" w:hAnsi="Arial"/>
      <w:sz w:val="18"/>
      <w:szCs w:val="20"/>
      <w:lang w:eastAsia="ar-SA"/>
    </w:rPr>
  </w:style>
  <w:style w:type="character" w:customStyle="1" w:styleId="NormalWebChar">
    <w:name w:val="Normal (Web) Char"/>
    <w:aliases w:val="Table title Char"/>
    <w:link w:val="NormalWeb"/>
    <w:uiPriority w:val="99"/>
    <w:rsid w:val="00621EB7"/>
    <w:rPr>
      <w:rFonts w:ascii="Calibri" w:hAnsi="Calibri"/>
      <w:b/>
      <w:bCs/>
      <w:sz w:val="22"/>
      <w:lang w:val="en-GB" w:eastAsia="fr-FR"/>
    </w:rPr>
  </w:style>
  <w:style w:type="paragraph" w:customStyle="1" w:styleId="Item1">
    <w:name w:val="Item1"/>
    <w:basedOn w:val="Normal"/>
    <w:rsid w:val="002818A9"/>
    <w:pPr>
      <w:keepLines/>
      <w:numPr>
        <w:numId w:val="27"/>
      </w:numPr>
      <w:tabs>
        <w:tab w:val="left" w:pos="1701"/>
      </w:tabs>
      <w:spacing w:before="120" w:after="120"/>
      <w:ind w:right="1418"/>
    </w:pPr>
    <w:rPr>
      <w:rFonts w:ascii="Times New Roman" w:hAnsi="Times New Roman"/>
      <w:szCs w:val="20"/>
      <w:lang w:val="en-GB" w:eastAsia="zh-CN"/>
    </w:rPr>
  </w:style>
  <w:style w:type="character" w:customStyle="1" w:styleId="tlid-translation">
    <w:name w:val="tlid-translation"/>
    <w:basedOn w:val="DefaultParagraphFont"/>
    <w:rsid w:val="001F1B24"/>
  </w:style>
  <w:style w:type="paragraph" w:customStyle="1" w:styleId="Pa5">
    <w:name w:val="Pa5"/>
    <w:basedOn w:val="Default"/>
    <w:next w:val="Default"/>
    <w:rsid w:val="00AB3E73"/>
    <w:pPr>
      <w:spacing w:line="200" w:lineRule="auto"/>
    </w:pPr>
    <w:rPr>
      <w:rFonts w:ascii="Arial-BoldMT" w:eastAsia="Times New Roman" w:hAnsi="Arial-BoldMT" w:cs="Times New Roman"/>
      <w:color w:val="auto"/>
      <w:sz w:val="20"/>
      <w:lang w:val="es-ES" w:eastAsia="es-ES"/>
    </w:rPr>
  </w:style>
  <w:style w:type="character" w:customStyle="1" w:styleId="atn">
    <w:name w:val="atn"/>
    <w:rsid w:val="00327EF9"/>
  </w:style>
  <w:style w:type="paragraph" w:customStyle="1" w:styleId="BasistekstHKV">
    <w:name w:val="Basistekst HKV"/>
    <w:basedOn w:val="Normal"/>
    <w:rsid w:val="00D11E78"/>
    <w:pPr>
      <w:spacing w:before="0" w:after="0" w:line="280" w:lineRule="atLeast"/>
      <w:jc w:val="left"/>
    </w:pPr>
    <w:rPr>
      <w:rFonts w:ascii="Verdana" w:hAnsi="Verdana" w:cs="Maiandra GD"/>
      <w:sz w:val="18"/>
      <w:szCs w:val="18"/>
      <w:lang w:val="nl-NL" w:eastAsia="nl-NL"/>
    </w:rPr>
  </w:style>
  <w:style w:type="paragraph" w:customStyle="1" w:styleId="StyleStyleArial11LinespacingAtleast15ptArial105">
    <w:name w:val="Style Style Arial 11 + Line spacing:  At least 15 pt + Arial 10.5 ..."/>
    <w:basedOn w:val="Normal"/>
    <w:rsid w:val="00D90F3A"/>
    <w:pPr>
      <w:spacing w:before="0" w:after="0" w:line="280" w:lineRule="atLeast"/>
    </w:pPr>
    <w:rPr>
      <w:rFonts w:ascii="Arial" w:hAnsi="Arial"/>
      <w:sz w:val="21"/>
      <w:szCs w:val="20"/>
      <w:lang w:val="en-GB" w:eastAsia="en-US"/>
    </w:rPr>
  </w:style>
  <w:style w:type="character" w:customStyle="1" w:styleId="CharAttribute2">
    <w:name w:val="CharAttribute2"/>
    <w:rsid w:val="0036342D"/>
    <w:rPr>
      <w:rFonts w:ascii="Arial" w:eastAsia="Arial"/>
      <w:sz w:val="28"/>
    </w:rPr>
  </w:style>
  <w:style w:type="paragraph" w:customStyle="1" w:styleId="ParaAttribute2">
    <w:name w:val="ParaAttribute2"/>
    <w:rsid w:val="0036342D"/>
    <w:pPr>
      <w:wordWrap w:val="0"/>
      <w:spacing w:before="60" w:after="60"/>
      <w:ind w:right="566"/>
    </w:pPr>
    <w:rPr>
      <w:rFonts w:eastAsia="Batang"/>
      <w:sz w:val="20"/>
      <w:szCs w:val="20"/>
      <w:lang w:val="ru-RU" w:eastAsia="ru-RU"/>
    </w:rPr>
  </w:style>
  <w:style w:type="paragraph" w:customStyle="1" w:styleId="Normal2">
    <w:name w:val="Normal2"/>
    <w:basedOn w:val="Normal"/>
    <w:rsid w:val="0036342D"/>
    <w:pPr>
      <w:spacing w:before="100" w:beforeAutospacing="1" w:after="100" w:afterAutospacing="1"/>
      <w:jc w:val="left"/>
    </w:pPr>
    <w:rPr>
      <w:rFonts w:ascii="Times New Roman" w:hAnsi="Times New Roman"/>
      <w:sz w:val="24"/>
      <w:lang w:val="sq-AL" w:eastAsia="sq-AL"/>
    </w:rPr>
  </w:style>
  <w:style w:type="character" w:customStyle="1" w:styleId="charattribute2char">
    <w:name w:val="charattribute2__char"/>
    <w:basedOn w:val="DefaultParagraphFont"/>
    <w:rsid w:val="0036342D"/>
  </w:style>
  <w:style w:type="paragraph" w:customStyle="1" w:styleId="Heading3A">
    <w:name w:val="Heading 3A"/>
    <w:basedOn w:val="Heading3"/>
    <w:link w:val="Heading3AChar"/>
    <w:rsid w:val="00543AA4"/>
    <w:pPr>
      <w:keepLines/>
      <w:spacing w:before="280" w:after="80"/>
    </w:pPr>
    <w:rPr>
      <w:rFonts w:eastAsia="Calibri" w:cs="Calibri"/>
      <w:b w:val="0"/>
      <w:color w:val="244061" w:themeColor="accent1" w:themeShade="80"/>
      <w:u w:val="single"/>
      <w:lang w:val="en-IE"/>
    </w:rPr>
  </w:style>
  <w:style w:type="character" w:customStyle="1" w:styleId="Heading3AChar">
    <w:name w:val="Heading 3A Char"/>
    <w:basedOn w:val="Heading3Char"/>
    <w:link w:val="Heading3A"/>
    <w:rsid w:val="00543AA4"/>
    <w:rPr>
      <w:rFonts w:ascii="Calibri" w:eastAsia="Calibri" w:hAnsi="Calibri" w:cs="Calibri"/>
      <w:b w:val="0"/>
      <w:bCs/>
      <w:color w:val="244061" w:themeColor="accent1" w:themeShade="80"/>
      <w:sz w:val="26"/>
      <w:szCs w:val="26"/>
      <w:u w:val="single"/>
      <w:lang w:val="en-IE" w:eastAsia="fr-FR"/>
    </w:rPr>
  </w:style>
  <w:style w:type="paragraph" w:customStyle="1" w:styleId="Bulleted2">
    <w:name w:val="Bulleted2"/>
    <w:basedOn w:val="Normal"/>
    <w:rsid w:val="00A527FB"/>
    <w:pPr>
      <w:numPr>
        <w:numId w:val="28"/>
      </w:numPr>
      <w:spacing w:before="0" w:after="0"/>
      <w:jc w:val="left"/>
    </w:pPr>
    <w:rPr>
      <w:rFonts w:ascii="Times New Roman" w:hAnsi="Times New Roman"/>
      <w:noProof/>
      <w:sz w:val="24"/>
      <w:szCs w:val="20"/>
      <w:lang w:eastAsia="en-US"/>
    </w:rPr>
  </w:style>
  <w:style w:type="paragraph" w:customStyle="1" w:styleId="Titleproject">
    <w:name w:val="Title project"/>
    <w:basedOn w:val="Normal"/>
    <w:link w:val="TitleprojectChar"/>
    <w:qFormat/>
    <w:rsid w:val="003B307C"/>
    <w:pPr>
      <w:tabs>
        <w:tab w:val="left" w:pos="3267"/>
      </w:tabs>
      <w:jc w:val="center"/>
    </w:pPr>
    <w:rPr>
      <w:rFonts w:asciiTheme="minorHAnsi" w:eastAsia="Calibri" w:hAnsiTheme="minorHAnsi" w:cstheme="minorHAnsi"/>
      <w:b/>
      <w:bCs/>
      <w:color w:val="244061" w:themeColor="accent1" w:themeShade="80"/>
      <w:sz w:val="32"/>
      <w:szCs w:val="32"/>
      <w:lang w:val="en-GB"/>
    </w:rPr>
  </w:style>
  <w:style w:type="paragraph" w:customStyle="1" w:styleId="Titledocument">
    <w:name w:val="Title document"/>
    <w:basedOn w:val="Normal"/>
    <w:link w:val="TitledocumentChar"/>
    <w:qFormat/>
    <w:rsid w:val="00724A1B"/>
    <w:pPr>
      <w:keepNext/>
      <w:keepLines/>
      <w:pBdr>
        <w:top w:val="nil"/>
        <w:left w:val="nil"/>
        <w:bottom w:val="nil"/>
        <w:right w:val="nil"/>
        <w:between w:val="nil"/>
      </w:pBdr>
      <w:jc w:val="center"/>
    </w:pPr>
    <w:rPr>
      <w:rFonts w:asciiTheme="minorHAnsi" w:hAnsiTheme="minorHAnsi" w:cstheme="minorHAnsi"/>
      <w:b/>
      <w:color w:val="244061" w:themeColor="accent1" w:themeShade="80"/>
      <w:sz w:val="52"/>
      <w:szCs w:val="52"/>
    </w:rPr>
  </w:style>
  <w:style w:type="character" w:customStyle="1" w:styleId="TitleprojectChar">
    <w:name w:val="Title project Char"/>
    <w:basedOn w:val="DefaultParagraphFont"/>
    <w:link w:val="Titleproject"/>
    <w:rsid w:val="003B307C"/>
    <w:rPr>
      <w:rFonts w:asciiTheme="minorHAnsi" w:eastAsia="Calibri" w:hAnsiTheme="minorHAnsi" w:cstheme="minorHAnsi"/>
      <w:b/>
      <w:bCs/>
      <w:color w:val="244061" w:themeColor="accent1" w:themeShade="80"/>
      <w:sz w:val="32"/>
      <w:szCs w:val="32"/>
      <w:lang w:val="en-GB" w:eastAsia="fr-FR"/>
    </w:rPr>
  </w:style>
  <w:style w:type="character" w:customStyle="1" w:styleId="TitledocumentChar">
    <w:name w:val="Title document Char"/>
    <w:basedOn w:val="DefaultParagraphFont"/>
    <w:link w:val="Titledocument"/>
    <w:rsid w:val="00724A1B"/>
    <w:rPr>
      <w:rFonts w:asciiTheme="minorHAnsi" w:hAnsiTheme="minorHAnsi" w:cstheme="minorHAnsi"/>
      <w:b/>
      <w:color w:val="244061" w:themeColor="accent1" w:themeShade="80"/>
      <w:sz w:val="52"/>
      <w:szCs w:val="52"/>
      <w:lang w:eastAsia="fr-FR"/>
    </w:rPr>
  </w:style>
  <w:style w:type="table" w:customStyle="1" w:styleId="TableGrid1">
    <w:name w:val="Table Grid1"/>
    <w:basedOn w:val="TableNormal"/>
    <w:next w:val="TableGrid"/>
    <w:uiPriority w:val="59"/>
    <w:rsid w:val="002D69E7"/>
    <w:rPr>
      <w:rFonts w:asciiTheme="minorHAnsi" w:eastAsiaTheme="minorHAnsi" w:hAnsiTheme="minorHAnsi" w:cstheme="minorBid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uiPriority w:val="99"/>
    <w:rsid w:val="002D69E7"/>
    <w:pPr>
      <w:spacing w:before="0" w:after="160" w:line="240" w:lineRule="exact"/>
    </w:pPr>
    <w:rPr>
      <w:rFonts w:ascii="Times New Roman" w:hAnsi="Times New Roman"/>
      <w:sz w:val="24"/>
      <w:vertAlign w:val="superscript"/>
      <w:lang w:eastAsia="en-US"/>
    </w:rPr>
  </w:style>
  <w:style w:type="table" w:customStyle="1" w:styleId="GolderTable1">
    <w:name w:val="Golder_Table1"/>
    <w:basedOn w:val="TableNormal"/>
    <w:next w:val="TableGrid"/>
    <w:uiPriority w:val="39"/>
    <w:rsid w:val="00264F4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41">
    <w:name w:val="List Table 4 - Accent 41"/>
    <w:basedOn w:val="TableNormal"/>
    <w:next w:val="ListTable4-Accent4"/>
    <w:uiPriority w:val="49"/>
    <w:rsid w:val="00264F4C"/>
    <w:rPr>
      <w:rFonts w:ascii="Calibri" w:eastAsia="Calibri" w:hAnsi="Calibri"/>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
    <w:name w:val="Grid Table 4 - Accent 51"/>
    <w:basedOn w:val="TableNormal"/>
    <w:next w:val="GridTable4-Accent5"/>
    <w:uiPriority w:val="49"/>
    <w:rsid w:val="00264F4C"/>
    <w:rPr>
      <w:rFonts w:ascii="Calibri" w:eastAsia="Calibri" w:hAnsi="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olderTable11">
    <w:name w:val="Golder_Table11"/>
    <w:basedOn w:val="TableNormal"/>
    <w:next w:val="TableGrid"/>
    <w:uiPriority w:val="39"/>
    <w:rsid w:val="00264F4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2">
    <w:name w:val="Golder_Table2"/>
    <w:basedOn w:val="TableNormal"/>
    <w:next w:val="TableGrid"/>
    <w:uiPriority w:val="39"/>
    <w:rsid w:val="00264F4C"/>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4">
    <w:name w:val="List Table 4 Accent 4"/>
    <w:basedOn w:val="TableNormal"/>
    <w:uiPriority w:val="49"/>
    <w:rsid w:val="00264F4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264F4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Grid3">
    <w:name w:val="Table Grid3"/>
    <w:basedOn w:val="TableNormal"/>
    <w:next w:val="TableGrid"/>
    <w:uiPriority w:val="39"/>
    <w:rsid w:val="00136651"/>
    <w:rPr>
      <w:rFonts w:ascii="Calibri" w:eastAsia="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
    <w:name w:val="Golder_Table3"/>
    <w:basedOn w:val="TableNormal"/>
    <w:next w:val="TableGrid"/>
    <w:uiPriority w:val="39"/>
    <w:rsid w:val="00C95C6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qFormat/>
    <w:rsid w:val="00C95C60"/>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C95C60"/>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4">
    <w:name w:val="Golder_Table4"/>
    <w:basedOn w:val="TableNormal"/>
    <w:next w:val="TableGrid"/>
    <w:uiPriority w:val="39"/>
    <w:rsid w:val="001763C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eNormal"/>
    <w:next w:val="GridTable2-Accent5"/>
    <w:uiPriority w:val="47"/>
    <w:rsid w:val="002453CD"/>
    <w:pPr>
      <w:ind w:firstLine="397"/>
      <w:jc w:val="both"/>
    </w:pPr>
    <w:rPr>
      <w:rFonts w:ascii="Calibri" w:eastAsia="Calibri" w:hAnsi="Calibri"/>
      <w:sz w:val="22"/>
      <w:szCs w:val="22"/>
      <w:lang w:val="sr-Latn-M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5">
    <w:name w:val="Grid Table 2 Accent 5"/>
    <w:basedOn w:val="TableNormal"/>
    <w:uiPriority w:val="47"/>
    <w:rsid w:val="002453CD"/>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837141"/>
  </w:style>
  <w:style w:type="table" w:customStyle="1" w:styleId="GolderTable5">
    <w:name w:val="Golder_Table5"/>
    <w:basedOn w:val="TableNormal"/>
    <w:next w:val="TableGrid"/>
    <w:uiPriority w:val="39"/>
    <w:rsid w:val="0083714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2">
    <w:name w:val="Golder_Table12"/>
    <w:basedOn w:val="TableNormal"/>
    <w:next w:val="TableGrid"/>
    <w:uiPriority w:val="39"/>
    <w:rsid w:val="0083714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B3022"/>
  </w:style>
  <w:style w:type="table" w:customStyle="1" w:styleId="GolderTable6">
    <w:name w:val="Golder_Table6"/>
    <w:basedOn w:val="TableNormal"/>
    <w:next w:val="TableGrid"/>
    <w:uiPriority w:val="39"/>
    <w:rsid w:val="000B302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3">
    <w:name w:val="Golder_Table13"/>
    <w:basedOn w:val="TableNormal"/>
    <w:next w:val="TableGrid"/>
    <w:uiPriority w:val="39"/>
    <w:rsid w:val="000B302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21BA9"/>
    <w:rPr>
      <w:rFonts w:ascii="Calibri" w:eastAsia="Calibri" w:hAnsi="Calibri"/>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4">
    <w:name w:val="Golder_Table14"/>
    <w:basedOn w:val="TableNormal"/>
    <w:next w:val="TableGrid"/>
    <w:uiPriority w:val="39"/>
    <w:rsid w:val="00021BA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21">
    <w:name w:val="Golder_Table21"/>
    <w:basedOn w:val="TableNormal"/>
    <w:next w:val="TableGrid"/>
    <w:uiPriority w:val="39"/>
    <w:rsid w:val="00021BA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1">
    <w:name w:val="Golder_Table31"/>
    <w:basedOn w:val="TableNormal"/>
    <w:next w:val="TableGrid"/>
    <w:uiPriority w:val="39"/>
    <w:rsid w:val="00021BA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41">
    <w:name w:val="Golder_Table41"/>
    <w:basedOn w:val="TableNormal"/>
    <w:next w:val="TableGrid"/>
    <w:uiPriority w:val="39"/>
    <w:rsid w:val="00021BA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5111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0">
    <w:name w:val="A10"/>
    <w:uiPriority w:val="99"/>
    <w:rsid w:val="0056662C"/>
    <w:rPr>
      <w:rFonts w:cs="Stag Sans Semibold"/>
      <w:color w:val="000000"/>
    </w:rPr>
  </w:style>
  <w:style w:type="paragraph" w:customStyle="1" w:styleId="Pa3">
    <w:name w:val="Pa3"/>
    <w:basedOn w:val="Default"/>
    <w:next w:val="Default"/>
    <w:uiPriority w:val="99"/>
    <w:rsid w:val="00AD638A"/>
    <w:pPr>
      <w:spacing w:line="201" w:lineRule="atLeast"/>
    </w:pPr>
    <w:rPr>
      <w:rFonts w:ascii="Stag Sans Medium" w:eastAsia="Times New Roman" w:hAnsi="Stag Sans Medium" w:cs="Times New Roman"/>
      <w:color w:val="auto"/>
      <w:lang w:val="hr-HR"/>
    </w:rPr>
  </w:style>
  <w:style w:type="paragraph" w:customStyle="1" w:styleId="Pa7">
    <w:name w:val="Pa7"/>
    <w:basedOn w:val="Default"/>
    <w:next w:val="Default"/>
    <w:uiPriority w:val="99"/>
    <w:rsid w:val="00AD638A"/>
    <w:pPr>
      <w:spacing w:line="181" w:lineRule="atLeast"/>
    </w:pPr>
    <w:rPr>
      <w:rFonts w:ascii="Stag Sans Medium" w:eastAsia="Times New Roman" w:hAnsi="Stag Sans Medium" w:cs="Times New Roman"/>
      <w:color w:val="auto"/>
      <w:lang w:val="hr-HR"/>
    </w:rPr>
  </w:style>
  <w:style w:type="table" w:customStyle="1" w:styleId="TableGrid5">
    <w:name w:val="Table Grid5"/>
    <w:basedOn w:val="TableNormal"/>
    <w:next w:val="TableGrid"/>
    <w:uiPriority w:val="39"/>
    <w:rsid w:val="00117FB1"/>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7">
    <w:name w:val="Golder_Table7"/>
    <w:basedOn w:val="TableNormal"/>
    <w:next w:val="TableGrid"/>
    <w:uiPriority w:val="39"/>
    <w:rsid w:val="008D3F6E"/>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2">
    <w:name w:val="Grid Table 4 - Accent 52"/>
    <w:basedOn w:val="TableNormal"/>
    <w:next w:val="GridTable4-Accent5"/>
    <w:uiPriority w:val="49"/>
    <w:rsid w:val="008D3F6E"/>
    <w:rPr>
      <w:rFonts w:ascii="Calibri" w:eastAsia="Calibri" w:hAnsi="Calibri"/>
      <w:sz w:val="22"/>
      <w:szCs w:val="22"/>
      <w:lang w:val="hr-H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olderTable8">
    <w:name w:val="Golder_Table8"/>
    <w:basedOn w:val="TableNormal"/>
    <w:next w:val="TableGrid"/>
    <w:uiPriority w:val="39"/>
    <w:rsid w:val="00E575DD"/>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2">
    <w:name w:val="Golder_Table32"/>
    <w:basedOn w:val="TableNormal"/>
    <w:next w:val="TableGrid"/>
    <w:uiPriority w:val="39"/>
    <w:rsid w:val="00D5345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81B21"/>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63CEB"/>
    <w:rPr>
      <w:rFonts w:ascii="Calibri" w:eastAsia="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3">
    <w:name w:val="Golder_Table33"/>
    <w:basedOn w:val="TableNormal"/>
    <w:next w:val="TableGrid"/>
    <w:uiPriority w:val="39"/>
    <w:rsid w:val="00D63CE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9">
    <w:name w:val="Golder_Table9"/>
    <w:basedOn w:val="TableNormal"/>
    <w:next w:val="TableGrid"/>
    <w:uiPriority w:val="39"/>
    <w:rsid w:val="00BF19E7"/>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96AC3"/>
    <w:rPr>
      <w:rFonts w:ascii="Calibri" w:eastAsia="Calibri" w:hAnsi="Calibri"/>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5">
    <w:name w:val="Golder_Table15"/>
    <w:basedOn w:val="TableNormal"/>
    <w:next w:val="TableGrid"/>
    <w:uiPriority w:val="39"/>
    <w:rsid w:val="00096AC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096AC3"/>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4">
    <w:name w:val="Golder_Table34"/>
    <w:basedOn w:val="TableNormal"/>
    <w:next w:val="TableGrid"/>
    <w:uiPriority w:val="39"/>
    <w:rsid w:val="00096AC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096AC3"/>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096AC3"/>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83D79"/>
    <w:rPr>
      <w:color w:val="605E5C"/>
      <w:shd w:val="clear" w:color="auto" w:fill="E1DFDD"/>
    </w:rPr>
  </w:style>
  <w:style w:type="table" w:customStyle="1" w:styleId="TableGrid10">
    <w:name w:val="Table Grid10"/>
    <w:basedOn w:val="TableNormal"/>
    <w:next w:val="TableGrid"/>
    <w:uiPriority w:val="39"/>
    <w:rsid w:val="00AF5DCF"/>
    <w:rPr>
      <w:rFonts w:ascii="Calibri" w:eastAsia="Calibri" w:hAnsi="Calibri"/>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AF5DCF"/>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AF5DCF"/>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1B1018"/>
    <w:rPr>
      <w:rFonts w:ascii="Calibri" w:eastAsia="Calibri" w:hAnsi="Calibri"/>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1B1018"/>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1B1018"/>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CA3978"/>
    <w:rPr>
      <w:rFonts w:ascii="Calibri" w:eastAsia="Calibri" w:hAnsi="Calibri"/>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CA3978"/>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CA3978"/>
    <w:rPr>
      <w:rFonts w:ascii="Calibri" w:eastAsia="Calibri" w:hAnsi="Calibr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D649BD"/>
    <w:rPr>
      <w:rFonts w:asciiTheme="minorHAnsi" w:eastAsiaTheme="minorHAnsi" w:hAnsiTheme="minorHAnsi" w:cstheme="minorBid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27D65"/>
    <w:rPr>
      <w:color w:val="800080" w:themeColor="followedHyperlink"/>
      <w:u w:val="single"/>
    </w:rPr>
  </w:style>
  <w:style w:type="paragraph" w:customStyle="1" w:styleId="Annex">
    <w:name w:val="Annex"/>
    <w:basedOn w:val="Normal"/>
    <w:next w:val="Normal"/>
    <w:link w:val="AnnexChar"/>
    <w:autoRedefine/>
    <w:qFormat/>
    <w:rsid w:val="00BC1494"/>
    <w:pPr>
      <w:keepNext/>
      <w:numPr>
        <w:numId w:val="55"/>
      </w:numPr>
      <w:autoSpaceDE w:val="0"/>
      <w:autoSpaceDN w:val="0"/>
      <w:adjustRightInd w:val="0"/>
      <w:snapToGrid w:val="0"/>
      <w:spacing w:before="0" w:after="120" w:line="240" w:lineRule="auto"/>
      <w:jc w:val="left"/>
      <w:outlineLvl w:val="0"/>
    </w:pPr>
    <w:rPr>
      <w:rFonts w:asciiTheme="minorHAnsi" w:hAnsiTheme="minorHAnsi" w:cstheme="minorHAnsi"/>
      <w:b/>
      <w:color w:val="993366"/>
      <w:kern w:val="28"/>
      <w:sz w:val="28"/>
      <w:szCs w:val="28"/>
      <w:lang w:val="en-GB" w:eastAsia="en-US" w:bidi="en-US"/>
    </w:rPr>
  </w:style>
  <w:style w:type="character" w:customStyle="1" w:styleId="AnnexChar">
    <w:name w:val="Annex Char"/>
    <w:link w:val="Annex"/>
    <w:rsid w:val="00BC1494"/>
    <w:rPr>
      <w:rFonts w:asciiTheme="minorHAnsi" w:hAnsiTheme="minorHAnsi" w:cstheme="minorHAnsi"/>
      <w:b/>
      <w:color w:val="993366"/>
      <w:kern w:val="28"/>
      <w:sz w:val="28"/>
      <w:szCs w:val="28"/>
      <w:lang w:val="en-GB" w:bidi="en-US"/>
    </w:rPr>
  </w:style>
  <w:style w:type="paragraph" w:customStyle="1" w:styleId="bulletpoint">
    <w:name w:val="bullet point"/>
    <w:basedOn w:val="Normal"/>
    <w:qFormat/>
    <w:rsid w:val="00BC1494"/>
    <w:pPr>
      <w:tabs>
        <w:tab w:val="num" w:pos="1208"/>
      </w:tabs>
      <w:overflowPunct w:val="0"/>
      <w:autoSpaceDE w:val="0"/>
      <w:autoSpaceDN w:val="0"/>
      <w:adjustRightInd w:val="0"/>
      <w:spacing w:before="100" w:after="0" w:line="240" w:lineRule="auto"/>
      <w:ind w:left="1208" w:hanging="357"/>
      <w:jc w:val="left"/>
      <w:textAlignment w:val="baseline"/>
    </w:pPr>
    <w:rPr>
      <w:rFonts w:ascii="Arial" w:hAnsi="Arial"/>
      <w:bCs/>
      <w:szCs w:val="20"/>
      <w:lang w:val="en-GB" w:eastAsia="da-DK"/>
    </w:rPr>
  </w:style>
  <w:style w:type="character" w:customStyle="1" w:styleId="TableofFiguresChar">
    <w:name w:val="Table of Figures Char"/>
    <w:aliases w:val="List of Tables Char"/>
    <w:basedOn w:val="DefaultParagraphFont"/>
    <w:link w:val="TableofFigures"/>
    <w:uiPriority w:val="99"/>
    <w:rsid w:val="00C8184F"/>
    <w:rPr>
      <w:rFonts w:ascii="Calibri" w:hAnsi="Calibri"/>
      <w:sz w:val="20"/>
      <w:szCs w:val="22"/>
      <w:lang w:val="en-GB"/>
    </w:rPr>
  </w:style>
  <w:style w:type="character" w:customStyle="1" w:styleId="UnresolvedMention2">
    <w:name w:val="Unresolved Mention2"/>
    <w:basedOn w:val="DefaultParagraphFont"/>
    <w:uiPriority w:val="99"/>
    <w:semiHidden/>
    <w:unhideWhenUsed/>
    <w:rsid w:val="00B46462"/>
    <w:rPr>
      <w:color w:val="605E5C"/>
      <w:shd w:val="clear" w:color="auto" w:fill="E1DFDD"/>
    </w:rPr>
  </w:style>
  <w:style w:type="table" w:customStyle="1" w:styleId="MottMacTable1">
    <w:name w:val="~MottMacTable1"/>
    <w:basedOn w:val="TableNormal"/>
    <w:uiPriority w:val="99"/>
    <w:rsid w:val="001D6381"/>
    <w:rPr>
      <w:rFonts w:ascii="Calibri" w:eastAsia="Calibri" w:hAnsi="Calibri"/>
      <w:lang w:val="en-GB"/>
    </w:rPr>
    <w:tblPr>
      <w:tblBorders>
        <w:top w:val="single" w:sz="4" w:space="0" w:color="5B9BD5"/>
        <w:bottom w:val="single" w:sz="4" w:space="0" w:color="5B9BD5"/>
        <w:insideH w:val="single" w:sz="4" w:space="0" w:color="5B9BD5"/>
      </w:tblBorders>
    </w:tblPr>
    <w:tcPr>
      <w:shd w:val="clear" w:color="auto" w:fill="FFFFFF"/>
    </w:tcPr>
    <w:tblStylePr w:type="firstRow">
      <w:tblPr/>
      <w:tcPr>
        <w:shd w:val="clear" w:color="auto" w:fill="5B9BD5"/>
      </w:tcPr>
    </w:tblStylePr>
  </w:style>
  <w:style w:type="table" w:customStyle="1" w:styleId="ListTable4-Accent411">
    <w:name w:val="List Table 4 - Accent 411"/>
    <w:basedOn w:val="TableNormal"/>
    <w:uiPriority w:val="49"/>
    <w:rsid w:val="001D6381"/>
    <w:rPr>
      <w:rFonts w:ascii="Calibri" w:eastAsia="Calibri" w:hAnsi="Calibri"/>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paragraph" w:customStyle="1" w:styleId="tb-na16">
    <w:name w:val="tb-na16"/>
    <w:basedOn w:val="Normal"/>
    <w:uiPriority w:val="99"/>
    <w:qFormat/>
    <w:rsid w:val="0046315C"/>
    <w:pPr>
      <w:spacing w:before="100" w:beforeAutospacing="1" w:after="100" w:afterAutospacing="1" w:line="240" w:lineRule="auto"/>
      <w:jc w:val="left"/>
    </w:pPr>
    <w:rPr>
      <w:rFonts w:ascii="Times New Roman" w:hAnsi="Times New Roman"/>
      <w:sz w:val="24"/>
      <w:lang w:eastAsia="en-US"/>
    </w:rPr>
  </w:style>
  <w:style w:type="table" w:customStyle="1" w:styleId="TableGrid16">
    <w:name w:val="Table Grid16"/>
    <w:basedOn w:val="TableNormal"/>
    <w:uiPriority w:val="39"/>
    <w:qFormat/>
    <w:rsid w:val="0046315C"/>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39"/>
    <w:qFormat/>
    <w:rsid w:val="0046315C"/>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4C1B16"/>
  </w:style>
  <w:style w:type="table" w:customStyle="1" w:styleId="TableGrid27">
    <w:name w:val="Table Grid27"/>
    <w:basedOn w:val="TableNormal"/>
    <w:next w:val="TableGrid"/>
    <w:uiPriority w:val="59"/>
    <w:rsid w:val="004C1B16"/>
    <w:rPr>
      <w:rFonts w:ascii="Calibri" w:eastAsia="Calibri" w:hAnsi="Calibri"/>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41">
    <w:name w:val="Golder_Table141"/>
    <w:basedOn w:val="TableNormal"/>
    <w:next w:val="TableGrid"/>
    <w:uiPriority w:val="39"/>
    <w:rsid w:val="004C1B1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211">
    <w:name w:val="Golder_Table211"/>
    <w:basedOn w:val="TableNormal"/>
    <w:next w:val="TableGrid"/>
    <w:uiPriority w:val="39"/>
    <w:rsid w:val="004C1B1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11">
    <w:name w:val="Golder_Table311"/>
    <w:basedOn w:val="TableNormal"/>
    <w:next w:val="TableGrid"/>
    <w:uiPriority w:val="39"/>
    <w:rsid w:val="004C1B1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411">
    <w:name w:val="Golder_Table411"/>
    <w:basedOn w:val="TableNormal"/>
    <w:next w:val="TableGrid"/>
    <w:uiPriority w:val="39"/>
    <w:rsid w:val="004C1B1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4C1B1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3">
    <w:name w:val="Grid Table 4 - Accent 53"/>
    <w:basedOn w:val="TableNormal"/>
    <w:next w:val="GridTable4-Accent5"/>
    <w:uiPriority w:val="49"/>
    <w:rsid w:val="002C0444"/>
    <w:pPr>
      <w:ind w:firstLine="397"/>
      <w:jc w:val="both"/>
    </w:pPr>
    <w:rPr>
      <w:rFonts w:ascii="Calibri" w:eastAsia="Calibri" w:hAnsi="Calibri"/>
      <w:sz w:val="22"/>
      <w:szCs w:val="22"/>
      <w:lang w:val="sr-Latn-M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BD6E8A"/>
    <w:pPr>
      <w:ind w:firstLine="397"/>
      <w:jc w:val="both"/>
    </w:pPr>
    <w:rPr>
      <w:rFonts w:ascii="Calibri" w:eastAsia="Calibri" w:hAnsi="Calibri"/>
      <w:sz w:val="22"/>
      <w:szCs w:val="22"/>
      <w:lang w:val="sr-Latn-M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ntstyle01">
    <w:name w:val="fontstyle01"/>
    <w:basedOn w:val="DefaultParagraphFont"/>
    <w:rsid w:val="005A60C8"/>
    <w:rPr>
      <w:rFonts w:ascii="Calibri" w:hAnsi="Calibri" w:cs="Calibri" w:hint="default"/>
      <w:b w:val="0"/>
      <w:bCs w:val="0"/>
      <w:i w:val="0"/>
      <w:iCs w:val="0"/>
      <w:color w:val="000000"/>
      <w:sz w:val="22"/>
      <w:szCs w:val="22"/>
    </w:rPr>
  </w:style>
  <w:style w:type="paragraph" w:customStyle="1" w:styleId="Heading11">
    <w:name w:val="Heading 11"/>
    <w:basedOn w:val="Normal"/>
    <w:next w:val="Normal"/>
    <w:uiPriority w:val="9"/>
    <w:qFormat/>
    <w:rsid w:val="00085672"/>
    <w:pPr>
      <w:keepNext/>
      <w:spacing w:before="480" w:after="240"/>
      <w:ind w:left="432" w:hanging="432"/>
      <w:outlineLvl w:val="0"/>
    </w:pPr>
    <w:rPr>
      <w:rFonts w:eastAsiaTheme="minorHAnsi" w:cstheme="minorBidi"/>
      <w:b/>
      <w:bCs/>
      <w:caps/>
      <w:color w:val="17365D"/>
      <w:kern w:val="32"/>
      <w:sz w:val="40"/>
      <w:szCs w:val="32"/>
      <w:lang w:val="hr-HR"/>
    </w:rPr>
  </w:style>
  <w:style w:type="paragraph" w:customStyle="1" w:styleId="Heading21">
    <w:name w:val="Heading 21"/>
    <w:basedOn w:val="Normal"/>
    <w:next w:val="Normal"/>
    <w:uiPriority w:val="9"/>
    <w:qFormat/>
    <w:rsid w:val="00085672"/>
    <w:pPr>
      <w:keepNext/>
      <w:spacing w:before="480" w:after="240"/>
      <w:ind w:left="1002" w:hanging="576"/>
      <w:outlineLvl w:val="1"/>
    </w:pPr>
    <w:rPr>
      <w:b/>
      <w:bCs/>
      <w:iCs/>
      <w:caps/>
      <w:color w:val="365F91"/>
      <w:sz w:val="28"/>
      <w:szCs w:val="28"/>
    </w:rPr>
  </w:style>
  <w:style w:type="paragraph" w:customStyle="1" w:styleId="Heading31">
    <w:name w:val="Heading 31"/>
    <w:basedOn w:val="Normal"/>
    <w:next w:val="Normal"/>
    <w:uiPriority w:val="9"/>
    <w:qFormat/>
    <w:rsid w:val="00085672"/>
    <w:pPr>
      <w:keepNext/>
      <w:spacing w:before="240" w:after="240"/>
      <w:ind w:left="2430" w:hanging="720"/>
      <w:jc w:val="left"/>
      <w:outlineLvl w:val="2"/>
    </w:pPr>
    <w:rPr>
      <w:b/>
      <w:bCs/>
      <w:color w:val="365F91"/>
      <w:sz w:val="26"/>
      <w:szCs w:val="26"/>
    </w:rPr>
  </w:style>
  <w:style w:type="paragraph" w:customStyle="1" w:styleId="2zakon">
    <w:name w:val="2zakon"/>
    <w:basedOn w:val="Normal"/>
    <w:rsid w:val="00F75359"/>
    <w:pPr>
      <w:spacing w:before="100" w:beforeAutospacing="1" w:after="100" w:afterAutospacing="1" w:line="240" w:lineRule="auto"/>
      <w:jc w:val="center"/>
    </w:pPr>
    <w:rPr>
      <w:rFonts w:ascii="Arial" w:hAnsi="Arial" w:cs="Arial"/>
      <w:color w:val="0033CC"/>
      <w:sz w:val="36"/>
      <w:szCs w:val="36"/>
      <w:lang w:val="sr-Latn-ME" w:eastAsia="sr-Latn-ME"/>
    </w:rPr>
  </w:style>
  <w:style w:type="character" w:customStyle="1" w:styleId="UnresolvedMention">
    <w:name w:val="Unresolved Mention"/>
    <w:basedOn w:val="DefaultParagraphFont"/>
    <w:uiPriority w:val="99"/>
    <w:semiHidden/>
    <w:unhideWhenUsed/>
    <w:rsid w:val="009140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65580">
      <w:bodyDiv w:val="1"/>
      <w:marLeft w:val="0"/>
      <w:marRight w:val="0"/>
      <w:marTop w:val="0"/>
      <w:marBottom w:val="0"/>
      <w:divBdr>
        <w:top w:val="none" w:sz="0" w:space="0" w:color="auto"/>
        <w:left w:val="none" w:sz="0" w:space="0" w:color="auto"/>
        <w:bottom w:val="none" w:sz="0" w:space="0" w:color="auto"/>
        <w:right w:val="none" w:sz="0" w:space="0" w:color="auto"/>
      </w:divBdr>
      <w:divsChild>
        <w:div w:id="71859965">
          <w:marLeft w:val="0"/>
          <w:marRight w:val="0"/>
          <w:marTop w:val="0"/>
          <w:marBottom w:val="0"/>
          <w:divBdr>
            <w:top w:val="none" w:sz="0" w:space="0" w:color="auto"/>
            <w:left w:val="none" w:sz="0" w:space="0" w:color="auto"/>
            <w:bottom w:val="none" w:sz="0" w:space="0" w:color="auto"/>
            <w:right w:val="none" w:sz="0" w:space="0" w:color="auto"/>
          </w:divBdr>
        </w:div>
        <w:div w:id="96564978">
          <w:marLeft w:val="0"/>
          <w:marRight w:val="0"/>
          <w:marTop w:val="0"/>
          <w:marBottom w:val="0"/>
          <w:divBdr>
            <w:top w:val="none" w:sz="0" w:space="0" w:color="auto"/>
            <w:left w:val="none" w:sz="0" w:space="0" w:color="auto"/>
            <w:bottom w:val="none" w:sz="0" w:space="0" w:color="auto"/>
            <w:right w:val="none" w:sz="0" w:space="0" w:color="auto"/>
          </w:divBdr>
        </w:div>
        <w:div w:id="97484248">
          <w:marLeft w:val="0"/>
          <w:marRight w:val="0"/>
          <w:marTop w:val="0"/>
          <w:marBottom w:val="0"/>
          <w:divBdr>
            <w:top w:val="none" w:sz="0" w:space="0" w:color="auto"/>
            <w:left w:val="none" w:sz="0" w:space="0" w:color="auto"/>
            <w:bottom w:val="none" w:sz="0" w:space="0" w:color="auto"/>
            <w:right w:val="none" w:sz="0" w:space="0" w:color="auto"/>
          </w:divBdr>
        </w:div>
        <w:div w:id="201135036">
          <w:marLeft w:val="0"/>
          <w:marRight w:val="0"/>
          <w:marTop w:val="0"/>
          <w:marBottom w:val="0"/>
          <w:divBdr>
            <w:top w:val="none" w:sz="0" w:space="0" w:color="auto"/>
            <w:left w:val="none" w:sz="0" w:space="0" w:color="auto"/>
            <w:bottom w:val="none" w:sz="0" w:space="0" w:color="auto"/>
            <w:right w:val="none" w:sz="0" w:space="0" w:color="auto"/>
          </w:divBdr>
        </w:div>
        <w:div w:id="434634987">
          <w:marLeft w:val="0"/>
          <w:marRight w:val="0"/>
          <w:marTop w:val="0"/>
          <w:marBottom w:val="0"/>
          <w:divBdr>
            <w:top w:val="none" w:sz="0" w:space="0" w:color="auto"/>
            <w:left w:val="none" w:sz="0" w:space="0" w:color="auto"/>
            <w:bottom w:val="none" w:sz="0" w:space="0" w:color="auto"/>
            <w:right w:val="none" w:sz="0" w:space="0" w:color="auto"/>
          </w:divBdr>
        </w:div>
        <w:div w:id="471531842">
          <w:marLeft w:val="0"/>
          <w:marRight w:val="0"/>
          <w:marTop w:val="0"/>
          <w:marBottom w:val="0"/>
          <w:divBdr>
            <w:top w:val="none" w:sz="0" w:space="0" w:color="auto"/>
            <w:left w:val="none" w:sz="0" w:space="0" w:color="auto"/>
            <w:bottom w:val="none" w:sz="0" w:space="0" w:color="auto"/>
            <w:right w:val="none" w:sz="0" w:space="0" w:color="auto"/>
          </w:divBdr>
        </w:div>
        <w:div w:id="507453386">
          <w:marLeft w:val="0"/>
          <w:marRight w:val="0"/>
          <w:marTop w:val="0"/>
          <w:marBottom w:val="0"/>
          <w:divBdr>
            <w:top w:val="none" w:sz="0" w:space="0" w:color="auto"/>
            <w:left w:val="none" w:sz="0" w:space="0" w:color="auto"/>
            <w:bottom w:val="none" w:sz="0" w:space="0" w:color="auto"/>
            <w:right w:val="none" w:sz="0" w:space="0" w:color="auto"/>
          </w:divBdr>
        </w:div>
        <w:div w:id="766341586">
          <w:marLeft w:val="0"/>
          <w:marRight w:val="0"/>
          <w:marTop w:val="0"/>
          <w:marBottom w:val="0"/>
          <w:divBdr>
            <w:top w:val="none" w:sz="0" w:space="0" w:color="auto"/>
            <w:left w:val="none" w:sz="0" w:space="0" w:color="auto"/>
            <w:bottom w:val="none" w:sz="0" w:space="0" w:color="auto"/>
            <w:right w:val="none" w:sz="0" w:space="0" w:color="auto"/>
          </w:divBdr>
        </w:div>
        <w:div w:id="793671267">
          <w:marLeft w:val="0"/>
          <w:marRight w:val="0"/>
          <w:marTop w:val="0"/>
          <w:marBottom w:val="0"/>
          <w:divBdr>
            <w:top w:val="none" w:sz="0" w:space="0" w:color="auto"/>
            <w:left w:val="none" w:sz="0" w:space="0" w:color="auto"/>
            <w:bottom w:val="none" w:sz="0" w:space="0" w:color="auto"/>
            <w:right w:val="none" w:sz="0" w:space="0" w:color="auto"/>
          </w:divBdr>
        </w:div>
        <w:div w:id="870919722">
          <w:marLeft w:val="0"/>
          <w:marRight w:val="0"/>
          <w:marTop w:val="0"/>
          <w:marBottom w:val="0"/>
          <w:divBdr>
            <w:top w:val="none" w:sz="0" w:space="0" w:color="auto"/>
            <w:left w:val="none" w:sz="0" w:space="0" w:color="auto"/>
            <w:bottom w:val="none" w:sz="0" w:space="0" w:color="auto"/>
            <w:right w:val="none" w:sz="0" w:space="0" w:color="auto"/>
          </w:divBdr>
        </w:div>
        <w:div w:id="918558217">
          <w:marLeft w:val="0"/>
          <w:marRight w:val="0"/>
          <w:marTop w:val="0"/>
          <w:marBottom w:val="0"/>
          <w:divBdr>
            <w:top w:val="none" w:sz="0" w:space="0" w:color="auto"/>
            <w:left w:val="none" w:sz="0" w:space="0" w:color="auto"/>
            <w:bottom w:val="none" w:sz="0" w:space="0" w:color="auto"/>
            <w:right w:val="none" w:sz="0" w:space="0" w:color="auto"/>
          </w:divBdr>
        </w:div>
        <w:div w:id="925193663">
          <w:marLeft w:val="0"/>
          <w:marRight w:val="0"/>
          <w:marTop w:val="0"/>
          <w:marBottom w:val="0"/>
          <w:divBdr>
            <w:top w:val="none" w:sz="0" w:space="0" w:color="auto"/>
            <w:left w:val="none" w:sz="0" w:space="0" w:color="auto"/>
            <w:bottom w:val="none" w:sz="0" w:space="0" w:color="auto"/>
            <w:right w:val="none" w:sz="0" w:space="0" w:color="auto"/>
          </w:divBdr>
        </w:div>
        <w:div w:id="976102772">
          <w:marLeft w:val="0"/>
          <w:marRight w:val="0"/>
          <w:marTop w:val="0"/>
          <w:marBottom w:val="0"/>
          <w:divBdr>
            <w:top w:val="none" w:sz="0" w:space="0" w:color="auto"/>
            <w:left w:val="none" w:sz="0" w:space="0" w:color="auto"/>
            <w:bottom w:val="none" w:sz="0" w:space="0" w:color="auto"/>
            <w:right w:val="none" w:sz="0" w:space="0" w:color="auto"/>
          </w:divBdr>
        </w:div>
        <w:div w:id="1053500248">
          <w:marLeft w:val="0"/>
          <w:marRight w:val="0"/>
          <w:marTop w:val="0"/>
          <w:marBottom w:val="0"/>
          <w:divBdr>
            <w:top w:val="none" w:sz="0" w:space="0" w:color="auto"/>
            <w:left w:val="none" w:sz="0" w:space="0" w:color="auto"/>
            <w:bottom w:val="none" w:sz="0" w:space="0" w:color="auto"/>
            <w:right w:val="none" w:sz="0" w:space="0" w:color="auto"/>
          </w:divBdr>
        </w:div>
        <w:div w:id="1119422433">
          <w:marLeft w:val="0"/>
          <w:marRight w:val="0"/>
          <w:marTop w:val="0"/>
          <w:marBottom w:val="0"/>
          <w:divBdr>
            <w:top w:val="none" w:sz="0" w:space="0" w:color="auto"/>
            <w:left w:val="none" w:sz="0" w:space="0" w:color="auto"/>
            <w:bottom w:val="none" w:sz="0" w:space="0" w:color="auto"/>
            <w:right w:val="none" w:sz="0" w:space="0" w:color="auto"/>
          </w:divBdr>
        </w:div>
        <w:div w:id="1120221924">
          <w:marLeft w:val="0"/>
          <w:marRight w:val="0"/>
          <w:marTop w:val="0"/>
          <w:marBottom w:val="0"/>
          <w:divBdr>
            <w:top w:val="none" w:sz="0" w:space="0" w:color="auto"/>
            <w:left w:val="none" w:sz="0" w:space="0" w:color="auto"/>
            <w:bottom w:val="none" w:sz="0" w:space="0" w:color="auto"/>
            <w:right w:val="none" w:sz="0" w:space="0" w:color="auto"/>
          </w:divBdr>
        </w:div>
        <w:div w:id="1340736062">
          <w:marLeft w:val="0"/>
          <w:marRight w:val="0"/>
          <w:marTop w:val="0"/>
          <w:marBottom w:val="0"/>
          <w:divBdr>
            <w:top w:val="none" w:sz="0" w:space="0" w:color="auto"/>
            <w:left w:val="none" w:sz="0" w:space="0" w:color="auto"/>
            <w:bottom w:val="none" w:sz="0" w:space="0" w:color="auto"/>
            <w:right w:val="none" w:sz="0" w:space="0" w:color="auto"/>
          </w:divBdr>
        </w:div>
        <w:div w:id="1425613502">
          <w:marLeft w:val="0"/>
          <w:marRight w:val="0"/>
          <w:marTop w:val="0"/>
          <w:marBottom w:val="0"/>
          <w:divBdr>
            <w:top w:val="none" w:sz="0" w:space="0" w:color="auto"/>
            <w:left w:val="none" w:sz="0" w:space="0" w:color="auto"/>
            <w:bottom w:val="none" w:sz="0" w:space="0" w:color="auto"/>
            <w:right w:val="none" w:sz="0" w:space="0" w:color="auto"/>
          </w:divBdr>
        </w:div>
        <w:div w:id="1463576995">
          <w:marLeft w:val="0"/>
          <w:marRight w:val="0"/>
          <w:marTop w:val="0"/>
          <w:marBottom w:val="0"/>
          <w:divBdr>
            <w:top w:val="none" w:sz="0" w:space="0" w:color="auto"/>
            <w:left w:val="none" w:sz="0" w:space="0" w:color="auto"/>
            <w:bottom w:val="none" w:sz="0" w:space="0" w:color="auto"/>
            <w:right w:val="none" w:sz="0" w:space="0" w:color="auto"/>
          </w:divBdr>
        </w:div>
        <w:div w:id="1471433266">
          <w:marLeft w:val="0"/>
          <w:marRight w:val="0"/>
          <w:marTop w:val="0"/>
          <w:marBottom w:val="0"/>
          <w:divBdr>
            <w:top w:val="none" w:sz="0" w:space="0" w:color="auto"/>
            <w:left w:val="none" w:sz="0" w:space="0" w:color="auto"/>
            <w:bottom w:val="none" w:sz="0" w:space="0" w:color="auto"/>
            <w:right w:val="none" w:sz="0" w:space="0" w:color="auto"/>
          </w:divBdr>
        </w:div>
        <w:div w:id="1500198849">
          <w:marLeft w:val="0"/>
          <w:marRight w:val="0"/>
          <w:marTop w:val="0"/>
          <w:marBottom w:val="0"/>
          <w:divBdr>
            <w:top w:val="none" w:sz="0" w:space="0" w:color="auto"/>
            <w:left w:val="none" w:sz="0" w:space="0" w:color="auto"/>
            <w:bottom w:val="none" w:sz="0" w:space="0" w:color="auto"/>
            <w:right w:val="none" w:sz="0" w:space="0" w:color="auto"/>
          </w:divBdr>
        </w:div>
        <w:div w:id="1511290942">
          <w:marLeft w:val="0"/>
          <w:marRight w:val="0"/>
          <w:marTop w:val="0"/>
          <w:marBottom w:val="0"/>
          <w:divBdr>
            <w:top w:val="none" w:sz="0" w:space="0" w:color="auto"/>
            <w:left w:val="none" w:sz="0" w:space="0" w:color="auto"/>
            <w:bottom w:val="none" w:sz="0" w:space="0" w:color="auto"/>
            <w:right w:val="none" w:sz="0" w:space="0" w:color="auto"/>
          </w:divBdr>
        </w:div>
        <w:div w:id="1592228874">
          <w:marLeft w:val="0"/>
          <w:marRight w:val="0"/>
          <w:marTop w:val="0"/>
          <w:marBottom w:val="0"/>
          <w:divBdr>
            <w:top w:val="none" w:sz="0" w:space="0" w:color="auto"/>
            <w:left w:val="none" w:sz="0" w:space="0" w:color="auto"/>
            <w:bottom w:val="none" w:sz="0" w:space="0" w:color="auto"/>
            <w:right w:val="none" w:sz="0" w:space="0" w:color="auto"/>
          </w:divBdr>
        </w:div>
        <w:div w:id="1716343927">
          <w:marLeft w:val="0"/>
          <w:marRight w:val="0"/>
          <w:marTop w:val="0"/>
          <w:marBottom w:val="0"/>
          <w:divBdr>
            <w:top w:val="none" w:sz="0" w:space="0" w:color="auto"/>
            <w:left w:val="none" w:sz="0" w:space="0" w:color="auto"/>
            <w:bottom w:val="none" w:sz="0" w:space="0" w:color="auto"/>
            <w:right w:val="none" w:sz="0" w:space="0" w:color="auto"/>
          </w:divBdr>
        </w:div>
        <w:div w:id="1752971323">
          <w:marLeft w:val="0"/>
          <w:marRight w:val="0"/>
          <w:marTop w:val="0"/>
          <w:marBottom w:val="0"/>
          <w:divBdr>
            <w:top w:val="none" w:sz="0" w:space="0" w:color="auto"/>
            <w:left w:val="none" w:sz="0" w:space="0" w:color="auto"/>
            <w:bottom w:val="none" w:sz="0" w:space="0" w:color="auto"/>
            <w:right w:val="none" w:sz="0" w:space="0" w:color="auto"/>
          </w:divBdr>
        </w:div>
        <w:div w:id="1980112033">
          <w:marLeft w:val="0"/>
          <w:marRight w:val="0"/>
          <w:marTop w:val="0"/>
          <w:marBottom w:val="0"/>
          <w:divBdr>
            <w:top w:val="none" w:sz="0" w:space="0" w:color="auto"/>
            <w:left w:val="none" w:sz="0" w:space="0" w:color="auto"/>
            <w:bottom w:val="none" w:sz="0" w:space="0" w:color="auto"/>
            <w:right w:val="none" w:sz="0" w:space="0" w:color="auto"/>
          </w:divBdr>
        </w:div>
        <w:div w:id="2037537093">
          <w:marLeft w:val="0"/>
          <w:marRight w:val="0"/>
          <w:marTop w:val="0"/>
          <w:marBottom w:val="0"/>
          <w:divBdr>
            <w:top w:val="none" w:sz="0" w:space="0" w:color="auto"/>
            <w:left w:val="none" w:sz="0" w:space="0" w:color="auto"/>
            <w:bottom w:val="none" w:sz="0" w:space="0" w:color="auto"/>
            <w:right w:val="none" w:sz="0" w:space="0" w:color="auto"/>
          </w:divBdr>
        </w:div>
        <w:div w:id="2145611315">
          <w:marLeft w:val="0"/>
          <w:marRight w:val="0"/>
          <w:marTop w:val="0"/>
          <w:marBottom w:val="0"/>
          <w:divBdr>
            <w:top w:val="none" w:sz="0" w:space="0" w:color="auto"/>
            <w:left w:val="none" w:sz="0" w:space="0" w:color="auto"/>
            <w:bottom w:val="none" w:sz="0" w:space="0" w:color="auto"/>
            <w:right w:val="none" w:sz="0" w:space="0" w:color="auto"/>
          </w:divBdr>
        </w:div>
      </w:divsChild>
    </w:div>
    <w:div w:id="73823247">
      <w:bodyDiv w:val="1"/>
      <w:marLeft w:val="0"/>
      <w:marRight w:val="0"/>
      <w:marTop w:val="0"/>
      <w:marBottom w:val="0"/>
      <w:divBdr>
        <w:top w:val="none" w:sz="0" w:space="0" w:color="auto"/>
        <w:left w:val="none" w:sz="0" w:space="0" w:color="auto"/>
        <w:bottom w:val="none" w:sz="0" w:space="0" w:color="auto"/>
        <w:right w:val="none" w:sz="0" w:space="0" w:color="auto"/>
      </w:divBdr>
    </w:div>
    <w:div w:id="94982613">
      <w:bodyDiv w:val="1"/>
      <w:marLeft w:val="0"/>
      <w:marRight w:val="0"/>
      <w:marTop w:val="0"/>
      <w:marBottom w:val="0"/>
      <w:divBdr>
        <w:top w:val="none" w:sz="0" w:space="0" w:color="auto"/>
        <w:left w:val="none" w:sz="0" w:space="0" w:color="auto"/>
        <w:bottom w:val="none" w:sz="0" w:space="0" w:color="auto"/>
        <w:right w:val="none" w:sz="0" w:space="0" w:color="auto"/>
      </w:divBdr>
    </w:div>
    <w:div w:id="102847089">
      <w:bodyDiv w:val="1"/>
      <w:marLeft w:val="0"/>
      <w:marRight w:val="0"/>
      <w:marTop w:val="0"/>
      <w:marBottom w:val="0"/>
      <w:divBdr>
        <w:top w:val="none" w:sz="0" w:space="0" w:color="auto"/>
        <w:left w:val="none" w:sz="0" w:space="0" w:color="auto"/>
        <w:bottom w:val="none" w:sz="0" w:space="0" w:color="auto"/>
        <w:right w:val="none" w:sz="0" w:space="0" w:color="auto"/>
      </w:divBdr>
    </w:div>
    <w:div w:id="154497576">
      <w:bodyDiv w:val="1"/>
      <w:marLeft w:val="0"/>
      <w:marRight w:val="0"/>
      <w:marTop w:val="0"/>
      <w:marBottom w:val="0"/>
      <w:divBdr>
        <w:top w:val="none" w:sz="0" w:space="0" w:color="auto"/>
        <w:left w:val="none" w:sz="0" w:space="0" w:color="auto"/>
        <w:bottom w:val="none" w:sz="0" w:space="0" w:color="auto"/>
        <w:right w:val="none" w:sz="0" w:space="0" w:color="auto"/>
      </w:divBdr>
    </w:div>
    <w:div w:id="163909331">
      <w:bodyDiv w:val="1"/>
      <w:marLeft w:val="0"/>
      <w:marRight w:val="0"/>
      <w:marTop w:val="0"/>
      <w:marBottom w:val="0"/>
      <w:divBdr>
        <w:top w:val="none" w:sz="0" w:space="0" w:color="auto"/>
        <w:left w:val="none" w:sz="0" w:space="0" w:color="auto"/>
        <w:bottom w:val="none" w:sz="0" w:space="0" w:color="auto"/>
        <w:right w:val="none" w:sz="0" w:space="0" w:color="auto"/>
      </w:divBdr>
    </w:div>
    <w:div w:id="171914376">
      <w:bodyDiv w:val="1"/>
      <w:marLeft w:val="0"/>
      <w:marRight w:val="0"/>
      <w:marTop w:val="0"/>
      <w:marBottom w:val="0"/>
      <w:divBdr>
        <w:top w:val="none" w:sz="0" w:space="0" w:color="auto"/>
        <w:left w:val="none" w:sz="0" w:space="0" w:color="auto"/>
        <w:bottom w:val="none" w:sz="0" w:space="0" w:color="auto"/>
        <w:right w:val="none" w:sz="0" w:space="0" w:color="auto"/>
      </w:divBdr>
    </w:div>
    <w:div w:id="321591043">
      <w:bodyDiv w:val="1"/>
      <w:marLeft w:val="0"/>
      <w:marRight w:val="0"/>
      <w:marTop w:val="0"/>
      <w:marBottom w:val="0"/>
      <w:divBdr>
        <w:top w:val="none" w:sz="0" w:space="0" w:color="auto"/>
        <w:left w:val="none" w:sz="0" w:space="0" w:color="auto"/>
        <w:bottom w:val="none" w:sz="0" w:space="0" w:color="auto"/>
        <w:right w:val="none" w:sz="0" w:space="0" w:color="auto"/>
      </w:divBdr>
      <w:divsChild>
        <w:div w:id="858393427">
          <w:marLeft w:val="446"/>
          <w:marRight w:val="0"/>
          <w:marTop w:val="0"/>
          <w:marBottom w:val="0"/>
          <w:divBdr>
            <w:top w:val="none" w:sz="0" w:space="0" w:color="auto"/>
            <w:left w:val="none" w:sz="0" w:space="0" w:color="auto"/>
            <w:bottom w:val="none" w:sz="0" w:space="0" w:color="auto"/>
            <w:right w:val="none" w:sz="0" w:space="0" w:color="auto"/>
          </w:divBdr>
        </w:div>
        <w:div w:id="1177961228">
          <w:marLeft w:val="446"/>
          <w:marRight w:val="0"/>
          <w:marTop w:val="0"/>
          <w:marBottom w:val="0"/>
          <w:divBdr>
            <w:top w:val="none" w:sz="0" w:space="0" w:color="auto"/>
            <w:left w:val="none" w:sz="0" w:space="0" w:color="auto"/>
            <w:bottom w:val="none" w:sz="0" w:space="0" w:color="auto"/>
            <w:right w:val="none" w:sz="0" w:space="0" w:color="auto"/>
          </w:divBdr>
        </w:div>
        <w:div w:id="1452626583">
          <w:marLeft w:val="446"/>
          <w:marRight w:val="0"/>
          <w:marTop w:val="0"/>
          <w:marBottom w:val="0"/>
          <w:divBdr>
            <w:top w:val="none" w:sz="0" w:space="0" w:color="auto"/>
            <w:left w:val="none" w:sz="0" w:space="0" w:color="auto"/>
            <w:bottom w:val="none" w:sz="0" w:space="0" w:color="auto"/>
            <w:right w:val="none" w:sz="0" w:space="0" w:color="auto"/>
          </w:divBdr>
        </w:div>
        <w:div w:id="1614558367">
          <w:marLeft w:val="446"/>
          <w:marRight w:val="0"/>
          <w:marTop w:val="0"/>
          <w:marBottom w:val="0"/>
          <w:divBdr>
            <w:top w:val="none" w:sz="0" w:space="0" w:color="auto"/>
            <w:left w:val="none" w:sz="0" w:space="0" w:color="auto"/>
            <w:bottom w:val="none" w:sz="0" w:space="0" w:color="auto"/>
            <w:right w:val="none" w:sz="0" w:space="0" w:color="auto"/>
          </w:divBdr>
        </w:div>
        <w:div w:id="1736733116">
          <w:marLeft w:val="446"/>
          <w:marRight w:val="0"/>
          <w:marTop w:val="0"/>
          <w:marBottom w:val="0"/>
          <w:divBdr>
            <w:top w:val="none" w:sz="0" w:space="0" w:color="auto"/>
            <w:left w:val="none" w:sz="0" w:space="0" w:color="auto"/>
            <w:bottom w:val="none" w:sz="0" w:space="0" w:color="auto"/>
            <w:right w:val="none" w:sz="0" w:space="0" w:color="auto"/>
          </w:divBdr>
        </w:div>
        <w:div w:id="1805654612">
          <w:marLeft w:val="446"/>
          <w:marRight w:val="0"/>
          <w:marTop w:val="0"/>
          <w:marBottom w:val="0"/>
          <w:divBdr>
            <w:top w:val="none" w:sz="0" w:space="0" w:color="auto"/>
            <w:left w:val="none" w:sz="0" w:space="0" w:color="auto"/>
            <w:bottom w:val="none" w:sz="0" w:space="0" w:color="auto"/>
            <w:right w:val="none" w:sz="0" w:space="0" w:color="auto"/>
          </w:divBdr>
        </w:div>
        <w:div w:id="2143574725">
          <w:marLeft w:val="446"/>
          <w:marRight w:val="0"/>
          <w:marTop w:val="0"/>
          <w:marBottom w:val="0"/>
          <w:divBdr>
            <w:top w:val="none" w:sz="0" w:space="0" w:color="auto"/>
            <w:left w:val="none" w:sz="0" w:space="0" w:color="auto"/>
            <w:bottom w:val="none" w:sz="0" w:space="0" w:color="auto"/>
            <w:right w:val="none" w:sz="0" w:space="0" w:color="auto"/>
          </w:divBdr>
        </w:div>
      </w:divsChild>
    </w:div>
    <w:div w:id="342322702">
      <w:bodyDiv w:val="1"/>
      <w:marLeft w:val="0"/>
      <w:marRight w:val="0"/>
      <w:marTop w:val="0"/>
      <w:marBottom w:val="0"/>
      <w:divBdr>
        <w:top w:val="none" w:sz="0" w:space="0" w:color="auto"/>
        <w:left w:val="none" w:sz="0" w:space="0" w:color="auto"/>
        <w:bottom w:val="none" w:sz="0" w:space="0" w:color="auto"/>
        <w:right w:val="none" w:sz="0" w:space="0" w:color="auto"/>
      </w:divBdr>
      <w:divsChild>
        <w:div w:id="39206544">
          <w:marLeft w:val="0"/>
          <w:marRight w:val="0"/>
          <w:marTop w:val="0"/>
          <w:marBottom w:val="0"/>
          <w:divBdr>
            <w:top w:val="none" w:sz="0" w:space="0" w:color="auto"/>
            <w:left w:val="none" w:sz="0" w:space="0" w:color="auto"/>
            <w:bottom w:val="none" w:sz="0" w:space="0" w:color="auto"/>
            <w:right w:val="none" w:sz="0" w:space="0" w:color="auto"/>
          </w:divBdr>
        </w:div>
        <w:div w:id="501315772">
          <w:marLeft w:val="0"/>
          <w:marRight w:val="0"/>
          <w:marTop w:val="0"/>
          <w:marBottom w:val="0"/>
          <w:divBdr>
            <w:top w:val="none" w:sz="0" w:space="0" w:color="auto"/>
            <w:left w:val="none" w:sz="0" w:space="0" w:color="auto"/>
            <w:bottom w:val="none" w:sz="0" w:space="0" w:color="auto"/>
            <w:right w:val="none" w:sz="0" w:space="0" w:color="auto"/>
          </w:divBdr>
        </w:div>
        <w:div w:id="687607620">
          <w:marLeft w:val="0"/>
          <w:marRight w:val="0"/>
          <w:marTop w:val="0"/>
          <w:marBottom w:val="0"/>
          <w:divBdr>
            <w:top w:val="none" w:sz="0" w:space="0" w:color="auto"/>
            <w:left w:val="none" w:sz="0" w:space="0" w:color="auto"/>
            <w:bottom w:val="none" w:sz="0" w:space="0" w:color="auto"/>
            <w:right w:val="none" w:sz="0" w:space="0" w:color="auto"/>
          </w:divBdr>
        </w:div>
        <w:div w:id="691105784">
          <w:marLeft w:val="0"/>
          <w:marRight w:val="0"/>
          <w:marTop w:val="0"/>
          <w:marBottom w:val="0"/>
          <w:divBdr>
            <w:top w:val="none" w:sz="0" w:space="0" w:color="auto"/>
            <w:left w:val="none" w:sz="0" w:space="0" w:color="auto"/>
            <w:bottom w:val="none" w:sz="0" w:space="0" w:color="auto"/>
            <w:right w:val="none" w:sz="0" w:space="0" w:color="auto"/>
          </w:divBdr>
        </w:div>
        <w:div w:id="873230293">
          <w:marLeft w:val="0"/>
          <w:marRight w:val="0"/>
          <w:marTop w:val="0"/>
          <w:marBottom w:val="0"/>
          <w:divBdr>
            <w:top w:val="none" w:sz="0" w:space="0" w:color="auto"/>
            <w:left w:val="none" w:sz="0" w:space="0" w:color="auto"/>
            <w:bottom w:val="none" w:sz="0" w:space="0" w:color="auto"/>
            <w:right w:val="none" w:sz="0" w:space="0" w:color="auto"/>
          </w:divBdr>
        </w:div>
        <w:div w:id="1654141375">
          <w:marLeft w:val="0"/>
          <w:marRight w:val="0"/>
          <w:marTop w:val="0"/>
          <w:marBottom w:val="0"/>
          <w:divBdr>
            <w:top w:val="none" w:sz="0" w:space="0" w:color="auto"/>
            <w:left w:val="none" w:sz="0" w:space="0" w:color="auto"/>
            <w:bottom w:val="none" w:sz="0" w:space="0" w:color="auto"/>
            <w:right w:val="none" w:sz="0" w:space="0" w:color="auto"/>
          </w:divBdr>
        </w:div>
        <w:div w:id="2046951533">
          <w:marLeft w:val="0"/>
          <w:marRight w:val="0"/>
          <w:marTop w:val="0"/>
          <w:marBottom w:val="0"/>
          <w:divBdr>
            <w:top w:val="none" w:sz="0" w:space="0" w:color="auto"/>
            <w:left w:val="none" w:sz="0" w:space="0" w:color="auto"/>
            <w:bottom w:val="none" w:sz="0" w:space="0" w:color="auto"/>
            <w:right w:val="none" w:sz="0" w:space="0" w:color="auto"/>
          </w:divBdr>
        </w:div>
      </w:divsChild>
    </w:div>
    <w:div w:id="460150868">
      <w:bodyDiv w:val="1"/>
      <w:marLeft w:val="0"/>
      <w:marRight w:val="0"/>
      <w:marTop w:val="0"/>
      <w:marBottom w:val="0"/>
      <w:divBdr>
        <w:top w:val="none" w:sz="0" w:space="0" w:color="auto"/>
        <w:left w:val="none" w:sz="0" w:space="0" w:color="auto"/>
        <w:bottom w:val="none" w:sz="0" w:space="0" w:color="auto"/>
        <w:right w:val="none" w:sz="0" w:space="0" w:color="auto"/>
      </w:divBdr>
    </w:div>
    <w:div w:id="468133475">
      <w:bodyDiv w:val="1"/>
      <w:marLeft w:val="0"/>
      <w:marRight w:val="0"/>
      <w:marTop w:val="0"/>
      <w:marBottom w:val="0"/>
      <w:divBdr>
        <w:top w:val="none" w:sz="0" w:space="0" w:color="auto"/>
        <w:left w:val="none" w:sz="0" w:space="0" w:color="auto"/>
        <w:bottom w:val="none" w:sz="0" w:space="0" w:color="auto"/>
        <w:right w:val="none" w:sz="0" w:space="0" w:color="auto"/>
      </w:divBdr>
      <w:divsChild>
        <w:div w:id="1290479416">
          <w:marLeft w:val="0"/>
          <w:marRight w:val="0"/>
          <w:marTop w:val="0"/>
          <w:marBottom w:val="0"/>
          <w:divBdr>
            <w:top w:val="none" w:sz="0" w:space="0" w:color="auto"/>
            <w:left w:val="none" w:sz="0" w:space="0" w:color="auto"/>
            <w:bottom w:val="none" w:sz="0" w:space="0" w:color="auto"/>
            <w:right w:val="none" w:sz="0" w:space="0" w:color="auto"/>
          </w:divBdr>
          <w:divsChild>
            <w:div w:id="110758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304107">
      <w:bodyDiv w:val="1"/>
      <w:marLeft w:val="0"/>
      <w:marRight w:val="0"/>
      <w:marTop w:val="0"/>
      <w:marBottom w:val="0"/>
      <w:divBdr>
        <w:top w:val="none" w:sz="0" w:space="0" w:color="auto"/>
        <w:left w:val="none" w:sz="0" w:space="0" w:color="auto"/>
        <w:bottom w:val="none" w:sz="0" w:space="0" w:color="auto"/>
        <w:right w:val="none" w:sz="0" w:space="0" w:color="auto"/>
      </w:divBdr>
    </w:div>
    <w:div w:id="543564908">
      <w:bodyDiv w:val="1"/>
      <w:marLeft w:val="0"/>
      <w:marRight w:val="0"/>
      <w:marTop w:val="0"/>
      <w:marBottom w:val="0"/>
      <w:divBdr>
        <w:top w:val="none" w:sz="0" w:space="0" w:color="auto"/>
        <w:left w:val="none" w:sz="0" w:space="0" w:color="auto"/>
        <w:bottom w:val="none" w:sz="0" w:space="0" w:color="auto"/>
        <w:right w:val="none" w:sz="0" w:space="0" w:color="auto"/>
      </w:divBdr>
    </w:div>
    <w:div w:id="577132429">
      <w:bodyDiv w:val="1"/>
      <w:marLeft w:val="0"/>
      <w:marRight w:val="0"/>
      <w:marTop w:val="0"/>
      <w:marBottom w:val="0"/>
      <w:divBdr>
        <w:top w:val="none" w:sz="0" w:space="0" w:color="auto"/>
        <w:left w:val="none" w:sz="0" w:space="0" w:color="auto"/>
        <w:bottom w:val="none" w:sz="0" w:space="0" w:color="auto"/>
        <w:right w:val="none" w:sz="0" w:space="0" w:color="auto"/>
      </w:divBdr>
    </w:div>
    <w:div w:id="578637019">
      <w:bodyDiv w:val="1"/>
      <w:marLeft w:val="0"/>
      <w:marRight w:val="0"/>
      <w:marTop w:val="0"/>
      <w:marBottom w:val="0"/>
      <w:divBdr>
        <w:top w:val="none" w:sz="0" w:space="0" w:color="auto"/>
        <w:left w:val="none" w:sz="0" w:space="0" w:color="auto"/>
        <w:bottom w:val="none" w:sz="0" w:space="0" w:color="auto"/>
        <w:right w:val="none" w:sz="0" w:space="0" w:color="auto"/>
      </w:divBdr>
    </w:div>
    <w:div w:id="618419123">
      <w:bodyDiv w:val="1"/>
      <w:marLeft w:val="0"/>
      <w:marRight w:val="0"/>
      <w:marTop w:val="0"/>
      <w:marBottom w:val="0"/>
      <w:divBdr>
        <w:top w:val="none" w:sz="0" w:space="0" w:color="auto"/>
        <w:left w:val="none" w:sz="0" w:space="0" w:color="auto"/>
        <w:bottom w:val="none" w:sz="0" w:space="0" w:color="auto"/>
        <w:right w:val="none" w:sz="0" w:space="0" w:color="auto"/>
      </w:divBdr>
    </w:div>
    <w:div w:id="652032217">
      <w:bodyDiv w:val="1"/>
      <w:marLeft w:val="0"/>
      <w:marRight w:val="0"/>
      <w:marTop w:val="0"/>
      <w:marBottom w:val="0"/>
      <w:divBdr>
        <w:top w:val="none" w:sz="0" w:space="0" w:color="auto"/>
        <w:left w:val="none" w:sz="0" w:space="0" w:color="auto"/>
        <w:bottom w:val="none" w:sz="0" w:space="0" w:color="auto"/>
        <w:right w:val="none" w:sz="0" w:space="0" w:color="auto"/>
      </w:divBdr>
    </w:div>
    <w:div w:id="694311405">
      <w:bodyDiv w:val="1"/>
      <w:marLeft w:val="0"/>
      <w:marRight w:val="0"/>
      <w:marTop w:val="0"/>
      <w:marBottom w:val="0"/>
      <w:divBdr>
        <w:top w:val="none" w:sz="0" w:space="0" w:color="auto"/>
        <w:left w:val="none" w:sz="0" w:space="0" w:color="auto"/>
        <w:bottom w:val="none" w:sz="0" w:space="0" w:color="auto"/>
        <w:right w:val="none" w:sz="0" w:space="0" w:color="auto"/>
      </w:divBdr>
    </w:div>
    <w:div w:id="737751125">
      <w:bodyDiv w:val="1"/>
      <w:marLeft w:val="0"/>
      <w:marRight w:val="0"/>
      <w:marTop w:val="0"/>
      <w:marBottom w:val="0"/>
      <w:divBdr>
        <w:top w:val="none" w:sz="0" w:space="0" w:color="auto"/>
        <w:left w:val="none" w:sz="0" w:space="0" w:color="auto"/>
        <w:bottom w:val="none" w:sz="0" w:space="0" w:color="auto"/>
        <w:right w:val="none" w:sz="0" w:space="0" w:color="auto"/>
      </w:divBdr>
    </w:div>
    <w:div w:id="746193245">
      <w:bodyDiv w:val="1"/>
      <w:marLeft w:val="0"/>
      <w:marRight w:val="0"/>
      <w:marTop w:val="0"/>
      <w:marBottom w:val="0"/>
      <w:divBdr>
        <w:top w:val="none" w:sz="0" w:space="0" w:color="auto"/>
        <w:left w:val="none" w:sz="0" w:space="0" w:color="auto"/>
        <w:bottom w:val="none" w:sz="0" w:space="0" w:color="auto"/>
        <w:right w:val="none" w:sz="0" w:space="0" w:color="auto"/>
      </w:divBdr>
    </w:div>
    <w:div w:id="976184696">
      <w:bodyDiv w:val="1"/>
      <w:marLeft w:val="0"/>
      <w:marRight w:val="0"/>
      <w:marTop w:val="0"/>
      <w:marBottom w:val="0"/>
      <w:divBdr>
        <w:top w:val="none" w:sz="0" w:space="0" w:color="auto"/>
        <w:left w:val="none" w:sz="0" w:space="0" w:color="auto"/>
        <w:bottom w:val="none" w:sz="0" w:space="0" w:color="auto"/>
        <w:right w:val="none" w:sz="0" w:space="0" w:color="auto"/>
      </w:divBdr>
      <w:divsChild>
        <w:div w:id="150298928">
          <w:marLeft w:val="0"/>
          <w:marRight w:val="0"/>
          <w:marTop w:val="0"/>
          <w:marBottom w:val="0"/>
          <w:divBdr>
            <w:top w:val="none" w:sz="0" w:space="0" w:color="auto"/>
            <w:left w:val="none" w:sz="0" w:space="0" w:color="auto"/>
            <w:bottom w:val="none" w:sz="0" w:space="0" w:color="auto"/>
            <w:right w:val="none" w:sz="0" w:space="0" w:color="auto"/>
          </w:divBdr>
        </w:div>
        <w:div w:id="484712610">
          <w:marLeft w:val="0"/>
          <w:marRight w:val="0"/>
          <w:marTop w:val="0"/>
          <w:marBottom w:val="0"/>
          <w:divBdr>
            <w:top w:val="none" w:sz="0" w:space="0" w:color="auto"/>
            <w:left w:val="none" w:sz="0" w:space="0" w:color="auto"/>
            <w:bottom w:val="none" w:sz="0" w:space="0" w:color="auto"/>
            <w:right w:val="none" w:sz="0" w:space="0" w:color="auto"/>
          </w:divBdr>
        </w:div>
        <w:div w:id="795173331">
          <w:marLeft w:val="0"/>
          <w:marRight w:val="0"/>
          <w:marTop w:val="0"/>
          <w:marBottom w:val="0"/>
          <w:divBdr>
            <w:top w:val="none" w:sz="0" w:space="0" w:color="auto"/>
            <w:left w:val="none" w:sz="0" w:space="0" w:color="auto"/>
            <w:bottom w:val="none" w:sz="0" w:space="0" w:color="auto"/>
            <w:right w:val="none" w:sz="0" w:space="0" w:color="auto"/>
          </w:divBdr>
        </w:div>
        <w:div w:id="1557667440">
          <w:marLeft w:val="0"/>
          <w:marRight w:val="0"/>
          <w:marTop w:val="0"/>
          <w:marBottom w:val="0"/>
          <w:divBdr>
            <w:top w:val="none" w:sz="0" w:space="0" w:color="auto"/>
            <w:left w:val="none" w:sz="0" w:space="0" w:color="auto"/>
            <w:bottom w:val="none" w:sz="0" w:space="0" w:color="auto"/>
            <w:right w:val="none" w:sz="0" w:space="0" w:color="auto"/>
          </w:divBdr>
        </w:div>
        <w:div w:id="1932003925">
          <w:marLeft w:val="0"/>
          <w:marRight w:val="0"/>
          <w:marTop w:val="0"/>
          <w:marBottom w:val="0"/>
          <w:divBdr>
            <w:top w:val="none" w:sz="0" w:space="0" w:color="auto"/>
            <w:left w:val="none" w:sz="0" w:space="0" w:color="auto"/>
            <w:bottom w:val="none" w:sz="0" w:space="0" w:color="auto"/>
            <w:right w:val="none" w:sz="0" w:space="0" w:color="auto"/>
          </w:divBdr>
        </w:div>
        <w:div w:id="2124494199">
          <w:marLeft w:val="0"/>
          <w:marRight w:val="0"/>
          <w:marTop w:val="0"/>
          <w:marBottom w:val="0"/>
          <w:divBdr>
            <w:top w:val="none" w:sz="0" w:space="0" w:color="auto"/>
            <w:left w:val="none" w:sz="0" w:space="0" w:color="auto"/>
            <w:bottom w:val="none" w:sz="0" w:space="0" w:color="auto"/>
            <w:right w:val="none" w:sz="0" w:space="0" w:color="auto"/>
          </w:divBdr>
        </w:div>
      </w:divsChild>
    </w:div>
    <w:div w:id="1096361923">
      <w:bodyDiv w:val="1"/>
      <w:marLeft w:val="0"/>
      <w:marRight w:val="0"/>
      <w:marTop w:val="0"/>
      <w:marBottom w:val="0"/>
      <w:divBdr>
        <w:top w:val="none" w:sz="0" w:space="0" w:color="auto"/>
        <w:left w:val="none" w:sz="0" w:space="0" w:color="auto"/>
        <w:bottom w:val="none" w:sz="0" w:space="0" w:color="auto"/>
        <w:right w:val="none" w:sz="0" w:space="0" w:color="auto"/>
      </w:divBdr>
    </w:div>
    <w:div w:id="1120493335">
      <w:bodyDiv w:val="1"/>
      <w:marLeft w:val="0"/>
      <w:marRight w:val="0"/>
      <w:marTop w:val="0"/>
      <w:marBottom w:val="0"/>
      <w:divBdr>
        <w:top w:val="none" w:sz="0" w:space="0" w:color="auto"/>
        <w:left w:val="none" w:sz="0" w:space="0" w:color="auto"/>
        <w:bottom w:val="none" w:sz="0" w:space="0" w:color="auto"/>
        <w:right w:val="none" w:sz="0" w:space="0" w:color="auto"/>
      </w:divBdr>
    </w:div>
    <w:div w:id="1145122189">
      <w:bodyDiv w:val="1"/>
      <w:marLeft w:val="0"/>
      <w:marRight w:val="0"/>
      <w:marTop w:val="0"/>
      <w:marBottom w:val="0"/>
      <w:divBdr>
        <w:top w:val="none" w:sz="0" w:space="0" w:color="auto"/>
        <w:left w:val="none" w:sz="0" w:space="0" w:color="auto"/>
        <w:bottom w:val="none" w:sz="0" w:space="0" w:color="auto"/>
        <w:right w:val="none" w:sz="0" w:space="0" w:color="auto"/>
      </w:divBdr>
      <w:divsChild>
        <w:div w:id="191264369">
          <w:marLeft w:val="446"/>
          <w:marRight w:val="0"/>
          <w:marTop w:val="0"/>
          <w:marBottom w:val="0"/>
          <w:divBdr>
            <w:top w:val="none" w:sz="0" w:space="0" w:color="auto"/>
            <w:left w:val="none" w:sz="0" w:space="0" w:color="auto"/>
            <w:bottom w:val="none" w:sz="0" w:space="0" w:color="auto"/>
            <w:right w:val="none" w:sz="0" w:space="0" w:color="auto"/>
          </w:divBdr>
        </w:div>
        <w:div w:id="544024230">
          <w:marLeft w:val="446"/>
          <w:marRight w:val="0"/>
          <w:marTop w:val="0"/>
          <w:marBottom w:val="0"/>
          <w:divBdr>
            <w:top w:val="none" w:sz="0" w:space="0" w:color="auto"/>
            <w:left w:val="none" w:sz="0" w:space="0" w:color="auto"/>
            <w:bottom w:val="none" w:sz="0" w:space="0" w:color="auto"/>
            <w:right w:val="none" w:sz="0" w:space="0" w:color="auto"/>
          </w:divBdr>
        </w:div>
        <w:div w:id="884872104">
          <w:marLeft w:val="446"/>
          <w:marRight w:val="0"/>
          <w:marTop w:val="0"/>
          <w:marBottom w:val="0"/>
          <w:divBdr>
            <w:top w:val="none" w:sz="0" w:space="0" w:color="auto"/>
            <w:left w:val="none" w:sz="0" w:space="0" w:color="auto"/>
            <w:bottom w:val="none" w:sz="0" w:space="0" w:color="auto"/>
            <w:right w:val="none" w:sz="0" w:space="0" w:color="auto"/>
          </w:divBdr>
        </w:div>
        <w:div w:id="1186603360">
          <w:marLeft w:val="446"/>
          <w:marRight w:val="0"/>
          <w:marTop w:val="0"/>
          <w:marBottom w:val="0"/>
          <w:divBdr>
            <w:top w:val="none" w:sz="0" w:space="0" w:color="auto"/>
            <w:left w:val="none" w:sz="0" w:space="0" w:color="auto"/>
            <w:bottom w:val="none" w:sz="0" w:space="0" w:color="auto"/>
            <w:right w:val="none" w:sz="0" w:space="0" w:color="auto"/>
          </w:divBdr>
        </w:div>
        <w:div w:id="1424301669">
          <w:marLeft w:val="446"/>
          <w:marRight w:val="0"/>
          <w:marTop w:val="0"/>
          <w:marBottom w:val="0"/>
          <w:divBdr>
            <w:top w:val="none" w:sz="0" w:space="0" w:color="auto"/>
            <w:left w:val="none" w:sz="0" w:space="0" w:color="auto"/>
            <w:bottom w:val="none" w:sz="0" w:space="0" w:color="auto"/>
            <w:right w:val="none" w:sz="0" w:space="0" w:color="auto"/>
          </w:divBdr>
        </w:div>
        <w:div w:id="1577742508">
          <w:marLeft w:val="446"/>
          <w:marRight w:val="0"/>
          <w:marTop w:val="0"/>
          <w:marBottom w:val="0"/>
          <w:divBdr>
            <w:top w:val="none" w:sz="0" w:space="0" w:color="auto"/>
            <w:left w:val="none" w:sz="0" w:space="0" w:color="auto"/>
            <w:bottom w:val="none" w:sz="0" w:space="0" w:color="auto"/>
            <w:right w:val="none" w:sz="0" w:space="0" w:color="auto"/>
          </w:divBdr>
        </w:div>
        <w:div w:id="1700930244">
          <w:marLeft w:val="446"/>
          <w:marRight w:val="0"/>
          <w:marTop w:val="0"/>
          <w:marBottom w:val="0"/>
          <w:divBdr>
            <w:top w:val="none" w:sz="0" w:space="0" w:color="auto"/>
            <w:left w:val="none" w:sz="0" w:space="0" w:color="auto"/>
            <w:bottom w:val="none" w:sz="0" w:space="0" w:color="auto"/>
            <w:right w:val="none" w:sz="0" w:space="0" w:color="auto"/>
          </w:divBdr>
        </w:div>
      </w:divsChild>
    </w:div>
    <w:div w:id="1167600185">
      <w:bodyDiv w:val="1"/>
      <w:marLeft w:val="0"/>
      <w:marRight w:val="0"/>
      <w:marTop w:val="0"/>
      <w:marBottom w:val="0"/>
      <w:divBdr>
        <w:top w:val="none" w:sz="0" w:space="0" w:color="auto"/>
        <w:left w:val="none" w:sz="0" w:space="0" w:color="auto"/>
        <w:bottom w:val="none" w:sz="0" w:space="0" w:color="auto"/>
        <w:right w:val="none" w:sz="0" w:space="0" w:color="auto"/>
      </w:divBdr>
      <w:divsChild>
        <w:div w:id="108866018">
          <w:marLeft w:val="446"/>
          <w:marRight w:val="0"/>
          <w:marTop w:val="0"/>
          <w:marBottom w:val="0"/>
          <w:divBdr>
            <w:top w:val="none" w:sz="0" w:space="0" w:color="auto"/>
            <w:left w:val="none" w:sz="0" w:space="0" w:color="auto"/>
            <w:bottom w:val="none" w:sz="0" w:space="0" w:color="auto"/>
            <w:right w:val="none" w:sz="0" w:space="0" w:color="auto"/>
          </w:divBdr>
        </w:div>
        <w:div w:id="1404134780">
          <w:marLeft w:val="446"/>
          <w:marRight w:val="0"/>
          <w:marTop w:val="0"/>
          <w:marBottom w:val="0"/>
          <w:divBdr>
            <w:top w:val="none" w:sz="0" w:space="0" w:color="auto"/>
            <w:left w:val="none" w:sz="0" w:space="0" w:color="auto"/>
            <w:bottom w:val="none" w:sz="0" w:space="0" w:color="auto"/>
            <w:right w:val="none" w:sz="0" w:space="0" w:color="auto"/>
          </w:divBdr>
        </w:div>
        <w:div w:id="1992441867">
          <w:marLeft w:val="446"/>
          <w:marRight w:val="0"/>
          <w:marTop w:val="0"/>
          <w:marBottom w:val="0"/>
          <w:divBdr>
            <w:top w:val="none" w:sz="0" w:space="0" w:color="auto"/>
            <w:left w:val="none" w:sz="0" w:space="0" w:color="auto"/>
            <w:bottom w:val="none" w:sz="0" w:space="0" w:color="auto"/>
            <w:right w:val="none" w:sz="0" w:space="0" w:color="auto"/>
          </w:divBdr>
        </w:div>
      </w:divsChild>
    </w:div>
    <w:div w:id="1168710472">
      <w:bodyDiv w:val="1"/>
      <w:marLeft w:val="0"/>
      <w:marRight w:val="0"/>
      <w:marTop w:val="0"/>
      <w:marBottom w:val="0"/>
      <w:divBdr>
        <w:top w:val="none" w:sz="0" w:space="0" w:color="auto"/>
        <w:left w:val="none" w:sz="0" w:space="0" w:color="auto"/>
        <w:bottom w:val="none" w:sz="0" w:space="0" w:color="auto"/>
        <w:right w:val="none" w:sz="0" w:space="0" w:color="auto"/>
      </w:divBdr>
    </w:div>
    <w:div w:id="1273247890">
      <w:bodyDiv w:val="1"/>
      <w:marLeft w:val="0"/>
      <w:marRight w:val="0"/>
      <w:marTop w:val="0"/>
      <w:marBottom w:val="0"/>
      <w:divBdr>
        <w:top w:val="none" w:sz="0" w:space="0" w:color="auto"/>
        <w:left w:val="none" w:sz="0" w:space="0" w:color="auto"/>
        <w:bottom w:val="none" w:sz="0" w:space="0" w:color="auto"/>
        <w:right w:val="none" w:sz="0" w:space="0" w:color="auto"/>
      </w:divBdr>
    </w:div>
    <w:div w:id="1300500361">
      <w:bodyDiv w:val="1"/>
      <w:marLeft w:val="0"/>
      <w:marRight w:val="0"/>
      <w:marTop w:val="0"/>
      <w:marBottom w:val="0"/>
      <w:divBdr>
        <w:top w:val="none" w:sz="0" w:space="0" w:color="auto"/>
        <w:left w:val="none" w:sz="0" w:space="0" w:color="auto"/>
        <w:bottom w:val="none" w:sz="0" w:space="0" w:color="auto"/>
        <w:right w:val="none" w:sz="0" w:space="0" w:color="auto"/>
      </w:divBdr>
    </w:div>
    <w:div w:id="1336881989">
      <w:bodyDiv w:val="1"/>
      <w:marLeft w:val="0"/>
      <w:marRight w:val="0"/>
      <w:marTop w:val="0"/>
      <w:marBottom w:val="0"/>
      <w:divBdr>
        <w:top w:val="none" w:sz="0" w:space="0" w:color="auto"/>
        <w:left w:val="none" w:sz="0" w:space="0" w:color="auto"/>
        <w:bottom w:val="none" w:sz="0" w:space="0" w:color="auto"/>
        <w:right w:val="none" w:sz="0" w:space="0" w:color="auto"/>
      </w:divBdr>
    </w:div>
    <w:div w:id="1450781396">
      <w:bodyDiv w:val="1"/>
      <w:marLeft w:val="0"/>
      <w:marRight w:val="0"/>
      <w:marTop w:val="0"/>
      <w:marBottom w:val="0"/>
      <w:divBdr>
        <w:top w:val="none" w:sz="0" w:space="0" w:color="auto"/>
        <w:left w:val="none" w:sz="0" w:space="0" w:color="auto"/>
        <w:bottom w:val="none" w:sz="0" w:space="0" w:color="auto"/>
        <w:right w:val="none" w:sz="0" w:space="0" w:color="auto"/>
      </w:divBdr>
      <w:divsChild>
        <w:div w:id="84696176">
          <w:marLeft w:val="0"/>
          <w:marRight w:val="0"/>
          <w:marTop w:val="0"/>
          <w:marBottom w:val="0"/>
          <w:divBdr>
            <w:top w:val="none" w:sz="0" w:space="0" w:color="auto"/>
            <w:left w:val="none" w:sz="0" w:space="0" w:color="auto"/>
            <w:bottom w:val="none" w:sz="0" w:space="0" w:color="auto"/>
            <w:right w:val="none" w:sz="0" w:space="0" w:color="auto"/>
          </w:divBdr>
          <w:divsChild>
            <w:div w:id="992221029">
              <w:marLeft w:val="0"/>
              <w:marRight w:val="0"/>
              <w:marTop w:val="0"/>
              <w:marBottom w:val="0"/>
              <w:divBdr>
                <w:top w:val="none" w:sz="0" w:space="0" w:color="auto"/>
                <w:left w:val="none" w:sz="0" w:space="0" w:color="auto"/>
                <w:bottom w:val="none" w:sz="0" w:space="0" w:color="auto"/>
                <w:right w:val="none" w:sz="0" w:space="0" w:color="auto"/>
              </w:divBdr>
              <w:divsChild>
                <w:div w:id="942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7662">
          <w:marLeft w:val="0"/>
          <w:marRight w:val="0"/>
          <w:marTop w:val="0"/>
          <w:marBottom w:val="0"/>
          <w:divBdr>
            <w:top w:val="none" w:sz="0" w:space="0" w:color="auto"/>
            <w:left w:val="none" w:sz="0" w:space="0" w:color="auto"/>
            <w:bottom w:val="none" w:sz="0" w:space="0" w:color="auto"/>
            <w:right w:val="none" w:sz="0" w:space="0" w:color="auto"/>
          </w:divBdr>
        </w:div>
        <w:div w:id="830605183">
          <w:marLeft w:val="0"/>
          <w:marRight w:val="0"/>
          <w:marTop w:val="0"/>
          <w:marBottom w:val="0"/>
          <w:divBdr>
            <w:top w:val="none" w:sz="0" w:space="0" w:color="auto"/>
            <w:left w:val="none" w:sz="0" w:space="0" w:color="auto"/>
            <w:bottom w:val="none" w:sz="0" w:space="0" w:color="auto"/>
            <w:right w:val="none" w:sz="0" w:space="0" w:color="auto"/>
          </w:divBdr>
        </w:div>
        <w:div w:id="1392657147">
          <w:marLeft w:val="0"/>
          <w:marRight w:val="0"/>
          <w:marTop w:val="0"/>
          <w:marBottom w:val="0"/>
          <w:divBdr>
            <w:top w:val="none" w:sz="0" w:space="0" w:color="auto"/>
            <w:left w:val="none" w:sz="0" w:space="0" w:color="auto"/>
            <w:bottom w:val="none" w:sz="0" w:space="0" w:color="auto"/>
            <w:right w:val="none" w:sz="0" w:space="0" w:color="auto"/>
          </w:divBdr>
        </w:div>
      </w:divsChild>
    </w:div>
    <w:div w:id="1482577678">
      <w:bodyDiv w:val="1"/>
      <w:marLeft w:val="0"/>
      <w:marRight w:val="0"/>
      <w:marTop w:val="0"/>
      <w:marBottom w:val="0"/>
      <w:divBdr>
        <w:top w:val="none" w:sz="0" w:space="0" w:color="auto"/>
        <w:left w:val="none" w:sz="0" w:space="0" w:color="auto"/>
        <w:bottom w:val="none" w:sz="0" w:space="0" w:color="auto"/>
        <w:right w:val="none" w:sz="0" w:space="0" w:color="auto"/>
      </w:divBdr>
    </w:div>
    <w:div w:id="1510363194">
      <w:bodyDiv w:val="1"/>
      <w:marLeft w:val="0"/>
      <w:marRight w:val="0"/>
      <w:marTop w:val="0"/>
      <w:marBottom w:val="0"/>
      <w:divBdr>
        <w:top w:val="none" w:sz="0" w:space="0" w:color="auto"/>
        <w:left w:val="none" w:sz="0" w:space="0" w:color="auto"/>
        <w:bottom w:val="none" w:sz="0" w:space="0" w:color="auto"/>
        <w:right w:val="none" w:sz="0" w:space="0" w:color="auto"/>
      </w:divBdr>
    </w:div>
    <w:div w:id="1531184650">
      <w:bodyDiv w:val="1"/>
      <w:marLeft w:val="0"/>
      <w:marRight w:val="0"/>
      <w:marTop w:val="0"/>
      <w:marBottom w:val="0"/>
      <w:divBdr>
        <w:top w:val="none" w:sz="0" w:space="0" w:color="auto"/>
        <w:left w:val="none" w:sz="0" w:space="0" w:color="auto"/>
        <w:bottom w:val="none" w:sz="0" w:space="0" w:color="auto"/>
        <w:right w:val="none" w:sz="0" w:space="0" w:color="auto"/>
      </w:divBdr>
    </w:div>
    <w:div w:id="1608462113">
      <w:bodyDiv w:val="1"/>
      <w:marLeft w:val="0"/>
      <w:marRight w:val="0"/>
      <w:marTop w:val="0"/>
      <w:marBottom w:val="0"/>
      <w:divBdr>
        <w:top w:val="none" w:sz="0" w:space="0" w:color="auto"/>
        <w:left w:val="none" w:sz="0" w:space="0" w:color="auto"/>
        <w:bottom w:val="none" w:sz="0" w:space="0" w:color="auto"/>
        <w:right w:val="none" w:sz="0" w:space="0" w:color="auto"/>
      </w:divBdr>
      <w:divsChild>
        <w:div w:id="585766175">
          <w:marLeft w:val="446"/>
          <w:marRight w:val="0"/>
          <w:marTop w:val="0"/>
          <w:marBottom w:val="0"/>
          <w:divBdr>
            <w:top w:val="none" w:sz="0" w:space="0" w:color="auto"/>
            <w:left w:val="none" w:sz="0" w:space="0" w:color="auto"/>
            <w:bottom w:val="none" w:sz="0" w:space="0" w:color="auto"/>
            <w:right w:val="none" w:sz="0" w:space="0" w:color="auto"/>
          </w:divBdr>
        </w:div>
        <w:div w:id="634605197">
          <w:marLeft w:val="446"/>
          <w:marRight w:val="0"/>
          <w:marTop w:val="0"/>
          <w:marBottom w:val="0"/>
          <w:divBdr>
            <w:top w:val="none" w:sz="0" w:space="0" w:color="auto"/>
            <w:left w:val="none" w:sz="0" w:space="0" w:color="auto"/>
            <w:bottom w:val="none" w:sz="0" w:space="0" w:color="auto"/>
            <w:right w:val="none" w:sz="0" w:space="0" w:color="auto"/>
          </w:divBdr>
        </w:div>
        <w:div w:id="883444574">
          <w:marLeft w:val="446"/>
          <w:marRight w:val="0"/>
          <w:marTop w:val="0"/>
          <w:marBottom w:val="0"/>
          <w:divBdr>
            <w:top w:val="none" w:sz="0" w:space="0" w:color="auto"/>
            <w:left w:val="none" w:sz="0" w:space="0" w:color="auto"/>
            <w:bottom w:val="none" w:sz="0" w:space="0" w:color="auto"/>
            <w:right w:val="none" w:sz="0" w:space="0" w:color="auto"/>
          </w:divBdr>
        </w:div>
        <w:div w:id="1469665732">
          <w:marLeft w:val="446"/>
          <w:marRight w:val="0"/>
          <w:marTop w:val="0"/>
          <w:marBottom w:val="0"/>
          <w:divBdr>
            <w:top w:val="none" w:sz="0" w:space="0" w:color="auto"/>
            <w:left w:val="none" w:sz="0" w:space="0" w:color="auto"/>
            <w:bottom w:val="none" w:sz="0" w:space="0" w:color="auto"/>
            <w:right w:val="none" w:sz="0" w:space="0" w:color="auto"/>
          </w:divBdr>
        </w:div>
        <w:div w:id="1619603881">
          <w:marLeft w:val="446"/>
          <w:marRight w:val="0"/>
          <w:marTop w:val="0"/>
          <w:marBottom w:val="0"/>
          <w:divBdr>
            <w:top w:val="none" w:sz="0" w:space="0" w:color="auto"/>
            <w:left w:val="none" w:sz="0" w:space="0" w:color="auto"/>
            <w:bottom w:val="none" w:sz="0" w:space="0" w:color="auto"/>
            <w:right w:val="none" w:sz="0" w:space="0" w:color="auto"/>
          </w:divBdr>
        </w:div>
        <w:div w:id="1629508922">
          <w:marLeft w:val="446"/>
          <w:marRight w:val="0"/>
          <w:marTop w:val="0"/>
          <w:marBottom w:val="0"/>
          <w:divBdr>
            <w:top w:val="none" w:sz="0" w:space="0" w:color="auto"/>
            <w:left w:val="none" w:sz="0" w:space="0" w:color="auto"/>
            <w:bottom w:val="none" w:sz="0" w:space="0" w:color="auto"/>
            <w:right w:val="none" w:sz="0" w:space="0" w:color="auto"/>
          </w:divBdr>
        </w:div>
        <w:div w:id="2112048068">
          <w:marLeft w:val="446"/>
          <w:marRight w:val="0"/>
          <w:marTop w:val="0"/>
          <w:marBottom w:val="0"/>
          <w:divBdr>
            <w:top w:val="none" w:sz="0" w:space="0" w:color="auto"/>
            <w:left w:val="none" w:sz="0" w:space="0" w:color="auto"/>
            <w:bottom w:val="none" w:sz="0" w:space="0" w:color="auto"/>
            <w:right w:val="none" w:sz="0" w:space="0" w:color="auto"/>
          </w:divBdr>
        </w:div>
      </w:divsChild>
    </w:div>
    <w:div w:id="1652057183">
      <w:bodyDiv w:val="1"/>
      <w:marLeft w:val="0"/>
      <w:marRight w:val="0"/>
      <w:marTop w:val="0"/>
      <w:marBottom w:val="0"/>
      <w:divBdr>
        <w:top w:val="none" w:sz="0" w:space="0" w:color="auto"/>
        <w:left w:val="none" w:sz="0" w:space="0" w:color="auto"/>
        <w:bottom w:val="none" w:sz="0" w:space="0" w:color="auto"/>
        <w:right w:val="none" w:sz="0" w:space="0" w:color="auto"/>
      </w:divBdr>
    </w:div>
    <w:div w:id="1670062611">
      <w:bodyDiv w:val="1"/>
      <w:marLeft w:val="0"/>
      <w:marRight w:val="0"/>
      <w:marTop w:val="0"/>
      <w:marBottom w:val="0"/>
      <w:divBdr>
        <w:top w:val="none" w:sz="0" w:space="0" w:color="auto"/>
        <w:left w:val="none" w:sz="0" w:space="0" w:color="auto"/>
        <w:bottom w:val="none" w:sz="0" w:space="0" w:color="auto"/>
        <w:right w:val="none" w:sz="0" w:space="0" w:color="auto"/>
      </w:divBdr>
    </w:div>
    <w:div w:id="1819227689">
      <w:bodyDiv w:val="1"/>
      <w:marLeft w:val="0"/>
      <w:marRight w:val="0"/>
      <w:marTop w:val="0"/>
      <w:marBottom w:val="0"/>
      <w:divBdr>
        <w:top w:val="none" w:sz="0" w:space="0" w:color="auto"/>
        <w:left w:val="none" w:sz="0" w:space="0" w:color="auto"/>
        <w:bottom w:val="none" w:sz="0" w:space="0" w:color="auto"/>
        <w:right w:val="none" w:sz="0" w:space="0" w:color="auto"/>
      </w:divBdr>
      <w:divsChild>
        <w:div w:id="607810281">
          <w:marLeft w:val="0"/>
          <w:marRight w:val="0"/>
          <w:marTop w:val="100"/>
          <w:marBottom w:val="0"/>
          <w:divBdr>
            <w:top w:val="none" w:sz="0" w:space="0" w:color="auto"/>
            <w:left w:val="none" w:sz="0" w:space="0" w:color="auto"/>
            <w:bottom w:val="none" w:sz="0" w:space="0" w:color="auto"/>
            <w:right w:val="none" w:sz="0" w:space="0" w:color="auto"/>
          </w:divBdr>
          <w:divsChild>
            <w:div w:id="1041324156">
              <w:marLeft w:val="0"/>
              <w:marRight w:val="0"/>
              <w:marTop w:val="60"/>
              <w:marBottom w:val="0"/>
              <w:divBdr>
                <w:top w:val="none" w:sz="0" w:space="0" w:color="auto"/>
                <w:left w:val="none" w:sz="0" w:space="0" w:color="auto"/>
                <w:bottom w:val="none" w:sz="0" w:space="0" w:color="auto"/>
                <w:right w:val="none" w:sz="0" w:space="0" w:color="auto"/>
              </w:divBdr>
            </w:div>
          </w:divsChild>
        </w:div>
        <w:div w:id="1875144581">
          <w:marLeft w:val="0"/>
          <w:marRight w:val="0"/>
          <w:marTop w:val="0"/>
          <w:marBottom w:val="0"/>
          <w:divBdr>
            <w:top w:val="none" w:sz="0" w:space="0" w:color="auto"/>
            <w:left w:val="none" w:sz="0" w:space="0" w:color="auto"/>
            <w:bottom w:val="none" w:sz="0" w:space="0" w:color="auto"/>
            <w:right w:val="none" w:sz="0" w:space="0" w:color="auto"/>
          </w:divBdr>
          <w:divsChild>
            <w:div w:id="1817142202">
              <w:marLeft w:val="0"/>
              <w:marRight w:val="0"/>
              <w:marTop w:val="0"/>
              <w:marBottom w:val="0"/>
              <w:divBdr>
                <w:top w:val="none" w:sz="0" w:space="0" w:color="auto"/>
                <w:left w:val="none" w:sz="0" w:space="0" w:color="auto"/>
                <w:bottom w:val="none" w:sz="0" w:space="0" w:color="auto"/>
                <w:right w:val="none" w:sz="0" w:space="0" w:color="auto"/>
              </w:divBdr>
              <w:divsChild>
                <w:div w:id="195506610">
                  <w:marLeft w:val="0"/>
                  <w:marRight w:val="0"/>
                  <w:marTop w:val="0"/>
                  <w:marBottom w:val="0"/>
                  <w:divBdr>
                    <w:top w:val="none" w:sz="0" w:space="0" w:color="auto"/>
                    <w:left w:val="none" w:sz="0" w:space="0" w:color="auto"/>
                    <w:bottom w:val="none" w:sz="0" w:space="0" w:color="auto"/>
                    <w:right w:val="none" w:sz="0" w:space="0" w:color="auto"/>
                  </w:divBdr>
                </w:div>
                <w:div w:id="824008293">
                  <w:marLeft w:val="0"/>
                  <w:marRight w:val="0"/>
                  <w:marTop w:val="100"/>
                  <w:marBottom w:val="0"/>
                  <w:divBdr>
                    <w:top w:val="none" w:sz="0" w:space="0" w:color="auto"/>
                    <w:left w:val="none" w:sz="0" w:space="0" w:color="auto"/>
                    <w:bottom w:val="none" w:sz="0" w:space="0" w:color="auto"/>
                    <w:right w:val="none" w:sz="0" w:space="0" w:color="auto"/>
                  </w:divBdr>
                  <w:divsChild>
                    <w:div w:id="4446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195566">
      <w:bodyDiv w:val="1"/>
      <w:marLeft w:val="0"/>
      <w:marRight w:val="0"/>
      <w:marTop w:val="0"/>
      <w:marBottom w:val="0"/>
      <w:divBdr>
        <w:top w:val="none" w:sz="0" w:space="0" w:color="auto"/>
        <w:left w:val="none" w:sz="0" w:space="0" w:color="auto"/>
        <w:bottom w:val="none" w:sz="0" w:space="0" w:color="auto"/>
        <w:right w:val="none" w:sz="0" w:space="0" w:color="auto"/>
      </w:divBdr>
    </w:div>
    <w:div w:id="1867254700">
      <w:bodyDiv w:val="1"/>
      <w:marLeft w:val="0"/>
      <w:marRight w:val="0"/>
      <w:marTop w:val="0"/>
      <w:marBottom w:val="0"/>
      <w:divBdr>
        <w:top w:val="none" w:sz="0" w:space="0" w:color="auto"/>
        <w:left w:val="none" w:sz="0" w:space="0" w:color="auto"/>
        <w:bottom w:val="none" w:sz="0" w:space="0" w:color="auto"/>
        <w:right w:val="none" w:sz="0" w:space="0" w:color="auto"/>
      </w:divBdr>
    </w:div>
    <w:div w:id="1884437315">
      <w:bodyDiv w:val="1"/>
      <w:marLeft w:val="0"/>
      <w:marRight w:val="0"/>
      <w:marTop w:val="0"/>
      <w:marBottom w:val="0"/>
      <w:divBdr>
        <w:top w:val="none" w:sz="0" w:space="0" w:color="auto"/>
        <w:left w:val="none" w:sz="0" w:space="0" w:color="auto"/>
        <w:bottom w:val="none" w:sz="0" w:space="0" w:color="auto"/>
        <w:right w:val="none" w:sz="0" w:space="0" w:color="auto"/>
      </w:divBdr>
    </w:div>
    <w:div w:id="1943684738">
      <w:bodyDiv w:val="1"/>
      <w:marLeft w:val="0"/>
      <w:marRight w:val="0"/>
      <w:marTop w:val="0"/>
      <w:marBottom w:val="0"/>
      <w:divBdr>
        <w:top w:val="none" w:sz="0" w:space="0" w:color="auto"/>
        <w:left w:val="none" w:sz="0" w:space="0" w:color="auto"/>
        <w:bottom w:val="none" w:sz="0" w:space="0" w:color="auto"/>
        <w:right w:val="none" w:sz="0" w:space="0" w:color="auto"/>
      </w:divBdr>
    </w:div>
    <w:div w:id="1964075210">
      <w:bodyDiv w:val="1"/>
      <w:marLeft w:val="0"/>
      <w:marRight w:val="0"/>
      <w:marTop w:val="0"/>
      <w:marBottom w:val="0"/>
      <w:divBdr>
        <w:top w:val="none" w:sz="0" w:space="0" w:color="auto"/>
        <w:left w:val="none" w:sz="0" w:space="0" w:color="auto"/>
        <w:bottom w:val="none" w:sz="0" w:space="0" w:color="auto"/>
        <w:right w:val="none" w:sz="0" w:space="0" w:color="auto"/>
      </w:divBdr>
      <w:divsChild>
        <w:div w:id="615869556">
          <w:marLeft w:val="0"/>
          <w:marRight w:val="0"/>
          <w:marTop w:val="0"/>
          <w:marBottom w:val="0"/>
          <w:divBdr>
            <w:top w:val="none" w:sz="0" w:space="0" w:color="auto"/>
            <w:left w:val="none" w:sz="0" w:space="0" w:color="auto"/>
            <w:bottom w:val="none" w:sz="0" w:space="0" w:color="auto"/>
            <w:right w:val="none" w:sz="0" w:space="0" w:color="auto"/>
          </w:divBdr>
        </w:div>
        <w:div w:id="1032923485">
          <w:marLeft w:val="0"/>
          <w:marRight w:val="0"/>
          <w:marTop w:val="0"/>
          <w:marBottom w:val="0"/>
          <w:divBdr>
            <w:top w:val="none" w:sz="0" w:space="0" w:color="auto"/>
            <w:left w:val="none" w:sz="0" w:space="0" w:color="auto"/>
            <w:bottom w:val="none" w:sz="0" w:space="0" w:color="auto"/>
            <w:right w:val="none" w:sz="0" w:space="0" w:color="auto"/>
          </w:divBdr>
        </w:div>
        <w:div w:id="1502969719">
          <w:marLeft w:val="0"/>
          <w:marRight w:val="0"/>
          <w:marTop w:val="0"/>
          <w:marBottom w:val="0"/>
          <w:divBdr>
            <w:top w:val="none" w:sz="0" w:space="0" w:color="auto"/>
            <w:left w:val="none" w:sz="0" w:space="0" w:color="auto"/>
            <w:bottom w:val="none" w:sz="0" w:space="0" w:color="auto"/>
            <w:right w:val="none" w:sz="0" w:space="0" w:color="auto"/>
          </w:divBdr>
        </w:div>
        <w:div w:id="1717386670">
          <w:marLeft w:val="0"/>
          <w:marRight w:val="0"/>
          <w:marTop w:val="0"/>
          <w:marBottom w:val="0"/>
          <w:divBdr>
            <w:top w:val="none" w:sz="0" w:space="0" w:color="auto"/>
            <w:left w:val="none" w:sz="0" w:space="0" w:color="auto"/>
            <w:bottom w:val="none" w:sz="0" w:space="0" w:color="auto"/>
            <w:right w:val="none" w:sz="0" w:space="0" w:color="auto"/>
          </w:divBdr>
        </w:div>
        <w:div w:id="1875851247">
          <w:marLeft w:val="0"/>
          <w:marRight w:val="0"/>
          <w:marTop w:val="0"/>
          <w:marBottom w:val="0"/>
          <w:divBdr>
            <w:top w:val="none" w:sz="0" w:space="0" w:color="auto"/>
            <w:left w:val="none" w:sz="0" w:space="0" w:color="auto"/>
            <w:bottom w:val="none" w:sz="0" w:space="0" w:color="auto"/>
            <w:right w:val="none" w:sz="0" w:space="0" w:color="auto"/>
          </w:divBdr>
        </w:div>
        <w:div w:id="2008438389">
          <w:marLeft w:val="0"/>
          <w:marRight w:val="0"/>
          <w:marTop w:val="0"/>
          <w:marBottom w:val="0"/>
          <w:divBdr>
            <w:top w:val="none" w:sz="0" w:space="0" w:color="auto"/>
            <w:left w:val="none" w:sz="0" w:space="0" w:color="auto"/>
            <w:bottom w:val="none" w:sz="0" w:space="0" w:color="auto"/>
            <w:right w:val="none" w:sz="0" w:space="0" w:color="auto"/>
          </w:divBdr>
        </w:div>
      </w:divsChild>
    </w:div>
    <w:div w:id="1984658148">
      <w:bodyDiv w:val="1"/>
      <w:marLeft w:val="0"/>
      <w:marRight w:val="0"/>
      <w:marTop w:val="0"/>
      <w:marBottom w:val="0"/>
      <w:divBdr>
        <w:top w:val="none" w:sz="0" w:space="0" w:color="auto"/>
        <w:left w:val="none" w:sz="0" w:space="0" w:color="auto"/>
        <w:bottom w:val="none" w:sz="0" w:space="0" w:color="auto"/>
        <w:right w:val="none" w:sz="0" w:space="0" w:color="auto"/>
      </w:divBdr>
    </w:div>
    <w:div w:id="1989549313">
      <w:bodyDiv w:val="1"/>
      <w:marLeft w:val="0"/>
      <w:marRight w:val="0"/>
      <w:marTop w:val="0"/>
      <w:marBottom w:val="0"/>
      <w:divBdr>
        <w:top w:val="none" w:sz="0" w:space="0" w:color="auto"/>
        <w:left w:val="none" w:sz="0" w:space="0" w:color="auto"/>
        <w:bottom w:val="none" w:sz="0" w:space="0" w:color="auto"/>
        <w:right w:val="none" w:sz="0" w:space="0" w:color="auto"/>
      </w:divBdr>
      <w:divsChild>
        <w:div w:id="5640677">
          <w:marLeft w:val="547"/>
          <w:marRight w:val="0"/>
          <w:marTop w:val="0"/>
          <w:marBottom w:val="0"/>
          <w:divBdr>
            <w:top w:val="none" w:sz="0" w:space="0" w:color="auto"/>
            <w:left w:val="none" w:sz="0" w:space="0" w:color="auto"/>
            <w:bottom w:val="none" w:sz="0" w:space="0" w:color="auto"/>
            <w:right w:val="none" w:sz="0" w:space="0" w:color="auto"/>
          </w:divBdr>
        </w:div>
        <w:div w:id="497308394">
          <w:marLeft w:val="547"/>
          <w:marRight w:val="0"/>
          <w:marTop w:val="0"/>
          <w:marBottom w:val="0"/>
          <w:divBdr>
            <w:top w:val="none" w:sz="0" w:space="0" w:color="auto"/>
            <w:left w:val="none" w:sz="0" w:space="0" w:color="auto"/>
            <w:bottom w:val="none" w:sz="0" w:space="0" w:color="auto"/>
            <w:right w:val="none" w:sz="0" w:space="0" w:color="auto"/>
          </w:divBdr>
        </w:div>
        <w:div w:id="690687319">
          <w:marLeft w:val="547"/>
          <w:marRight w:val="0"/>
          <w:marTop w:val="0"/>
          <w:marBottom w:val="0"/>
          <w:divBdr>
            <w:top w:val="none" w:sz="0" w:space="0" w:color="auto"/>
            <w:left w:val="none" w:sz="0" w:space="0" w:color="auto"/>
            <w:bottom w:val="none" w:sz="0" w:space="0" w:color="auto"/>
            <w:right w:val="none" w:sz="0" w:space="0" w:color="auto"/>
          </w:divBdr>
        </w:div>
        <w:div w:id="791361206">
          <w:marLeft w:val="547"/>
          <w:marRight w:val="0"/>
          <w:marTop w:val="0"/>
          <w:marBottom w:val="0"/>
          <w:divBdr>
            <w:top w:val="none" w:sz="0" w:space="0" w:color="auto"/>
            <w:left w:val="none" w:sz="0" w:space="0" w:color="auto"/>
            <w:bottom w:val="none" w:sz="0" w:space="0" w:color="auto"/>
            <w:right w:val="none" w:sz="0" w:space="0" w:color="auto"/>
          </w:divBdr>
        </w:div>
        <w:div w:id="851843105">
          <w:marLeft w:val="547"/>
          <w:marRight w:val="0"/>
          <w:marTop w:val="0"/>
          <w:marBottom w:val="0"/>
          <w:divBdr>
            <w:top w:val="none" w:sz="0" w:space="0" w:color="auto"/>
            <w:left w:val="none" w:sz="0" w:space="0" w:color="auto"/>
            <w:bottom w:val="none" w:sz="0" w:space="0" w:color="auto"/>
            <w:right w:val="none" w:sz="0" w:space="0" w:color="auto"/>
          </w:divBdr>
        </w:div>
        <w:div w:id="1433893723">
          <w:marLeft w:val="547"/>
          <w:marRight w:val="0"/>
          <w:marTop w:val="0"/>
          <w:marBottom w:val="0"/>
          <w:divBdr>
            <w:top w:val="none" w:sz="0" w:space="0" w:color="auto"/>
            <w:left w:val="none" w:sz="0" w:space="0" w:color="auto"/>
            <w:bottom w:val="none" w:sz="0" w:space="0" w:color="auto"/>
            <w:right w:val="none" w:sz="0" w:space="0" w:color="auto"/>
          </w:divBdr>
        </w:div>
        <w:div w:id="1479805277">
          <w:marLeft w:val="547"/>
          <w:marRight w:val="0"/>
          <w:marTop w:val="0"/>
          <w:marBottom w:val="0"/>
          <w:divBdr>
            <w:top w:val="none" w:sz="0" w:space="0" w:color="auto"/>
            <w:left w:val="none" w:sz="0" w:space="0" w:color="auto"/>
            <w:bottom w:val="none" w:sz="0" w:space="0" w:color="auto"/>
            <w:right w:val="none" w:sz="0" w:space="0" w:color="auto"/>
          </w:divBdr>
        </w:div>
        <w:div w:id="1763646620">
          <w:marLeft w:val="547"/>
          <w:marRight w:val="0"/>
          <w:marTop w:val="0"/>
          <w:marBottom w:val="0"/>
          <w:divBdr>
            <w:top w:val="none" w:sz="0" w:space="0" w:color="auto"/>
            <w:left w:val="none" w:sz="0" w:space="0" w:color="auto"/>
            <w:bottom w:val="none" w:sz="0" w:space="0" w:color="auto"/>
            <w:right w:val="none" w:sz="0" w:space="0" w:color="auto"/>
          </w:divBdr>
        </w:div>
      </w:divsChild>
    </w:div>
    <w:div w:id="199749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6.xml"/><Relationship Id="rId21" Type="http://schemas.openxmlformats.org/officeDocument/2006/relationships/chart" Target="charts/chart1.xml"/><Relationship Id="rId42" Type="http://schemas.openxmlformats.org/officeDocument/2006/relationships/image" Target="media/image17.png"/><Relationship Id="rId47" Type="http://schemas.openxmlformats.org/officeDocument/2006/relationships/image" Target="media/image20.jpeg"/><Relationship Id="rId63" Type="http://schemas.openxmlformats.org/officeDocument/2006/relationships/image" Target="media/image31.jpeg"/><Relationship Id="rId68" Type="http://schemas.openxmlformats.org/officeDocument/2006/relationships/chart" Target="charts/chart13.xml"/><Relationship Id="rId84" Type="http://schemas.openxmlformats.org/officeDocument/2006/relationships/hyperlink" Target="https://ec.europa.eu" TargetMode="External"/><Relationship Id="rId89" Type="http://schemas.openxmlformats.org/officeDocument/2006/relationships/chart" Target="charts/chart30.xml"/><Relationship Id="rId16" Type="http://schemas.openxmlformats.org/officeDocument/2006/relationships/header" Target="header5.xml"/><Relationship Id="rId107" Type="http://schemas.openxmlformats.org/officeDocument/2006/relationships/hyperlink" Target="http://www.seaslugforum.net/find.cfm?id=12280" TargetMode="External"/><Relationship Id="rId11" Type="http://schemas.openxmlformats.org/officeDocument/2006/relationships/footer" Target="footer1.xml"/><Relationship Id="rId32" Type="http://schemas.openxmlformats.org/officeDocument/2006/relationships/chart" Target="charts/chart12.xml"/><Relationship Id="rId37" Type="http://schemas.openxmlformats.org/officeDocument/2006/relationships/image" Target="media/image12.png"/><Relationship Id="rId58" Type="http://schemas.openxmlformats.org/officeDocument/2006/relationships/image" Target="media/image27.png"/><Relationship Id="rId74" Type="http://schemas.openxmlformats.org/officeDocument/2006/relationships/chart" Target="charts/chart19.xml"/><Relationship Id="rId79" Type="http://schemas.openxmlformats.org/officeDocument/2006/relationships/chart" Target="charts/chart24.xml"/><Relationship Id="rId102" Type="http://schemas.openxmlformats.org/officeDocument/2006/relationships/image" Target="media/image45.jpeg"/><Relationship Id="rId5" Type="http://schemas.openxmlformats.org/officeDocument/2006/relationships/webSettings" Target="webSettings.xml"/><Relationship Id="rId90" Type="http://schemas.openxmlformats.org/officeDocument/2006/relationships/chart" Target="charts/chart31.xml"/><Relationship Id="rId95" Type="http://schemas.openxmlformats.org/officeDocument/2006/relationships/image" Target="media/image38.jpeg"/><Relationship Id="rId22" Type="http://schemas.openxmlformats.org/officeDocument/2006/relationships/chart" Target="charts/chart2.xml"/><Relationship Id="rId27" Type="http://schemas.openxmlformats.org/officeDocument/2006/relationships/chart" Target="charts/chart7.xml"/><Relationship Id="rId43" Type="http://schemas.openxmlformats.org/officeDocument/2006/relationships/image" Target="media/image18.png"/><Relationship Id="rId48" Type="http://schemas.openxmlformats.org/officeDocument/2006/relationships/image" Target="media/image21.jpeg"/><Relationship Id="rId64" Type="http://schemas.openxmlformats.org/officeDocument/2006/relationships/image" Target="media/image32.png"/><Relationship Id="rId69" Type="http://schemas.openxmlformats.org/officeDocument/2006/relationships/chart" Target="charts/chart14.xml"/><Relationship Id="rId80" Type="http://schemas.openxmlformats.org/officeDocument/2006/relationships/chart" Target="charts/chart25.xml"/><Relationship Id="rId85" Type="http://schemas.openxmlformats.org/officeDocument/2006/relationships/hyperlink" Target="https://ec.europa.eu" TargetMode="External"/><Relationship Id="rId12" Type="http://schemas.openxmlformats.org/officeDocument/2006/relationships/footer" Target="footer2.xml"/><Relationship Id="rId17" Type="http://schemas.openxmlformats.org/officeDocument/2006/relationships/image" Target="media/image4.png"/><Relationship Id="rId33" Type="http://schemas.openxmlformats.org/officeDocument/2006/relationships/image" Target="media/image8.png"/><Relationship Id="rId38" Type="http://schemas.openxmlformats.org/officeDocument/2006/relationships/image" Target="media/image13.png"/><Relationship Id="rId59" Type="http://schemas.openxmlformats.org/officeDocument/2006/relationships/image" Target="media/image28.jpeg"/><Relationship Id="rId103" Type="http://schemas.openxmlformats.org/officeDocument/2006/relationships/hyperlink" Target="https://doi.org/10.1080/11250003.2015.1114157" TargetMode="External"/><Relationship Id="rId108" Type="http://schemas.openxmlformats.org/officeDocument/2006/relationships/hyperlink" Target="https://www.bib.irb.hr/1017118" TargetMode="External"/><Relationship Id="rId20" Type="http://schemas.openxmlformats.org/officeDocument/2006/relationships/image" Target="media/image7.emf"/><Relationship Id="rId41" Type="http://schemas.openxmlformats.org/officeDocument/2006/relationships/image" Target="media/image16.png"/><Relationship Id="rId62" Type="http://schemas.openxmlformats.org/officeDocument/2006/relationships/image" Target="media/image30.png"/><Relationship Id="rId70" Type="http://schemas.openxmlformats.org/officeDocument/2006/relationships/chart" Target="charts/chart15.xml"/><Relationship Id="rId75" Type="http://schemas.openxmlformats.org/officeDocument/2006/relationships/chart" Target="charts/chart20.xml"/><Relationship Id="rId83" Type="http://schemas.openxmlformats.org/officeDocument/2006/relationships/chart" Target="charts/chart28.xml"/><Relationship Id="rId88" Type="http://schemas.openxmlformats.org/officeDocument/2006/relationships/chart" Target="charts/chart29.xml"/><Relationship Id="rId91" Type="http://schemas.openxmlformats.org/officeDocument/2006/relationships/chart" Target="charts/chart32.xml"/><Relationship Id="rId96" Type="http://schemas.openxmlformats.org/officeDocument/2006/relationships/image" Target="media/image3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image" Target="media/image11.png"/><Relationship Id="rId49" Type="http://schemas.openxmlformats.org/officeDocument/2006/relationships/image" Target="media/image23.jpeg"/><Relationship Id="rId57" Type="http://schemas.openxmlformats.org/officeDocument/2006/relationships/image" Target="media/image25.jpeg"/><Relationship Id="rId106" Type="http://schemas.openxmlformats.org/officeDocument/2006/relationships/hyperlink" Target="https://doi.org/10.1016/j.envpol.2015.11.022" TargetMode="External"/><Relationship Id="rId10" Type="http://schemas.openxmlformats.org/officeDocument/2006/relationships/header" Target="header2.xml"/><Relationship Id="rId31" Type="http://schemas.openxmlformats.org/officeDocument/2006/relationships/chart" Target="charts/chart11.xml"/><Relationship Id="rId44" Type="http://schemas.openxmlformats.org/officeDocument/2006/relationships/image" Target="media/image19.png"/><Relationship Id="rId60" Type="http://schemas.openxmlformats.org/officeDocument/2006/relationships/image" Target="media/image29.png"/><Relationship Id="rId65" Type="http://schemas.openxmlformats.org/officeDocument/2006/relationships/image" Target="media/image33.png"/><Relationship Id="rId73" Type="http://schemas.openxmlformats.org/officeDocument/2006/relationships/chart" Target="charts/chart18.xml"/><Relationship Id="rId78" Type="http://schemas.openxmlformats.org/officeDocument/2006/relationships/chart" Target="charts/chart23.xml"/><Relationship Id="rId81" Type="http://schemas.openxmlformats.org/officeDocument/2006/relationships/chart" Target="charts/chart26.xml"/><Relationship Id="rId86" Type="http://schemas.openxmlformats.org/officeDocument/2006/relationships/hyperlink" Target="https://ec.europa.eu" TargetMode="External"/><Relationship Id="rId94" Type="http://schemas.openxmlformats.org/officeDocument/2006/relationships/image" Target="media/image37.png"/><Relationship Id="rId99" Type="http://schemas.openxmlformats.org/officeDocument/2006/relationships/image" Target="media/image42.emf"/><Relationship Id="rId101" Type="http://schemas.openxmlformats.org/officeDocument/2006/relationships/image" Target="media/image44.emf"/><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jpeg"/><Relationship Id="rId39" Type="http://schemas.openxmlformats.org/officeDocument/2006/relationships/image" Target="media/image14.png"/><Relationship Id="rId109" Type="http://schemas.openxmlformats.org/officeDocument/2006/relationships/fontTable" Target="fontTable.xml"/><Relationship Id="rId34" Type="http://schemas.openxmlformats.org/officeDocument/2006/relationships/image" Target="media/image9.png"/><Relationship Id="rId50" Type="http://schemas.openxmlformats.org/officeDocument/2006/relationships/image" Target="media/image24.jpeg"/><Relationship Id="rId76" Type="http://schemas.openxmlformats.org/officeDocument/2006/relationships/chart" Target="charts/chart21.xml"/><Relationship Id="rId97" Type="http://schemas.openxmlformats.org/officeDocument/2006/relationships/image" Target="media/image40.jpeg"/><Relationship Id="rId104" Type="http://schemas.openxmlformats.org/officeDocument/2006/relationships/hyperlink" Target="https://doi.org/10.1016/j.marpolbul.2013.06.053" TargetMode="External"/><Relationship Id="rId7" Type="http://schemas.openxmlformats.org/officeDocument/2006/relationships/endnotes" Target="endnotes.xml"/><Relationship Id="rId71" Type="http://schemas.openxmlformats.org/officeDocument/2006/relationships/chart" Target="charts/chart16.xml"/><Relationship Id="rId92" Type="http://schemas.openxmlformats.org/officeDocument/2006/relationships/chart" Target="charts/chart33.xml"/><Relationship Id="rId2" Type="http://schemas.openxmlformats.org/officeDocument/2006/relationships/numbering" Target="numbering.xml"/><Relationship Id="rId29" Type="http://schemas.openxmlformats.org/officeDocument/2006/relationships/chart" Target="charts/chart9.xml"/><Relationship Id="rId24" Type="http://schemas.openxmlformats.org/officeDocument/2006/relationships/chart" Target="charts/chart4.xml"/><Relationship Id="rId40" Type="http://schemas.openxmlformats.org/officeDocument/2006/relationships/image" Target="media/image15.png"/><Relationship Id="rId66" Type="http://schemas.openxmlformats.org/officeDocument/2006/relationships/image" Target="media/image34.jpeg"/><Relationship Id="rId87" Type="http://schemas.openxmlformats.org/officeDocument/2006/relationships/image" Target="media/image36.jpeg"/><Relationship Id="rId110" Type="http://schemas.openxmlformats.org/officeDocument/2006/relationships/theme" Target="theme/theme1.xml"/><Relationship Id="rId61" Type="http://schemas.openxmlformats.org/officeDocument/2006/relationships/image" Target="media/image28.png"/><Relationship Id="rId82" Type="http://schemas.openxmlformats.org/officeDocument/2006/relationships/chart" Target="charts/chart27.xml"/><Relationship Id="rId19" Type="http://schemas.openxmlformats.org/officeDocument/2006/relationships/image" Target="media/image6.png"/><Relationship Id="rId14" Type="http://schemas.openxmlformats.org/officeDocument/2006/relationships/header" Target="header4.xml"/><Relationship Id="rId30" Type="http://schemas.openxmlformats.org/officeDocument/2006/relationships/chart" Target="charts/chart10.xml"/><Relationship Id="rId35" Type="http://schemas.openxmlformats.org/officeDocument/2006/relationships/image" Target="media/image10.png"/><Relationship Id="rId56" Type="http://schemas.openxmlformats.org/officeDocument/2006/relationships/image" Target="media/image26.png"/><Relationship Id="rId77" Type="http://schemas.openxmlformats.org/officeDocument/2006/relationships/chart" Target="charts/chart22.xml"/><Relationship Id="rId100" Type="http://schemas.openxmlformats.org/officeDocument/2006/relationships/image" Target="media/image43.emf"/><Relationship Id="rId105" Type="http://schemas.openxmlformats.org/officeDocument/2006/relationships/hyperlink" Target="https://doi.org/10.1016/j.marpolbul.2011.09.025" TargetMode="External"/><Relationship Id="rId8" Type="http://schemas.openxmlformats.org/officeDocument/2006/relationships/image" Target="media/image1.jpeg"/><Relationship Id="rId51" Type="http://schemas.openxmlformats.org/officeDocument/2006/relationships/image" Target="media/image22.png"/><Relationship Id="rId72" Type="http://schemas.openxmlformats.org/officeDocument/2006/relationships/chart" Target="charts/chart17.xml"/><Relationship Id="rId93" Type="http://schemas.openxmlformats.org/officeDocument/2006/relationships/chart" Target="charts/chart34.xml"/><Relationship Id="rId98" Type="http://schemas.openxmlformats.org/officeDocument/2006/relationships/image" Target="media/image41.emf"/><Relationship Id="rId3" Type="http://schemas.openxmlformats.org/officeDocument/2006/relationships/styles" Target="styles.xml"/><Relationship Id="rId25" Type="http://schemas.openxmlformats.org/officeDocument/2006/relationships/chart" Target="charts/chart5.xml"/><Relationship Id="rId46" Type="http://schemas.openxmlformats.org/officeDocument/2006/relationships/image" Target="media/image20.png"/><Relationship Id="rId67" Type="http://schemas.openxmlformats.org/officeDocument/2006/relationships/image" Target="media/image35.jpeg"/><Relationship Id="rId116" Type="http://schemas.microsoft.com/office/2018/08/relationships/commentsExtensible" Target="commentsExtensible.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footnotes.xml.rels><?xml version="1.0" encoding="UTF-8" standalone="yes"?>
<Relationships xmlns="http://schemas.openxmlformats.org/package/2006/relationships"><Relationship Id="rId3" Type="http://schemas.openxmlformats.org/officeDocument/2006/relationships/hyperlink" Target="https://medregion.eu" TargetMode="External"/><Relationship Id="rId2" Type="http://schemas.openxmlformats.org/officeDocument/2006/relationships/hyperlink" Target="http://medcis.eu" TargetMode="External"/><Relationship Id="rId1" Type="http://schemas.openxmlformats.org/officeDocument/2006/relationships/hyperlink" Target="https://narodne-novine.nn.hr/clanci/sluzbeni/2013_06_73_1463.html" TargetMode="External"/><Relationship Id="rId4" Type="http://schemas.openxmlformats.org/officeDocument/2006/relationships/hyperlink" Target="https://mingor.gov.hr/UserDocsImages/Uprava_vodnoga_gospodarstva_i_zast_mora/Strategija_upravljanja_morem/Izvjesce_Azuriranje_dok_Strategije_2019.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H:\Posao\MSFD\Inicijalno_stanje\Demerz_res\DCRF_Data_HKE_MUT_DPS_2017-2019.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H:\Posao\MSFD\Ribe\Bioloki%20podaci\MEDITS_2014-2018.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H:\Posao\MSFD\Inicijalno_stanje\Demerz_res\DCRF_Data_HKE_MUT_DPS_2017-2019.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H:\Posao\MSFD\Ribe\Bioloki%20podaci\MEDITS_2014-2018.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CETI\Desktop\VLADO\GES%20ispravka.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CETI\Desktop\VLADO\GES%20ispravka.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C:\Users\CETI\Desktop\VLADO\GES%20ispravka.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C:\Users\CETI\Desktop\VLADO\GES%20ispravka.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C:\Users\CETI\Desktop\VLADO\GES%20ispravka.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C:\Users\CETI\Desktop\VLADO\GES%20ispravka.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C:\Users\CETI\Desktop\VLADO\GES%20ispravka.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H:\Posao\MSFD\Ribe\Bioloki%20podaci\MEDITS_2014-2018.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C:\Users\CETI\Desktop\VLADO\GES%20ispravka.xlsx" TargetMode="External"/></Relationships>
</file>

<file path=word/charts/_rels/chart21.xml.rels><?xml version="1.0" encoding="UTF-8" standalone="yes"?>
<Relationships xmlns="http://schemas.openxmlformats.org/package/2006/relationships"><Relationship Id="rId2" Type="http://schemas.openxmlformats.org/officeDocument/2006/relationships/oleObject" Target="file:///C:\Users\CETI\Desktop\VLADO\MED%20PROJEKAT-skoljke-%20GES.xlsx" TargetMode="External"/><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oleObject" Target="file:///C:\Users\CETI\Desktop\VLADO\MED%20PROJEKAT-skoljke-%20GES.xlsx" TargetMode="External"/><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oleObject" Target="file:///C:\Users\CETI\Desktop\VLADO\MED%20PROJEKAT-skoljke-%20GES.xlsx" TargetMode="External"/><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oleObject" Target="file:///C:\Users\CETI\Desktop\VLADO\MED%20PROJEKAT-skoljke-%20GES.xlsx" TargetMode="External"/><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oleObject" Target="file:///C:\Users\CETI\Desktop\VLADO\MED%20PROJEKAT-skoljke-%20GES.xlsx" TargetMode="External"/><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oleObject" Target="file:///C:\Users\CETI\Desktop\VLADO\MED%20PROJEKAT-skoljke-%20GES.xlsx" TargetMode="External"/><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oleObject" Target="file:///C:\Users\CETI\Desktop\VLADO\MED%20PROJEKAT-skoljke-%20GES.xlsx" TargetMode="External"/><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oleObject" Target="file:///C:\Users\CETI\Desktop\VLADO\MED%20PROJEKAT-skoljke-%20GES.xlsx" TargetMode="External"/><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2" Type="http://schemas.openxmlformats.org/officeDocument/2006/relationships/oleObject" Target="file:///C:\Users\CETI\Desktop\VLADO\Seafood-MED%20PROJEKAT%20Skoljke-Kontaminenti%202014-2020-uzgajalista%2023.09.2020.xlsx" TargetMode="External"/><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H:\Posao\MSFD\Inicijalno_stanje\Demerz_res\DCRF_Data_HKE_MUT_DPS_2017-2019.xlsx" TargetMode="External"/></Relationships>
</file>

<file path=word/charts/_rels/chart30.xml.rels><?xml version="1.0" encoding="UTF-8" standalone="yes"?>
<Relationships xmlns="http://schemas.openxmlformats.org/package/2006/relationships"><Relationship Id="rId2" Type="http://schemas.openxmlformats.org/officeDocument/2006/relationships/oleObject" Target="file:///C:\Users\CETI\Desktop\VLADO\Seafood-MED%20PROJEKAT%20Skoljke-Kontaminenti%202014-2020-uzgajalista%2023.09.2020.xlsx" TargetMode="External"/><Relationship Id="rId1" Type="http://schemas.openxmlformats.org/officeDocument/2006/relationships/themeOverride" Target="../theme/themeOverride30.xml"/></Relationships>
</file>

<file path=word/charts/_rels/chart31.xml.rels><?xml version="1.0" encoding="UTF-8" standalone="yes"?>
<Relationships xmlns="http://schemas.openxmlformats.org/package/2006/relationships"><Relationship Id="rId2" Type="http://schemas.openxmlformats.org/officeDocument/2006/relationships/oleObject" Target="file:///C:\Users\CETI\Desktop\VLADO\Seafood-MED%20PROJEKAT%20Skoljke-Kontaminenti%202014-2020-uzgajalista%2023.09.2020.xlsx" TargetMode="External"/><Relationship Id="rId1" Type="http://schemas.openxmlformats.org/officeDocument/2006/relationships/themeOverride" Target="../theme/themeOverride31.xml"/></Relationships>
</file>

<file path=word/charts/_rels/chart32.xml.rels><?xml version="1.0" encoding="UTF-8" standalone="yes"?>
<Relationships xmlns="http://schemas.openxmlformats.org/package/2006/relationships"><Relationship Id="rId2" Type="http://schemas.openxmlformats.org/officeDocument/2006/relationships/oleObject" Target="file:///C:\Users\CETI\Desktop\VLADO\Seafood-MED%20PROJEKAT%20Skoljke-Kontaminenti%202014-2020-uzgajalista%2023.09.2020.xlsx" TargetMode="External"/><Relationship Id="rId1" Type="http://schemas.openxmlformats.org/officeDocument/2006/relationships/themeOverride" Target="../theme/themeOverride32.xml"/></Relationships>
</file>

<file path=word/charts/_rels/chart33.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33.xml"/></Relationships>
</file>

<file path=word/charts/_rels/chart34.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34.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H:\Posao\MSFD\Ribe\Bioloki%20podaci\MEDITS_2014-2018.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H:\Posao\MSFD\Inicijalno_stanje\Demerz_res\DCRF_Data_HKE_MUT_DPS_2017-2019.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H:\Posao\MSFD\Ribe\Bioloki%20podaci\MEDITS_2014-2018.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H:\Posao\MSFD\Inicijalno_stanje\Demerz_res\DCRF_Data_HKE_MUT_DPS_2017-2019.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H:\Posao\MSFD\Ribe\Bioloki%20podaci\MEDITS_2014-2018.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H:\Posao\MSFD\Inicijalno_stanje\Demerz_res\DCRF_Data_HKE_MUT_DPS_2017-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errBars>
            <c:errBarType val="plus"/>
            <c:errValType val="cust"/>
            <c:noEndCap val="0"/>
            <c:plus>
              <c:numRef>
                <c:f>MUT_95!$AN$3:$AP$3</c:f>
                <c:numCache>
                  <c:formatCode>General</c:formatCode>
                  <c:ptCount val="3"/>
                  <c:pt idx="0">
                    <c:v>2.69</c:v>
                  </c:pt>
                  <c:pt idx="1">
                    <c:v>3.09</c:v>
                  </c:pt>
                  <c:pt idx="2">
                    <c:v>2.69</c:v>
                  </c:pt>
                </c:numCache>
              </c:numRef>
            </c:plus>
            <c:minus>
              <c:numRef>
                <c:f>MUT_95!$AN$3:$AP$3</c:f>
                <c:numCache>
                  <c:formatCode>General</c:formatCode>
                  <c:ptCount val="3"/>
                  <c:pt idx="0">
                    <c:v>2.69</c:v>
                  </c:pt>
                  <c:pt idx="1">
                    <c:v>3.09</c:v>
                  </c:pt>
                  <c:pt idx="2">
                    <c:v>2.69</c:v>
                  </c:pt>
                </c:numCache>
              </c:numRef>
            </c:minus>
            <c:spPr>
              <a:noFill/>
              <a:ln w="9525" cap="flat" cmpd="sng" algn="ctr">
                <a:solidFill>
                  <a:schemeClr val="tx1">
                    <a:lumMod val="65000"/>
                    <a:lumOff val="35000"/>
                  </a:schemeClr>
                </a:solidFill>
                <a:round/>
              </a:ln>
              <a:effectLst/>
            </c:spPr>
          </c:errBars>
          <c:cat>
            <c:numRef>
              <c:f>MUT_95!$AN$1:$AP$1</c:f>
              <c:numCache>
                <c:formatCode>General</c:formatCode>
                <c:ptCount val="3"/>
                <c:pt idx="0">
                  <c:v>2017</c:v>
                </c:pt>
                <c:pt idx="1">
                  <c:v>2018</c:v>
                </c:pt>
                <c:pt idx="2">
                  <c:v>2019</c:v>
                </c:pt>
              </c:numCache>
            </c:numRef>
          </c:cat>
          <c:val>
            <c:numRef>
              <c:f>MUT_95!$AN$2:$AP$2</c:f>
              <c:numCache>
                <c:formatCode>General</c:formatCode>
                <c:ptCount val="3"/>
                <c:pt idx="0">
                  <c:v>15.13</c:v>
                </c:pt>
                <c:pt idx="1">
                  <c:v>14.49</c:v>
                </c:pt>
                <c:pt idx="2">
                  <c:v>14.81</c:v>
                </c:pt>
              </c:numCache>
            </c:numRef>
          </c:val>
          <c:extLst>
            <c:ext xmlns:c16="http://schemas.microsoft.com/office/drawing/2014/chart" uri="{C3380CC4-5D6E-409C-BE32-E72D297353CC}">
              <c16:uniqueId val="{00000000-062A-4D05-8ACD-9BA0C718C99A}"/>
            </c:ext>
          </c:extLst>
        </c:ser>
        <c:dLbls>
          <c:showLegendKey val="0"/>
          <c:showVal val="0"/>
          <c:showCatName val="0"/>
          <c:showSerName val="0"/>
          <c:showPercent val="0"/>
          <c:showBubbleSize val="0"/>
        </c:dLbls>
        <c:gapWidth val="50"/>
        <c:overlap val="-27"/>
        <c:axId val="480281392"/>
        <c:axId val="480281784"/>
      </c:barChart>
      <c:catAx>
        <c:axId val="48028139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281784"/>
        <c:crosses val="autoZero"/>
        <c:auto val="1"/>
        <c:lblAlgn val="ctr"/>
        <c:lblOffset val="100"/>
        <c:noMultiLvlLbl val="0"/>
      </c:catAx>
      <c:valAx>
        <c:axId val="480281784"/>
        <c:scaling>
          <c:orientation val="minMax"/>
          <c:max val="1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hr-HR" b="1"/>
                  <a:t>TL (cm)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28139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errBars>
            <c:errBarType val="plus"/>
            <c:errValType val="cust"/>
            <c:noEndCap val="0"/>
            <c:plus>
              <c:numRef>
                <c:f>DPS_95!$AV$3:$AZ$3</c:f>
                <c:numCache>
                  <c:formatCode>General</c:formatCode>
                  <c:ptCount val="5"/>
                  <c:pt idx="0">
                    <c:v>2.36</c:v>
                  </c:pt>
                  <c:pt idx="1">
                    <c:v>3.6</c:v>
                  </c:pt>
                  <c:pt idx="2">
                    <c:v>2.29</c:v>
                  </c:pt>
                  <c:pt idx="3">
                    <c:v>1.83</c:v>
                  </c:pt>
                  <c:pt idx="4">
                    <c:v>1.83</c:v>
                  </c:pt>
                </c:numCache>
              </c:numRef>
            </c:plus>
            <c:minus>
              <c:numRef>
                <c:f>DPS_95!$AV$3:$AZ$3</c:f>
                <c:numCache>
                  <c:formatCode>General</c:formatCode>
                  <c:ptCount val="5"/>
                  <c:pt idx="0">
                    <c:v>2.36</c:v>
                  </c:pt>
                  <c:pt idx="1">
                    <c:v>3.6</c:v>
                  </c:pt>
                  <c:pt idx="2">
                    <c:v>2.29</c:v>
                  </c:pt>
                  <c:pt idx="3">
                    <c:v>1.83</c:v>
                  </c:pt>
                  <c:pt idx="4">
                    <c:v>1.83</c:v>
                  </c:pt>
                </c:numCache>
              </c:numRef>
            </c:minus>
            <c:spPr>
              <a:noFill/>
              <a:ln w="9525" cap="flat" cmpd="sng" algn="ctr">
                <a:solidFill>
                  <a:schemeClr val="tx1">
                    <a:lumMod val="65000"/>
                    <a:lumOff val="35000"/>
                  </a:schemeClr>
                </a:solidFill>
                <a:round/>
              </a:ln>
              <a:effectLst/>
            </c:spPr>
          </c:errBars>
          <c:cat>
            <c:numRef>
              <c:f>DPS_95!$AV$1:$AZ$1</c:f>
              <c:numCache>
                <c:formatCode>General</c:formatCode>
                <c:ptCount val="5"/>
                <c:pt idx="0">
                  <c:v>2014</c:v>
                </c:pt>
                <c:pt idx="1">
                  <c:v>2015</c:v>
                </c:pt>
                <c:pt idx="2">
                  <c:v>2016</c:v>
                </c:pt>
                <c:pt idx="3">
                  <c:v>2017</c:v>
                </c:pt>
                <c:pt idx="4">
                  <c:v>2018</c:v>
                </c:pt>
              </c:numCache>
            </c:numRef>
          </c:cat>
          <c:val>
            <c:numRef>
              <c:f>DPS_95!$AV$2:$AZ$2</c:f>
              <c:numCache>
                <c:formatCode>General</c:formatCode>
                <c:ptCount val="5"/>
                <c:pt idx="0">
                  <c:v>19.69069069069069</c:v>
                </c:pt>
                <c:pt idx="1">
                  <c:v>21.456140350877192</c:v>
                </c:pt>
                <c:pt idx="2">
                  <c:v>18.627296587926509</c:v>
                </c:pt>
                <c:pt idx="3">
                  <c:v>18.700361010830324</c:v>
                </c:pt>
                <c:pt idx="4">
                  <c:v>18.700361010830324</c:v>
                </c:pt>
              </c:numCache>
            </c:numRef>
          </c:val>
          <c:extLst>
            <c:ext xmlns:c16="http://schemas.microsoft.com/office/drawing/2014/chart" uri="{C3380CC4-5D6E-409C-BE32-E72D297353CC}">
              <c16:uniqueId val="{00000000-7450-4341-B650-74972E9CC8E0}"/>
            </c:ext>
          </c:extLst>
        </c:ser>
        <c:dLbls>
          <c:showLegendKey val="0"/>
          <c:showVal val="0"/>
          <c:showCatName val="0"/>
          <c:showSerName val="0"/>
          <c:showPercent val="0"/>
          <c:showBubbleSize val="0"/>
        </c:dLbls>
        <c:gapWidth val="50"/>
        <c:overlap val="-27"/>
        <c:axId val="737358624"/>
        <c:axId val="737359016"/>
      </c:barChart>
      <c:catAx>
        <c:axId val="73735862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359016"/>
        <c:crosses val="autoZero"/>
        <c:auto val="1"/>
        <c:lblAlgn val="ctr"/>
        <c:lblOffset val="100"/>
        <c:noMultiLvlLbl val="0"/>
      </c:catAx>
      <c:valAx>
        <c:axId val="737359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CL (mm)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3586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2766349206349207"/>
          <c:y val="0.14814814814814814"/>
          <c:w val="0.7063329365079366"/>
          <c:h val="0.6462809857101196"/>
        </c:manualLayout>
      </c:layout>
      <c:barChart>
        <c:barDir val="col"/>
        <c:grouping val="stacked"/>
        <c:varyColors val="0"/>
        <c:ser>
          <c:idx val="0"/>
          <c:order val="0"/>
          <c:tx>
            <c:strRef>
              <c:f>DPS_95!$Y$2</c:f>
              <c:strCache>
                <c:ptCount val="1"/>
                <c:pt idx="0">
                  <c:v>Below 95%</c:v>
                </c:pt>
              </c:strCache>
            </c:strRef>
          </c:tx>
          <c:spPr>
            <a:solidFill>
              <a:schemeClr val="accent1"/>
            </a:solidFill>
            <a:ln>
              <a:noFill/>
            </a:ln>
            <a:effectLst/>
          </c:spPr>
          <c:invertIfNegative val="0"/>
          <c:cat>
            <c:numRef>
              <c:f>DPS_95!$Z$1:$AB$1</c:f>
              <c:numCache>
                <c:formatCode>General</c:formatCode>
                <c:ptCount val="3"/>
                <c:pt idx="0">
                  <c:v>2017</c:v>
                </c:pt>
                <c:pt idx="1">
                  <c:v>2018</c:v>
                </c:pt>
                <c:pt idx="2">
                  <c:v>2019</c:v>
                </c:pt>
              </c:numCache>
            </c:numRef>
          </c:cat>
          <c:val>
            <c:numRef>
              <c:f>DPS_95!$Z$2:$AB$2</c:f>
              <c:numCache>
                <c:formatCode>General</c:formatCode>
                <c:ptCount val="3"/>
                <c:pt idx="0">
                  <c:v>26</c:v>
                </c:pt>
                <c:pt idx="1">
                  <c:v>27</c:v>
                </c:pt>
                <c:pt idx="2">
                  <c:v>25</c:v>
                </c:pt>
              </c:numCache>
            </c:numRef>
          </c:val>
          <c:extLst>
            <c:ext xmlns:c16="http://schemas.microsoft.com/office/drawing/2014/chart" uri="{C3380CC4-5D6E-409C-BE32-E72D297353CC}">
              <c16:uniqueId val="{00000000-29A8-4C33-B369-AB99C60653E1}"/>
            </c:ext>
          </c:extLst>
        </c:ser>
        <c:ser>
          <c:idx val="1"/>
          <c:order val="1"/>
          <c:tx>
            <c:strRef>
              <c:f>DPS_95!$Y$3</c:f>
              <c:strCache>
                <c:ptCount val="1"/>
                <c:pt idx="0">
                  <c:v>Over 95%</c:v>
                </c:pt>
              </c:strCache>
            </c:strRef>
          </c:tx>
          <c:spPr>
            <a:solidFill>
              <a:schemeClr val="accent2"/>
            </a:solidFill>
            <a:ln>
              <a:noFill/>
            </a:ln>
            <a:effectLst/>
          </c:spPr>
          <c:invertIfNegative val="0"/>
          <c:cat>
            <c:numRef>
              <c:f>DPS_95!$Z$1:$AB$1</c:f>
              <c:numCache>
                <c:formatCode>General</c:formatCode>
                <c:ptCount val="3"/>
                <c:pt idx="0">
                  <c:v>2017</c:v>
                </c:pt>
                <c:pt idx="1">
                  <c:v>2018</c:v>
                </c:pt>
                <c:pt idx="2">
                  <c:v>2019</c:v>
                </c:pt>
              </c:numCache>
            </c:numRef>
          </c:cat>
          <c:val>
            <c:numRef>
              <c:f>DPS_95!$Z$3:$AB$3</c:f>
              <c:numCache>
                <c:formatCode>General</c:formatCode>
                <c:ptCount val="3"/>
                <c:pt idx="0">
                  <c:v>17</c:v>
                </c:pt>
                <c:pt idx="1">
                  <c:v>23</c:v>
                </c:pt>
                <c:pt idx="2">
                  <c:v>6</c:v>
                </c:pt>
              </c:numCache>
            </c:numRef>
          </c:val>
          <c:extLst>
            <c:ext xmlns:c16="http://schemas.microsoft.com/office/drawing/2014/chart" uri="{C3380CC4-5D6E-409C-BE32-E72D297353CC}">
              <c16:uniqueId val="{00000001-29A8-4C33-B369-AB99C60653E1}"/>
            </c:ext>
          </c:extLst>
        </c:ser>
        <c:dLbls>
          <c:showLegendKey val="0"/>
          <c:showVal val="0"/>
          <c:showCatName val="0"/>
          <c:showSerName val="0"/>
          <c:showPercent val="0"/>
          <c:showBubbleSize val="0"/>
        </c:dLbls>
        <c:gapWidth val="50"/>
        <c:overlap val="100"/>
        <c:axId val="737359408"/>
        <c:axId val="737361368"/>
      </c:barChart>
      <c:catAx>
        <c:axId val="737359408"/>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361368"/>
        <c:crosses val="autoZero"/>
        <c:auto val="1"/>
        <c:lblAlgn val="ctr"/>
        <c:lblOffset val="100"/>
        <c:noMultiLvlLbl val="0"/>
      </c:catAx>
      <c:valAx>
        <c:axId val="737361368"/>
        <c:scaling>
          <c:orientation val="minMax"/>
          <c:max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CL (mm)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359408"/>
        <c:crosses val="autoZero"/>
        <c:crossBetween val="between"/>
      </c:valAx>
      <c:spPr>
        <a:noFill/>
        <a:ln>
          <a:noFill/>
        </a:ln>
        <a:effectLst/>
      </c:spPr>
    </c:plotArea>
    <c:legend>
      <c:legendPos val="r"/>
      <c:layout>
        <c:manualLayout>
          <c:xMode val="edge"/>
          <c:yMode val="edge"/>
          <c:x val="0.12260753968253971"/>
          <c:y val="5.2077865266841883E-3"/>
          <c:w val="0.7564400793650794"/>
          <c:h val="7.754738990959461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766349206349207"/>
          <c:y val="0.14351851851851852"/>
          <c:w val="0.69121388888888902"/>
          <c:h val="0.60609507144940211"/>
        </c:manualLayout>
      </c:layout>
      <c:barChart>
        <c:barDir val="col"/>
        <c:grouping val="stacked"/>
        <c:varyColors val="0"/>
        <c:ser>
          <c:idx val="0"/>
          <c:order val="0"/>
          <c:tx>
            <c:strRef>
              <c:f>DPS_95!$AO$2</c:f>
              <c:strCache>
                <c:ptCount val="1"/>
                <c:pt idx="0">
                  <c:v>Below 95%</c:v>
                </c:pt>
              </c:strCache>
            </c:strRef>
          </c:tx>
          <c:spPr>
            <a:solidFill>
              <a:schemeClr val="accent1"/>
            </a:solidFill>
            <a:ln>
              <a:noFill/>
            </a:ln>
            <a:effectLst/>
          </c:spPr>
          <c:invertIfNegative val="0"/>
          <c:cat>
            <c:numRef>
              <c:f>DPS_95!$AP$1:$AT$1</c:f>
              <c:numCache>
                <c:formatCode>General</c:formatCode>
                <c:ptCount val="5"/>
                <c:pt idx="0">
                  <c:v>2014</c:v>
                </c:pt>
                <c:pt idx="1">
                  <c:v>2015</c:v>
                </c:pt>
                <c:pt idx="2">
                  <c:v>2016</c:v>
                </c:pt>
                <c:pt idx="3">
                  <c:v>2017</c:v>
                </c:pt>
                <c:pt idx="4">
                  <c:v>2018</c:v>
                </c:pt>
              </c:numCache>
            </c:numRef>
          </c:cat>
          <c:val>
            <c:numRef>
              <c:f>DPS_95!$AP$2:$AT$2</c:f>
              <c:numCache>
                <c:formatCode>General</c:formatCode>
                <c:ptCount val="5"/>
                <c:pt idx="0">
                  <c:v>28</c:v>
                </c:pt>
                <c:pt idx="1">
                  <c:v>28</c:v>
                </c:pt>
                <c:pt idx="2">
                  <c:v>27</c:v>
                </c:pt>
                <c:pt idx="3">
                  <c:v>27</c:v>
                </c:pt>
                <c:pt idx="4">
                  <c:v>27</c:v>
                </c:pt>
              </c:numCache>
            </c:numRef>
          </c:val>
          <c:extLst>
            <c:ext xmlns:c16="http://schemas.microsoft.com/office/drawing/2014/chart" uri="{C3380CC4-5D6E-409C-BE32-E72D297353CC}">
              <c16:uniqueId val="{00000000-DBE6-4B5F-8E4B-930B53B6DB93}"/>
            </c:ext>
          </c:extLst>
        </c:ser>
        <c:ser>
          <c:idx val="1"/>
          <c:order val="1"/>
          <c:tx>
            <c:strRef>
              <c:f>DPS_95!$AO$3</c:f>
              <c:strCache>
                <c:ptCount val="1"/>
                <c:pt idx="0">
                  <c:v>Over 95%</c:v>
                </c:pt>
              </c:strCache>
            </c:strRef>
          </c:tx>
          <c:spPr>
            <a:solidFill>
              <a:schemeClr val="accent2"/>
            </a:solidFill>
            <a:ln>
              <a:noFill/>
            </a:ln>
            <a:effectLst/>
          </c:spPr>
          <c:invertIfNegative val="0"/>
          <c:cat>
            <c:numRef>
              <c:f>DPS_95!$AP$1:$AT$1</c:f>
              <c:numCache>
                <c:formatCode>General</c:formatCode>
                <c:ptCount val="5"/>
                <c:pt idx="0">
                  <c:v>2014</c:v>
                </c:pt>
                <c:pt idx="1">
                  <c:v>2015</c:v>
                </c:pt>
                <c:pt idx="2">
                  <c:v>2016</c:v>
                </c:pt>
                <c:pt idx="3">
                  <c:v>2017</c:v>
                </c:pt>
                <c:pt idx="4">
                  <c:v>2018</c:v>
                </c:pt>
              </c:numCache>
            </c:numRef>
          </c:cat>
          <c:val>
            <c:numRef>
              <c:f>DPS_95!$AP$3:$AT$3</c:f>
              <c:numCache>
                <c:formatCode>General</c:formatCode>
                <c:ptCount val="5"/>
                <c:pt idx="0">
                  <c:v>6</c:v>
                </c:pt>
                <c:pt idx="1">
                  <c:v>5</c:v>
                </c:pt>
                <c:pt idx="2">
                  <c:v>8</c:v>
                </c:pt>
                <c:pt idx="3">
                  <c:v>6</c:v>
                </c:pt>
                <c:pt idx="4">
                  <c:v>4</c:v>
                </c:pt>
              </c:numCache>
            </c:numRef>
          </c:val>
          <c:extLst>
            <c:ext xmlns:c16="http://schemas.microsoft.com/office/drawing/2014/chart" uri="{C3380CC4-5D6E-409C-BE32-E72D297353CC}">
              <c16:uniqueId val="{00000001-DBE6-4B5F-8E4B-930B53B6DB93}"/>
            </c:ext>
          </c:extLst>
        </c:ser>
        <c:dLbls>
          <c:showLegendKey val="0"/>
          <c:showVal val="0"/>
          <c:showCatName val="0"/>
          <c:showSerName val="0"/>
          <c:showPercent val="0"/>
          <c:showBubbleSize val="0"/>
        </c:dLbls>
        <c:gapWidth val="50"/>
        <c:overlap val="100"/>
        <c:axId val="737359800"/>
        <c:axId val="785780560"/>
      </c:barChart>
      <c:catAx>
        <c:axId val="737359800"/>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780560"/>
        <c:crosses val="autoZero"/>
        <c:auto val="1"/>
        <c:lblAlgn val="ctr"/>
        <c:lblOffset val="100"/>
        <c:noMultiLvlLbl val="0"/>
      </c:catAx>
      <c:valAx>
        <c:axId val="785780560"/>
        <c:scaling>
          <c:orientation val="minMax"/>
          <c:max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CL (mm)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359800"/>
        <c:crosses val="autoZero"/>
        <c:crossBetween val="between"/>
      </c:valAx>
      <c:spPr>
        <a:noFill/>
        <a:ln>
          <a:noFill/>
        </a:ln>
        <a:effectLst/>
      </c:spPr>
    </c:plotArea>
    <c:legend>
      <c:legendPos val="r"/>
      <c:layout>
        <c:manualLayout>
          <c:xMode val="edge"/>
          <c:yMode val="edge"/>
          <c:x val="0.15284563492063494"/>
          <c:y val="9.8374161563138177E-3"/>
          <c:w val="0.68588452380952392"/>
          <c:h val="0.1099547973170020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Sheet1!$D$21</c:f>
              <c:strCache>
                <c:ptCount val="1"/>
                <c:pt idx="0">
                  <c:v>C&lt;BAC</c:v>
                </c:pt>
              </c:strCache>
            </c:strRef>
          </c:tx>
          <c:spPr>
            <a:solidFill>
              <a:srgbClr val="0070C0"/>
            </a:solidFill>
            <a:ln>
              <a:solidFill>
                <a:sysClr val="windowText" lastClr="000000"/>
              </a:solidFill>
            </a:ln>
            <a:effectLst/>
          </c:spPr>
          <c:invertIfNegative val="0"/>
          <c:cat>
            <c:strRef>
              <c:f>Sheet1!$E$20:$L$20</c:f>
              <c:strCache>
                <c:ptCount val="8"/>
                <c:pt idx="0">
                  <c:v>As</c:v>
                </c:pt>
                <c:pt idx="1">
                  <c:v>Cd</c:v>
                </c:pt>
                <c:pt idx="2">
                  <c:v>Cr</c:v>
                </c:pt>
                <c:pt idx="3">
                  <c:v>Hg</c:v>
                </c:pt>
                <c:pt idx="4">
                  <c:v>Pb</c:v>
                </c:pt>
                <c:pt idx="5">
                  <c:v>Cu</c:v>
                </c:pt>
                <c:pt idx="6">
                  <c:v>Zn</c:v>
                </c:pt>
                <c:pt idx="7">
                  <c:v>Ni</c:v>
                </c:pt>
              </c:strCache>
            </c:strRef>
          </c:cat>
          <c:val>
            <c:numRef>
              <c:f>Sheet1!$E$21:$L$21</c:f>
              <c:numCache>
                <c:formatCode>General</c:formatCode>
                <c:ptCount val="8"/>
                <c:pt idx="0">
                  <c:v>11</c:v>
                </c:pt>
                <c:pt idx="1">
                  <c:v>3</c:v>
                </c:pt>
                <c:pt idx="2">
                  <c:v>9</c:v>
                </c:pt>
                <c:pt idx="3">
                  <c:v>4</c:v>
                </c:pt>
                <c:pt idx="4">
                  <c:v>5</c:v>
                </c:pt>
                <c:pt idx="5">
                  <c:v>3</c:v>
                </c:pt>
                <c:pt idx="6">
                  <c:v>6</c:v>
                </c:pt>
                <c:pt idx="7">
                  <c:v>3</c:v>
                </c:pt>
              </c:numCache>
            </c:numRef>
          </c:val>
          <c:extLst>
            <c:ext xmlns:c16="http://schemas.microsoft.com/office/drawing/2014/chart" uri="{C3380CC4-5D6E-409C-BE32-E72D297353CC}">
              <c16:uniqueId val="{00000000-4F45-4633-9060-4426076BC13E}"/>
            </c:ext>
          </c:extLst>
        </c:ser>
        <c:ser>
          <c:idx val="1"/>
          <c:order val="1"/>
          <c:tx>
            <c:strRef>
              <c:f>Sheet1!$D$22</c:f>
              <c:strCache>
                <c:ptCount val="1"/>
                <c:pt idx="0">
                  <c:v>BAC&lt;C&lt;ERL</c:v>
                </c:pt>
              </c:strCache>
            </c:strRef>
          </c:tx>
          <c:spPr>
            <a:solidFill>
              <a:srgbClr val="00FF00"/>
            </a:solidFill>
            <a:ln>
              <a:solidFill>
                <a:sysClr val="windowText" lastClr="000000"/>
              </a:solidFill>
            </a:ln>
            <a:effectLst/>
          </c:spPr>
          <c:invertIfNegative val="0"/>
          <c:cat>
            <c:strRef>
              <c:f>Sheet1!$E$20:$L$20</c:f>
              <c:strCache>
                <c:ptCount val="8"/>
                <c:pt idx="0">
                  <c:v>As</c:v>
                </c:pt>
                <c:pt idx="1">
                  <c:v>Cd</c:v>
                </c:pt>
                <c:pt idx="2">
                  <c:v>Cr</c:v>
                </c:pt>
                <c:pt idx="3">
                  <c:v>Hg</c:v>
                </c:pt>
                <c:pt idx="4">
                  <c:v>Pb</c:v>
                </c:pt>
                <c:pt idx="5">
                  <c:v>Cu</c:v>
                </c:pt>
                <c:pt idx="6">
                  <c:v>Zn</c:v>
                </c:pt>
                <c:pt idx="7">
                  <c:v>Ni</c:v>
                </c:pt>
              </c:strCache>
            </c:strRef>
          </c:cat>
          <c:val>
            <c:numRef>
              <c:f>Sheet1!$E$22:$L$22</c:f>
              <c:numCache>
                <c:formatCode>General</c:formatCode>
                <c:ptCount val="8"/>
                <c:pt idx="0">
                  <c:v>1</c:v>
                </c:pt>
                <c:pt idx="1">
                  <c:v>9</c:v>
                </c:pt>
                <c:pt idx="3">
                  <c:v>1</c:v>
                </c:pt>
                <c:pt idx="4">
                  <c:v>1</c:v>
                </c:pt>
                <c:pt idx="6">
                  <c:v>1</c:v>
                </c:pt>
                <c:pt idx="7">
                  <c:v>10</c:v>
                </c:pt>
              </c:numCache>
            </c:numRef>
          </c:val>
          <c:extLst>
            <c:ext xmlns:c16="http://schemas.microsoft.com/office/drawing/2014/chart" uri="{C3380CC4-5D6E-409C-BE32-E72D297353CC}">
              <c16:uniqueId val="{00000001-4F45-4633-9060-4426076BC13E}"/>
            </c:ext>
          </c:extLst>
        </c:ser>
        <c:ser>
          <c:idx val="2"/>
          <c:order val="2"/>
          <c:tx>
            <c:strRef>
              <c:f>Sheet1!$D$23</c:f>
              <c:strCache>
                <c:ptCount val="1"/>
                <c:pt idx="0">
                  <c:v>C&gt;ERL</c:v>
                </c:pt>
              </c:strCache>
            </c:strRef>
          </c:tx>
          <c:spPr>
            <a:solidFill>
              <a:srgbClr val="FF0000"/>
            </a:solidFill>
            <a:ln>
              <a:solidFill>
                <a:sysClr val="windowText" lastClr="000000"/>
              </a:solidFill>
            </a:ln>
            <a:effectLst/>
          </c:spPr>
          <c:invertIfNegative val="0"/>
          <c:cat>
            <c:strRef>
              <c:f>Sheet1!$E$20:$L$20</c:f>
              <c:strCache>
                <c:ptCount val="8"/>
                <c:pt idx="0">
                  <c:v>As</c:v>
                </c:pt>
                <c:pt idx="1">
                  <c:v>Cd</c:v>
                </c:pt>
                <c:pt idx="2">
                  <c:v>Cr</c:v>
                </c:pt>
                <c:pt idx="3">
                  <c:v>Hg</c:v>
                </c:pt>
                <c:pt idx="4">
                  <c:v>Pb</c:v>
                </c:pt>
                <c:pt idx="5">
                  <c:v>Cu</c:v>
                </c:pt>
                <c:pt idx="6">
                  <c:v>Zn</c:v>
                </c:pt>
                <c:pt idx="7">
                  <c:v>Ni</c:v>
                </c:pt>
              </c:strCache>
            </c:strRef>
          </c:cat>
          <c:val>
            <c:numRef>
              <c:f>Sheet1!$E$23:$L$23</c:f>
              <c:numCache>
                <c:formatCode>General</c:formatCode>
                <c:ptCount val="8"/>
                <c:pt idx="0">
                  <c:v>1</c:v>
                </c:pt>
                <c:pt idx="1">
                  <c:v>1</c:v>
                </c:pt>
                <c:pt idx="2">
                  <c:v>4</c:v>
                </c:pt>
                <c:pt idx="3">
                  <c:v>8</c:v>
                </c:pt>
                <c:pt idx="4">
                  <c:v>6</c:v>
                </c:pt>
                <c:pt idx="5">
                  <c:v>10</c:v>
                </c:pt>
                <c:pt idx="6">
                  <c:v>6</c:v>
                </c:pt>
              </c:numCache>
            </c:numRef>
          </c:val>
          <c:extLst>
            <c:ext xmlns:c16="http://schemas.microsoft.com/office/drawing/2014/chart" uri="{C3380CC4-5D6E-409C-BE32-E72D297353CC}">
              <c16:uniqueId val="{00000002-4F45-4633-9060-4426076BC13E}"/>
            </c:ext>
          </c:extLst>
        </c:ser>
        <c:dLbls>
          <c:showLegendKey val="0"/>
          <c:showVal val="0"/>
          <c:showCatName val="0"/>
          <c:showSerName val="0"/>
          <c:showPercent val="0"/>
          <c:showBubbleSize val="0"/>
        </c:dLbls>
        <c:gapWidth val="150"/>
        <c:overlap val="100"/>
        <c:axId val="785782520"/>
        <c:axId val="785782912"/>
      </c:barChart>
      <c:catAx>
        <c:axId val="785782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85782912"/>
        <c:crosses val="autoZero"/>
        <c:auto val="1"/>
        <c:lblAlgn val="ctr"/>
        <c:lblOffset val="100"/>
        <c:noMultiLvlLbl val="0"/>
      </c:catAx>
      <c:valAx>
        <c:axId val="7857829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85782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Sheet1!$Q$21</c:f>
              <c:strCache>
                <c:ptCount val="1"/>
                <c:pt idx="0">
                  <c:v>C&lt;BAC</c:v>
                </c:pt>
              </c:strCache>
            </c:strRef>
          </c:tx>
          <c:spPr>
            <a:solidFill>
              <a:srgbClr val="0070C0"/>
            </a:solidFill>
            <a:ln>
              <a:solidFill>
                <a:sysClr val="windowText" lastClr="000000"/>
              </a:solidFill>
            </a:ln>
            <a:effectLst/>
          </c:spPr>
          <c:invertIfNegative val="0"/>
          <c:cat>
            <c:strRef>
              <c:f>Sheet1!$R$20:$AA$20</c:f>
              <c:strCache>
                <c:ptCount val="10"/>
                <c:pt idx="0">
                  <c:v>Ant</c:v>
                </c:pt>
                <c:pt idx="1">
                  <c:v>B(a)A</c:v>
                </c:pt>
                <c:pt idx="2">
                  <c:v>B(a)P</c:v>
                </c:pt>
                <c:pt idx="3">
                  <c:v>B(ghi)P</c:v>
                </c:pt>
                <c:pt idx="4">
                  <c:v>Chr</c:v>
                </c:pt>
                <c:pt idx="5">
                  <c:v>I(cd)P</c:v>
                </c:pt>
                <c:pt idx="6">
                  <c:v>Nap</c:v>
                </c:pt>
                <c:pt idx="7">
                  <c:v>Phe</c:v>
                </c:pt>
                <c:pt idx="8">
                  <c:v>Pyr</c:v>
                </c:pt>
                <c:pt idx="9">
                  <c:v>Flu</c:v>
                </c:pt>
              </c:strCache>
            </c:strRef>
          </c:cat>
          <c:val>
            <c:numRef>
              <c:f>Sheet1!$R$21:$AA$21</c:f>
              <c:numCache>
                <c:formatCode>General</c:formatCode>
                <c:ptCount val="10"/>
                <c:pt idx="1">
                  <c:v>1</c:v>
                </c:pt>
                <c:pt idx="2">
                  <c:v>2</c:v>
                </c:pt>
                <c:pt idx="3">
                  <c:v>2</c:v>
                </c:pt>
                <c:pt idx="4">
                  <c:v>1</c:v>
                </c:pt>
                <c:pt idx="5">
                  <c:v>2</c:v>
                </c:pt>
                <c:pt idx="6">
                  <c:v>1</c:v>
                </c:pt>
                <c:pt idx="7">
                  <c:v>1</c:v>
                </c:pt>
                <c:pt idx="8">
                  <c:v>1</c:v>
                </c:pt>
                <c:pt idx="9">
                  <c:v>1</c:v>
                </c:pt>
              </c:numCache>
            </c:numRef>
          </c:val>
          <c:extLst>
            <c:ext xmlns:c16="http://schemas.microsoft.com/office/drawing/2014/chart" uri="{C3380CC4-5D6E-409C-BE32-E72D297353CC}">
              <c16:uniqueId val="{00000000-810F-47C6-AA74-850D8E8675ED}"/>
            </c:ext>
          </c:extLst>
        </c:ser>
        <c:ser>
          <c:idx val="1"/>
          <c:order val="1"/>
          <c:tx>
            <c:strRef>
              <c:f>Sheet1!$Q$22</c:f>
              <c:strCache>
                <c:ptCount val="1"/>
                <c:pt idx="0">
                  <c:v>BAC&lt;C&lt;ERL</c:v>
                </c:pt>
              </c:strCache>
            </c:strRef>
          </c:tx>
          <c:spPr>
            <a:solidFill>
              <a:srgbClr val="00FF00"/>
            </a:solidFill>
            <a:ln>
              <a:solidFill>
                <a:sysClr val="windowText" lastClr="000000"/>
              </a:solidFill>
            </a:ln>
            <a:effectLst/>
          </c:spPr>
          <c:invertIfNegative val="0"/>
          <c:cat>
            <c:strRef>
              <c:f>Sheet1!$R$20:$AA$20</c:f>
              <c:strCache>
                <c:ptCount val="10"/>
                <c:pt idx="0">
                  <c:v>Ant</c:v>
                </c:pt>
                <c:pt idx="1">
                  <c:v>B(a)A</c:v>
                </c:pt>
                <c:pt idx="2">
                  <c:v>B(a)P</c:v>
                </c:pt>
                <c:pt idx="3">
                  <c:v>B(ghi)P</c:v>
                </c:pt>
                <c:pt idx="4">
                  <c:v>Chr</c:v>
                </c:pt>
                <c:pt idx="5">
                  <c:v>I(cd)P</c:v>
                </c:pt>
                <c:pt idx="6">
                  <c:v>Nap</c:v>
                </c:pt>
                <c:pt idx="7">
                  <c:v>Phe</c:v>
                </c:pt>
                <c:pt idx="8">
                  <c:v>Pyr</c:v>
                </c:pt>
                <c:pt idx="9">
                  <c:v>Flu</c:v>
                </c:pt>
              </c:strCache>
            </c:strRef>
          </c:cat>
          <c:val>
            <c:numRef>
              <c:f>Sheet1!$R$22:$AA$22</c:f>
              <c:numCache>
                <c:formatCode>General</c:formatCode>
                <c:ptCount val="10"/>
                <c:pt idx="0">
                  <c:v>8</c:v>
                </c:pt>
                <c:pt idx="1">
                  <c:v>7</c:v>
                </c:pt>
                <c:pt idx="2">
                  <c:v>7</c:v>
                </c:pt>
                <c:pt idx="3">
                  <c:v>2</c:v>
                </c:pt>
                <c:pt idx="4">
                  <c:v>7</c:v>
                </c:pt>
                <c:pt idx="5">
                  <c:v>6</c:v>
                </c:pt>
                <c:pt idx="6">
                  <c:v>9</c:v>
                </c:pt>
                <c:pt idx="7">
                  <c:v>7</c:v>
                </c:pt>
                <c:pt idx="8">
                  <c:v>8</c:v>
                </c:pt>
                <c:pt idx="9">
                  <c:v>7</c:v>
                </c:pt>
              </c:numCache>
            </c:numRef>
          </c:val>
          <c:extLst>
            <c:ext xmlns:c16="http://schemas.microsoft.com/office/drawing/2014/chart" uri="{C3380CC4-5D6E-409C-BE32-E72D297353CC}">
              <c16:uniqueId val="{00000001-810F-47C6-AA74-850D8E8675ED}"/>
            </c:ext>
          </c:extLst>
        </c:ser>
        <c:ser>
          <c:idx val="2"/>
          <c:order val="2"/>
          <c:tx>
            <c:strRef>
              <c:f>Sheet1!$Q$23</c:f>
              <c:strCache>
                <c:ptCount val="1"/>
                <c:pt idx="0">
                  <c:v>C&gt;ERL</c:v>
                </c:pt>
              </c:strCache>
            </c:strRef>
          </c:tx>
          <c:spPr>
            <a:solidFill>
              <a:srgbClr val="FF0000"/>
            </a:solidFill>
            <a:ln>
              <a:solidFill>
                <a:sysClr val="windowText" lastClr="000000"/>
              </a:solidFill>
            </a:ln>
            <a:effectLst/>
          </c:spPr>
          <c:invertIfNegative val="0"/>
          <c:cat>
            <c:strRef>
              <c:f>Sheet1!$R$20:$AA$20</c:f>
              <c:strCache>
                <c:ptCount val="10"/>
                <c:pt idx="0">
                  <c:v>Ant</c:v>
                </c:pt>
                <c:pt idx="1">
                  <c:v>B(a)A</c:v>
                </c:pt>
                <c:pt idx="2">
                  <c:v>B(a)P</c:v>
                </c:pt>
                <c:pt idx="3">
                  <c:v>B(ghi)P</c:v>
                </c:pt>
                <c:pt idx="4">
                  <c:v>Chr</c:v>
                </c:pt>
                <c:pt idx="5">
                  <c:v>I(cd)P</c:v>
                </c:pt>
                <c:pt idx="6">
                  <c:v>Nap</c:v>
                </c:pt>
                <c:pt idx="7">
                  <c:v>Phe</c:v>
                </c:pt>
                <c:pt idx="8">
                  <c:v>Pyr</c:v>
                </c:pt>
                <c:pt idx="9">
                  <c:v>Flu</c:v>
                </c:pt>
              </c:strCache>
            </c:strRef>
          </c:cat>
          <c:val>
            <c:numRef>
              <c:f>Sheet1!$R$23:$AA$23</c:f>
              <c:numCache>
                <c:formatCode>General</c:formatCode>
                <c:ptCount val="10"/>
                <c:pt idx="0">
                  <c:v>5</c:v>
                </c:pt>
                <c:pt idx="1">
                  <c:v>5</c:v>
                </c:pt>
                <c:pt idx="2">
                  <c:v>4</c:v>
                </c:pt>
                <c:pt idx="3">
                  <c:v>9</c:v>
                </c:pt>
                <c:pt idx="4">
                  <c:v>5</c:v>
                </c:pt>
                <c:pt idx="5">
                  <c:v>5</c:v>
                </c:pt>
                <c:pt idx="6">
                  <c:v>3</c:v>
                </c:pt>
                <c:pt idx="7">
                  <c:v>5</c:v>
                </c:pt>
                <c:pt idx="8">
                  <c:v>4</c:v>
                </c:pt>
                <c:pt idx="9">
                  <c:v>5</c:v>
                </c:pt>
              </c:numCache>
            </c:numRef>
          </c:val>
          <c:extLst>
            <c:ext xmlns:c16="http://schemas.microsoft.com/office/drawing/2014/chart" uri="{C3380CC4-5D6E-409C-BE32-E72D297353CC}">
              <c16:uniqueId val="{00000002-810F-47C6-AA74-850D8E8675ED}"/>
            </c:ext>
          </c:extLst>
        </c:ser>
        <c:dLbls>
          <c:showLegendKey val="0"/>
          <c:showVal val="0"/>
          <c:showCatName val="0"/>
          <c:showSerName val="0"/>
          <c:showPercent val="0"/>
          <c:showBubbleSize val="0"/>
        </c:dLbls>
        <c:gapWidth val="150"/>
        <c:overlap val="100"/>
        <c:axId val="785783304"/>
        <c:axId val="785786440"/>
      </c:barChart>
      <c:catAx>
        <c:axId val="785783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85786440"/>
        <c:crosses val="autoZero"/>
        <c:auto val="1"/>
        <c:lblAlgn val="ctr"/>
        <c:lblOffset val="100"/>
        <c:noMultiLvlLbl val="0"/>
      </c:catAx>
      <c:valAx>
        <c:axId val="7857864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85783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Metali</a:t>
            </a:r>
            <a:r>
              <a:rPr lang="en-US" sz="1200" b="1" baseline="0">
                <a:solidFill>
                  <a:sysClr val="windowText" lastClr="000000"/>
                </a:solidFill>
              </a:rPr>
              <a:t> u</a:t>
            </a:r>
            <a:r>
              <a:rPr lang="en-US" sz="1200" b="1">
                <a:solidFill>
                  <a:sysClr val="windowText" lastClr="000000"/>
                </a:solidFill>
              </a:rPr>
              <a:t> sedimenti</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Sheet1!$O$20</c:f>
              <c:strCache>
                <c:ptCount val="1"/>
                <c:pt idx="0">
                  <c:v>Metals in sediment</c:v>
                </c:pt>
              </c:strCache>
            </c:strRef>
          </c:tx>
          <c:dPt>
            <c:idx val="0"/>
            <c:bubble3D val="0"/>
            <c:spPr>
              <a:solidFill>
                <a:srgbClr val="0070C0"/>
              </a:solidFill>
              <a:ln w="19050">
                <a:solidFill>
                  <a:schemeClr val="lt1"/>
                </a:solidFill>
              </a:ln>
              <a:effectLst/>
            </c:spPr>
            <c:extLst>
              <c:ext xmlns:c16="http://schemas.microsoft.com/office/drawing/2014/chart" uri="{C3380CC4-5D6E-409C-BE32-E72D297353CC}">
                <c16:uniqueId val="{00000001-5A35-4F1F-807A-C740E4F91B29}"/>
              </c:ext>
            </c:extLst>
          </c:dPt>
          <c:dPt>
            <c:idx val="1"/>
            <c:bubble3D val="0"/>
            <c:spPr>
              <a:solidFill>
                <a:srgbClr val="00FF00"/>
              </a:solidFill>
              <a:ln w="19050">
                <a:solidFill>
                  <a:schemeClr val="lt1"/>
                </a:solidFill>
              </a:ln>
              <a:effectLst/>
            </c:spPr>
            <c:extLst>
              <c:ext xmlns:c16="http://schemas.microsoft.com/office/drawing/2014/chart" uri="{C3380CC4-5D6E-409C-BE32-E72D297353CC}">
                <c16:uniqueId val="{00000003-5A35-4F1F-807A-C740E4F91B29}"/>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5A35-4F1F-807A-C740E4F91B29}"/>
              </c:ext>
            </c:extLst>
          </c:dPt>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Sheet1!$N$21:$N$23</c:f>
              <c:strCache>
                <c:ptCount val="3"/>
                <c:pt idx="0">
                  <c:v>C&lt;BAC</c:v>
                </c:pt>
                <c:pt idx="1">
                  <c:v>BAC&lt;C&lt;ERL</c:v>
                </c:pt>
                <c:pt idx="2">
                  <c:v>C&gt;ERL</c:v>
                </c:pt>
              </c:strCache>
            </c:strRef>
          </c:cat>
          <c:val>
            <c:numRef>
              <c:f>Sheet1!$O$21:$O$23</c:f>
              <c:numCache>
                <c:formatCode>General</c:formatCode>
                <c:ptCount val="3"/>
                <c:pt idx="0">
                  <c:v>44</c:v>
                </c:pt>
                <c:pt idx="1">
                  <c:v>23</c:v>
                </c:pt>
                <c:pt idx="2">
                  <c:v>36</c:v>
                </c:pt>
              </c:numCache>
            </c:numRef>
          </c:val>
          <c:extLst>
            <c:ext xmlns:c16="http://schemas.microsoft.com/office/drawing/2014/chart" uri="{C3380CC4-5D6E-409C-BE32-E72D297353CC}">
              <c16:uniqueId val="{00000006-5A35-4F1F-807A-C740E4F91B29}"/>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0097090299242681"/>
          <c:y val="0.41701093860442584"/>
          <c:w val="0.23887517791619331"/>
          <c:h val="0.36925860197453436"/>
        </c:manualLayout>
      </c:layout>
      <c:overlay val="0"/>
      <c:spPr>
        <a:noFill/>
        <a:ln>
          <a:solidFill>
            <a:schemeClr val="bg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PAH-ovi</a:t>
            </a:r>
            <a:r>
              <a:rPr lang="en-US" sz="1200" b="1" baseline="0">
                <a:solidFill>
                  <a:sysClr val="windowText" lastClr="000000"/>
                </a:solidFill>
              </a:rPr>
              <a:t> u</a:t>
            </a:r>
            <a:r>
              <a:rPr lang="en-US" sz="1200" b="1">
                <a:solidFill>
                  <a:sysClr val="windowText" lastClr="000000"/>
                </a:solidFill>
              </a:rPr>
              <a:t> sedimentu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Sheet1!$AD$20</c:f>
              <c:strCache>
                <c:ptCount val="1"/>
                <c:pt idx="0">
                  <c:v>PAHs in sediment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459-4336-B73F-F276C7402AC2}"/>
              </c:ext>
            </c:extLst>
          </c:dPt>
          <c:dPt>
            <c:idx val="1"/>
            <c:bubble3D val="0"/>
            <c:spPr>
              <a:solidFill>
                <a:srgbClr val="00FF00"/>
              </a:solidFill>
              <a:ln w="19050">
                <a:solidFill>
                  <a:schemeClr val="lt1"/>
                </a:solidFill>
              </a:ln>
              <a:effectLst/>
            </c:spPr>
            <c:extLst>
              <c:ext xmlns:c16="http://schemas.microsoft.com/office/drawing/2014/chart" uri="{C3380CC4-5D6E-409C-BE32-E72D297353CC}">
                <c16:uniqueId val="{00000003-9459-4336-B73F-F276C7402AC2}"/>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9459-4336-B73F-F276C7402AC2}"/>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Sheet1!$AC$21:$AC$23</c:f>
              <c:strCache>
                <c:ptCount val="3"/>
                <c:pt idx="0">
                  <c:v>C&lt;BAC</c:v>
                </c:pt>
                <c:pt idx="1">
                  <c:v>BAC&lt;C&lt;ERL</c:v>
                </c:pt>
                <c:pt idx="2">
                  <c:v>C&gt;ERL</c:v>
                </c:pt>
              </c:strCache>
            </c:strRef>
          </c:cat>
          <c:val>
            <c:numRef>
              <c:f>Sheet1!$AD$21:$AD$23</c:f>
              <c:numCache>
                <c:formatCode>General</c:formatCode>
                <c:ptCount val="3"/>
                <c:pt idx="0">
                  <c:v>12</c:v>
                </c:pt>
                <c:pt idx="1">
                  <c:v>68</c:v>
                </c:pt>
                <c:pt idx="2">
                  <c:v>50</c:v>
                </c:pt>
              </c:numCache>
            </c:numRef>
          </c:val>
          <c:extLst>
            <c:ext xmlns:c16="http://schemas.microsoft.com/office/drawing/2014/chart" uri="{C3380CC4-5D6E-409C-BE32-E72D297353CC}">
              <c16:uniqueId val="{00000006-9459-4336-B73F-F276C7402AC2}"/>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Sheet1!$AF$21</c:f>
              <c:strCache>
                <c:ptCount val="1"/>
                <c:pt idx="0">
                  <c:v>C&lt;BAC</c:v>
                </c:pt>
              </c:strCache>
            </c:strRef>
          </c:tx>
          <c:spPr>
            <a:solidFill>
              <a:srgbClr val="0070C0"/>
            </a:solidFill>
            <a:ln>
              <a:solidFill>
                <a:sysClr val="windowText" lastClr="000000"/>
              </a:solidFill>
            </a:ln>
            <a:effectLst/>
          </c:spPr>
          <c:invertIfNegative val="0"/>
          <c:cat>
            <c:strRef>
              <c:f>Sheet1!$AG$20:$AN$20</c:f>
              <c:strCache>
                <c:ptCount val="8"/>
                <c:pt idx="0">
                  <c:v>PCB 28</c:v>
                </c:pt>
                <c:pt idx="1">
                  <c:v>PCB 52</c:v>
                </c:pt>
                <c:pt idx="2">
                  <c:v>PCB 101</c:v>
                </c:pt>
                <c:pt idx="3">
                  <c:v>PCB 118</c:v>
                </c:pt>
                <c:pt idx="4">
                  <c:v>PCB 138</c:v>
                </c:pt>
                <c:pt idx="5">
                  <c:v>PCB 153</c:v>
                </c:pt>
                <c:pt idx="6">
                  <c:v>PCB 180</c:v>
                </c:pt>
                <c:pt idx="7">
                  <c:v>⅀7CBs ICES</c:v>
                </c:pt>
              </c:strCache>
            </c:strRef>
          </c:cat>
          <c:val>
            <c:numRef>
              <c:f>Sheet1!$AG$21:$AN$21</c:f>
              <c:numCache>
                <c:formatCode>General</c:formatCode>
                <c:ptCount val="8"/>
              </c:numCache>
            </c:numRef>
          </c:val>
          <c:extLst>
            <c:ext xmlns:c16="http://schemas.microsoft.com/office/drawing/2014/chart" uri="{C3380CC4-5D6E-409C-BE32-E72D297353CC}">
              <c16:uniqueId val="{00000000-1BB3-49E3-8DB2-82AC6DC92692}"/>
            </c:ext>
          </c:extLst>
        </c:ser>
        <c:ser>
          <c:idx val="1"/>
          <c:order val="1"/>
          <c:tx>
            <c:strRef>
              <c:f>Sheet1!$AF$22</c:f>
              <c:strCache>
                <c:ptCount val="1"/>
                <c:pt idx="0">
                  <c:v>BAC&lt;C&lt;ERL</c:v>
                </c:pt>
              </c:strCache>
            </c:strRef>
          </c:tx>
          <c:spPr>
            <a:solidFill>
              <a:srgbClr val="00FF00"/>
            </a:solidFill>
            <a:ln>
              <a:solidFill>
                <a:sysClr val="windowText" lastClr="000000"/>
              </a:solidFill>
            </a:ln>
            <a:effectLst/>
          </c:spPr>
          <c:invertIfNegative val="0"/>
          <c:cat>
            <c:strRef>
              <c:f>Sheet1!$AG$20:$AN$20</c:f>
              <c:strCache>
                <c:ptCount val="8"/>
                <c:pt idx="0">
                  <c:v>PCB 28</c:v>
                </c:pt>
                <c:pt idx="1">
                  <c:v>PCB 52</c:v>
                </c:pt>
                <c:pt idx="2">
                  <c:v>PCB 101</c:v>
                </c:pt>
                <c:pt idx="3">
                  <c:v>PCB 118</c:v>
                </c:pt>
                <c:pt idx="4">
                  <c:v>PCB 138</c:v>
                </c:pt>
                <c:pt idx="5">
                  <c:v>PCB 153</c:v>
                </c:pt>
                <c:pt idx="6">
                  <c:v>PCB 180</c:v>
                </c:pt>
                <c:pt idx="7">
                  <c:v>⅀7CBs ICES</c:v>
                </c:pt>
              </c:strCache>
            </c:strRef>
          </c:cat>
          <c:val>
            <c:numRef>
              <c:f>Sheet1!$AG$22:$AN$22</c:f>
              <c:numCache>
                <c:formatCode>General</c:formatCode>
                <c:ptCount val="8"/>
                <c:pt idx="0">
                  <c:v>9</c:v>
                </c:pt>
                <c:pt idx="1">
                  <c:v>8</c:v>
                </c:pt>
                <c:pt idx="2">
                  <c:v>6</c:v>
                </c:pt>
                <c:pt idx="3">
                  <c:v>3</c:v>
                </c:pt>
                <c:pt idx="4">
                  <c:v>6</c:v>
                </c:pt>
                <c:pt idx="5">
                  <c:v>11</c:v>
                </c:pt>
                <c:pt idx="6">
                  <c:v>9</c:v>
                </c:pt>
                <c:pt idx="7">
                  <c:v>5</c:v>
                </c:pt>
              </c:numCache>
            </c:numRef>
          </c:val>
          <c:extLst>
            <c:ext xmlns:c16="http://schemas.microsoft.com/office/drawing/2014/chart" uri="{C3380CC4-5D6E-409C-BE32-E72D297353CC}">
              <c16:uniqueId val="{00000001-1BB3-49E3-8DB2-82AC6DC92692}"/>
            </c:ext>
          </c:extLst>
        </c:ser>
        <c:ser>
          <c:idx val="2"/>
          <c:order val="2"/>
          <c:tx>
            <c:strRef>
              <c:f>Sheet1!$AF$23</c:f>
              <c:strCache>
                <c:ptCount val="1"/>
                <c:pt idx="0">
                  <c:v>C&gt;ERL</c:v>
                </c:pt>
              </c:strCache>
            </c:strRef>
          </c:tx>
          <c:spPr>
            <a:solidFill>
              <a:srgbClr val="FF0000"/>
            </a:solidFill>
            <a:ln>
              <a:solidFill>
                <a:sysClr val="windowText" lastClr="000000"/>
              </a:solidFill>
            </a:ln>
            <a:effectLst/>
          </c:spPr>
          <c:invertIfNegative val="0"/>
          <c:cat>
            <c:strRef>
              <c:f>Sheet1!$AG$20:$AN$20</c:f>
              <c:strCache>
                <c:ptCount val="8"/>
                <c:pt idx="0">
                  <c:v>PCB 28</c:v>
                </c:pt>
                <c:pt idx="1">
                  <c:v>PCB 52</c:v>
                </c:pt>
                <c:pt idx="2">
                  <c:v>PCB 101</c:v>
                </c:pt>
                <c:pt idx="3">
                  <c:v>PCB 118</c:v>
                </c:pt>
                <c:pt idx="4">
                  <c:v>PCB 138</c:v>
                </c:pt>
                <c:pt idx="5">
                  <c:v>PCB 153</c:v>
                </c:pt>
                <c:pt idx="6">
                  <c:v>PCB 180</c:v>
                </c:pt>
                <c:pt idx="7">
                  <c:v>⅀7CBs ICES</c:v>
                </c:pt>
              </c:strCache>
            </c:strRef>
          </c:cat>
          <c:val>
            <c:numRef>
              <c:f>Sheet1!$AG$23:$AN$23</c:f>
              <c:numCache>
                <c:formatCode>General</c:formatCode>
                <c:ptCount val="8"/>
                <c:pt idx="0">
                  <c:v>4</c:v>
                </c:pt>
                <c:pt idx="1">
                  <c:v>5</c:v>
                </c:pt>
                <c:pt idx="2">
                  <c:v>7</c:v>
                </c:pt>
                <c:pt idx="3">
                  <c:v>10</c:v>
                </c:pt>
                <c:pt idx="4">
                  <c:v>7</c:v>
                </c:pt>
                <c:pt idx="5">
                  <c:v>2</c:v>
                </c:pt>
                <c:pt idx="6">
                  <c:v>4</c:v>
                </c:pt>
                <c:pt idx="7">
                  <c:v>8</c:v>
                </c:pt>
              </c:numCache>
            </c:numRef>
          </c:val>
          <c:extLst>
            <c:ext xmlns:c16="http://schemas.microsoft.com/office/drawing/2014/chart" uri="{C3380CC4-5D6E-409C-BE32-E72D297353CC}">
              <c16:uniqueId val="{00000002-1BB3-49E3-8DB2-82AC6DC92692}"/>
            </c:ext>
          </c:extLst>
        </c:ser>
        <c:dLbls>
          <c:showLegendKey val="0"/>
          <c:showVal val="0"/>
          <c:showCatName val="0"/>
          <c:showSerName val="0"/>
          <c:showPercent val="0"/>
          <c:showBubbleSize val="0"/>
        </c:dLbls>
        <c:gapWidth val="150"/>
        <c:overlap val="100"/>
        <c:axId val="785780952"/>
        <c:axId val="785781344"/>
      </c:barChart>
      <c:catAx>
        <c:axId val="785780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781344"/>
        <c:crosses val="autoZero"/>
        <c:auto val="1"/>
        <c:lblAlgn val="ctr"/>
        <c:lblOffset val="100"/>
        <c:noMultiLvlLbl val="0"/>
      </c:catAx>
      <c:valAx>
        <c:axId val="785781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780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Sheet1!$AR$21</c:f>
              <c:strCache>
                <c:ptCount val="1"/>
                <c:pt idx="0">
                  <c:v>C&lt;BAC</c:v>
                </c:pt>
              </c:strCache>
            </c:strRef>
          </c:tx>
          <c:spPr>
            <a:solidFill>
              <a:srgbClr val="0070C0"/>
            </a:solidFill>
            <a:ln>
              <a:solidFill>
                <a:sysClr val="windowText" lastClr="000000"/>
              </a:solidFill>
            </a:ln>
            <a:effectLst/>
          </c:spPr>
          <c:invertIfNegative val="0"/>
          <c:cat>
            <c:strRef>
              <c:f>Sheet1!$AS$20:$AV$20</c:f>
              <c:strCache>
                <c:ptCount val="4"/>
                <c:pt idx="0">
                  <c:v>DDE (p,p’)</c:v>
                </c:pt>
                <c:pt idx="1">
                  <c:v>HCB</c:v>
                </c:pt>
                <c:pt idx="2">
                  <c:v>Dield.</c:v>
                </c:pt>
                <c:pt idx="3">
                  <c:v>Lindan</c:v>
                </c:pt>
              </c:strCache>
            </c:strRef>
          </c:cat>
          <c:val>
            <c:numRef>
              <c:f>Sheet1!$AS$21:$AV$21</c:f>
              <c:numCache>
                <c:formatCode>General</c:formatCode>
                <c:ptCount val="4"/>
                <c:pt idx="0">
                  <c:v>8</c:v>
                </c:pt>
                <c:pt idx="1">
                  <c:v>13</c:v>
                </c:pt>
                <c:pt idx="2">
                  <c:v>11</c:v>
                </c:pt>
                <c:pt idx="3">
                  <c:v>13</c:v>
                </c:pt>
              </c:numCache>
            </c:numRef>
          </c:val>
          <c:extLst>
            <c:ext xmlns:c16="http://schemas.microsoft.com/office/drawing/2014/chart" uri="{C3380CC4-5D6E-409C-BE32-E72D297353CC}">
              <c16:uniqueId val="{00000000-3E2B-4A59-BD01-56BA4E7DEDFA}"/>
            </c:ext>
          </c:extLst>
        </c:ser>
        <c:ser>
          <c:idx val="1"/>
          <c:order val="1"/>
          <c:tx>
            <c:strRef>
              <c:f>Sheet1!$AR$22</c:f>
              <c:strCache>
                <c:ptCount val="1"/>
                <c:pt idx="0">
                  <c:v>BAC&lt;C&lt;ERL</c:v>
                </c:pt>
              </c:strCache>
            </c:strRef>
          </c:tx>
          <c:spPr>
            <a:solidFill>
              <a:srgbClr val="00FF00"/>
            </a:solidFill>
            <a:ln>
              <a:solidFill>
                <a:sysClr val="windowText" lastClr="000000"/>
              </a:solidFill>
            </a:ln>
            <a:effectLst/>
          </c:spPr>
          <c:invertIfNegative val="0"/>
          <c:cat>
            <c:strRef>
              <c:f>Sheet1!$AS$20:$AV$20</c:f>
              <c:strCache>
                <c:ptCount val="4"/>
                <c:pt idx="0">
                  <c:v>DDE (p,p’)</c:v>
                </c:pt>
                <c:pt idx="1">
                  <c:v>HCB</c:v>
                </c:pt>
                <c:pt idx="2">
                  <c:v>Dield.</c:v>
                </c:pt>
                <c:pt idx="3">
                  <c:v>Lindan</c:v>
                </c:pt>
              </c:strCache>
            </c:strRef>
          </c:cat>
          <c:val>
            <c:numRef>
              <c:f>Sheet1!$AS$22:$AV$22</c:f>
              <c:numCache>
                <c:formatCode>General</c:formatCode>
                <c:ptCount val="4"/>
              </c:numCache>
            </c:numRef>
          </c:val>
          <c:extLst>
            <c:ext xmlns:c16="http://schemas.microsoft.com/office/drawing/2014/chart" uri="{C3380CC4-5D6E-409C-BE32-E72D297353CC}">
              <c16:uniqueId val="{00000001-3E2B-4A59-BD01-56BA4E7DEDFA}"/>
            </c:ext>
          </c:extLst>
        </c:ser>
        <c:ser>
          <c:idx val="2"/>
          <c:order val="2"/>
          <c:tx>
            <c:strRef>
              <c:f>Sheet1!$AR$23</c:f>
              <c:strCache>
                <c:ptCount val="1"/>
                <c:pt idx="0">
                  <c:v>C&gt;ERL</c:v>
                </c:pt>
              </c:strCache>
            </c:strRef>
          </c:tx>
          <c:spPr>
            <a:solidFill>
              <a:srgbClr val="FF0000"/>
            </a:solidFill>
            <a:ln>
              <a:solidFill>
                <a:sysClr val="windowText" lastClr="000000"/>
              </a:solidFill>
            </a:ln>
            <a:effectLst/>
          </c:spPr>
          <c:invertIfNegative val="0"/>
          <c:cat>
            <c:strRef>
              <c:f>Sheet1!$AS$20:$AV$20</c:f>
              <c:strCache>
                <c:ptCount val="4"/>
                <c:pt idx="0">
                  <c:v>DDE (p,p’)</c:v>
                </c:pt>
                <c:pt idx="1">
                  <c:v>HCB</c:v>
                </c:pt>
                <c:pt idx="2">
                  <c:v>Dield.</c:v>
                </c:pt>
                <c:pt idx="3">
                  <c:v>Lindan</c:v>
                </c:pt>
              </c:strCache>
            </c:strRef>
          </c:cat>
          <c:val>
            <c:numRef>
              <c:f>Sheet1!$AS$23:$AV$23</c:f>
              <c:numCache>
                <c:formatCode>General</c:formatCode>
                <c:ptCount val="4"/>
                <c:pt idx="0">
                  <c:v>5</c:v>
                </c:pt>
                <c:pt idx="2">
                  <c:v>2</c:v>
                </c:pt>
              </c:numCache>
            </c:numRef>
          </c:val>
          <c:extLst>
            <c:ext xmlns:c16="http://schemas.microsoft.com/office/drawing/2014/chart" uri="{C3380CC4-5D6E-409C-BE32-E72D297353CC}">
              <c16:uniqueId val="{00000002-3E2B-4A59-BD01-56BA4E7DEDFA}"/>
            </c:ext>
          </c:extLst>
        </c:ser>
        <c:dLbls>
          <c:showLegendKey val="0"/>
          <c:showVal val="0"/>
          <c:showCatName val="0"/>
          <c:showSerName val="0"/>
          <c:showPercent val="0"/>
          <c:showBubbleSize val="0"/>
        </c:dLbls>
        <c:gapWidth val="150"/>
        <c:overlap val="100"/>
        <c:axId val="785784088"/>
        <c:axId val="785787224"/>
      </c:barChart>
      <c:catAx>
        <c:axId val="785784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787224"/>
        <c:crosses val="autoZero"/>
        <c:auto val="1"/>
        <c:lblAlgn val="ctr"/>
        <c:lblOffset val="100"/>
        <c:noMultiLvlLbl val="0"/>
      </c:catAx>
      <c:valAx>
        <c:axId val="785787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784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rPr>
              <a:t>PCB u sedmentu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Sheet1!$AP$20</c:f>
              <c:strCache>
                <c:ptCount val="1"/>
                <c:pt idx="0">
                  <c:v>PCBs in sediment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420-4A30-94DC-698A5EA72191}"/>
              </c:ext>
            </c:extLst>
          </c:dPt>
          <c:dPt>
            <c:idx val="1"/>
            <c:bubble3D val="0"/>
            <c:spPr>
              <a:solidFill>
                <a:srgbClr val="00FF00"/>
              </a:solidFill>
              <a:ln w="19050">
                <a:solidFill>
                  <a:schemeClr val="lt1"/>
                </a:solidFill>
              </a:ln>
              <a:effectLst/>
            </c:spPr>
            <c:extLst>
              <c:ext xmlns:c16="http://schemas.microsoft.com/office/drawing/2014/chart" uri="{C3380CC4-5D6E-409C-BE32-E72D297353CC}">
                <c16:uniqueId val="{00000003-D420-4A30-94DC-698A5EA72191}"/>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D420-4A30-94DC-698A5EA72191}"/>
              </c:ext>
            </c:extLst>
          </c:dPt>
          <c:dLbls>
            <c:dLbl>
              <c:idx val="0"/>
              <c:delete val="1"/>
              <c:extLst>
                <c:ext xmlns:c15="http://schemas.microsoft.com/office/drawing/2012/chart" uri="{CE6537A1-D6FC-4f65-9D91-7224C49458BB}"/>
                <c:ext xmlns:c16="http://schemas.microsoft.com/office/drawing/2014/chart" uri="{C3380CC4-5D6E-409C-BE32-E72D297353CC}">
                  <c16:uniqueId val="{00000001-D420-4A30-94DC-698A5EA72191}"/>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Sheet1!$AO$21:$AO$23</c:f>
              <c:strCache>
                <c:ptCount val="3"/>
                <c:pt idx="0">
                  <c:v>C&lt;BAC</c:v>
                </c:pt>
                <c:pt idx="1">
                  <c:v>BAC&lt;C&lt;ERL</c:v>
                </c:pt>
                <c:pt idx="2">
                  <c:v>C&gt;ERL</c:v>
                </c:pt>
              </c:strCache>
            </c:strRef>
          </c:cat>
          <c:val>
            <c:numRef>
              <c:f>Sheet1!$AP$21:$AP$23</c:f>
              <c:numCache>
                <c:formatCode>General</c:formatCode>
                <c:ptCount val="3"/>
                <c:pt idx="0">
                  <c:v>0</c:v>
                </c:pt>
                <c:pt idx="1">
                  <c:v>120</c:v>
                </c:pt>
                <c:pt idx="2">
                  <c:v>89</c:v>
                </c:pt>
              </c:numCache>
            </c:numRef>
          </c:val>
          <c:extLst>
            <c:ext xmlns:c16="http://schemas.microsoft.com/office/drawing/2014/chart" uri="{C3380CC4-5D6E-409C-BE32-E72D297353CC}">
              <c16:uniqueId val="{00000006-D420-4A30-94DC-698A5EA72191}"/>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errBars>
            <c:errBarType val="plus"/>
            <c:errValType val="cust"/>
            <c:noEndCap val="0"/>
            <c:plus>
              <c:numRef>
                <c:f>MUT_95!$BB$3:$BF$3</c:f>
                <c:numCache>
                  <c:formatCode>General</c:formatCode>
                  <c:ptCount val="5"/>
                  <c:pt idx="0">
                    <c:v>2.44</c:v>
                  </c:pt>
                  <c:pt idx="1">
                    <c:v>1.19</c:v>
                  </c:pt>
                  <c:pt idx="2">
                    <c:v>2.42</c:v>
                  </c:pt>
                  <c:pt idx="3">
                    <c:v>1.74</c:v>
                  </c:pt>
                  <c:pt idx="4">
                    <c:v>1.99</c:v>
                  </c:pt>
                </c:numCache>
              </c:numRef>
            </c:plus>
            <c:minus>
              <c:numRef>
                <c:f>MUT_95!$BB$3:$BF$3</c:f>
                <c:numCache>
                  <c:formatCode>General</c:formatCode>
                  <c:ptCount val="5"/>
                  <c:pt idx="0">
                    <c:v>2.44</c:v>
                  </c:pt>
                  <c:pt idx="1">
                    <c:v>1.19</c:v>
                  </c:pt>
                  <c:pt idx="2">
                    <c:v>2.42</c:v>
                  </c:pt>
                  <c:pt idx="3">
                    <c:v>1.74</c:v>
                  </c:pt>
                  <c:pt idx="4">
                    <c:v>1.99</c:v>
                  </c:pt>
                </c:numCache>
              </c:numRef>
            </c:minus>
            <c:spPr>
              <a:noFill/>
              <a:ln w="9525" cap="flat" cmpd="sng" algn="ctr">
                <a:solidFill>
                  <a:schemeClr val="tx1">
                    <a:lumMod val="65000"/>
                    <a:lumOff val="35000"/>
                  </a:schemeClr>
                </a:solidFill>
                <a:round/>
              </a:ln>
              <a:effectLst/>
            </c:spPr>
          </c:errBars>
          <c:cat>
            <c:numRef>
              <c:f>MUT_95!$BB$1:$BF$1</c:f>
              <c:numCache>
                <c:formatCode>General</c:formatCode>
                <c:ptCount val="5"/>
                <c:pt idx="0">
                  <c:v>2014</c:v>
                </c:pt>
                <c:pt idx="1">
                  <c:v>2015</c:v>
                </c:pt>
                <c:pt idx="2">
                  <c:v>2016</c:v>
                </c:pt>
                <c:pt idx="3">
                  <c:v>2017</c:v>
                </c:pt>
                <c:pt idx="4">
                  <c:v>2018</c:v>
                </c:pt>
              </c:numCache>
            </c:numRef>
          </c:cat>
          <c:val>
            <c:numRef>
              <c:f>MUT_95!$BB$2:$BF$2</c:f>
              <c:numCache>
                <c:formatCode>General</c:formatCode>
                <c:ptCount val="5"/>
                <c:pt idx="0">
                  <c:v>14.7</c:v>
                </c:pt>
                <c:pt idx="1">
                  <c:v>14.51</c:v>
                </c:pt>
                <c:pt idx="2">
                  <c:v>14.2</c:v>
                </c:pt>
                <c:pt idx="3">
                  <c:v>13.83</c:v>
                </c:pt>
                <c:pt idx="4">
                  <c:v>14.11</c:v>
                </c:pt>
              </c:numCache>
            </c:numRef>
          </c:val>
          <c:extLst>
            <c:ext xmlns:c16="http://schemas.microsoft.com/office/drawing/2014/chart" uri="{C3380CC4-5D6E-409C-BE32-E72D297353CC}">
              <c16:uniqueId val="{00000000-F217-45DA-A026-AFE28F4A9C1E}"/>
            </c:ext>
          </c:extLst>
        </c:ser>
        <c:dLbls>
          <c:showLegendKey val="0"/>
          <c:showVal val="0"/>
          <c:showCatName val="0"/>
          <c:showSerName val="0"/>
          <c:showPercent val="0"/>
          <c:showBubbleSize val="0"/>
        </c:dLbls>
        <c:gapWidth val="50"/>
        <c:overlap val="-27"/>
        <c:axId val="480276296"/>
        <c:axId val="480277080"/>
      </c:barChart>
      <c:catAx>
        <c:axId val="48027629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277080"/>
        <c:crosses val="autoZero"/>
        <c:auto val="1"/>
        <c:lblAlgn val="ctr"/>
        <c:lblOffset val="100"/>
        <c:noMultiLvlLbl val="0"/>
      </c:catAx>
      <c:valAx>
        <c:axId val="480277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hr-HR" b="1"/>
                  <a:t>TL (cm)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2762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a:solidFill>
                  <a:sysClr val="windowText" lastClr="000000"/>
                </a:solidFill>
              </a:rPr>
              <a:t>OCl u</a:t>
            </a:r>
            <a:r>
              <a:rPr lang="en-US" sz="1400" b="1" baseline="0">
                <a:solidFill>
                  <a:sysClr val="windowText" lastClr="000000"/>
                </a:solidFill>
              </a:rPr>
              <a:t> sedimentu</a:t>
            </a:r>
            <a:endParaRPr lang="en-US" sz="1400"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Sheet1!$AY$20</c:f>
              <c:strCache>
                <c:ptCount val="1"/>
                <c:pt idx="0">
                  <c:v>OCls in sediment</c:v>
                </c:pt>
              </c:strCache>
            </c:strRef>
          </c:tx>
          <c:dPt>
            <c:idx val="0"/>
            <c:bubble3D val="0"/>
            <c:spPr>
              <a:solidFill>
                <a:srgbClr val="0070C0"/>
              </a:solidFill>
              <a:ln w="19050">
                <a:solidFill>
                  <a:schemeClr val="lt1"/>
                </a:solidFill>
              </a:ln>
              <a:effectLst/>
            </c:spPr>
            <c:extLst>
              <c:ext xmlns:c16="http://schemas.microsoft.com/office/drawing/2014/chart" uri="{C3380CC4-5D6E-409C-BE32-E72D297353CC}">
                <c16:uniqueId val="{00000001-2696-49D3-9934-D5FE34630632}"/>
              </c:ext>
            </c:extLst>
          </c:dPt>
          <c:dPt>
            <c:idx val="1"/>
            <c:bubble3D val="0"/>
            <c:spPr>
              <a:solidFill>
                <a:srgbClr val="00FF99"/>
              </a:solidFill>
              <a:ln w="19050">
                <a:solidFill>
                  <a:schemeClr val="lt1"/>
                </a:solidFill>
              </a:ln>
              <a:effectLst/>
            </c:spPr>
            <c:extLst>
              <c:ext xmlns:c16="http://schemas.microsoft.com/office/drawing/2014/chart" uri="{C3380CC4-5D6E-409C-BE32-E72D297353CC}">
                <c16:uniqueId val="{00000003-2696-49D3-9934-D5FE34630632}"/>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2696-49D3-9934-D5FE34630632}"/>
              </c:ext>
            </c:extLst>
          </c:dPt>
          <c:dLbls>
            <c:dLbl>
              <c:idx val="1"/>
              <c:delete val="1"/>
              <c:extLst>
                <c:ext xmlns:c15="http://schemas.microsoft.com/office/drawing/2012/chart" uri="{CE6537A1-D6FC-4f65-9D91-7224C49458BB}"/>
                <c:ext xmlns:c16="http://schemas.microsoft.com/office/drawing/2014/chart" uri="{C3380CC4-5D6E-409C-BE32-E72D297353CC}">
                  <c16:uniqueId val="{00000003-2696-49D3-9934-D5FE34630632}"/>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Sheet1!$AX$21:$AX$23</c:f>
              <c:strCache>
                <c:ptCount val="3"/>
                <c:pt idx="0">
                  <c:v>C&lt;BAC</c:v>
                </c:pt>
                <c:pt idx="1">
                  <c:v>BAC&lt;C&lt;ERL</c:v>
                </c:pt>
                <c:pt idx="2">
                  <c:v>C&gt;ERL</c:v>
                </c:pt>
              </c:strCache>
            </c:strRef>
          </c:cat>
          <c:val>
            <c:numRef>
              <c:f>Sheet1!$AY$21:$AY$23</c:f>
              <c:numCache>
                <c:formatCode>General</c:formatCode>
                <c:ptCount val="3"/>
                <c:pt idx="0">
                  <c:v>45</c:v>
                </c:pt>
                <c:pt idx="1">
                  <c:v>0</c:v>
                </c:pt>
                <c:pt idx="2">
                  <c:v>7</c:v>
                </c:pt>
              </c:numCache>
            </c:numRef>
          </c:val>
          <c:extLst>
            <c:ext xmlns:c16="http://schemas.microsoft.com/office/drawing/2014/chart" uri="{C3380CC4-5D6E-409C-BE32-E72D297353CC}">
              <c16:uniqueId val="{00000006-2696-49D3-9934-D5FE34630632}"/>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'Graficki prikaz-skoljke'!$F$15</c:f>
              <c:strCache>
                <c:ptCount val="1"/>
                <c:pt idx="0">
                  <c:v>C&lt;BAC</c:v>
                </c:pt>
              </c:strCache>
            </c:strRef>
          </c:tx>
          <c:spPr>
            <a:solidFill>
              <a:srgbClr val="0070C0"/>
            </a:solidFill>
            <a:ln>
              <a:solidFill>
                <a:schemeClr val="tx1"/>
              </a:solidFill>
            </a:ln>
            <a:effectLst/>
          </c:spPr>
          <c:invertIfNegative val="0"/>
          <c:cat>
            <c:strRef>
              <c:f>'Graficki prikaz-skoljke'!$G$14:$K$14</c:f>
              <c:strCache>
                <c:ptCount val="5"/>
                <c:pt idx="0">
                  <c:v>Cd</c:v>
                </c:pt>
                <c:pt idx="1">
                  <c:v>Hg</c:v>
                </c:pt>
                <c:pt idx="2">
                  <c:v>Pb</c:v>
                </c:pt>
                <c:pt idx="3">
                  <c:v>Cu</c:v>
                </c:pt>
                <c:pt idx="4">
                  <c:v>Zn</c:v>
                </c:pt>
              </c:strCache>
            </c:strRef>
          </c:cat>
          <c:val>
            <c:numRef>
              <c:f>'Graficki prikaz-skoljke'!$G$15:$K$15</c:f>
              <c:numCache>
                <c:formatCode>General</c:formatCode>
                <c:ptCount val="5"/>
                <c:pt idx="0">
                  <c:v>8</c:v>
                </c:pt>
                <c:pt idx="1">
                  <c:v>5</c:v>
                </c:pt>
                <c:pt idx="2">
                  <c:v>6</c:v>
                </c:pt>
                <c:pt idx="3">
                  <c:v>1</c:v>
                </c:pt>
                <c:pt idx="4">
                  <c:v>1</c:v>
                </c:pt>
              </c:numCache>
            </c:numRef>
          </c:val>
          <c:extLst>
            <c:ext xmlns:c16="http://schemas.microsoft.com/office/drawing/2014/chart" uri="{C3380CC4-5D6E-409C-BE32-E72D297353CC}">
              <c16:uniqueId val="{00000000-8A30-4ADF-83E5-5E16803455AD}"/>
            </c:ext>
          </c:extLst>
        </c:ser>
        <c:ser>
          <c:idx val="1"/>
          <c:order val="1"/>
          <c:tx>
            <c:strRef>
              <c:f>'Graficki prikaz-skoljke'!$F$16</c:f>
              <c:strCache>
                <c:ptCount val="1"/>
                <c:pt idx="0">
                  <c:v>BAC&lt;C&lt;EC</c:v>
                </c:pt>
              </c:strCache>
            </c:strRef>
          </c:tx>
          <c:spPr>
            <a:solidFill>
              <a:srgbClr val="FFC000"/>
            </a:solidFill>
            <a:ln>
              <a:solidFill>
                <a:schemeClr val="tx1"/>
              </a:solidFill>
            </a:ln>
            <a:effectLst/>
          </c:spPr>
          <c:invertIfNegative val="0"/>
          <c:cat>
            <c:strRef>
              <c:f>'Graficki prikaz-skoljke'!$G$14:$K$14</c:f>
              <c:strCache>
                <c:ptCount val="5"/>
                <c:pt idx="0">
                  <c:v>Cd</c:v>
                </c:pt>
                <c:pt idx="1">
                  <c:v>Hg</c:v>
                </c:pt>
                <c:pt idx="2">
                  <c:v>Pb</c:v>
                </c:pt>
                <c:pt idx="3">
                  <c:v>Cu</c:v>
                </c:pt>
                <c:pt idx="4">
                  <c:v>Zn</c:v>
                </c:pt>
              </c:strCache>
            </c:strRef>
          </c:cat>
          <c:val>
            <c:numRef>
              <c:f>'Graficki prikaz-skoljke'!$G$16:$K$16</c:f>
              <c:numCache>
                <c:formatCode>General</c:formatCode>
                <c:ptCount val="5"/>
                <c:pt idx="0">
                  <c:v>3</c:v>
                </c:pt>
                <c:pt idx="1">
                  <c:v>6</c:v>
                </c:pt>
                <c:pt idx="2">
                  <c:v>1</c:v>
                </c:pt>
                <c:pt idx="3">
                  <c:v>10</c:v>
                </c:pt>
                <c:pt idx="4">
                  <c:v>10</c:v>
                </c:pt>
              </c:numCache>
            </c:numRef>
          </c:val>
          <c:extLst>
            <c:ext xmlns:c16="http://schemas.microsoft.com/office/drawing/2014/chart" uri="{C3380CC4-5D6E-409C-BE32-E72D297353CC}">
              <c16:uniqueId val="{00000001-8A30-4ADF-83E5-5E16803455AD}"/>
            </c:ext>
          </c:extLst>
        </c:ser>
        <c:ser>
          <c:idx val="2"/>
          <c:order val="2"/>
          <c:tx>
            <c:strRef>
              <c:f>'Graficki prikaz-skoljke'!$F$17</c:f>
              <c:strCache>
                <c:ptCount val="1"/>
                <c:pt idx="0">
                  <c:v>C&gt;EC</c:v>
                </c:pt>
              </c:strCache>
            </c:strRef>
          </c:tx>
          <c:spPr>
            <a:solidFill>
              <a:srgbClr val="FF0000"/>
            </a:solidFill>
            <a:ln>
              <a:solidFill>
                <a:schemeClr val="tx1"/>
              </a:solidFill>
            </a:ln>
            <a:effectLst/>
          </c:spPr>
          <c:invertIfNegative val="0"/>
          <c:cat>
            <c:strRef>
              <c:f>'Graficki prikaz-skoljke'!$G$14:$K$14</c:f>
              <c:strCache>
                <c:ptCount val="5"/>
                <c:pt idx="0">
                  <c:v>Cd</c:v>
                </c:pt>
                <c:pt idx="1">
                  <c:v>Hg</c:v>
                </c:pt>
                <c:pt idx="2">
                  <c:v>Pb</c:v>
                </c:pt>
                <c:pt idx="3">
                  <c:v>Cu</c:v>
                </c:pt>
                <c:pt idx="4">
                  <c:v>Zn</c:v>
                </c:pt>
              </c:strCache>
            </c:strRef>
          </c:cat>
          <c:val>
            <c:numRef>
              <c:f>'Graficki prikaz-skoljke'!$G$17:$K$17</c:f>
              <c:numCache>
                <c:formatCode>General</c:formatCode>
                <c:ptCount val="5"/>
                <c:pt idx="0">
                  <c:v>0</c:v>
                </c:pt>
                <c:pt idx="1">
                  <c:v>0</c:v>
                </c:pt>
                <c:pt idx="2">
                  <c:v>4</c:v>
                </c:pt>
                <c:pt idx="3">
                  <c:v>0</c:v>
                </c:pt>
                <c:pt idx="4">
                  <c:v>0</c:v>
                </c:pt>
              </c:numCache>
            </c:numRef>
          </c:val>
          <c:extLst>
            <c:ext xmlns:c16="http://schemas.microsoft.com/office/drawing/2014/chart" uri="{C3380CC4-5D6E-409C-BE32-E72D297353CC}">
              <c16:uniqueId val="{00000002-8A30-4ADF-83E5-5E16803455AD}"/>
            </c:ext>
          </c:extLst>
        </c:ser>
        <c:dLbls>
          <c:showLegendKey val="0"/>
          <c:showVal val="0"/>
          <c:showCatName val="0"/>
          <c:showSerName val="0"/>
          <c:showPercent val="0"/>
          <c:showBubbleSize val="0"/>
        </c:dLbls>
        <c:gapWidth val="150"/>
        <c:overlap val="100"/>
        <c:axId val="785780168"/>
        <c:axId val="474214544"/>
      </c:barChart>
      <c:catAx>
        <c:axId val="785780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14544"/>
        <c:crosses val="autoZero"/>
        <c:auto val="1"/>
        <c:lblAlgn val="ctr"/>
        <c:lblOffset val="100"/>
        <c:noMultiLvlLbl val="0"/>
      </c:catAx>
      <c:valAx>
        <c:axId val="474214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780168"/>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'Graficki prikaz-skoljke'!$F$92</c:f>
              <c:strCache>
                <c:ptCount val="1"/>
                <c:pt idx="0">
                  <c:v>C&lt;BAC</c:v>
                </c:pt>
              </c:strCache>
            </c:strRef>
          </c:tx>
          <c:spPr>
            <a:solidFill>
              <a:srgbClr val="0070C0"/>
            </a:solidFill>
            <a:ln>
              <a:noFill/>
            </a:ln>
            <a:effectLst/>
          </c:spPr>
          <c:invertIfNegative val="0"/>
          <c:cat>
            <c:strRef>
              <c:f>'Graficki prikaz-skoljke'!$G$91:$R$91</c:f>
              <c:strCache>
                <c:ptCount val="12"/>
                <c:pt idx="0">
                  <c:v>Ant</c:v>
                </c:pt>
                <c:pt idx="1">
                  <c:v>B(a)A</c:v>
                </c:pt>
                <c:pt idx="2">
                  <c:v>B(a)P</c:v>
                </c:pt>
                <c:pt idx="3">
                  <c:v>B(ghi)P</c:v>
                </c:pt>
                <c:pt idx="4">
                  <c:v>Chr</c:v>
                </c:pt>
                <c:pt idx="5">
                  <c:v>I(cd)P</c:v>
                </c:pt>
                <c:pt idx="6">
                  <c:v>Nap</c:v>
                </c:pt>
                <c:pt idx="7">
                  <c:v>Phe</c:v>
                </c:pt>
                <c:pt idx="8">
                  <c:v>Pyr</c:v>
                </c:pt>
                <c:pt idx="9">
                  <c:v>Flr</c:v>
                </c:pt>
                <c:pt idx="10">
                  <c:v>Flu</c:v>
                </c:pt>
                <c:pt idx="11">
                  <c:v>B(k)flu</c:v>
                </c:pt>
              </c:strCache>
            </c:strRef>
          </c:cat>
          <c:val>
            <c:numRef>
              <c:f>'Graficki prikaz-skoljke'!$G$92:$R$92</c:f>
              <c:numCache>
                <c:formatCode>General</c:formatCode>
                <c:ptCount val="12"/>
                <c:pt idx="0">
                  <c:v>6</c:v>
                </c:pt>
                <c:pt idx="1">
                  <c:v>9</c:v>
                </c:pt>
                <c:pt idx="2">
                  <c:v>5</c:v>
                </c:pt>
                <c:pt idx="3">
                  <c:v>5</c:v>
                </c:pt>
                <c:pt idx="4">
                  <c:v>3</c:v>
                </c:pt>
                <c:pt idx="5">
                  <c:v>10</c:v>
                </c:pt>
                <c:pt idx="6">
                  <c:v>9</c:v>
                </c:pt>
                <c:pt idx="7">
                  <c:v>11</c:v>
                </c:pt>
                <c:pt idx="8">
                  <c:v>8</c:v>
                </c:pt>
                <c:pt idx="9">
                  <c:v>11</c:v>
                </c:pt>
                <c:pt idx="10">
                  <c:v>11</c:v>
                </c:pt>
                <c:pt idx="11">
                  <c:v>3</c:v>
                </c:pt>
              </c:numCache>
            </c:numRef>
          </c:val>
          <c:extLst>
            <c:ext xmlns:c16="http://schemas.microsoft.com/office/drawing/2014/chart" uri="{C3380CC4-5D6E-409C-BE32-E72D297353CC}">
              <c16:uniqueId val="{00000000-9C8F-4546-A6B2-6E5AD397FABC}"/>
            </c:ext>
          </c:extLst>
        </c:ser>
        <c:ser>
          <c:idx val="1"/>
          <c:order val="1"/>
          <c:tx>
            <c:strRef>
              <c:f>'Graficki prikaz-skoljke'!$F$93</c:f>
              <c:strCache>
                <c:ptCount val="1"/>
                <c:pt idx="0">
                  <c:v>BAC&lt;C&lt;EAC</c:v>
                </c:pt>
              </c:strCache>
            </c:strRef>
          </c:tx>
          <c:spPr>
            <a:solidFill>
              <a:srgbClr val="00FF00"/>
            </a:solidFill>
            <a:ln>
              <a:noFill/>
            </a:ln>
            <a:effectLst/>
          </c:spPr>
          <c:invertIfNegative val="0"/>
          <c:cat>
            <c:strRef>
              <c:f>'Graficki prikaz-skoljke'!$G$91:$R$91</c:f>
              <c:strCache>
                <c:ptCount val="12"/>
                <c:pt idx="0">
                  <c:v>Ant</c:v>
                </c:pt>
                <c:pt idx="1">
                  <c:v>B(a)A</c:v>
                </c:pt>
                <c:pt idx="2">
                  <c:v>B(a)P</c:v>
                </c:pt>
                <c:pt idx="3">
                  <c:v>B(ghi)P</c:v>
                </c:pt>
                <c:pt idx="4">
                  <c:v>Chr</c:v>
                </c:pt>
                <c:pt idx="5">
                  <c:v>I(cd)P</c:v>
                </c:pt>
                <c:pt idx="6">
                  <c:v>Nap</c:v>
                </c:pt>
                <c:pt idx="7">
                  <c:v>Phe</c:v>
                </c:pt>
                <c:pt idx="8">
                  <c:v>Pyr</c:v>
                </c:pt>
                <c:pt idx="9">
                  <c:v>Flr</c:v>
                </c:pt>
                <c:pt idx="10">
                  <c:v>Flu</c:v>
                </c:pt>
                <c:pt idx="11">
                  <c:v>B(k)flu</c:v>
                </c:pt>
              </c:strCache>
            </c:strRef>
          </c:cat>
          <c:val>
            <c:numRef>
              <c:f>'Graficki prikaz-skoljke'!$G$93:$R$93</c:f>
              <c:numCache>
                <c:formatCode>General</c:formatCode>
                <c:ptCount val="12"/>
                <c:pt idx="0">
                  <c:v>5</c:v>
                </c:pt>
                <c:pt idx="1">
                  <c:v>2</c:v>
                </c:pt>
                <c:pt idx="2">
                  <c:v>6</c:v>
                </c:pt>
                <c:pt idx="3">
                  <c:v>6</c:v>
                </c:pt>
                <c:pt idx="4">
                  <c:v>8</c:v>
                </c:pt>
                <c:pt idx="5">
                  <c:v>1</c:v>
                </c:pt>
                <c:pt idx="6">
                  <c:v>2</c:v>
                </c:pt>
                <c:pt idx="7">
                  <c:v>0</c:v>
                </c:pt>
                <c:pt idx="8">
                  <c:v>3</c:v>
                </c:pt>
                <c:pt idx="9">
                  <c:v>0</c:v>
                </c:pt>
                <c:pt idx="10">
                  <c:v>0</c:v>
                </c:pt>
                <c:pt idx="11">
                  <c:v>8</c:v>
                </c:pt>
              </c:numCache>
            </c:numRef>
          </c:val>
          <c:extLst>
            <c:ext xmlns:c16="http://schemas.microsoft.com/office/drawing/2014/chart" uri="{C3380CC4-5D6E-409C-BE32-E72D297353CC}">
              <c16:uniqueId val="{00000001-9C8F-4546-A6B2-6E5AD397FABC}"/>
            </c:ext>
          </c:extLst>
        </c:ser>
        <c:ser>
          <c:idx val="2"/>
          <c:order val="2"/>
          <c:tx>
            <c:strRef>
              <c:f>'Graficki prikaz-skoljke'!$F$94</c:f>
              <c:strCache>
                <c:ptCount val="1"/>
                <c:pt idx="0">
                  <c:v>C&gt;EAC</c:v>
                </c:pt>
              </c:strCache>
            </c:strRef>
          </c:tx>
          <c:spPr>
            <a:solidFill>
              <a:srgbClr val="FF0000"/>
            </a:solidFill>
            <a:ln>
              <a:noFill/>
            </a:ln>
            <a:effectLst/>
          </c:spPr>
          <c:invertIfNegative val="0"/>
          <c:cat>
            <c:strRef>
              <c:f>'Graficki prikaz-skoljke'!$G$91:$R$91</c:f>
              <c:strCache>
                <c:ptCount val="12"/>
                <c:pt idx="0">
                  <c:v>Ant</c:v>
                </c:pt>
                <c:pt idx="1">
                  <c:v>B(a)A</c:v>
                </c:pt>
                <c:pt idx="2">
                  <c:v>B(a)P</c:v>
                </c:pt>
                <c:pt idx="3">
                  <c:v>B(ghi)P</c:v>
                </c:pt>
                <c:pt idx="4">
                  <c:v>Chr</c:v>
                </c:pt>
                <c:pt idx="5">
                  <c:v>I(cd)P</c:v>
                </c:pt>
                <c:pt idx="6">
                  <c:v>Nap</c:v>
                </c:pt>
                <c:pt idx="7">
                  <c:v>Phe</c:v>
                </c:pt>
                <c:pt idx="8">
                  <c:v>Pyr</c:v>
                </c:pt>
                <c:pt idx="9">
                  <c:v>Flr</c:v>
                </c:pt>
                <c:pt idx="10">
                  <c:v>Flu</c:v>
                </c:pt>
                <c:pt idx="11">
                  <c:v>B(k)flu</c:v>
                </c:pt>
              </c:strCache>
            </c:strRef>
          </c:cat>
          <c:val>
            <c:numRef>
              <c:f>'Graficki prikaz-skoljke'!$G$94:$R$94</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2-9C8F-4546-A6B2-6E5AD397FABC}"/>
            </c:ext>
          </c:extLst>
        </c:ser>
        <c:dLbls>
          <c:showLegendKey val="0"/>
          <c:showVal val="0"/>
          <c:showCatName val="0"/>
          <c:showSerName val="0"/>
          <c:showPercent val="0"/>
          <c:showBubbleSize val="0"/>
        </c:dLbls>
        <c:gapWidth val="75"/>
        <c:overlap val="100"/>
        <c:axId val="474220816"/>
        <c:axId val="474224344"/>
      </c:barChart>
      <c:catAx>
        <c:axId val="47422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24344"/>
        <c:crosses val="autoZero"/>
        <c:auto val="1"/>
        <c:lblAlgn val="ctr"/>
        <c:lblOffset val="100"/>
        <c:noMultiLvlLbl val="0"/>
      </c:catAx>
      <c:valAx>
        <c:axId val="474224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20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t>Metals in biota</a:t>
            </a:r>
          </a:p>
        </c:rich>
      </c:tx>
      <c:overlay val="0"/>
      <c:spPr>
        <a:noFill/>
        <a:ln>
          <a:noFill/>
        </a:ln>
        <a:effectLst/>
      </c:spPr>
    </c:title>
    <c:autoTitleDeleted val="0"/>
    <c:plotArea>
      <c:layout/>
      <c:pieChart>
        <c:varyColors val="1"/>
        <c:ser>
          <c:idx val="0"/>
          <c:order val="0"/>
          <c:tx>
            <c:strRef>
              <c:f>'Graficki prikaz-skoljke'!$B$24</c:f>
              <c:strCache>
                <c:ptCount val="1"/>
                <c:pt idx="0">
                  <c:v>Metals</c:v>
                </c:pt>
              </c:strCache>
            </c:strRef>
          </c:tx>
          <c:dPt>
            <c:idx val="0"/>
            <c:bubble3D val="0"/>
            <c:spPr>
              <a:solidFill>
                <a:srgbClr val="0070C0"/>
              </a:solidFill>
              <a:ln w="19050">
                <a:noFill/>
              </a:ln>
              <a:effectLst/>
            </c:spPr>
            <c:extLst>
              <c:ext xmlns:c16="http://schemas.microsoft.com/office/drawing/2014/chart" uri="{C3380CC4-5D6E-409C-BE32-E72D297353CC}">
                <c16:uniqueId val="{00000001-B18D-4B47-B07D-8E0C9C78FC53}"/>
              </c:ext>
            </c:extLst>
          </c:dPt>
          <c:dPt>
            <c:idx val="1"/>
            <c:bubble3D val="0"/>
            <c:spPr>
              <a:solidFill>
                <a:srgbClr val="FFC000"/>
              </a:solidFill>
              <a:ln w="19050">
                <a:solidFill>
                  <a:schemeClr val="lt1"/>
                </a:solidFill>
              </a:ln>
              <a:effectLst/>
            </c:spPr>
            <c:extLst>
              <c:ext xmlns:c16="http://schemas.microsoft.com/office/drawing/2014/chart" uri="{C3380CC4-5D6E-409C-BE32-E72D297353CC}">
                <c16:uniqueId val="{00000003-B18D-4B47-B07D-8E0C9C78FC53}"/>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B18D-4B47-B07D-8E0C9C78FC53}"/>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'Graficki prikaz-skoljke'!$A$25:$A$27</c:f>
              <c:strCache>
                <c:ptCount val="3"/>
                <c:pt idx="0">
                  <c:v>C&lt;BAC</c:v>
                </c:pt>
                <c:pt idx="1">
                  <c:v>BAC&lt;C&lt;EC</c:v>
                </c:pt>
                <c:pt idx="2">
                  <c:v>C&gt;EC</c:v>
                </c:pt>
              </c:strCache>
            </c:strRef>
          </c:cat>
          <c:val>
            <c:numRef>
              <c:f>'Graficki prikaz-skoljke'!$B$25:$B$27</c:f>
              <c:numCache>
                <c:formatCode>General</c:formatCode>
                <c:ptCount val="3"/>
                <c:pt idx="0">
                  <c:v>21</c:v>
                </c:pt>
                <c:pt idx="1">
                  <c:v>30</c:v>
                </c:pt>
                <c:pt idx="2">
                  <c:v>4</c:v>
                </c:pt>
              </c:numCache>
            </c:numRef>
          </c:val>
          <c:extLst>
            <c:ext xmlns:c16="http://schemas.microsoft.com/office/drawing/2014/chart" uri="{C3380CC4-5D6E-409C-BE32-E72D297353CC}">
              <c16:uniqueId val="{00000006-B18D-4B47-B07D-8E0C9C78FC53}"/>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en-US" sz="1200" b="1">
                <a:solidFill>
                  <a:sysClr val="windowText" lastClr="000000"/>
                </a:solidFill>
              </a:rPr>
              <a:t>PAHs</a:t>
            </a:r>
            <a:r>
              <a:rPr lang="en-US" sz="1100" b="1">
                <a:solidFill>
                  <a:sysClr val="windowText" lastClr="000000"/>
                </a:solidFill>
              </a:rPr>
              <a:t> in biota</a:t>
            </a:r>
          </a:p>
        </c:rich>
      </c:tx>
      <c:overlay val="0"/>
      <c:spPr>
        <a:noFill/>
        <a:ln>
          <a:noFill/>
        </a:ln>
        <a:effectLst/>
      </c:spPr>
    </c:title>
    <c:autoTitleDeleted val="0"/>
    <c:plotArea>
      <c:layout/>
      <c:pieChart>
        <c:varyColors val="1"/>
        <c:ser>
          <c:idx val="0"/>
          <c:order val="0"/>
          <c:tx>
            <c:strRef>
              <c:f>'Graficki prikaz-skoljke'!$B$109</c:f>
              <c:strCache>
                <c:ptCount val="1"/>
                <c:pt idx="0">
                  <c:v>PAHs</c:v>
                </c:pt>
              </c:strCache>
            </c:strRef>
          </c:tx>
          <c:dPt>
            <c:idx val="0"/>
            <c:bubble3D val="0"/>
            <c:spPr>
              <a:solidFill>
                <a:srgbClr val="0070C0"/>
              </a:solidFill>
              <a:ln w="19050">
                <a:solidFill>
                  <a:schemeClr val="lt1"/>
                </a:solidFill>
              </a:ln>
              <a:effectLst/>
            </c:spPr>
            <c:extLst>
              <c:ext xmlns:c16="http://schemas.microsoft.com/office/drawing/2014/chart" uri="{C3380CC4-5D6E-409C-BE32-E72D297353CC}">
                <c16:uniqueId val="{00000001-B9EA-494E-BB66-2F668E89F443}"/>
              </c:ext>
            </c:extLst>
          </c:dPt>
          <c:dPt>
            <c:idx val="1"/>
            <c:bubble3D val="0"/>
            <c:spPr>
              <a:solidFill>
                <a:srgbClr val="00FF00"/>
              </a:solidFill>
              <a:ln w="19050">
                <a:solidFill>
                  <a:schemeClr val="lt1"/>
                </a:solidFill>
              </a:ln>
              <a:effectLst/>
            </c:spPr>
            <c:extLst>
              <c:ext xmlns:c16="http://schemas.microsoft.com/office/drawing/2014/chart" uri="{C3380CC4-5D6E-409C-BE32-E72D297353CC}">
                <c16:uniqueId val="{00000003-B9EA-494E-BB66-2F668E89F443}"/>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B9EA-494E-BB66-2F668E89F443}"/>
              </c:ext>
            </c:extLst>
          </c:dPt>
          <c:dLbls>
            <c:dLbl>
              <c:idx val="2"/>
              <c:delete val="1"/>
              <c:extLst>
                <c:ext xmlns:c15="http://schemas.microsoft.com/office/drawing/2012/chart" uri="{CE6537A1-D6FC-4f65-9D91-7224C49458BB}"/>
                <c:ext xmlns:c16="http://schemas.microsoft.com/office/drawing/2014/chart" uri="{C3380CC4-5D6E-409C-BE32-E72D297353CC}">
                  <c16:uniqueId val="{00000005-B9EA-494E-BB66-2F668E89F443}"/>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'Graficki prikaz-skoljke'!$A$110:$A$112</c:f>
              <c:strCache>
                <c:ptCount val="3"/>
                <c:pt idx="0">
                  <c:v>C&lt;BAC</c:v>
                </c:pt>
                <c:pt idx="1">
                  <c:v>BAC&lt;C&lt;EAC</c:v>
                </c:pt>
                <c:pt idx="2">
                  <c:v>C&gt;EAC</c:v>
                </c:pt>
              </c:strCache>
            </c:strRef>
          </c:cat>
          <c:val>
            <c:numRef>
              <c:f>'Graficki prikaz-skoljke'!$B$110:$B$112</c:f>
              <c:numCache>
                <c:formatCode>General</c:formatCode>
                <c:ptCount val="3"/>
                <c:pt idx="0">
                  <c:v>91</c:v>
                </c:pt>
                <c:pt idx="1">
                  <c:v>41</c:v>
                </c:pt>
                <c:pt idx="2">
                  <c:v>0</c:v>
                </c:pt>
              </c:numCache>
            </c:numRef>
          </c:val>
          <c:extLst>
            <c:ext xmlns:c16="http://schemas.microsoft.com/office/drawing/2014/chart" uri="{C3380CC4-5D6E-409C-BE32-E72D297353CC}">
              <c16:uniqueId val="{00000006-B9EA-494E-BB66-2F668E89F443}"/>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'Graficki prikaz-skoljke'!$F$52</c:f>
              <c:strCache>
                <c:ptCount val="1"/>
                <c:pt idx="0">
                  <c:v>C&lt;BAC</c:v>
                </c:pt>
              </c:strCache>
            </c:strRef>
          </c:tx>
          <c:spPr>
            <a:solidFill>
              <a:srgbClr val="0070C0"/>
            </a:solidFill>
            <a:ln>
              <a:solidFill>
                <a:srgbClr val="0070C0"/>
              </a:solidFill>
            </a:ln>
            <a:effectLst/>
          </c:spPr>
          <c:invertIfNegative val="0"/>
          <c:cat>
            <c:strRef>
              <c:f>'Graficki prikaz-skoljke'!$G$51:$M$51</c:f>
              <c:strCache>
                <c:ptCount val="7"/>
                <c:pt idx="0">
                  <c:v>PCB 28</c:v>
                </c:pt>
                <c:pt idx="1">
                  <c:v>PCB 52</c:v>
                </c:pt>
                <c:pt idx="2">
                  <c:v>PCB 101</c:v>
                </c:pt>
                <c:pt idx="3">
                  <c:v>PCB 118</c:v>
                </c:pt>
                <c:pt idx="4">
                  <c:v>PCB 138</c:v>
                </c:pt>
                <c:pt idx="5">
                  <c:v>PCB 153</c:v>
                </c:pt>
                <c:pt idx="6">
                  <c:v>PCB 180</c:v>
                </c:pt>
              </c:strCache>
            </c:strRef>
          </c:cat>
          <c:val>
            <c:numRef>
              <c:f>'Graficki prikaz-skoljke'!$G$52:$M$52</c:f>
              <c:numCache>
                <c:formatCode>General</c:formatCode>
                <c:ptCount val="7"/>
                <c:pt idx="0">
                  <c:v>9</c:v>
                </c:pt>
                <c:pt idx="1">
                  <c:v>5</c:v>
                </c:pt>
                <c:pt idx="2">
                  <c:v>2</c:v>
                </c:pt>
                <c:pt idx="3">
                  <c:v>0</c:v>
                </c:pt>
                <c:pt idx="4">
                  <c:v>2</c:v>
                </c:pt>
                <c:pt idx="5">
                  <c:v>1</c:v>
                </c:pt>
                <c:pt idx="6">
                  <c:v>9</c:v>
                </c:pt>
              </c:numCache>
            </c:numRef>
          </c:val>
          <c:extLst>
            <c:ext xmlns:c16="http://schemas.microsoft.com/office/drawing/2014/chart" uri="{C3380CC4-5D6E-409C-BE32-E72D297353CC}">
              <c16:uniqueId val="{00000000-A6BE-4480-A7D2-7EF9FCA4A7FC}"/>
            </c:ext>
          </c:extLst>
        </c:ser>
        <c:ser>
          <c:idx val="1"/>
          <c:order val="1"/>
          <c:tx>
            <c:strRef>
              <c:f>'Graficki prikaz-skoljke'!$F$53</c:f>
              <c:strCache>
                <c:ptCount val="1"/>
                <c:pt idx="0">
                  <c:v>BAC&lt;C&lt;EAC</c:v>
                </c:pt>
              </c:strCache>
            </c:strRef>
          </c:tx>
          <c:spPr>
            <a:solidFill>
              <a:srgbClr val="00FF00"/>
            </a:solidFill>
            <a:ln>
              <a:solidFill>
                <a:schemeClr val="tx1"/>
              </a:solidFill>
            </a:ln>
            <a:effectLst/>
          </c:spPr>
          <c:invertIfNegative val="0"/>
          <c:cat>
            <c:strRef>
              <c:f>'Graficki prikaz-skoljke'!$G$51:$M$51</c:f>
              <c:strCache>
                <c:ptCount val="7"/>
                <c:pt idx="0">
                  <c:v>PCB 28</c:v>
                </c:pt>
                <c:pt idx="1">
                  <c:v>PCB 52</c:v>
                </c:pt>
                <c:pt idx="2">
                  <c:v>PCB 101</c:v>
                </c:pt>
                <c:pt idx="3">
                  <c:v>PCB 118</c:v>
                </c:pt>
                <c:pt idx="4">
                  <c:v>PCB 138</c:v>
                </c:pt>
                <c:pt idx="5">
                  <c:v>PCB 153</c:v>
                </c:pt>
                <c:pt idx="6">
                  <c:v>PCB 180</c:v>
                </c:pt>
              </c:strCache>
            </c:strRef>
          </c:cat>
          <c:val>
            <c:numRef>
              <c:f>'Graficki prikaz-skoljke'!$G$53:$M$53</c:f>
              <c:numCache>
                <c:formatCode>General</c:formatCode>
                <c:ptCount val="7"/>
                <c:pt idx="0">
                  <c:v>1</c:v>
                </c:pt>
                <c:pt idx="1">
                  <c:v>5</c:v>
                </c:pt>
                <c:pt idx="2">
                  <c:v>6</c:v>
                </c:pt>
                <c:pt idx="3">
                  <c:v>6</c:v>
                </c:pt>
                <c:pt idx="4">
                  <c:v>7</c:v>
                </c:pt>
                <c:pt idx="5">
                  <c:v>9</c:v>
                </c:pt>
                <c:pt idx="6">
                  <c:v>1</c:v>
                </c:pt>
              </c:numCache>
            </c:numRef>
          </c:val>
          <c:extLst>
            <c:ext xmlns:c16="http://schemas.microsoft.com/office/drawing/2014/chart" uri="{C3380CC4-5D6E-409C-BE32-E72D297353CC}">
              <c16:uniqueId val="{00000001-A6BE-4480-A7D2-7EF9FCA4A7FC}"/>
            </c:ext>
          </c:extLst>
        </c:ser>
        <c:ser>
          <c:idx val="2"/>
          <c:order val="2"/>
          <c:tx>
            <c:strRef>
              <c:f>'Graficki prikaz-skoljke'!$F$54</c:f>
              <c:strCache>
                <c:ptCount val="1"/>
                <c:pt idx="0">
                  <c:v>C&gt;EAC</c:v>
                </c:pt>
              </c:strCache>
            </c:strRef>
          </c:tx>
          <c:spPr>
            <a:solidFill>
              <a:srgbClr val="FF0000"/>
            </a:solidFill>
            <a:ln>
              <a:solidFill>
                <a:schemeClr val="tx1"/>
              </a:solidFill>
            </a:ln>
            <a:effectLst/>
          </c:spPr>
          <c:invertIfNegative val="0"/>
          <c:cat>
            <c:strRef>
              <c:f>'Graficki prikaz-skoljke'!$G$51:$M$51</c:f>
              <c:strCache>
                <c:ptCount val="7"/>
                <c:pt idx="0">
                  <c:v>PCB 28</c:v>
                </c:pt>
                <c:pt idx="1">
                  <c:v>PCB 52</c:v>
                </c:pt>
                <c:pt idx="2">
                  <c:v>PCB 101</c:v>
                </c:pt>
                <c:pt idx="3">
                  <c:v>PCB 118</c:v>
                </c:pt>
                <c:pt idx="4">
                  <c:v>PCB 138</c:v>
                </c:pt>
                <c:pt idx="5">
                  <c:v>PCB 153</c:v>
                </c:pt>
                <c:pt idx="6">
                  <c:v>PCB 180</c:v>
                </c:pt>
              </c:strCache>
            </c:strRef>
          </c:cat>
          <c:val>
            <c:numRef>
              <c:f>'Graficki prikaz-skoljke'!$G$54:$M$54</c:f>
              <c:numCache>
                <c:formatCode>General</c:formatCode>
                <c:ptCount val="7"/>
                <c:pt idx="0">
                  <c:v>0</c:v>
                </c:pt>
                <c:pt idx="1">
                  <c:v>0</c:v>
                </c:pt>
                <c:pt idx="2">
                  <c:v>2</c:v>
                </c:pt>
                <c:pt idx="3">
                  <c:v>7</c:v>
                </c:pt>
                <c:pt idx="4">
                  <c:v>1</c:v>
                </c:pt>
                <c:pt idx="5">
                  <c:v>0</c:v>
                </c:pt>
                <c:pt idx="6">
                  <c:v>0</c:v>
                </c:pt>
              </c:numCache>
            </c:numRef>
          </c:val>
          <c:extLst>
            <c:ext xmlns:c16="http://schemas.microsoft.com/office/drawing/2014/chart" uri="{C3380CC4-5D6E-409C-BE32-E72D297353CC}">
              <c16:uniqueId val="{00000002-A6BE-4480-A7D2-7EF9FCA4A7FC}"/>
            </c:ext>
          </c:extLst>
        </c:ser>
        <c:dLbls>
          <c:showLegendKey val="0"/>
          <c:showVal val="0"/>
          <c:showCatName val="0"/>
          <c:showSerName val="0"/>
          <c:showPercent val="0"/>
          <c:showBubbleSize val="0"/>
        </c:dLbls>
        <c:gapWidth val="150"/>
        <c:overlap val="100"/>
        <c:axId val="474224736"/>
        <c:axId val="474220032"/>
      </c:barChart>
      <c:catAx>
        <c:axId val="474224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20032"/>
        <c:crossesAt val="0"/>
        <c:auto val="1"/>
        <c:lblAlgn val="ctr"/>
        <c:lblOffset val="100"/>
        <c:noMultiLvlLbl val="0"/>
      </c:catAx>
      <c:valAx>
        <c:axId val="4742200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24736"/>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'Graficki prikaz-skoljke'!$B$162</c:f>
              <c:strCache>
                <c:ptCount val="1"/>
                <c:pt idx="0">
                  <c:v>C&lt;BAC</c:v>
                </c:pt>
              </c:strCache>
            </c:strRef>
          </c:tx>
          <c:spPr>
            <a:solidFill>
              <a:srgbClr val="0070C0"/>
            </a:solidFill>
            <a:ln>
              <a:noFill/>
            </a:ln>
            <a:effectLst/>
          </c:spPr>
          <c:invertIfNegative val="0"/>
          <c:cat>
            <c:strRef>
              <c:f>'Graficki prikaz-skoljke'!$C$161:$G$161</c:f>
              <c:strCache>
                <c:ptCount val="5"/>
                <c:pt idx="0">
                  <c:v>TBT</c:v>
                </c:pt>
                <c:pt idx="1">
                  <c:v>DDE (p,p’)</c:v>
                </c:pt>
                <c:pt idx="2">
                  <c:v>HCB</c:v>
                </c:pt>
                <c:pt idx="3">
                  <c:v>Dield.</c:v>
                </c:pt>
                <c:pt idx="4">
                  <c:v>Lindan</c:v>
                </c:pt>
              </c:strCache>
            </c:strRef>
          </c:cat>
          <c:val>
            <c:numRef>
              <c:f>'Graficki prikaz-skoljke'!$C$162:$G$162</c:f>
              <c:numCache>
                <c:formatCode>General</c:formatCode>
                <c:ptCount val="5"/>
                <c:pt idx="0">
                  <c:v>1</c:v>
                </c:pt>
                <c:pt idx="1">
                  <c:v>1</c:v>
                </c:pt>
                <c:pt idx="2">
                  <c:v>1</c:v>
                </c:pt>
                <c:pt idx="3">
                  <c:v>1</c:v>
                </c:pt>
                <c:pt idx="4">
                  <c:v>1</c:v>
                </c:pt>
              </c:numCache>
            </c:numRef>
          </c:val>
          <c:extLst>
            <c:ext xmlns:c16="http://schemas.microsoft.com/office/drawing/2014/chart" uri="{C3380CC4-5D6E-409C-BE32-E72D297353CC}">
              <c16:uniqueId val="{00000000-049E-4114-9BB3-49087EBC4137}"/>
            </c:ext>
          </c:extLst>
        </c:ser>
        <c:ser>
          <c:idx val="1"/>
          <c:order val="1"/>
          <c:tx>
            <c:strRef>
              <c:f>'Graficki prikaz-skoljke'!$B$163</c:f>
              <c:strCache>
                <c:ptCount val="1"/>
                <c:pt idx="0">
                  <c:v>BAC&lt;C&lt;EAC</c:v>
                </c:pt>
              </c:strCache>
            </c:strRef>
          </c:tx>
          <c:spPr>
            <a:solidFill>
              <a:srgbClr val="00FF00"/>
            </a:solidFill>
            <a:ln>
              <a:noFill/>
            </a:ln>
            <a:effectLst/>
          </c:spPr>
          <c:invertIfNegative val="0"/>
          <c:cat>
            <c:strRef>
              <c:f>'Graficki prikaz-skoljke'!$C$161:$G$161</c:f>
              <c:strCache>
                <c:ptCount val="5"/>
                <c:pt idx="0">
                  <c:v>TBT</c:v>
                </c:pt>
                <c:pt idx="1">
                  <c:v>DDE (p,p’)</c:v>
                </c:pt>
                <c:pt idx="2">
                  <c:v>HCB</c:v>
                </c:pt>
                <c:pt idx="3">
                  <c:v>Dield.</c:v>
                </c:pt>
                <c:pt idx="4">
                  <c:v>Lindan</c:v>
                </c:pt>
              </c:strCache>
            </c:strRef>
          </c:cat>
          <c:val>
            <c:numRef>
              <c:f>'Graficki prikaz-skoljke'!$C$163:$G$163</c:f>
              <c:numCache>
                <c:formatCode>General</c:formatCode>
                <c:ptCount val="5"/>
                <c:pt idx="0">
                  <c:v>1</c:v>
                </c:pt>
              </c:numCache>
            </c:numRef>
          </c:val>
          <c:extLst>
            <c:ext xmlns:c16="http://schemas.microsoft.com/office/drawing/2014/chart" uri="{C3380CC4-5D6E-409C-BE32-E72D297353CC}">
              <c16:uniqueId val="{00000001-049E-4114-9BB3-49087EBC4137}"/>
            </c:ext>
          </c:extLst>
        </c:ser>
        <c:ser>
          <c:idx val="2"/>
          <c:order val="2"/>
          <c:tx>
            <c:strRef>
              <c:f>'Graficki prikaz-skoljke'!$B$164</c:f>
              <c:strCache>
                <c:ptCount val="1"/>
                <c:pt idx="0">
                  <c:v>C&gt;EAC</c:v>
                </c:pt>
              </c:strCache>
            </c:strRef>
          </c:tx>
          <c:spPr>
            <a:solidFill>
              <a:srgbClr val="FF0000"/>
            </a:solidFill>
            <a:ln>
              <a:noFill/>
            </a:ln>
            <a:effectLst/>
          </c:spPr>
          <c:invertIfNegative val="0"/>
          <c:cat>
            <c:strRef>
              <c:f>'Graficki prikaz-skoljke'!$C$161:$G$161</c:f>
              <c:strCache>
                <c:ptCount val="5"/>
                <c:pt idx="0">
                  <c:v>TBT</c:v>
                </c:pt>
                <c:pt idx="1">
                  <c:v>DDE (p,p’)</c:v>
                </c:pt>
                <c:pt idx="2">
                  <c:v>HCB</c:v>
                </c:pt>
                <c:pt idx="3">
                  <c:v>Dield.</c:v>
                </c:pt>
                <c:pt idx="4">
                  <c:v>Lindan</c:v>
                </c:pt>
              </c:strCache>
            </c:strRef>
          </c:cat>
          <c:val>
            <c:numRef>
              <c:f>'Graficki prikaz-skoljke'!$C$164:$G$164</c:f>
              <c:numCache>
                <c:formatCode>General</c:formatCode>
                <c:ptCount val="5"/>
                <c:pt idx="0">
                  <c:v>9</c:v>
                </c:pt>
              </c:numCache>
            </c:numRef>
          </c:val>
          <c:extLst>
            <c:ext xmlns:c16="http://schemas.microsoft.com/office/drawing/2014/chart" uri="{C3380CC4-5D6E-409C-BE32-E72D297353CC}">
              <c16:uniqueId val="{00000002-049E-4114-9BB3-49087EBC4137}"/>
            </c:ext>
          </c:extLst>
        </c:ser>
        <c:dLbls>
          <c:showLegendKey val="0"/>
          <c:showVal val="0"/>
          <c:showCatName val="0"/>
          <c:showSerName val="0"/>
          <c:showPercent val="0"/>
          <c:showBubbleSize val="0"/>
        </c:dLbls>
        <c:gapWidth val="150"/>
        <c:overlap val="100"/>
        <c:axId val="474218464"/>
        <c:axId val="474218856"/>
      </c:barChart>
      <c:catAx>
        <c:axId val="474218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18856"/>
        <c:crosses val="autoZero"/>
        <c:auto val="1"/>
        <c:lblAlgn val="ctr"/>
        <c:lblOffset val="100"/>
        <c:noMultiLvlLbl val="0"/>
      </c:catAx>
      <c:valAx>
        <c:axId val="474218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18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PCBs in biota</a:t>
            </a:r>
          </a:p>
        </c:rich>
      </c:tx>
      <c:overlay val="0"/>
      <c:spPr>
        <a:noFill/>
        <a:ln>
          <a:noFill/>
        </a:ln>
        <a:effectLst/>
      </c:spPr>
    </c:title>
    <c:autoTitleDeleted val="0"/>
    <c:plotArea>
      <c:layout/>
      <c:pieChart>
        <c:varyColors val="1"/>
        <c:ser>
          <c:idx val="0"/>
          <c:order val="0"/>
          <c:tx>
            <c:strRef>
              <c:f>'Graficki prikaz-skoljke'!$B$64</c:f>
              <c:strCache>
                <c:ptCount val="1"/>
                <c:pt idx="0">
                  <c:v>PCBs</c:v>
                </c:pt>
              </c:strCache>
            </c:strRef>
          </c:tx>
          <c:dPt>
            <c:idx val="0"/>
            <c:bubble3D val="0"/>
            <c:spPr>
              <a:solidFill>
                <a:srgbClr val="0070C0"/>
              </a:solidFill>
              <a:ln w="19050">
                <a:solidFill>
                  <a:schemeClr val="lt1"/>
                </a:solidFill>
              </a:ln>
              <a:effectLst/>
            </c:spPr>
            <c:extLst>
              <c:ext xmlns:c16="http://schemas.microsoft.com/office/drawing/2014/chart" uri="{C3380CC4-5D6E-409C-BE32-E72D297353CC}">
                <c16:uniqueId val="{00000001-FD87-4EEC-9C74-C331AD17878E}"/>
              </c:ext>
            </c:extLst>
          </c:dPt>
          <c:dPt>
            <c:idx val="1"/>
            <c:bubble3D val="0"/>
            <c:spPr>
              <a:solidFill>
                <a:srgbClr val="00FF00"/>
              </a:solidFill>
              <a:ln w="19050">
                <a:solidFill>
                  <a:schemeClr val="lt1"/>
                </a:solidFill>
              </a:ln>
              <a:effectLst/>
            </c:spPr>
            <c:extLst>
              <c:ext xmlns:c16="http://schemas.microsoft.com/office/drawing/2014/chart" uri="{C3380CC4-5D6E-409C-BE32-E72D297353CC}">
                <c16:uniqueId val="{00000003-FD87-4EEC-9C74-C331AD17878E}"/>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FD87-4EEC-9C74-C331AD17878E}"/>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'Graficki prikaz-skoljke'!$A$65:$A$67</c:f>
              <c:strCache>
                <c:ptCount val="3"/>
                <c:pt idx="0">
                  <c:v>C&lt;BAC</c:v>
                </c:pt>
                <c:pt idx="1">
                  <c:v>BAC&lt;C&lt;EAC</c:v>
                </c:pt>
                <c:pt idx="2">
                  <c:v>C&gt;EAC</c:v>
                </c:pt>
              </c:strCache>
            </c:strRef>
          </c:cat>
          <c:val>
            <c:numRef>
              <c:f>'Graficki prikaz-skoljke'!$B$65:$B$67</c:f>
              <c:numCache>
                <c:formatCode>General</c:formatCode>
                <c:ptCount val="3"/>
                <c:pt idx="0">
                  <c:v>28</c:v>
                </c:pt>
                <c:pt idx="1">
                  <c:v>35</c:v>
                </c:pt>
                <c:pt idx="2">
                  <c:v>10</c:v>
                </c:pt>
              </c:numCache>
            </c:numRef>
          </c:val>
          <c:extLst>
            <c:ext xmlns:c16="http://schemas.microsoft.com/office/drawing/2014/chart" uri="{C3380CC4-5D6E-409C-BE32-E72D297353CC}">
              <c16:uniqueId val="{00000006-FD87-4EEC-9C74-C331AD17878E}"/>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TBT</a:t>
            </a:r>
          </a:p>
        </c:rich>
      </c:tx>
      <c:overlay val="0"/>
      <c:spPr>
        <a:noFill/>
        <a:ln>
          <a:noFill/>
        </a:ln>
        <a:effectLst/>
      </c:spPr>
    </c:title>
    <c:autoTitleDeleted val="0"/>
    <c:plotArea>
      <c:layout/>
      <c:pieChart>
        <c:varyColors val="1"/>
        <c:ser>
          <c:idx val="0"/>
          <c:order val="0"/>
          <c:tx>
            <c:strRef>
              <c:f>'Graficki prikaz-skoljke'!$S$149</c:f>
              <c:strCache>
                <c:ptCount val="1"/>
                <c:pt idx="0">
                  <c:v>TBT</c:v>
                </c:pt>
              </c:strCache>
            </c:strRef>
          </c:tx>
          <c:dPt>
            <c:idx val="0"/>
            <c:bubble3D val="0"/>
            <c:spPr>
              <a:solidFill>
                <a:srgbClr val="0070C0"/>
              </a:solidFill>
              <a:ln w="19050">
                <a:solidFill>
                  <a:schemeClr val="lt1"/>
                </a:solidFill>
              </a:ln>
              <a:effectLst/>
            </c:spPr>
            <c:extLst>
              <c:ext xmlns:c16="http://schemas.microsoft.com/office/drawing/2014/chart" uri="{C3380CC4-5D6E-409C-BE32-E72D297353CC}">
                <c16:uniqueId val="{00000001-6E03-42CB-A8BE-F0F99D9DB7D4}"/>
              </c:ext>
            </c:extLst>
          </c:dPt>
          <c:dPt>
            <c:idx val="1"/>
            <c:bubble3D val="0"/>
            <c:spPr>
              <a:solidFill>
                <a:srgbClr val="00FF00"/>
              </a:solidFill>
              <a:ln w="19050">
                <a:solidFill>
                  <a:schemeClr val="lt1"/>
                </a:solidFill>
              </a:ln>
              <a:effectLst/>
            </c:spPr>
            <c:extLst>
              <c:ext xmlns:c16="http://schemas.microsoft.com/office/drawing/2014/chart" uri="{C3380CC4-5D6E-409C-BE32-E72D297353CC}">
                <c16:uniqueId val="{00000003-6E03-42CB-A8BE-F0F99D9DB7D4}"/>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6E03-42CB-A8BE-F0F99D9DB7D4}"/>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'Graficki prikaz-skoljke'!$R$150:$R$152</c:f>
              <c:strCache>
                <c:ptCount val="3"/>
                <c:pt idx="0">
                  <c:v>C&lt;BAC</c:v>
                </c:pt>
                <c:pt idx="1">
                  <c:v>BAC&lt;C&lt;EAC</c:v>
                </c:pt>
                <c:pt idx="2">
                  <c:v>C&gt;EAC</c:v>
                </c:pt>
              </c:strCache>
            </c:strRef>
          </c:cat>
          <c:val>
            <c:numRef>
              <c:f>'Graficki prikaz-skoljke'!$S$150:$S$152</c:f>
              <c:numCache>
                <c:formatCode>General</c:formatCode>
                <c:ptCount val="3"/>
                <c:pt idx="0">
                  <c:v>1</c:v>
                </c:pt>
                <c:pt idx="1">
                  <c:v>1</c:v>
                </c:pt>
                <c:pt idx="2">
                  <c:v>9</c:v>
                </c:pt>
              </c:numCache>
            </c:numRef>
          </c:val>
          <c:extLst>
            <c:ext xmlns:c16="http://schemas.microsoft.com/office/drawing/2014/chart" uri="{C3380CC4-5D6E-409C-BE32-E72D297353CC}">
              <c16:uniqueId val="{00000006-6E03-42CB-A8BE-F0F99D9DB7D4}"/>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2"/>
          <c:order val="12"/>
          <c:tx>
            <c:strRef>
              <c:f>Pb!$N$2</c:f>
              <c:strCache>
                <c:ptCount val="1"/>
                <c:pt idx="0">
                  <c:v>ML</c:v>
                </c:pt>
              </c:strCache>
            </c:strRef>
          </c:tx>
          <c:spPr>
            <a:ln w="19050" cap="rnd">
              <a:solidFill>
                <a:srgbClr val="FF0000"/>
              </a:solidFill>
              <a:round/>
            </a:ln>
            <a:effectLst/>
          </c:spPr>
          <c:marker>
            <c:symbol val="none"/>
          </c:marker>
          <c:cat>
            <c:strRef>
              <c:f>Pb!$A$3:$A$8</c:f>
              <c:strCache>
                <c:ptCount val="6"/>
                <c:pt idx="0">
                  <c:v>B1</c:v>
                </c:pt>
                <c:pt idx="1">
                  <c:v>B2</c:v>
                </c:pt>
                <c:pt idx="2">
                  <c:v>B3</c:v>
                </c:pt>
                <c:pt idx="3">
                  <c:v>B4</c:v>
                </c:pt>
                <c:pt idx="4">
                  <c:v>B5</c:v>
                </c:pt>
                <c:pt idx="5">
                  <c:v>B6</c:v>
                </c:pt>
              </c:strCache>
            </c:strRef>
          </c:cat>
          <c:val>
            <c:numRef>
              <c:f>Pb!$N$3:$N$8</c:f>
              <c:numCache>
                <c:formatCode>General</c:formatCode>
                <c:ptCount val="6"/>
                <c:pt idx="0">
                  <c:v>1.5</c:v>
                </c:pt>
                <c:pt idx="1">
                  <c:v>1.5</c:v>
                </c:pt>
                <c:pt idx="2">
                  <c:v>1.5</c:v>
                </c:pt>
                <c:pt idx="3">
                  <c:v>1.5</c:v>
                </c:pt>
                <c:pt idx="4">
                  <c:v>1.5</c:v>
                </c:pt>
                <c:pt idx="5">
                  <c:v>1.5</c:v>
                </c:pt>
              </c:numCache>
            </c:numRef>
          </c:val>
          <c:smooth val="0"/>
          <c:extLst>
            <c:ext xmlns:c16="http://schemas.microsoft.com/office/drawing/2014/chart" uri="{C3380CC4-5D6E-409C-BE32-E72D297353CC}">
              <c16:uniqueId val="{00000000-FD3A-4E48-87CF-17E82B423959}"/>
            </c:ext>
          </c:extLst>
        </c:ser>
        <c:dLbls>
          <c:showLegendKey val="0"/>
          <c:showVal val="0"/>
          <c:showCatName val="0"/>
          <c:showSerName val="0"/>
          <c:showPercent val="0"/>
          <c:showBubbleSize val="0"/>
        </c:dLbls>
        <c:marker val="1"/>
        <c:smooth val="0"/>
        <c:axId val="474219248"/>
        <c:axId val="474213760"/>
      </c:lineChart>
      <c:scatterChart>
        <c:scatterStyle val="lineMarker"/>
        <c:varyColors val="0"/>
        <c:ser>
          <c:idx val="0"/>
          <c:order val="0"/>
          <c:tx>
            <c:strRef>
              <c:f>Pb!$B$2</c:f>
              <c:strCache>
                <c:ptCount val="1"/>
                <c:pt idx="0">
                  <c:v>11.2014.</c:v>
                </c:pt>
              </c:strCache>
            </c:strRef>
          </c:tx>
          <c:spPr>
            <a:ln w="28575" cap="rnd">
              <a:noFill/>
              <a:round/>
            </a:ln>
            <a:effectLst/>
          </c:spPr>
          <c:marker>
            <c:symbol val="circle"/>
            <c:size val="5"/>
            <c:spPr>
              <a:solidFill>
                <a:schemeClr val="accent1"/>
              </a:solidFill>
              <a:ln w="9525">
                <a:solidFill>
                  <a:schemeClr val="accent1"/>
                </a:solidFill>
              </a:ln>
              <a:effectLst/>
            </c:spPr>
          </c:marker>
          <c:xVal>
            <c:strRef>
              <c:f>Pb!$A$3:$A$8</c:f>
              <c:strCache>
                <c:ptCount val="6"/>
                <c:pt idx="0">
                  <c:v>B1</c:v>
                </c:pt>
                <c:pt idx="1">
                  <c:v>B2</c:v>
                </c:pt>
                <c:pt idx="2">
                  <c:v>B3</c:v>
                </c:pt>
                <c:pt idx="3">
                  <c:v>B4</c:v>
                </c:pt>
                <c:pt idx="4">
                  <c:v>B5</c:v>
                </c:pt>
                <c:pt idx="5">
                  <c:v>B6</c:v>
                </c:pt>
              </c:strCache>
            </c:strRef>
          </c:xVal>
          <c:yVal>
            <c:numRef>
              <c:f>Pb!$B$3:$B$8</c:f>
              <c:numCache>
                <c:formatCode>General</c:formatCode>
                <c:ptCount val="6"/>
                <c:pt idx="0">
                  <c:v>0.18000000000000005</c:v>
                </c:pt>
                <c:pt idx="1">
                  <c:v>0.2</c:v>
                </c:pt>
                <c:pt idx="2">
                  <c:v>0.22</c:v>
                </c:pt>
                <c:pt idx="3">
                  <c:v>0.22</c:v>
                </c:pt>
                <c:pt idx="4">
                  <c:v>0.15000000000000005</c:v>
                </c:pt>
                <c:pt idx="5">
                  <c:v>0.27</c:v>
                </c:pt>
              </c:numCache>
            </c:numRef>
          </c:yVal>
          <c:smooth val="0"/>
          <c:extLst>
            <c:ext xmlns:c16="http://schemas.microsoft.com/office/drawing/2014/chart" uri="{C3380CC4-5D6E-409C-BE32-E72D297353CC}">
              <c16:uniqueId val="{00000001-FD3A-4E48-87CF-17E82B423959}"/>
            </c:ext>
          </c:extLst>
        </c:ser>
        <c:ser>
          <c:idx val="1"/>
          <c:order val="1"/>
          <c:tx>
            <c:strRef>
              <c:f>Pb!$C$2</c:f>
              <c:strCache>
                <c:ptCount val="1"/>
                <c:pt idx="0">
                  <c:v>05.2015.</c:v>
                </c:pt>
              </c:strCache>
            </c:strRef>
          </c:tx>
          <c:spPr>
            <a:ln w="25400" cap="rnd">
              <a:noFill/>
              <a:round/>
            </a:ln>
            <a:effectLst/>
          </c:spPr>
          <c:marker>
            <c:symbol val="circle"/>
            <c:size val="5"/>
            <c:spPr>
              <a:solidFill>
                <a:schemeClr val="accent2"/>
              </a:solidFill>
              <a:ln w="9525">
                <a:solidFill>
                  <a:schemeClr val="accent2"/>
                </a:solidFill>
              </a:ln>
              <a:effectLst/>
            </c:spPr>
          </c:marker>
          <c:xVal>
            <c:strRef>
              <c:f>Pb!$A$3:$A$8</c:f>
              <c:strCache>
                <c:ptCount val="6"/>
                <c:pt idx="0">
                  <c:v>B1</c:v>
                </c:pt>
                <c:pt idx="1">
                  <c:v>B2</c:v>
                </c:pt>
                <c:pt idx="2">
                  <c:v>B3</c:v>
                </c:pt>
                <c:pt idx="3">
                  <c:v>B4</c:v>
                </c:pt>
                <c:pt idx="4">
                  <c:v>B5</c:v>
                </c:pt>
                <c:pt idx="5">
                  <c:v>B6</c:v>
                </c:pt>
              </c:strCache>
            </c:strRef>
          </c:xVal>
          <c:yVal>
            <c:numRef>
              <c:f>Pb!$C$3:$C$8</c:f>
              <c:numCache>
                <c:formatCode>General</c:formatCode>
                <c:ptCount val="6"/>
                <c:pt idx="0">
                  <c:v>0.17</c:v>
                </c:pt>
                <c:pt idx="1">
                  <c:v>0.14000000000000001</c:v>
                </c:pt>
                <c:pt idx="2">
                  <c:v>0.1</c:v>
                </c:pt>
                <c:pt idx="3">
                  <c:v>0.23</c:v>
                </c:pt>
                <c:pt idx="4">
                  <c:v>0.18000000000000005</c:v>
                </c:pt>
                <c:pt idx="5">
                  <c:v>0.12000000000000002</c:v>
                </c:pt>
              </c:numCache>
            </c:numRef>
          </c:yVal>
          <c:smooth val="0"/>
          <c:extLst>
            <c:ext xmlns:c16="http://schemas.microsoft.com/office/drawing/2014/chart" uri="{C3380CC4-5D6E-409C-BE32-E72D297353CC}">
              <c16:uniqueId val="{00000002-FD3A-4E48-87CF-17E82B423959}"/>
            </c:ext>
          </c:extLst>
        </c:ser>
        <c:ser>
          <c:idx val="2"/>
          <c:order val="2"/>
          <c:tx>
            <c:strRef>
              <c:f>Pb!$D$2</c:f>
              <c:strCache>
                <c:ptCount val="1"/>
                <c:pt idx="0">
                  <c:v>11.2015.</c:v>
                </c:pt>
              </c:strCache>
            </c:strRef>
          </c:tx>
          <c:spPr>
            <a:ln w="25400" cap="rnd">
              <a:noFill/>
              <a:round/>
            </a:ln>
            <a:effectLst/>
          </c:spPr>
          <c:marker>
            <c:symbol val="circle"/>
            <c:size val="5"/>
            <c:spPr>
              <a:solidFill>
                <a:schemeClr val="accent3"/>
              </a:solidFill>
              <a:ln w="9525">
                <a:solidFill>
                  <a:schemeClr val="accent3"/>
                </a:solidFill>
              </a:ln>
              <a:effectLst/>
            </c:spPr>
          </c:marker>
          <c:xVal>
            <c:strRef>
              <c:f>Pb!$A$3:$A$8</c:f>
              <c:strCache>
                <c:ptCount val="6"/>
                <c:pt idx="0">
                  <c:v>B1</c:v>
                </c:pt>
                <c:pt idx="1">
                  <c:v>B2</c:v>
                </c:pt>
                <c:pt idx="2">
                  <c:v>B3</c:v>
                </c:pt>
                <c:pt idx="3">
                  <c:v>B4</c:v>
                </c:pt>
                <c:pt idx="4">
                  <c:v>B5</c:v>
                </c:pt>
                <c:pt idx="5">
                  <c:v>B6</c:v>
                </c:pt>
              </c:strCache>
            </c:strRef>
          </c:xVal>
          <c:yVal>
            <c:numRef>
              <c:f>Pb!$D$3:$D$8</c:f>
              <c:numCache>
                <c:formatCode>General</c:formatCode>
                <c:ptCount val="6"/>
                <c:pt idx="0">
                  <c:v>0.14000000000000001</c:v>
                </c:pt>
                <c:pt idx="1">
                  <c:v>0.1</c:v>
                </c:pt>
                <c:pt idx="2">
                  <c:v>0.11</c:v>
                </c:pt>
                <c:pt idx="3">
                  <c:v>0.16</c:v>
                </c:pt>
                <c:pt idx="4">
                  <c:v>0.12000000000000002</c:v>
                </c:pt>
                <c:pt idx="5">
                  <c:v>0.15000000000000005</c:v>
                </c:pt>
              </c:numCache>
            </c:numRef>
          </c:yVal>
          <c:smooth val="0"/>
          <c:extLst>
            <c:ext xmlns:c16="http://schemas.microsoft.com/office/drawing/2014/chart" uri="{C3380CC4-5D6E-409C-BE32-E72D297353CC}">
              <c16:uniqueId val="{00000003-FD3A-4E48-87CF-17E82B423959}"/>
            </c:ext>
          </c:extLst>
        </c:ser>
        <c:ser>
          <c:idx val="3"/>
          <c:order val="3"/>
          <c:tx>
            <c:strRef>
              <c:f>Pb!$E$2</c:f>
              <c:strCache>
                <c:ptCount val="1"/>
                <c:pt idx="0">
                  <c:v>05.2016.</c:v>
                </c:pt>
              </c:strCache>
            </c:strRef>
          </c:tx>
          <c:spPr>
            <a:ln w="25400" cap="rnd">
              <a:noFill/>
              <a:round/>
            </a:ln>
            <a:effectLst/>
          </c:spPr>
          <c:marker>
            <c:symbol val="circle"/>
            <c:size val="5"/>
            <c:spPr>
              <a:solidFill>
                <a:schemeClr val="accent4"/>
              </a:solidFill>
              <a:ln w="9525">
                <a:solidFill>
                  <a:schemeClr val="accent4"/>
                </a:solidFill>
              </a:ln>
              <a:effectLst/>
            </c:spPr>
          </c:marker>
          <c:xVal>
            <c:strRef>
              <c:f>Pb!$A$3:$A$8</c:f>
              <c:strCache>
                <c:ptCount val="6"/>
                <c:pt idx="0">
                  <c:v>B1</c:v>
                </c:pt>
                <c:pt idx="1">
                  <c:v>B2</c:v>
                </c:pt>
                <c:pt idx="2">
                  <c:v>B3</c:v>
                </c:pt>
                <c:pt idx="3">
                  <c:v>B4</c:v>
                </c:pt>
                <c:pt idx="4">
                  <c:v>B5</c:v>
                </c:pt>
                <c:pt idx="5">
                  <c:v>B6</c:v>
                </c:pt>
              </c:strCache>
            </c:strRef>
          </c:xVal>
          <c:yVal>
            <c:numRef>
              <c:f>Pb!$E$3:$E$8</c:f>
              <c:numCache>
                <c:formatCode>General</c:formatCode>
                <c:ptCount val="6"/>
                <c:pt idx="0">
                  <c:v>0.17</c:v>
                </c:pt>
                <c:pt idx="1">
                  <c:v>0.14000000000000001</c:v>
                </c:pt>
                <c:pt idx="2">
                  <c:v>0.1</c:v>
                </c:pt>
                <c:pt idx="3">
                  <c:v>0.13</c:v>
                </c:pt>
                <c:pt idx="4">
                  <c:v>0.1</c:v>
                </c:pt>
                <c:pt idx="5">
                  <c:v>0.15000000000000005</c:v>
                </c:pt>
              </c:numCache>
            </c:numRef>
          </c:yVal>
          <c:smooth val="0"/>
          <c:extLst>
            <c:ext xmlns:c16="http://schemas.microsoft.com/office/drawing/2014/chart" uri="{C3380CC4-5D6E-409C-BE32-E72D297353CC}">
              <c16:uniqueId val="{00000004-FD3A-4E48-87CF-17E82B423959}"/>
            </c:ext>
          </c:extLst>
        </c:ser>
        <c:ser>
          <c:idx val="4"/>
          <c:order val="4"/>
          <c:tx>
            <c:strRef>
              <c:f>Pb!$F$2</c:f>
              <c:strCache>
                <c:ptCount val="1"/>
                <c:pt idx="0">
                  <c:v>05.2017.</c:v>
                </c:pt>
              </c:strCache>
            </c:strRef>
          </c:tx>
          <c:spPr>
            <a:ln w="25400" cap="rnd">
              <a:noFill/>
              <a:round/>
            </a:ln>
            <a:effectLst/>
          </c:spPr>
          <c:marker>
            <c:symbol val="circle"/>
            <c:size val="5"/>
            <c:spPr>
              <a:solidFill>
                <a:schemeClr val="accent5"/>
              </a:solidFill>
              <a:ln w="9525">
                <a:solidFill>
                  <a:schemeClr val="accent5"/>
                </a:solidFill>
              </a:ln>
              <a:effectLst/>
            </c:spPr>
          </c:marker>
          <c:xVal>
            <c:strRef>
              <c:f>Pb!$A$3:$A$8</c:f>
              <c:strCache>
                <c:ptCount val="6"/>
                <c:pt idx="0">
                  <c:v>B1</c:v>
                </c:pt>
                <c:pt idx="1">
                  <c:v>B2</c:v>
                </c:pt>
                <c:pt idx="2">
                  <c:v>B3</c:v>
                </c:pt>
                <c:pt idx="3">
                  <c:v>B4</c:v>
                </c:pt>
                <c:pt idx="4">
                  <c:v>B5</c:v>
                </c:pt>
                <c:pt idx="5">
                  <c:v>B6</c:v>
                </c:pt>
              </c:strCache>
            </c:strRef>
          </c:xVal>
          <c:yVal>
            <c:numRef>
              <c:f>Pb!$F$3:$F$8</c:f>
              <c:numCache>
                <c:formatCode>General</c:formatCode>
                <c:ptCount val="6"/>
                <c:pt idx="0">
                  <c:v>0.21000000000000005</c:v>
                </c:pt>
                <c:pt idx="1">
                  <c:v>0.15000000000000005</c:v>
                </c:pt>
                <c:pt idx="2">
                  <c:v>0.2</c:v>
                </c:pt>
                <c:pt idx="3">
                  <c:v>0.17</c:v>
                </c:pt>
                <c:pt idx="4">
                  <c:v>0.23</c:v>
                </c:pt>
                <c:pt idx="5">
                  <c:v>0.21000000000000005</c:v>
                </c:pt>
              </c:numCache>
            </c:numRef>
          </c:yVal>
          <c:smooth val="0"/>
          <c:extLst>
            <c:ext xmlns:c16="http://schemas.microsoft.com/office/drawing/2014/chart" uri="{C3380CC4-5D6E-409C-BE32-E72D297353CC}">
              <c16:uniqueId val="{00000005-FD3A-4E48-87CF-17E82B423959}"/>
            </c:ext>
          </c:extLst>
        </c:ser>
        <c:ser>
          <c:idx val="5"/>
          <c:order val="5"/>
          <c:tx>
            <c:strRef>
              <c:f>Pb!$G$2</c:f>
              <c:strCache>
                <c:ptCount val="1"/>
                <c:pt idx="0">
                  <c:v>11.2017.</c:v>
                </c:pt>
              </c:strCache>
            </c:strRef>
          </c:tx>
          <c:spPr>
            <a:ln w="25400" cap="rnd">
              <a:noFill/>
              <a:round/>
            </a:ln>
            <a:effectLst/>
          </c:spPr>
          <c:marker>
            <c:symbol val="circle"/>
            <c:size val="5"/>
            <c:spPr>
              <a:solidFill>
                <a:schemeClr val="accent6"/>
              </a:solidFill>
              <a:ln w="9525">
                <a:solidFill>
                  <a:schemeClr val="accent6"/>
                </a:solidFill>
              </a:ln>
              <a:effectLst/>
            </c:spPr>
          </c:marker>
          <c:xVal>
            <c:strRef>
              <c:f>Pb!$A$3:$A$8</c:f>
              <c:strCache>
                <c:ptCount val="6"/>
                <c:pt idx="0">
                  <c:v>B1</c:v>
                </c:pt>
                <c:pt idx="1">
                  <c:v>B2</c:v>
                </c:pt>
                <c:pt idx="2">
                  <c:v>B3</c:v>
                </c:pt>
                <c:pt idx="3">
                  <c:v>B4</c:v>
                </c:pt>
                <c:pt idx="4">
                  <c:v>B5</c:v>
                </c:pt>
                <c:pt idx="5">
                  <c:v>B6</c:v>
                </c:pt>
              </c:strCache>
            </c:strRef>
          </c:xVal>
          <c:yVal>
            <c:numRef>
              <c:f>Pb!$G$3:$G$8</c:f>
              <c:numCache>
                <c:formatCode>General</c:formatCode>
                <c:ptCount val="6"/>
                <c:pt idx="0">
                  <c:v>0.3000000000000001</c:v>
                </c:pt>
                <c:pt idx="1">
                  <c:v>0.29000000000000009</c:v>
                </c:pt>
                <c:pt idx="2">
                  <c:v>0.22</c:v>
                </c:pt>
                <c:pt idx="3">
                  <c:v>0.35000000000000009</c:v>
                </c:pt>
                <c:pt idx="4">
                  <c:v>0.28000000000000008</c:v>
                </c:pt>
                <c:pt idx="5">
                  <c:v>0.28000000000000008</c:v>
                </c:pt>
              </c:numCache>
            </c:numRef>
          </c:yVal>
          <c:smooth val="0"/>
          <c:extLst>
            <c:ext xmlns:c16="http://schemas.microsoft.com/office/drawing/2014/chart" uri="{C3380CC4-5D6E-409C-BE32-E72D297353CC}">
              <c16:uniqueId val="{00000006-FD3A-4E48-87CF-17E82B423959}"/>
            </c:ext>
          </c:extLst>
        </c:ser>
        <c:ser>
          <c:idx val="6"/>
          <c:order val="6"/>
          <c:tx>
            <c:strRef>
              <c:f>Pb!$H$2</c:f>
              <c:strCache>
                <c:ptCount val="1"/>
                <c:pt idx="0">
                  <c:v>05.2018.</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strRef>
              <c:f>Pb!$A$3:$A$8</c:f>
              <c:strCache>
                <c:ptCount val="6"/>
                <c:pt idx="0">
                  <c:v>B1</c:v>
                </c:pt>
                <c:pt idx="1">
                  <c:v>B2</c:v>
                </c:pt>
                <c:pt idx="2">
                  <c:v>B3</c:v>
                </c:pt>
                <c:pt idx="3">
                  <c:v>B4</c:v>
                </c:pt>
                <c:pt idx="4">
                  <c:v>B5</c:v>
                </c:pt>
                <c:pt idx="5">
                  <c:v>B6</c:v>
                </c:pt>
              </c:strCache>
            </c:strRef>
          </c:xVal>
          <c:yVal>
            <c:numRef>
              <c:f>Pb!$H$3:$H$8</c:f>
              <c:numCache>
                <c:formatCode>General</c:formatCode>
                <c:ptCount val="6"/>
                <c:pt idx="0">
                  <c:v>0.15300000000000005</c:v>
                </c:pt>
                <c:pt idx="1">
                  <c:v>0</c:v>
                </c:pt>
                <c:pt idx="2">
                  <c:v>0.14400000000000004</c:v>
                </c:pt>
                <c:pt idx="3">
                  <c:v>0.20400000000000001</c:v>
                </c:pt>
                <c:pt idx="4">
                  <c:v>0.126</c:v>
                </c:pt>
                <c:pt idx="5">
                  <c:v>0.11899999999999998</c:v>
                </c:pt>
              </c:numCache>
            </c:numRef>
          </c:yVal>
          <c:smooth val="0"/>
          <c:extLst>
            <c:ext xmlns:c16="http://schemas.microsoft.com/office/drawing/2014/chart" uri="{C3380CC4-5D6E-409C-BE32-E72D297353CC}">
              <c16:uniqueId val="{00000007-FD3A-4E48-87CF-17E82B423959}"/>
            </c:ext>
          </c:extLst>
        </c:ser>
        <c:ser>
          <c:idx val="7"/>
          <c:order val="7"/>
          <c:tx>
            <c:strRef>
              <c:f>Pb!$I$2</c:f>
              <c:strCache>
                <c:ptCount val="1"/>
                <c:pt idx="0">
                  <c:v>11.2018.</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strRef>
              <c:f>Pb!$A$3:$A$8</c:f>
              <c:strCache>
                <c:ptCount val="6"/>
                <c:pt idx="0">
                  <c:v>B1</c:v>
                </c:pt>
                <c:pt idx="1">
                  <c:v>B2</c:v>
                </c:pt>
                <c:pt idx="2">
                  <c:v>B3</c:v>
                </c:pt>
                <c:pt idx="3">
                  <c:v>B4</c:v>
                </c:pt>
                <c:pt idx="4">
                  <c:v>B5</c:v>
                </c:pt>
                <c:pt idx="5">
                  <c:v>B6</c:v>
                </c:pt>
              </c:strCache>
            </c:strRef>
          </c:xVal>
          <c:yVal>
            <c:numRef>
              <c:f>Pb!$I$3:$I$8</c:f>
              <c:numCache>
                <c:formatCode>General</c:formatCode>
                <c:ptCount val="6"/>
                <c:pt idx="0">
                  <c:v>0.18000000000000005</c:v>
                </c:pt>
                <c:pt idx="1">
                  <c:v>0.12000000000000002</c:v>
                </c:pt>
                <c:pt idx="2">
                  <c:v>0.16</c:v>
                </c:pt>
                <c:pt idx="3">
                  <c:v>0.16</c:v>
                </c:pt>
                <c:pt idx="4">
                  <c:v>0.13</c:v>
                </c:pt>
                <c:pt idx="5">
                  <c:v>0.17</c:v>
                </c:pt>
              </c:numCache>
            </c:numRef>
          </c:yVal>
          <c:smooth val="0"/>
          <c:extLst>
            <c:ext xmlns:c16="http://schemas.microsoft.com/office/drawing/2014/chart" uri="{C3380CC4-5D6E-409C-BE32-E72D297353CC}">
              <c16:uniqueId val="{00000008-FD3A-4E48-87CF-17E82B423959}"/>
            </c:ext>
          </c:extLst>
        </c:ser>
        <c:ser>
          <c:idx val="8"/>
          <c:order val="8"/>
          <c:tx>
            <c:strRef>
              <c:f>Pb!$J$2</c:f>
              <c:strCache>
                <c:ptCount val="1"/>
                <c:pt idx="0">
                  <c:v>05.2019.</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xVal>
            <c:strRef>
              <c:f>Pb!$A$3:$A$8</c:f>
              <c:strCache>
                <c:ptCount val="6"/>
                <c:pt idx="0">
                  <c:v>B1</c:v>
                </c:pt>
                <c:pt idx="1">
                  <c:v>B2</c:v>
                </c:pt>
                <c:pt idx="2">
                  <c:v>B3</c:v>
                </c:pt>
                <c:pt idx="3">
                  <c:v>B4</c:v>
                </c:pt>
                <c:pt idx="4">
                  <c:v>B5</c:v>
                </c:pt>
                <c:pt idx="5">
                  <c:v>B6</c:v>
                </c:pt>
              </c:strCache>
            </c:strRef>
          </c:xVal>
          <c:yVal>
            <c:numRef>
              <c:f>Pb!$J$3:$J$8</c:f>
              <c:numCache>
                <c:formatCode>General</c:formatCode>
                <c:ptCount val="6"/>
                <c:pt idx="0">
                  <c:v>0.18000000000000005</c:v>
                </c:pt>
                <c:pt idx="1">
                  <c:v>0.16</c:v>
                </c:pt>
                <c:pt idx="2">
                  <c:v>0.22</c:v>
                </c:pt>
                <c:pt idx="3">
                  <c:v>0.16</c:v>
                </c:pt>
                <c:pt idx="4">
                  <c:v>0.25</c:v>
                </c:pt>
                <c:pt idx="5">
                  <c:v>0.19</c:v>
                </c:pt>
              </c:numCache>
            </c:numRef>
          </c:yVal>
          <c:smooth val="0"/>
          <c:extLst>
            <c:ext xmlns:c16="http://schemas.microsoft.com/office/drawing/2014/chart" uri="{C3380CC4-5D6E-409C-BE32-E72D297353CC}">
              <c16:uniqueId val="{00000009-FD3A-4E48-87CF-17E82B423959}"/>
            </c:ext>
          </c:extLst>
        </c:ser>
        <c:ser>
          <c:idx val="9"/>
          <c:order val="9"/>
          <c:tx>
            <c:strRef>
              <c:f>Pb!$K$2</c:f>
              <c:strCache>
                <c:ptCount val="1"/>
                <c:pt idx="0">
                  <c:v>11.2019.</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xVal>
            <c:strRef>
              <c:f>Pb!$A$3:$A$8</c:f>
              <c:strCache>
                <c:ptCount val="6"/>
                <c:pt idx="0">
                  <c:v>B1</c:v>
                </c:pt>
                <c:pt idx="1">
                  <c:v>B2</c:v>
                </c:pt>
                <c:pt idx="2">
                  <c:v>B3</c:v>
                </c:pt>
                <c:pt idx="3">
                  <c:v>B4</c:v>
                </c:pt>
                <c:pt idx="4">
                  <c:v>B5</c:v>
                </c:pt>
                <c:pt idx="5">
                  <c:v>B6</c:v>
                </c:pt>
              </c:strCache>
            </c:strRef>
          </c:xVal>
          <c:yVal>
            <c:numRef>
              <c:f>Pb!$K$3:$K$8</c:f>
              <c:numCache>
                <c:formatCode>General</c:formatCode>
                <c:ptCount val="6"/>
                <c:pt idx="0">
                  <c:v>0.12000000000000002</c:v>
                </c:pt>
                <c:pt idx="1">
                  <c:v>0.12000000000000002</c:v>
                </c:pt>
                <c:pt idx="2">
                  <c:v>0.1</c:v>
                </c:pt>
                <c:pt idx="4">
                  <c:v>0.14000000000000001</c:v>
                </c:pt>
                <c:pt idx="5">
                  <c:v>0.05</c:v>
                </c:pt>
              </c:numCache>
            </c:numRef>
          </c:yVal>
          <c:smooth val="0"/>
          <c:extLst>
            <c:ext xmlns:c16="http://schemas.microsoft.com/office/drawing/2014/chart" uri="{C3380CC4-5D6E-409C-BE32-E72D297353CC}">
              <c16:uniqueId val="{0000000A-FD3A-4E48-87CF-17E82B423959}"/>
            </c:ext>
          </c:extLst>
        </c:ser>
        <c:ser>
          <c:idx val="10"/>
          <c:order val="10"/>
          <c:tx>
            <c:strRef>
              <c:f>Pb!$L$2</c:f>
              <c:strCache>
                <c:ptCount val="1"/>
                <c:pt idx="0">
                  <c:v>05.2020.</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xVal>
            <c:strRef>
              <c:f>Pb!$A$3:$A$8</c:f>
              <c:strCache>
                <c:ptCount val="6"/>
                <c:pt idx="0">
                  <c:v>B1</c:v>
                </c:pt>
                <c:pt idx="1">
                  <c:v>B2</c:v>
                </c:pt>
                <c:pt idx="2">
                  <c:v>B3</c:v>
                </c:pt>
                <c:pt idx="3">
                  <c:v>B4</c:v>
                </c:pt>
                <c:pt idx="4">
                  <c:v>B5</c:v>
                </c:pt>
                <c:pt idx="5">
                  <c:v>B6</c:v>
                </c:pt>
              </c:strCache>
            </c:strRef>
          </c:xVal>
          <c:yVal>
            <c:numRef>
              <c:f>Pb!$L$3:$L$8</c:f>
              <c:numCache>
                <c:formatCode>General</c:formatCode>
                <c:ptCount val="6"/>
                <c:pt idx="1">
                  <c:v>0.17</c:v>
                </c:pt>
                <c:pt idx="2">
                  <c:v>0.18000000000000005</c:v>
                </c:pt>
                <c:pt idx="5">
                  <c:v>0.16</c:v>
                </c:pt>
              </c:numCache>
            </c:numRef>
          </c:yVal>
          <c:smooth val="0"/>
          <c:extLst>
            <c:ext xmlns:c16="http://schemas.microsoft.com/office/drawing/2014/chart" uri="{C3380CC4-5D6E-409C-BE32-E72D297353CC}">
              <c16:uniqueId val="{0000000B-FD3A-4E48-87CF-17E82B423959}"/>
            </c:ext>
          </c:extLst>
        </c:ser>
        <c:ser>
          <c:idx val="11"/>
          <c:order val="11"/>
          <c:tx>
            <c:strRef>
              <c:f>Pb!$M$2</c:f>
              <c:strCache>
                <c:ptCount val="1"/>
                <c:pt idx="0">
                  <c:v>10.2020.</c:v>
                </c:pt>
              </c:strCache>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xVal>
            <c:strRef>
              <c:f>Pb!$A$3:$A$8</c:f>
              <c:strCache>
                <c:ptCount val="6"/>
                <c:pt idx="0">
                  <c:v>B1</c:v>
                </c:pt>
                <c:pt idx="1">
                  <c:v>B2</c:v>
                </c:pt>
                <c:pt idx="2">
                  <c:v>B3</c:v>
                </c:pt>
                <c:pt idx="3">
                  <c:v>B4</c:v>
                </c:pt>
                <c:pt idx="4">
                  <c:v>B5</c:v>
                </c:pt>
                <c:pt idx="5">
                  <c:v>B6</c:v>
                </c:pt>
              </c:strCache>
            </c:strRef>
          </c:xVal>
          <c:yVal>
            <c:numRef>
              <c:f>Pb!$M$3:$M$8</c:f>
              <c:numCache>
                <c:formatCode>General</c:formatCode>
                <c:ptCount val="6"/>
                <c:pt idx="1">
                  <c:v>0.11</c:v>
                </c:pt>
                <c:pt idx="2">
                  <c:v>8.3000000000000032E-2</c:v>
                </c:pt>
                <c:pt idx="3">
                  <c:v>9.4000000000000028E-2</c:v>
                </c:pt>
                <c:pt idx="5">
                  <c:v>0.8</c:v>
                </c:pt>
              </c:numCache>
            </c:numRef>
          </c:yVal>
          <c:smooth val="0"/>
          <c:extLst>
            <c:ext xmlns:c16="http://schemas.microsoft.com/office/drawing/2014/chart" uri="{C3380CC4-5D6E-409C-BE32-E72D297353CC}">
              <c16:uniqueId val="{0000000C-FD3A-4E48-87CF-17E82B423959}"/>
            </c:ext>
          </c:extLst>
        </c:ser>
        <c:dLbls>
          <c:showLegendKey val="0"/>
          <c:showVal val="0"/>
          <c:showCatName val="0"/>
          <c:showSerName val="0"/>
          <c:showPercent val="0"/>
          <c:showBubbleSize val="0"/>
        </c:dLbls>
        <c:axId val="474219248"/>
        <c:axId val="474213760"/>
      </c:scatterChart>
      <c:catAx>
        <c:axId val="4742192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Location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13760"/>
        <c:crosses val="autoZero"/>
        <c:auto val="1"/>
        <c:lblAlgn val="ctr"/>
        <c:lblOffset val="100"/>
        <c:noMultiLvlLbl val="0"/>
      </c:catAx>
      <c:valAx>
        <c:axId val="474213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Pb, </a:t>
                </a:r>
                <a:r>
                  <a:rPr lang="en-US" i="1"/>
                  <a:t>mg/kg w.w.</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19248"/>
        <c:crosses val="autoZero"/>
        <c:crossBetween val="between"/>
      </c:valAx>
      <c:spPr>
        <a:noFill/>
        <a:ln>
          <a:noFill/>
        </a:ln>
        <a:effectLst/>
      </c:spPr>
    </c:plotArea>
    <c:legend>
      <c:legendPos val="r"/>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ayout>
        <c:manualLayout>
          <c:xMode val="edge"/>
          <c:yMode val="edge"/>
          <c:x val="0.82321082268277324"/>
          <c:y val="5.1639861506673358E-2"/>
          <c:w val="0.16396862855051131"/>
          <c:h val="0.3065836537874628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2766349206349207"/>
          <c:y val="0.14814814814814814"/>
          <c:w val="0.69625357142857147"/>
          <c:h val="0.6462809857101196"/>
        </c:manualLayout>
      </c:layout>
      <c:barChart>
        <c:barDir val="col"/>
        <c:grouping val="stacked"/>
        <c:varyColors val="0"/>
        <c:ser>
          <c:idx val="0"/>
          <c:order val="0"/>
          <c:tx>
            <c:strRef>
              <c:f>MUT_95!$S$2</c:f>
              <c:strCache>
                <c:ptCount val="1"/>
                <c:pt idx="0">
                  <c:v>Below 95%</c:v>
                </c:pt>
              </c:strCache>
            </c:strRef>
          </c:tx>
          <c:spPr>
            <a:solidFill>
              <a:schemeClr val="accent1"/>
            </a:solidFill>
            <a:ln>
              <a:noFill/>
            </a:ln>
            <a:effectLst/>
          </c:spPr>
          <c:invertIfNegative val="0"/>
          <c:cat>
            <c:numRef>
              <c:f>MUT_95!$T$1:$V$1</c:f>
              <c:numCache>
                <c:formatCode>General</c:formatCode>
                <c:ptCount val="3"/>
                <c:pt idx="0">
                  <c:v>2017</c:v>
                </c:pt>
                <c:pt idx="1">
                  <c:v>2018</c:v>
                </c:pt>
                <c:pt idx="2">
                  <c:v>2019</c:v>
                </c:pt>
              </c:numCache>
            </c:numRef>
          </c:cat>
          <c:val>
            <c:numRef>
              <c:f>MUT_95!$T$2:$V$2</c:f>
              <c:numCache>
                <c:formatCode>General</c:formatCode>
                <c:ptCount val="3"/>
                <c:pt idx="0">
                  <c:v>19.5</c:v>
                </c:pt>
                <c:pt idx="1">
                  <c:v>19.3</c:v>
                </c:pt>
                <c:pt idx="2">
                  <c:v>20.100000000000001</c:v>
                </c:pt>
              </c:numCache>
            </c:numRef>
          </c:val>
          <c:extLst>
            <c:ext xmlns:c16="http://schemas.microsoft.com/office/drawing/2014/chart" uri="{C3380CC4-5D6E-409C-BE32-E72D297353CC}">
              <c16:uniqueId val="{00000000-27CE-4CF4-8E41-386DB7D18C46}"/>
            </c:ext>
          </c:extLst>
        </c:ser>
        <c:ser>
          <c:idx val="1"/>
          <c:order val="1"/>
          <c:tx>
            <c:strRef>
              <c:f>MUT_95!$S$3</c:f>
              <c:strCache>
                <c:ptCount val="1"/>
                <c:pt idx="0">
                  <c:v>Over 95%</c:v>
                </c:pt>
              </c:strCache>
            </c:strRef>
          </c:tx>
          <c:spPr>
            <a:solidFill>
              <a:schemeClr val="accent2"/>
            </a:solidFill>
            <a:ln>
              <a:noFill/>
            </a:ln>
            <a:effectLst/>
          </c:spPr>
          <c:invertIfNegative val="0"/>
          <c:cat>
            <c:numRef>
              <c:f>MUT_95!$T$1:$V$1</c:f>
              <c:numCache>
                <c:formatCode>General</c:formatCode>
                <c:ptCount val="3"/>
                <c:pt idx="0">
                  <c:v>2017</c:v>
                </c:pt>
                <c:pt idx="1">
                  <c:v>2018</c:v>
                </c:pt>
                <c:pt idx="2">
                  <c:v>2019</c:v>
                </c:pt>
              </c:numCache>
            </c:numRef>
          </c:cat>
          <c:val>
            <c:numRef>
              <c:f>MUT_95!$T$3:$V$3</c:f>
              <c:numCache>
                <c:formatCode>General</c:formatCode>
                <c:ptCount val="3"/>
                <c:pt idx="0">
                  <c:v>6.6999999999999993</c:v>
                </c:pt>
                <c:pt idx="1">
                  <c:v>3.8000000000000007</c:v>
                </c:pt>
                <c:pt idx="2">
                  <c:v>4.1999999999999993</c:v>
                </c:pt>
              </c:numCache>
            </c:numRef>
          </c:val>
          <c:extLst>
            <c:ext xmlns:c16="http://schemas.microsoft.com/office/drawing/2014/chart" uri="{C3380CC4-5D6E-409C-BE32-E72D297353CC}">
              <c16:uniqueId val="{00000001-27CE-4CF4-8E41-386DB7D18C46}"/>
            </c:ext>
          </c:extLst>
        </c:ser>
        <c:dLbls>
          <c:showLegendKey val="0"/>
          <c:showVal val="0"/>
          <c:showCatName val="0"/>
          <c:showSerName val="0"/>
          <c:showPercent val="0"/>
          <c:showBubbleSize val="0"/>
        </c:dLbls>
        <c:gapWidth val="50"/>
        <c:overlap val="100"/>
        <c:axId val="480282176"/>
        <c:axId val="480276688"/>
      </c:barChart>
      <c:catAx>
        <c:axId val="48028217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276688"/>
        <c:crosses val="autoZero"/>
        <c:auto val="1"/>
        <c:lblAlgn val="ctr"/>
        <c:lblOffset val="100"/>
        <c:noMultiLvlLbl val="0"/>
      </c:catAx>
      <c:valAx>
        <c:axId val="480276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hr-HR" b="1"/>
                  <a:t>TL (cm)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282176"/>
        <c:crosses val="autoZero"/>
        <c:crossBetween val="between"/>
      </c:valAx>
      <c:spPr>
        <a:noFill/>
        <a:ln>
          <a:noFill/>
        </a:ln>
        <a:effectLst/>
      </c:spPr>
    </c:plotArea>
    <c:legend>
      <c:legendPos val="r"/>
      <c:layout>
        <c:manualLayout>
          <c:xMode val="edge"/>
          <c:yMode val="edge"/>
          <c:x val="0.18308373015873017"/>
          <c:y val="5.2077865266841883E-3"/>
          <c:w val="0.65060674603174617"/>
          <c:h val="0.1562510936132983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2"/>
          <c:order val="12"/>
          <c:tx>
            <c:strRef>
              <c:f>Pb!$N$2</c:f>
              <c:strCache>
                <c:ptCount val="1"/>
                <c:pt idx="0">
                  <c:v>ML</c:v>
                </c:pt>
              </c:strCache>
            </c:strRef>
          </c:tx>
          <c:spPr>
            <a:ln w="19050" cap="rnd">
              <a:solidFill>
                <a:srgbClr val="FF0000"/>
              </a:solidFill>
              <a:round/>
            </a:ln>
            <a:effectLst/>
          </c:spPr>
          <c:marker>
            <c:symbol val="none"/>
          </c:marker>
          <c:cat>
            <c:strRef>
              <c:f>Pb!$A$3:$A$8</c:f>
              <c:strCache>
                <c:ptCount val="6"/>
                <c:pt idx="0">
                  <c:v>B1</c:v>
                </c:pt>
                <c:pt idx="1">
                  <c:v>B2</c:v>
                </c:pt>
                <c:pt idx="2">
                  <c:v>B3</c:v>
                </c:pt>
                <c:pt idx="3">
                  <c:v>B4</c:v>
                </c:pt>
                <c:pt idx="4">
                  <c:v>B5</c:v>
                </c:pt>
                <c:pt idx="5">
                  <c:v>B6</c:v>
                </c:pt>
              </c:strCache>
            </c:strRef>
          </c:cat>
          <c:val>
            <c:numRef>
              <c:f>Pb!$N$3:$N$8</c:f>
              <c:numCache>
                <c:formatCode>General</c:formatCode>
                <c:ptCount val="6"/>
                <c:pt idx="0">
                  <c:v>1.5</c:v>
                </c:pt>
                <c:pt idx="1">
                  <c:v>1.5</c:v>
                </c:pt>
                <c:pt idx="2">
                  <c:v>1.5</c:v>
                </c:pt>
                <c:pt idx="3">
                  <c:v>1.5</c:v>
                </c:pt>
                <c:pt idx="4">
                  <c:v>1.5</c:v>
                </c:pt>
                <c:pt idx="5">
                  <c:v>1.5</c:v>
                </c:pt>
              </c:numCache>
            </c:numRef>
          </c:val>
          <c:smooth val="0"/>
          <c:extLst>
            <c:ext xmlns:c16="http://schemas.microsoft.com/office/drawing/2014/chart" uri="{C3380CC4-5D6E-409C-BE32-E72D297353CC}">
              <c16:uniqueId val="{00000000-C788-41E1-905C-C34FA2BC4B22}"/>
            </c:ext>
          </c:extLst>
        </c:ser>
        <c:dLbls>
          <c:showLegendKey val="0"/>
          <c:showVal val="0"/>
          <c:showCatName val="0"/>
          <c:showSerName val="0"/>
          <c:showPercent val="0"/>
          <c:showBubbleSize val="0"/>
        </c:dLbls>
        <c:marker val="1"/>
        <c:smooth val="0"/>
        <c:axId val="474221600"/>
        <c:axId val="474216896"/>
      </c:lineChart>
      <c:scatterChart>
        <c:scatterStyle val="lineMarker"/>
        <c:varyColors val="0"/>
        <c:ser>
          <c:idx val="0"/>
          <c:order val="0"/>
          <c:tx>
            <c:strRef>
              <c:f>Pb!$B$2</c:f>
              <c:strCache>
                <c:ptCount val="1"/>
                <c:pt idx="0">
                  <c:v>11.2014.</c:v>
                </c:pt>
              </c:strCache>
            </c:strRef>
          </c:tx>
          <c:spPr>
            <a:ln w="28575" cap="rnd">
              <a:noFill/>
              <a:round/>
            </a:ln>
            <a:effectLst/>
          </c:spPr>
          <c:marker>
            <c:symbol val="circle"/>
            <c:size val="5"/>
            <c:spPr>
              <a:solidFill>
                <a:schemeClr val="accent1"/>
              </a:solidFill>
              <a:ln w="9525">
                <a:solidFill>
                  <a:schemeClr val="accent1"/>
                </a:solidFill>
              </a:ln>
              <a:effectLst/>
            </c:spPr>
          </c:marker>
          <c:xVal>
            <c:strRef>
              <c:f>Pb!$A$3:$A$8</c:f>
              <c:strCache>
                <c:ptCount val="6"/>
                <c:pt idx="0">
                  <c:v>B1</c:v>
                </c:pt>
                <c:pt idx="1">
                  <c:v>B2</c:v>
                </c:pt>
                <c:pt idx="2">
                  <c:v>B3</c:v>
                </c:pt>
                <c:pt idx="3">
                  <c:v>B4</c:v>
                </c:pt>
                <c:pt idx="4">
                  <c:v>B5</c:v>
                </c:pt>
                <c:pt idx="5">
                  <c:v>B6</c:v>
                </c:pt>
              </c:strCache>
            </c:strRef>
          </c:xVal>
          <c:yVal>
            <c:numRef>
              <c:f>Pb!$B$3:$B$8</c:f>
              <c:numCache>
                <c:formatCode>General</c:formatCode>
                <c:ptCount val="6"/>
                <c:pt idx="0">
                  <c:v>0.18000000000000005</c:v>
                </c:pt>
                <c:pt idx="1">
                  <c:v>0.2</c:v>
                </c:pt>
                <c:pt idx="2">
                  <c:v>0.22</c:v>
                </c:pt>
                <c:pt idx="3">
                  <c:v>0.22</c:v>
                </c:pt>
                <c:pt idx="4">
                  <c:v>0.15000000000000005</c:v>
                </c:pt>
                <c:pt idx="5">
                  <c:v>0.27</c:v>
                </c:pt>
              </c:numCache>
            </c:numRef>
          </c:yVal>
          <c:smooth val="0"/>
          <c:extLst>
            <c:ext xmlns:c16="http://schemas.microsoft.com/office/drawing/2014/chart" uri="{C3380CC4-5D6E-409C-BE32-E72D297353CC}">
              <c16:uniqueId val="{00000001-C788-41E1-905C-C34FA2BC4B22}"/>
            </c:ext>
          </c:extLst>
        </c:ser>
        <c:ser>
          <c:idx val="1"/>
          <c:order val="1"/>
          <c:tx>
            <c:strRef>
              <c:f>Pb!$C$2</c:f>
              <c:strCache>
                <c:ptCount val="1"/>
                <c:pt idx="0">
                  <c:v>05.2015.</c:v>
                </c:pt>
              </c:strCache>
            </c:strRef>
          </c:tx>
          <c:spPr>
            <a:ln w="25400" cap="rnd">
              <a:noFill/>
              <a:round/>
            </a:ln>
            <a:effectLst/>
          </c:spPr>
          <c:marker>
            <c:symbol val="circle"/>
            <c:size val="5"/>
            <c:spPr>
              <a:solidFill>
                <a:schemeClr val="accent2"/>
              </a:solidFill>
              <a:ln w="9525">
                <a:solidFill>
                  <a:schemeClr val="accent2"/>
                </a:solidFill>
              </a:ln>
              <a:effectLst/>
            </c:spPr>
          </c:marker>
          <c:xVal>
            <c:strRef>
              <c:f>Pb!$A$3:$A$8</c:f>
              <c:strCache>
                <c:ptCount val="6"/>
                <c:pt idx="0">
                  <c:v>B1</c:v>
                </c:pt>
                <c:pt idx="1">
                  <c:v>B2</c:v>
                </c:pt>
                <c:pt idx="2">
                  <c:v>B3</c:v>
                </c:pt>
                <c:pt idx="3">
                  <c:v>B4</c:v>
                </c:pt>
                <c:pt idx="4">
                  <c:v>B5</c:v>
                </c:pt>
                <c:pt idx="5">
                  <c:v>B6</c:v>
                </c:pt>
              </c:strCache>
            </c:strRef>
          </c:xVal>
          <c:yVal>
            <c:numRef>
              <c:f>Pb!$C$3:$C$8</c:f>
              <c:numCache>
                <c:formatCode>General</c:formatCode>
                <c:ptCount val="6"/>
                <c:pt idx="0">
                  <c:v>0.17</c:v>
                </c:pt>
                <c:pt idx="1">
                  <c:v>0.14000000000000001</c:v>
                </c:pt>
                <c:pt idx="2">
                  <c:v>0.1</c:v>
                </c:pt>
                <c:pt idx="3">
                  <c:v>0.23</c:v>
                </c:pt>
                <c:pt idx="4">
                  <c:v>0.18000000000000005</c:v>
                </c:pt>
                <c:pt idx="5">
                  <c:v>0.12000000000000002</c:v>
                </c:pt>
              </c:numCache>
            </c:numRef>
          </c:yVal>
          <c:smooth val="0"/>
          <c:extLst>
            <c:ext xmlns:c16="http://schemas.microsoft.com/office/drawing/2014/chart" uri="{C3380CC4-5D6E-409C-BE32-E72D297353CC}">
              <c16:uniqueId val="{00000002-C788-41E1-905C-C34FA2BC4B22}"/>
            </c:ext>
          </c:extLst>
        </c:ser>
        <c:ser>
          <c:idx val="2"/>
          <c:order val="2"/>
          <c:tx>
            <c:strRef>
              <c:f>Pb!$D$2</c:f>
              <c:strCache>
                <c:ptCount val="1"/>
                <c:pt idx="0">
                  <c:v>11.2015.</c:v>
                </c:pt>
              </c:strCache>
            </c:strRef>
          </c:tx>
          <c:spPr>
            <a:ln w="25400" cap="rnd">
              <a:noFill/>
              <a:round/>
            </a:ln>
            <a:effectLst/>
          </c:spPr>
          <c:marker>
            <c:symbol val="circle"/>
            <c:size val="5"/>
            <c:spPr>
              <a:solidFill>
                <a:schemeClr val="accent3"/>
              </a:solidFill>
              <a:ln w="9525">
                <a:solidFill>
                  <a:schemeClr val="accent3"/>
                </a:solidFill>
              </a:ln>
              <a:effectLst/>
            </c:spPr>
          </c:marker>
          <c:xVal>
            <c:strRef>
              <c:f>Pb!$A$3:$A$8</c:f>
              <c:strCache>
                <c:ptCount val="6"/>
                <c:pt idx="0">
                  <c:v>B1</c:v>
                </c:pt>
                <c:pt idx="1">
                  <c:v>B2</c:v>
                </c:pt>
                <c:pt idx="2">
                  <c:v>B3</c:v>
                </c:pt>
                <c:pt idx="3">
                  <c:v>B4</c:v>
                </c:pt>
                <c:pt idx="4">
                  <c:v>B5</c:v>
                </c:pt>
                <c:pt idx="5">
                  <c:v>B6</c:v>
                </c:pt>
              </c:strCache>
            </c:strRef>
          </c:xVal>
          <c:yVal>
            <c:numRef>
              <c:f>Pb!$D$3:$D$8</c:f>
              <c:numCache>
                <c:formatCode>General</c:formatCode>
                <c:ptCount val="6"/>
                <c:pt idx="0">
                  <c:v>0.14000000000000001</c:v>
                </c:pt>
                <c:pt idx="1">
                  <c:v>0.1</c:v>
                </c:pt>
                <c:pt idx="2">
                  <c:v>0.11</c:v>
                </c:pt>
                <c:pt idx="3">
                  <c:v>0.16</c:v>
                </c:pt>
                <c:pt idx="4">
                  <c:v>0.12000000000000002</c:v>
                </c:pt>
                <c:pt idx="5">
                  <c:v>0.15000000000000005</c:v>
                </c:pt>
              </c:numCache>
            </c:numRef>
          </c:yVal>
          <c:smooth val="0"/>
          <c:extLst>
            <c:ext xmlns:c16="http://schemas.microsoft.com/office/drawing/2014/chart" uri="{C3380CC4-5D6E-409C-BE32-E72D297353CC}">
              <c16:uniqueId val="{00000003-C788-41E1-905C-C34FA2BC4B22}"/>
            </c:ext>
          </c:extLst>
        </c:ser>
        <c:ser>
          <c:idx val="3"/>
          <c:order val="3"/>
          <c:tx>
            <c:strRef>
              <c:f>Pb!$E$2</c:f>
              <c:strCache>
                <c:ptCount val="1"/>
                <c:pt idx="0">
                  <c:v>05.2016.</c:v>
                </c:pt>
              </c:strCache>
            </c:strRef>
          </c:tx>
          <c:spPr>
            <a:ln w="25400" cap="rnd">
              <a:noFill/>
              <a:round/>
            </a:ln>
            <a:effectLst/>
          </c:spPr>
          <c:marker>
            <c:symbol val="circle"/>
            <c:size val="5"/>
            <c:spPr>
              <a:solidFill>
                <a:schemeClr val="accent4"/>
              </a:solidFill>
              <a:ln w="9525">
                <a:solidFill>
                  <a:schemeClr val="accent4"/>
                </a:solidFill>
              </a:ln>
              <a:effectLst/>
            </c:spPr>
          </c:marker>
          <c:xVal>
            <c:strRef>
              <c:f>Pb!$A$3:$A$8</c:f>
              <c:strCache>
                <c:ptCount val="6"/>
                <c:pt idx="0">
                  <c:v>B1</c:v>
                </c:pt>
                <c:pt idx="1">
                  <c:v>B2</c:v>
                </c:pt>
                <c:pt idx="2">
                  <c:v>B3</c:v>
                </c:pt>
                <c:pt idx="3">
                  <c:v>B4</c:v>
                </c:pt>
                <c:pt idx="4">
                  <c:v>B5</c:v>
                </c:pt>
                <c:pt idx="5">
                  <c:v>B6</c:v>
                </c:pt>
              </c:strCache>
            </c:strRef>
          </c:xVal>
          <c:yVal>
            <c:numRef>
              <c:f>Pb!$E$3:$E$8</c:f>
              <c:numCache>
                <c:formatCode>General</c:formatCode>
                <c:ptCount val="6"/>
                <c:pt idx="0">
                  <c:v>0.17</c:v>
                </c:pt>
                <c:pt idx="1">
                  <c:v>0.14000000000000001</c:v>
                </c:pt>
                <c:pt idx="2">
                  <c:v>0.1</c:v>
                </c:pt>
                <c:pt idx="3">
                  <c:v>0.13</c:v>
                </c:pt>
                <c:pt idx="4">
                  <c:v>0.1</c:v>
                </c:pt>
                <c:pt idx="5">
                  <c:v>0.15000000000000005</c:v>
                </c:pt>
              </c:numCache>
            </c:numRef>
          </c:yVal>
          <c:smooth val="0"/>
          <c:extLst>
            <c:ext xmlns:c16="http://schemas.microsoft.com/office/drawing/2014/chart" uri="{C3380CC4-5D6E-409C-BE32-E72D297353CC}">
              <c16:uniqueId val="{00000004-C788-41E1-905C-C34FA2BC4B22}"/>
            </c:ext>
          </c:extLst>
        </c:ser>
        <c:ser>
          <c:idx val="4"/>
          <c:order val="4"/>
          <c:tx>
            <c:strRef>
              <c:f>Pb!$F$2</c:f>
              <c:strCache>
                <c:ptCount val="1"/>
                <c:pt idx="0">
                  <c:v>05.2017.</c:v>
                </c:pt>
              </c:strCache>
            </c:strRef>
          </c:tx>
          <c:spPr>
            <a:ln w="25400" cap="rnd">
              <a:noFill/>
              <a:round/>
            </a:ln>
            <a:effectLst/>
          </c:spPr>
          <c:marker>
            <c:symbol val="circle"/>
            <c:size val="5"/>
            <c:spPr>
              <a:solidFill>
                <a:schemeClr val="accent5"/>
              </a:solidFill>
              <a:ln w="9525">
                <a:solidFill>
                  <a:schemeClr val="accent5"/>
                </a:solidFill>
              </a:ln>
              <a:effectLst/>
            </c:spPr>
          </c:marker>
          <c:xVal>
            <c:strRef>
              <c:f>Pb!$A$3:$A$8</c:f>
              <c:strCache>
                <c:ptCount val="6"/>
                <c:pt idx="0">
                  <c:v>B1</c:v>
                </c:pt>
                <c:pt idx="1">
                  <c:v>B2</c:v>
                </c:pt>
                <c:pt idx="2">
                  <c:v>B3</c:v>
                </c:pt>
                <c:pt idx="3">
                  <c:v>B4</c:v>
                </c:pt>
                <c:pt idx="4">
                  <c:v>B5</c:v>
                </c:pt>
                <c:pt idx="5">
                  <c:v>B6</c:v>
                </c:pt>
              </c:strCache>
            </c:strRef>
          </c:xVal>
          <c:yVal>
            <c:numRef>
              <c:f>Pb!$F$3:$F$8</c:f>
              <c:numCache>
                <c:formatCode>General</c:formatCode>
                <c:ptCount val="6"/>
                <c:pt idx="0">
                  <c:v>0.21000000000000005</c:v>
                </c:pt>
                <c:pt idx="1">
                  <c:v>0.15000000000000005</c:v>
                </c:pt>
                <c:pt idx="2">
                  <c:v>0.2</c:v>
                </c:pt>
                <c:pt idx="3">
                  <c:v>0.17</c:v>
                </c:pt>
                <c:pt idx="4">
                  <c:v>0.23</c:v>
                </c:pt>
                <c:pt idx="5">
                  <c:v>0.21000000000000005</c:v>
                </c:pt>
              </c:numCache>
            </c:numRef>
          </c:yVal>
          <c:smooth val="0"/>
          <c:extLst>
            <c:ext xmlns:c16="http://schemas.microsoft.com/office/drawing/2014/chart" uri="{C3380CC4-5D6E-409C-BE32-E72D297353CC}">
              <c16:uniqueId val="{00000005-C788-41E1-905C-C34FA2BC4B22}"/>
            </c:ext>
          </c:extLst>
        </c:ser>
        <c:ser>
          <c:idx val="5"/>
          <c:order val="5"/>
          <c:tx>
            <c:strRef>
              <c:f>Pb!$G$2</c:f>
              <c:strCache>
                <c:ptCount val="1"/>
                <c:pt idx="0">
                  <c:v>11.2017.</c:v>
                </c:pt>
              </c:strCache>
            </c:strRef>
          </c:tx>
          <c:spPr>
            <a:ln w="25400" cap="rnd">
              <a:noFill/>
              <a:round/>
            </a:ln>
            <a:effectLst/>
          </c:spPr>
          <c:marker>
            <c:symbol val="circle"/>
            <c:size val="5"/>
            <c:spPr>
              <a:solidFill>
                <a:schemeClr val="accent6"/>
              </a:solidFill>
              <a:ln w="9525">
                <a:solidFill>
                  <a:schemeClr val="accent6"/>
                </a:solidFill>
              </a:ln>
              <a:effectLst/>
            </c:spPr>
          </c:marker>
          <c:xVal>
            <c:strRef>
              <c:f>Pb!$A$3:$A$8</c:f>
              <c:strCache>
                <c:ptCount val="6"/>
                <c:pt idx="0">
                  <c:v>B1</c:v>
                </c:pt>
                <c:pt idx="1">
                  <c:v>B2</c:v>
                </c:pt>
                <c:pt idx="2">
                  <c:v>B3</c:v>
                </c:pt>
                <c:pt idx="3">
                  <c:v>B4</c:v>
                </c:pt>
                <c:pt idx="4">
                  <c:v>B5</c:v>
                </c:pt>
                <c:pt idx="5">
                  <c:v>B6</c:v>
                </c:pt>
              </c:strCache>
            </c:strRef>
          </c:xVal>
          <c:yVal>
            <c:numRef>
              <c:f>Pb!$G$3:$G$8</c:f>
              <c:numCache>
                <c:formatCode>General</c:formatCode>
                <c:ptCount val="6"/>
                <c:pt idx="0">
                  <c:v>0.3000000000000001</c:v>
                </c:pt>
                <c:pt idx="1">
                  <c:v>0.29000000000000009</c:v>
                </c:pt>
                <c:pt idx="2">
                  <c:v>0.22</c:v>
                </c:pt>
                <c:pt idx="3">
                  <c:v>0.35000000000000009</c:v>
                </c:pt>
                <c:pt idx="4">
                  <c:v>0.28000000000000008</c:v>
                </c:pt>
                <c:pt idx="5">
                  <c:v>0.28000000000000008</c:v>
                </c:pt>
              </c:numCache>
            </c:numRef>
          </c:yVal>
          <c:smooth val="0"/>
          <c:extLst>
            <c:ext xmlns:c16="http://schemas.microsoft.com/office/drawing/2014/chart" uri="{C3380CC4-5D6E-409C-BE32-E72D297353CC}">
              <c16:uniqueId val="{00000006-C788-41E1-905C-C34FA2BC4B22}"/>
            </c:ext>
          </c:extLst>
        </c:ser>
        <c:ser>
          <c:idx val="6"/>
          <c:order val="6"/>
          <c:tx>
            <c:strRef>
              <c:f>Pb!$H$2</c:f>
              <c:strCache>
                <c:ptCount val="1"/>
                <c:pt idx="0">
                  <c:v>05.2018.</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strRef>
              <c:f>Pb!$A$3:$A$8</c:f>
              <c:strCache>
                <c:ptCount val="6"/>
                <c:pt idx="0">
                  <c:v>B1</c:v>
                </c:pt>
                <c:pt idx="1">
                  <c:v>B2</c:v>
                </c:pt>
                <c:pt idx="2">
                  <c:v>B3</c:v>
                </c:pt>
                <c:pt idx="3">
                  <c:v>B4</c:v>
                </c:pt>
                <c:pt idx="4">
                  <c:v>B5</c:v>
                </c:pt>
                <c:pt idx="5">
                  <c:v>B6</c:v>
                </c:pt>
              </c:strCache>
            </c:strRef>
          </c:xVal>
          <c:yVal>
            <c:numRef>
              <c:f>Pb!$H$3:$H$8</c:f>
              <c:numCache>
                <c:formatCode>General</c:formatCode>
                <c:ptCount val="6"/>
                <c:pt idx="0">
                  <c:v>0.15300000000000005</c:v>
                </c:pt>
                <c:pt idx="1">
                  <c:v>0</c:v>
                </c:pt>
                <c:pt idx="2">
                  <c:v>0.14400000000000004</c:v>
                </c:pt>
                <c:pt idx="3">
                  <c:v>0.20400000000000001</c:v>
                </c:pt>
                <c:pt idx="4">
                  <c:v>0.126</c:v>
                </c:pt>
                <c:pt idx="5">
                  <c:v>0.11899999999999998</c:v>
                </c:pt>
              </c:numCache>
            </c:numRef>
          </c:yVal>
          <c:smooth val="0"/>
          <c:extLst>
            <c:ext xmlns:c16="http://schemas.microsoft.com/office/drawing/2014/chart" uri="{C3380CC4-5D6E-409C-BE32-E72D297353CC}">
              <c16:uniqueId val="{00000007-C788-41E1-905C-C34FA2BC4B22}"/>
            </c:ext>
          </c:extLst>
        </c:ser>
        <c:ser>
          <c:idx val="7"/>
          <c:order val="7"/>
          <c:tx>
            <c:strRef>
              <c:f>Pb!$I$2</c:f>
              <c:strCache>
                <c:ptCount val="1"/>
                <c:pt idx="0">
                  <c:v>11.2018.</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strRef>
              <c:f>Pb!$A$3:$A$8</c:f>
              <c:strCache>
                <c:ptCount val="6"/>
                <c:pt idx="0">
                  <c:v>B1</c:v>
                </c:pt>
                <c:pt idx="1">
                  <c:v>B2</c:v>
                </c:pt>
                <c:pt idx="2">
                  <c:v>B3</c:v>
                </c:pt>
                <c:pt idx="3">
                  <c:v>B4</c:v>
                </c:pt>
                <c:pt idx="4">
                  <c:v>B5</c:v>
                </c:pt>
                <c:pt idx="5">
                  <c:v>B6</c:v>
                </c:pt>
              </c:strCache>
            </c:strRef>
          </c:xVal>
          <c:yVal>
            <c:numRef>
              <c:f>Pb!$I$3:$I$8</c:f>
              <c:numCache>
                <c:formatCode>General</c:formatCode>
                <c:ptCount val="6"/>
                <c:pt idx="0">
                  <c:v>0.18000000000000005</c:v>
                </c:pt>
                <c:pt idx="1">
                  <c:v>0.12000000000000002</c:v>
                </c:pt>
                <c:pt idx="2">
                  <c:v>0.16</c:v>
                </c:pt>
                <c:pt idx="3">
                  <c:v>0.16</c:v>
                </c:pt>
                <c:pt idx="4">
                  <c:v>0.13</c:v>
                </c:pt>
                <c:pt idx="5">
                  <c:v>0.17</c:v>
                </c:pt>
              </c:numCache>
            </c:numRef>
          </c:yVal>
          <c:smooth val="0"/>
          <c:extLst>
            <c:ext xmlns:c16="http://schemas.microsoft.com/office/drawing/2014/chart" uri="{C3380CC4-5D6E-409C-BE32-E72D297353CC}">
              <c16:uniqueId val="{00000008-C788-41E1-905C-C34FA2BC4B22}"/>
            </c:ext>
          </c:extLst>
        </c:ser>
        <c:ser>
          <c:idx val="8"/>
          <c:order val="8"/>
          <c:tx>
            <c:strRef>
              <c:f>Pb!$J$2</c:f>
              <c:strCache>
                <c:ptCount val="1"/>
                <c:pt idx="0">
                  <c:v>05.2019.</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xVal>
            <c:strRef>
              <c:f>Pb!$A$3:$A$8</c:f>
              <c:strCache>
                <c:ptCount val="6"/>
                <c:pt idx="0">
                  <c:v>B1</c:v>
                </c:pt>
                <c:pt idx="1">
                  <c:v>B2</c:v>
                </c:pt>
                <c:pt idx="2">
                  <c:v>B3</c:v>
                </c:pt>
                <c:pt idx="3">
                  <c:v>B4</c:v>
                </c:pt>
                <c:pt idx="4">
                  <c:v>B5</c:v>
                </c:pt>
                <c:pt idx="5">
                  <c:v>B6</c:v>
                </c:pt>
              </c:strCache>
            </c:strRef>
          </c:xVal>
          <c:yVal>
            <c:numRef>
              <c:f>Pb!$J$3:$J$8</c:f>
              <c:numCache>
                <c:formatCode>General</c:formatCode>
                <c:ptCount val="6"/>
                <c:pt idx="0">
                  <c:v>0.18000000000000005</c:v>
                </c:pt>
                <c:pt idx="1">
                  <c:v>0.16</c:v>
                </c:pt>
                <c:pt idx="2">
                  <c:v>0.22</c:v>
                </c:pt>
                <c:pt idx="3">
                  <c:v>0.16</c:v>
                </c:pt>
                <c:pt idx="4">
                  <c:v>0.25</c:v>
                </c:pt>
                <c:pt idx="5">
                  <c:v>0.19</c:v>
                </c:pt>
              </c:numCache>
            </c:numRef>
          </c:yVal>
          <c:smooth val="0"/>
          <c:extLst>
            <c:ext xmlns:c16="http://schemas.microsoft.com/office/drawing/2014/chart" uri="{C3380CC4-5D6E-409C-BE32-E72D297353CC}">
              <c16:uniqueId val="{00000009-C788-41E1-905C-C34FA2BC4B22}"/>
            </c:ext>
          </c:extLst>
        </c:ser>
        <c:ser>
          <c:idx val="9"/>
          <c:order val="9"/>
          <c:tx>
            <c:strRef>
              <c:f>Pb!$K$2</c:f>
              <c:strCache>
                <c:ptCount val="1"/>
                <c:pt idx="0">
                  <c:v>11.2019.</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xVal>
            <c:strRef>
              <c:f>Pb!$A$3:$A$8</c:f>
              <c:strCache>
                <c:ptCount val="6"/>
                <c:pt idx="0">
                  <c:v>B1</c:v>
                </c:pt>
                <c:pt idx="1">
                  <c:v>B2</c:v>
                </c:pt>
                <c:pt idx="2">
                  <c:v>B3</c:v>
                </c:pt>
                <c:pt idx="3">
                  <c:v>B4</c:v>
                </c:pt>
                <c:pt idx="4">
                  <c:v>B5</c:v>
                </c:pt>
                <c:pt idx="5">
                  <c:v>B6</c:v>
                </c:pt>
              </c:strCache>
            </c:strRef>
          </c:xVal>
          <c:yVal>
            <c:numRef>
              <c:f>Pb!$K$3:$K$8</c:f>
              <c:numCache>
                <c:formatCode>General</c:formatCode>
                <c:ptCount val="6"/>
                <c:pt idx="0">
                  <c:v>0.12000000000000002</c:v>
                </c:pt>
                <c:pt idx="1">
                  <c:v>0.12000000000000002</c:v>
                </c:pt>
                <c:pt idx="2">
                  <c:v>0.1</c:v>
                </c:pt>
                <c:pt idx="4">
                  <c:v>0.14000000000000001</c:v>
                </c:pt>
                <c:pt idx="5">
                  <c:v>0.05</c:v>
                </c:pt>
              </c:numCache>
            </c:numRef>
          </c:yVal>
          <c:smooth val="0"/>
          <c:extLst>
            <c:ext xmlns:c16="http://schemas.microsoft.com/office/drawing/2014/chart" uri="{C3380CC4-5D6E-409C-BE32-E72D297353CC}">
              <c16:uniqueId val="{0000000A-C788-41E1-905C-C34FA2BC4B22}"/>
            </c:ext>
          </c:extLst>
        </c:ser>
        <c:ser>
          <c:idx val="10"/>
          <c:order val="10"/>
          <c:tx>
            <c:strRef>
              <c:f>Pb!$L$2</c:f>
              <c:strCache>
                <c:ptCount val="1"/>
                <c:pt idx="0">
                  <c:v>05.2020.</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xVal>
            <c:strRef>
              <c:f>Pb!$A$3:$A$8</c:f>
              <c:strCache>
                <c:ptCount val="6"/>
                <c:pt idx="0">
                  <c:v>B1</c:v>
                </c:pt>
                <c:pt idx="1">
                  <c:v>B2</c:v>
                </c:pt>
                <c:pt idx="2">
                  <c:v>B3</c:v>
                </c:pt>
                <c:pt idx="3">
                  <c:v>B4</c:v>
                </c:pt>
                <c:pt idx="4">
                  <c:v>B5</c:v>
                </c:pt>
                <c:pt idx="5">
                  <c:v>B6</c:v>
                </c:pt>
              </c:strCache>
            </c:strRef>
          </c:xVal>
          <c:yVal>
            <c:numRef>
              <c:f>Pb!$L$3:$L$8</c:f>
              <c:numCache>
                <c:formatCode>General</c:formatCode>
                <c:ptCount val="6"/>
                <c:pt idx="1">
                  <c:v>0.17</c:v>
                </c:pt>
                <c:pt idx="2">
                  <c:v>0.18000000000000005</c:v>
                </c:pt>
                <c:pt idx="5">
                  <c:v>0.16</c:v>
                </c:pt>
              </c:numCache>
            </c:numRef>
          </c:yVal>
          <c:smooth val="0"/>
          <c:extLst>
            <c:ext xmlns:c16="http://schemas.microsoft.com/office/drawing/2014/chart" uri="{C3380CC4-5D6E-409C-BE32-E72D297353CC}">
              <c16:uniqueId val="{0000000B-C788-41E1-905C-C34FA2BC4B22}"/>
            </c:ext>
          </c:extLst>
        </c:ser>
        <c:ser>
          <c:idx val="11"/>
          <c:order val="11"/>
          <c:tx>
            <c:strRef>
              <c:f>Pb!$M$2</c:f>
              <c:strCache>
                <c:ptCount val="1"/>
                <c:pt idx="0">
                  <c:v>10.2020.</c:v>
                </c:pt>
              </c:strCache>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xVal>
            <c:strRef>
              <c:f>Pb!$A$3:$A$8</c:f>
              <c:strCache>
                <c:ptCount val="6"/>
                <c:pt idx="0">
                  <c:v>B1</c:v>
                </c:pt>
                <c:pt idx="1">
                  <c:v>B2</c:v>
                </c:pt>
                <c:pt idx="2">
                  <c:v>B3</c:v>
                </c:pt>
                <c:pt idx="3">
                  <c:v>B4</c:v>
                </c:pt>
                <c:pt idx="4">
                  <c:v>B5</c:v>
                </c:pt>
                <c:pt idx="5">
                  <c:v>B6</c:v>
                </c:pt>
              </c:strCache>
            </c:strRef>
          </c:xVal>
          <c:yVal>
            <c:numRef>
              <c:f>Pb!$M$3:$M$8</c:f>
              <c:numCache>
                <c:formatCode>General</c:formatCode>
                <c:ptCount val="6"/>
                <c:pt idx="1">
                  <c:v>0.11</c:v>
                </c:pt>
                <c:pt idx="2">
                  <c:v>8.3000000000000032E-2</c:v>
                </c:pt>
                <c:pt idx="3">
                  <c:v>9.4000000000000028E-2</c:v>
                </c:pt>
                <c:pt idx="5">
                  <c:v>0.8</c:v>
                </c:pt>
              </c:numCache>
            </c:numRef>
          </c:yVal>
          <c:smooth val="0"/>
          <c:extLst>
            <c:ext xmlns:c16="http://schemas.microsoft.com/office/drawing/2014/chart" uri="{C3380CC4-5D6E-409C-BE32-E72D297353CC}">
              <c16:uniqueId val="{0000000C-C788-41E1-905C-C34FA2BC4B22}"/>
            </c:ext>
          </c:extLst>
        </c:ser>
        <c:dLbls>
          <c:showLegendKey val="0"/>
          <c:showVal val="0"/>
          <c:showCatName val="0"/>
          <c:showSerName val="0"/>
          <c:showPercent val="0"/>
          <c:showBubbleSize val="0"/>
        </c:dLbls>
        <c:axId val="474221600"/>
        <c:axId val="474216896"/>
      </c:scatterChart>
      <c:catAx>
        <c:axId val="4742216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Location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16896"/>
        <c:crosses val="autoZero"/>
        <c:auto val="1"/>
        <c:lblAlgn val="ctr"/>
        <c:lblOffset val="100"/>
        <c:noMultiLvlLbl val="0"/>
      </c:catAx>
      <c:valAx>
        <c:axId val="474216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Cd, </a:t>
                </a:r>
                <a:r>
                  <a:rPr lang="en-US" i="1"/>
                  <a:t>mg/kg w.w.</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21600"/>
        <c:crosses val="autoZero"/>
        <c:crossBetween val="between"/>
      </c:valAx>
      <c:spPr>
        <a:noFill/>
        <a:ln>
          <a:noFill/>
        </a:ln>
        <a:effectLst/>
      </c:spPr>
    </c:plotArea>
    <c:legend>
      <c:legendPos val="r"/>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ayout>
        <c:manualLayout>
          <c:xMode val="edge"/>
          <c:yMode val="edge"/>
          <c:x val="0.8004483755884404"/>
          <c:y val="0.14416253523865066"/>
          <c:w val="0.17442345176021903"/>
          <c:h val="0.1059401351426816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2"/>
          <c:order val="12"/>
          <c:tx>
            <c:strRef>
              <c:f>Hg!$N$2</c:f>
              <c:strCache>
                <c:ptCount val="1"/>
                <c:pt idx="0">
                  <c:v>ML</c:v>
                </c:pt>
              </c:strCache>
            </c:strRef>
          </c:tx>
          <c:spPr>
            <a:ln w="19050" cap="rnd">
              <a:solidFill>
                <a:srgbClr val="FF0000"/>
              </a:solidFill>
              <a:round/>
            </a:ln>
            <a:effectLst/>
          </c:spPr>
          <c:marker>
            <c:symbol val="none"/>
          </c:marker>
          <c:cat>
            <c:strRef>
              <c:f>Hg!$A$3:$A$8</c:f>
              <c:strCache>
                <c:ptCount val="6"/>
                <c:pt idx="0">
                  <c:v>B1</c:v>
                </c:pt>
                <c:pt idx="1">
                  <c:v>B2</c:v>
                </c:pt>
                <c:pt idx="2">
                  <c:v>B3</c:v>
                </c:pt>
                <c:pt idx="3">
                  <c:v>B4</c:v>
                </c:pt>
                <c:pt idx="4">
                  <c:v>B5</c:v>
                </c:pt>
                <c:pt idx="5">
                  <c:v>B6</c:v>
                </c:pt>
              </c:strCache>
            </c:strRef>
          </c:cat>
          <c:val>
            <c:numRef>
              <c:f>Hg!$N$3:$N$8</c:f>
              <c:numCache>
                <c:formatCode>General</c:formatCode>
                <c:ptCount val="6"/>
                <c:pt idx="0">
                  <c:v>0.5</c:v>
                </c:pt>
                <c:pt idx="1">
                  <c:v>0.5</c:v>
                </c:pt>
                <c:pt idx="2">
                  <c:v>0.5</c:v>
                </c:pt>
                <c:pt idx="3">
                  <c:v>0.5</c:v>
                </c:pt>
                <c:pt idx="4">
                  <c:v>0.5</c:v>
                </c:pt>
                <c:pt idx="5">
                  <c:v>0.5</c:v>
                </c:pt>
              </c:numCache>
            </c:numRef>
          </c:val>
          <c:smooth val="0"/>
          <c:extLst>
            <c:ext xmlns:c16="http://schemas.microsoft.com/office/drawing/2014/chart" uri="{C3380CC4-5D6E-409C-BE32-E72D297353CC}">
              <c16:uniqueId val="{00000000-8753-4526-915F-EBF44287F11D}"/>
            </c:ext>
          </c:extLst>
        </c:ser>
        <c:dLbls>
          <c:showLegendKey val="0"/>
          <c:showVal val="0"/>
          <c:showCatName val="0"/>
          <c:showSerName val="0"/>
          <c:showPercent val="0"/>
          <c:showBubbleSize val="0"/>
        </c:dLbls>
        <c:marker val="1"/>
        <c:smooth val="0"/>
        <c:axId val="474225128"/>
        <c:axId val="474214936"/>
      </c:lineChart>
      <c:scatterChart>
        <c:scatterStyle val="lineMarker"/>
        <c:varyColors val="0"/>
        <c:ser>
          <c:idx val="0"/>
          <c:order val="0"/>
          <c:tx>
            <c:strRef>
              <c:f>Hg!$B$2</c:f>
              <c:strCache>
                <c:ptCount val="1"/>
                <c:pt idx="0">
                  <c:v>11.2014.</c:v>
                </c:pt>
              </c:strCache>
            </c:strRef>
          </c:tx>
          <c:spPr>
            <a:ln w="28575" cap="rnd">
              <a:noFill/>
              <a:round/>
            </a:ln>
            <a:effectLst/>
          </c:spPr>
          <c:marker>
            <c:symbol val="circle"/>
            <c:size val="5"/>
            <c:spPr>
              <a:solidFill>
                <a:schemeClr val="accent1"/>
              </a:solidFill>
              <a:ln w="9525">
                <a:solidFill>
                  <a:schemeClr val="accent1"/>
                </a:solidFill>
              </a:ln>
              <a:effectLst/>
            </c:spPr>
          </c:marker>
          <c:xVal>
            <c:strRef>
              <c:f>Hg!$A$3:$A$8</c:f>
              <c:strCache>
                <c:ptCount val="6"/>
                <c:pt idx="0">
                  <c:v>B1</c:v>
                </c:pt>
                <c:pt idx="1">
                  <c:v>B2</c:v>
                </c:pt>
                <c:pt idx="2">
                  <c:v>B3</c:v>
                </c:pt>
                <c:pt idx="3">
                  <c:v>B4</c:v>
                </c:pt>
                <c:pt idx="4">
                  <c:v>B5</c:v>
                </c:pt>
                <c:pt idx="5">
                  <c:v>B6</c:v>
                </c:pt>
              </c:strCache>
            </c:strRef>
          </c:xVal>
          <c:yVal>
            <c:numRef>
              <c:f>Hg!$B$3:$B$8</c:f>
              <c:numCache>
                <c:formatCode>General</c:formatCode>
                <c:ptCount val="6"/>
                <c:pt idx="0">
                  <c:v>1.4E-2</c:v>
                </c:pt>
                <c:pt idx="1">
                  <c:v>1.7000000000000001E-2</c:v>
                </c:pt>
                <c:pt idx="2">
                  <c:v>2.1000000000000008E-2</c:v>
                </c:pt>
                <c:pt idx="3">
                  <c:v>2.1000000000000008E-2</c:v>
                </c:pt>
                <c:pt idx="4">
                  <c:v>2.0000000000000007E-2</c:v>
                </c:pt>
                <c:pt idx="5">
                  <c:v>2.3E-2</c:v>
                </c:pt>
              </c:numCache>
            </c:numRef>
          </c:yVal>
          <c:smooth val="0"/>
          <c:extLst>
            <c:ext xmlns:c16="http://schemas.microsoft.com/office/drawing/2014/chart" uri="{C3380CC4-5D6E-409C-BE32-E72D297353CC}">
              <c16:uniqueId val="{00000001-8753-4526-915F-EBF44287F11D}"/>
            </c:ext>
          </c:extLst>
        </c:ser>
        <c:ser>
          <c:idx val="1"/>
          <c:order val="1"/>
          <c:tx>
            <c:strRef>
              <c:f>Hg!$C$2</c:f>
              <c:strCache>
                <c:ptCount val="1"/>
                <c:pt idx="0">
                  <c:v>05.2015.</c:v>
                </c:pt>
              </c:strCache>
            </c:strRef>
          </c:tx>
          <c:spPr>
            <a:ln w="25400" cap="rnd">
              <a:noFill/>
              <a:round/>
            </a:ln>
            <a:effectLst/>
          </c:spPr>
          <c:marker>
            <c:symbol val="circle"/>
            <c:size val="5"/>
            <c:spPr>
              <a:solidFill>
                <a:schemeClr val="accent2"/>
              </a:solidFill>
              <a:ln w="9525">
                <a:solidFill>
                  <a:schemeClr val="accent2"/>
                </a:solidFill>
              </a:ln>
              <a:effectLst/>
            </c:spPr>
          </c:marker>
          <c:xVal>
            <c:strRef>
              <c:f>Hg!$A$3:$A$8</c:f>
              <c:strCache>
                <c:ptCount val="6"/>
                <c:pt idx="0">
                  <c:v>B1</c:v>
                </c:pt>
                <c:pt idx="1">
                  <c:v>B2</c:v>
                </c:pt>
                <c:pt idx="2">
                  <c:v>B3</c:v>
                </c:pt>
                <c:pt idx="3">
                  <c:v>B4</c:v>
                </c:pt>
                <c:pt idx="4">
                  <c:v>B5</c:v>
                </c:pt>
                <c:pt idx="5">
                  <c:v>B6</c:v>
                </c:pt>
              </c:strCache>
            </c:strRef>
          </c:xVal>
          <c:yVal>
            <c:numRef>
              <c:f>Hg!$C$3:$C$8</c:f>
              <c:numCache>
                <c:formatCode>General</c:formatCode>
                <c:ptCount val="6"/>
                <c:pt idx="0">
                  <c:v>1.9000000000000006E-2</c:v>
                </c:pt>
                <c:pt idx="1">
                  <c:v>1.4999999999999998E-2</c:v>
                </c:pt>
                <c:pt idx="2">
                  <c:v>2.0000000000000007E-2</c:v>
                </c:pt>
                <c:pt idx="3">
                  <c:v>3.6999999999999998E-2</c:v>
                </c:pt>
                <c:pt idx="4">
                  <c:v>3.0000000000000002E-2</c:v>
                </c:pt>
                <c:pt idx="5">
                  <c:v>2.5000000000000001E-2</c:v>
                </c:pt>
              </c:numCache>
            </c:numRef>
          </c:yVal>
          <c:smooth val="0"/>
          <c:extLst>
            <c:ext xmlns:c16="http://schemas.microsoft.com/office/drawing/2014/chart" uri="{C3380CC4-5D6E-409C-BE32-E72D297353CC}">
              <c16:uniqueId val="{00000002-8753-4526-915F-EBF44287F11D}"/>
            </c:ext>
          </c:extLst>
        </c:ser>
        <c:ser>
          <c:idx val="2"/>
          <c:order val="2"/>
          <c:tx>
            <c:strRef>
              <c:f>Hg!$D$2</c:f>
              <c:strCache>
                <c:ptCount val="1"/>
                <c:pt idx="0">
                  <c:v>11.2015.</c:v>
                </c:pt>
              </c:strCache>
            </c:strRef>
          </c:tx>
          <c:spPr>
            <a:ln w="25400" cap="rnd">
              <a:noFill/>
              <a:round/>
            </a:ln>
            <a:effectLst/>
          </c:spPr>
          <c:marker>
            <c:symbol val="circle"/>
            <c:size val="5"/>
            <c:spPr>
              <a:solidFill>
                <a:schemeClr val="accent3"/>
              </a:solidFill>
              <a:ln w="9525">
                <a:solidFill>
                  <a:schemeClr val="accent3"/>
                </a:solidFill>
              </a:ln>
              <a:effectLst/>
            </c:spPr>
          </c:marker>
          <c:xVal>
            <c:strRef>
              <c:f>Hg!$A$3:$A$8</c:f>
              <c:strCache>
                <c:ptCount val="6"/>
                <c:pt idx="0">
                  <c:v>B1</c:v>
                </c:pt>
                <c:pt idx="1">
                  <c:v>B2</c:v>
                </c:pt>
                <c:pt idx="2">
                  <c:v>B3</c:v>
                </c:pt>
                <c:pt idx="3">
                  <c:v>B4</c:v>
                </c:pt>
                <c:pt idx="4">
                  <c:v>B5</c:v>
                </c:pt>
                <c:pt idx="5">
                  <c:v>B6</c:v>
                </c:pt>
              </c:strCache>
            </c:strRef>
          </c:xVal>
          <c:yVal>
            <c:numRef>
              <c:f>Hg!$D$3:$D$8</c:f>
              <c:numCache>
                <c:formatCode>General</c:formatCode>
                <c:ptCount val="6"/>
                <c:pt idx="0">
                  <c:v>1.7999999999999999E-2</c:v>
                </c:pt>
                <c:pt idx="1">
                  <c:v>1.2999999999999998E-2</c:v>
                </c:pt>
                <c:pt idx="2">
                  <c:v>1.4E-2</c:v>
                </c:pt>
                <c:pt idx="3">
                  <c:v>3.0000000000000002E-2</c:v>
                </c:pt>
                <c:pt idx="4">
                  <c:v>1.9000000000000006E-2</c:v>
                </c:pt>
                <c:pt idx="5">
                  <c:v>2.0000000000000007E-2</c:v>
                </c:pt>
              </c:numCache>
            </c:numRef>
          </c:yVal>
          <c:smooth val="0"/>
          <c:extLst>
            <c:ext xmlns:c16="http://schemas.microsoft.com/office/drawing/2014/chart" uri="{C3380CC4-5D6E-409C-BE32-E72D297353CC}">
              <c16:uniqueId val="{00000003-8753-4526-915F-EBF44287F11D}"/>
            </c:ext>
          </c:extLst>
        </c:ser>
        <c:ser>
          <c:idx val="3"/>
          <c:order val="3"/>
          <c:tx>
            <c:strRef>
              <c:f>Hg!$E$2</c:f>
              <c:strCache>
                <c:ptCount val="1"/>
                <c:pt idx="0">
                  <c:v>05.2016.</c:v>
                </c:pt>
              </c:strCache>
            </c:strRef>
          </c:tx>
          <c:spPr>
            <a:ln w="25400" cap="rnd">
              <a:noFill/>
              <a:round/>
            </a:ln>
            <a:effectLst/>
          </c:spPr>
          <c:marker>
            <c:symbol val="circle"/>
            <c:size val="5"/>
            <c:spPr>
              <a:solidFill>
                <a:schemeClr val="accent4"/>
              </a:solidFill>
              <a:ln w="9525">
                <a:solidFill>
                  <a:schemeClr val="accent4"/>
                </a:solidFill>
              </a:ln>
              <a:effectLst/>
            </c:spPr>
          </c:marker>
          <c:xVal>
            <c:strRef>
              <c:f>Hg!$A$3:$A$8</c:f>
              <c:strCache>
                <c:ptCount val="6"/>
                <c:pt idx="0">
                  <c:v>B1</c:v>
                </c:pt>
                <c:pt idx="1">
                  <c:v>B2</c:v>
                </c:pt>
                <c:pt idx="2">
                  <c:v>B3</c:v>
                </c:pt>
                <c:pt idx="3">
                  <c:v>B4</c:v>
                </c:pt>
                <c:pt idx="4">
                  <c:v>B5</c:v>
                </c:pt>
                <c:pt idx="5">
                  <c:v>B6</c:v>
                </c:pt>
              </c:strCache>
            </c:strRef>
          </c:xVal>
          <c:yVal>
            <c:numRef>
              <c:f>Hg!$E$3:$E$8</c:f>
              <c:numCache>
                <c:formatCode>General</c:formatCode>
                <c:ptCount val="6"/>
                <c:pt idx="0">
                  <c:v>3.5999999999999997E-2</c:v>
                </c:pt>
                <c:pt idx="1">
                  <c:v>3.100000000000001E-2</c:v>
                </c:pt>
                <c:pt idx="2">
                  <c:v>2.5000000000000001E-2</c:v>
                </c:pt>
                <c:pt idx="3">
                  <c:v>3.2000000000000015E-2</c:v>
                </c:pt>
                <c:pt idx="4">
                  <c:v>3.9000000000000014E-2</c:v>
                </c:pt>
                <c:pt idx="5">
                  <c:v>3.6999999999999998E-2</c:v>
                </c:pt>
              </c:numCache>
            </c:numRef>
          </c:yVal>
          <c:smooth val="0"/>
          <c:extLst>
            <c:ext xmlns:c16="http://schemas.microsoft.com/office/drawing/2014/chart" uri="{C3380CC4-5D6E-409C-BE32-E72D297353CC}">
              <c16:uniqueId val="{00000004-8753-4526-915F-EBF44287F11D}"/>
            </c:ext>
          </c:extLst>
        </c:ser>
        <c:ser>
          <c:idx val="4"/>
          <c:order val="4"/>
          <c:tx>
            <c:strRef>
              <c:f>Hg!$F$2</c:f>
              <c:strCache>
                <c:ptCount val="1"/>
                <c:pt idx="0">
                  <c:v>05.2017.</c:v>
                </c:pt>
              </c:strCache>
            </c:strRef>
          </c:tx>
          <c:spPr>
            <a:ln w="25400" cap="rnd">
              <a:noFill/>
              <a:round/>
            </a:ln>
            <a:effectLst/>
          </c:spPr>
          <c:marker>
            <c:symbol val="circle"/>
            <c:size val="5"/>
            <c:spPr>
              <a:solidFill>
                <a:schemeClr val="accent5"/>
              </a:solidFill>
              <a:ln w="9525">
                <a:solidFill>
                  <a:schemeClr val="accent5"/>
                </a:solidFill>
              </a:ln>
              <a:effectLst/>
            </c:spPr>
          </c:marker>
          <c:xVal>
            <c:strRef>
              <c:f>Hg!$A$3:$A$8</c:f>
              <c:strCache>
                <c:ptCount val="6"/>
                <c:pt idx="0">
                  <c:v>B1</c:v>
                </c:pt>
                <c:pt idx="1">
                  <c:v>B2</c:v>
                </c:pt>
                <c:pt idx="2">
                  <c:v>B3</c:v>
                </c:pt>
                <c:pt idx="3">
                  <c:v>B4</c:v>
                </c:pt>
                <c:pt idx="4">
                  <c:v>B5</c:v>
                </c:pt>
                <c:pt idx="5">
                  <c:v>B6</c:v>
                </c:pt>
              </c:strCache>
            </c:strRef>
          </c:xVal>
          <c:yVal>
            <c:numRef>
              <c:f>Hg!$F$3:$F$8</c:f>
              <c:numCache>
                <c:formatCode>General</c:formatCode>
                <c:ptCount val="6"/>
                <c:pt idx="0">
                  <c:v>1.9000000000000006E-2</c:v>
                </c:pt>
                <c:pt idx="1">
                  <c:v>1.7000000000000001E-2</c:v>
                </c:pt>
                <c:pt idx="2">
                  <c:v>2.3E-2</c:v>
                </c:pt>
                <c:pt idx="3">
                  <c:v>2.8000000000000001E-2</c:v>
                </c:pt>
                <c:pt idx="4">
                  <c:v>2.8000000000000001E-2</c:v>
                </c:pt>
                <c:pt idx="5">
                  <c:v>2.3E-2</c:v>
                </c:pt>
              </c:numCache>
            </c:numRef>
          </c:yVal>
          <c:smooth val="0"/>
          <c:extLst>
            <c:ext xmlns:c16="http://schemas.microsoft.com/office/drawing/2014/chart" uri="{C3380CC4-5D6E-409C-BE32-E72D297353CC}">
              <c16:uniqueId val="{00000005-8753-4526-915F-EBF44287F11D}"/>
            </c:ext>
          </c:extLst>
        </c:ser>
        <c:ser>
          <c:idx val="5"/>
          <c:order val="5"/>
          <c:tx>
            <c:strRef>
              <c:f>Hg!$G$2</c:f>
              <c:strCache>
                <c:ptCount val="1"/>
                <c:pt idx="0">
                  <c:v>11.2017.</c:v>
                </c:pt>
              </c:strCache>
            </c:strRef>
          </c:tx>
          <c:spPr>
            <a:ln w="25400" cap="rnd">
              <a:noFill/>
              <a:round/>
            </a:ln>
            <a:effectLst/>
          </c:spPr>
          <c:marker>
            <c:symbol val="circle"/>
            <c:size val="5"/>
            <c:spPr>
              <a:solidFill>
                <a:schemeClr val="accent6"/>
              </a:solidFill>
              <a:ln w="9525">
                <a:solidFill>
                  <a:schemeClr val="accent6"/>
                </a:solidFill>
              </a:ln>
              <a:effectLst/>
            </c:spPr>
          </c:marker>
          <c:xVal>
            <c:strRef>
              <c:f>Hg!$A$3:$A$8</c:f>
              <c:strCache>
                <c:ptCount val="6"/>
                <c:pt idx="0">
                  <c:v>B1</c:v>
                </c:pt>
                <c:pt idx="1">
                  <c:v>B2</c:v>
                </c:pt>
                <c:pt idx="2">
                  <c:v>B3</c:v>
                </c:pt>
                <c:pt idx="3">
                  <c:v>B4</c:v>
                </c:pt>
                <c:pt idx="4">
                  <c:v>B5</c:v>
                </c:pt>
                <c:pt idx="5">
                  <c:v>B6</c:v>
                </c:pt>
              </c:strCache>
            </c:strRef>
          </c:xVal>
          <c:yVal>
            <c:numRef>
              <c:f>Hg!$G$3:$G$8</c:f>
              <c:numCache>
                <c:formatCode>General</c:formatCode>
                <c:ptCount val="6"/>
                <c:pt idx="0">
                  <c:v>4.9000000000000016E-2</c:v>
                </c:pt>
                <c:pt idx="1">
                  <c:v>3.4000000000000002E-2</c:v>
                </c:pt>
                <c:pt idx="2">
                  <c:v>2.1999999999999999E-2</c:v>
                </c:pt>
                <c:pt idx="3">
                  <c:v>1.7999999999999999E-2</c:v>
                </c:pt>
                <c:pt idx="4">
                  <c:v>1.6000000000000007E-2</c:v>
                </c:pt>
                <c:pt idx="5">
                  <c:v>1.4999999999999998E-2</c:v>
                </c:pt>
              </c:numCache>
            </c:numRef>
          </c:yVal>
          <c:smooth val="0"/>
          <c:extLst>
            <c:ext xmlns:c16="http://schemas.microsoft.com/office/drawing/2014/chart" uri="{C3380CC4-5D6E-409C-BE32-E72D297353CC}">
              <c16:uniqueId val="{00000006-8753-4526-915F-EBF44287F11D}"/>
            </c:ext>
          </c:extLst>
        </c:ser>
        <c:ser>
          <c:idx val="6"/>
          <c:order val="6"/>
          <c:tx>
            <c:strRef>
              <c:f>Hg!$H$2</c:f>
              <c:strCache>
                <c:ptCount val="1"/>
                <c:pt idx="0">
                  <c:v>05.2018.</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strRef>
              <c:f>Hg!$A$3:$A$8</c:f>
              <c:strCache>
                <c:ptCount val="6"/>
                <c:pt idx="0">
                  <c:v>B1</c:v>
                </c:pt>
                <c:pt idx="1">
                  <c:v>B2</c:v>
                </c:pt>
                <c:pt idx="2">
                  <c:v>B3</c:v>
                </c:pt>
                <c:pt idx="3">
                  <c:v>B4</c:v>
                </c:pt>
                <c:pt idx="4">
                  <c:v>B5</c:v>
                </c:pt>
                <c:pt idx="5">
                  <c:v>B6</c:v>
                </c:pt>
              </c:strCache>
            </c:strRef>
          </c:xVal>
          <c:yVal>
            <c:numRef>
              <c:f>Hg!$H$3:$H$8</c:f>
              <c:numCache>
                <c:formatCode>General</c:formatCode>
                <c:ptCount val="6"/>
                <c:pt idx="0">
                  <c:v>2.5999999999999999E-2</c:v>
                </c:pt>
                <c:pt idx="1">
                  <c:v>4.0000000000000015E-2</c:v>
                </c:pt>
                <c:pt idx="2">
                  <c:v>2.1000000000000008E-2</c:v>
                </c:pt>
                <c:pt idx="3">
                  <c:v>3.4000000000000002E-2</c:v>
                </c:pt>
                <c:pt idx="4">
                  <c:v>3.100000000000001E-2</c:v>
                </c:pt>
                <c:pt idx="5">
                  <c:v>2.5000000000000001E-2</c:v>
                </c:pt>
              </c:numCache>
            </c:numRef>
          </c:yVal>
          <c:smooth val="0"/>
          <c:extLst>
            <c:ext xmlns:c16="http://schemas.microsoft.com/office/drawing/2014/chart" uri="{C3380CC4-5D6E-409C-BE32-E72D297353CC}">
              <c16:uniqueId val="{00000007-8753-4526-915F-EBF44287F11D}"/>
            </c:ext>
          </c:extLst>
        </c:ser>
        <c:ser>
          <c:idx val="7"/>
          <c:order val="7"/>
          <c:tx>
            <c:strRef>
              <c:f>Hg!$I$2</c:f>
              <c:strCache>
                <c:ptCount val="1"/>
                <c:pt idx="0">
                  <c:v>11.2018.</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strRef>
              <c:f>Hg!$A$3:$A$8</c:f>
              <c:strCache>
                <c:ptCount val="6"/>
                <c:pt idx="0">
                  <c:v>B1</c:v>
                </c:pt>
                <c:pt idx="1">
                  <c:v>B2</c:v>
                </c:pt>
                <c:pt idx="2">
                  <c:v>B3</c:v>
                </c:pt>
                <c:pt idx="3">
                  <c:v>B4</c:v>
                </c:pt>
                <c:pt idx="4">
                  <c:v>B5</c:v>
                </c:pt>
                <c:pt idx="5">
                  <c:v>B6</c:v>
                </c:pt>
              </c:strCache>
            </c:strRef>
          </c:xVal>
          <c:yVal>
            <c:numRef>
              <c:f>Hg!$I$3:$I$8</c:f>
              <c:numCache>
                <c:formatCode>General</c:formatCode>
                <c:ptCount val="6"/>
                <c:pt idx="0">
                  <c:v>1.6000000000000007E-2</c:v>
                </c:pt>
                <c:pt idx="1">
                  <c:v>1.9000000000000006E-2</c:v>
                </c:pt>
                <c:pt idx="2">
                  <c:v>1.7999999999999999E-2</c:v>
                </c:pt>
                <c:pt idx="3">
                  <c:v>1.7999999999999999E-2</c:v>
                </c:pt>
                <c:pt idx="4">
                  <c:v>1.7999999999999999E-2</c:v>
                </c:pt>
                <c:pt idx="5">
                  <c:v>1.9000000000000006E-2</c:v>
                </c:pt>
              </c:numCache>
            </c:numRef>
          </c:yVal>
          <c:smooth val="0"/>
          <c:extLst>
            <c:ext xmlns:c16="http://schemas.microsoft.com/office/drawing/2014/chart" uri="{C3380CC4-5D6E-409C-BE32-E72D297353CC}">
              <c16:uniqueId val="{00000008-8753-4526-915F-EBF44287F11D}"/>
            </c:ext>
          </c:extLst>
        </c:ser>
        <c:ser>
          <c:idx val="8"/>
          <c:order val="8"/>
          <c:tx>
            <c:strRef>
              <c:f>Hg!$J$2</c:f>
              <c:strCache>
                <c:ptCount val="1"/>
                <c:pt idx="0">
                  <c:v>05.2019.</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xVal>
            <c:strRef>
              <c:f>Hg!$A$3:$A$8</c:f>
              <c:strCache>
                <c:ptCount val="6"/>
                <c:pt idx="0">
                  <c:v>B1</c:v>
                </c:pt>
                <c:pt idx="1">
                  <c:v>B2</c:v>
                </c:pt>
                <c:pt idx="2">
                  <c:v>B3</c:v>
                </c:pt>
                <c:pt idx="3">
                  <c:v>B4</c:v>
                </c:pt>
                <c:pt idx="4">
                  <c:v>B5</c:v>
                </c:pt>
                <c:pt idx="5">
                  <c:v>B6</c:v>
                </c:pt>
              </c:strCache>
            </c:strRef>
          </c:xVal>
          <c:yVal>
            <c:numRef>
              <c:f>Hg!$J$3:$J$8</c:f>
              <c:numCache>
                <c:formatCode>General</c:formatCode>
                <c:ptCount val="6"/>
                <c:pt idx="0">
                  <c:v>2.1000000000000008E-2</c:v>
                </c:pt>
                <c:pt idx="1">
                  <c:v>2.0000000000000007E-2</c:v>
                </c:pt>
                <c:pt idx="2">
                  <c:v>2.1999999999999999E-2</c:v>
                </c:pt>
                <c:pt idx="3">
                  <c:v>2.1999999999999999E-2</c:v>
                </c:pt>
                <c:pt idx="4">
                  <c:v>4.0000000000000015E-2</c:v>
                </c:pt>
                <c:pt idx="5">
                  <c:v>3.100000000000001E-2</c:v>
                </c:pt>
              </c:numCache>
            </c:numRef>
          </c:yVal>
          <c:smooth val="0"/>
          <c:extLst>
            <c:ext xmlns:c16="http://schemas.microsoft.com/office/drawing/2014/chart" uri="{C3380CC4-5D6E-409C-BE32-E72D297353CC}">
              <c16:uniqueId val="{00000009-8753-4526-915F-EBF44287F11D}"/>
            </c:ext>
          </c:extLst>
        </c:ser>
        <c:ser>
          <c:idx val="9"/>
          <c:order val="9"/>
          <c:tx>
            <c:strRef>
              <c:f>Hg!$K$2</c:f>
              <c:strCache>
                <c:ptCount val="1"/>
                <c:pt idx="0">
                  <c:v>11.2019.</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xVal>
            <c:strRef>
              <c:f>Hg!$A$3:$A$8</c:f>
              <c:strCache>
                <c:ptCount val="6"/>
                <c:pt idx="0">
                  <c:v>B1</c:v>
                </c:pt>
                <c:pt idx="1">
                  <c:v>B2</c:v>
                </c:pt>
                <c:pt idx="2">
                  <c:v>B3</c:v>
                </c:pt>
                <c:pt idx="3">
                  <c:v>B4</c:v>
                </c:pt>
                <c:pt idx="4">
                  <c:v>B5</c:v>
                </c:pt>
                <c:pt idx="5">
                  <c:v>B6</c:v>
                </c:pt>
              </c:strCache>
            </c:strRef>
          </c:xVal>
          <c:yVal>
            <c:numRef>
              <c:f>Hg!$K$3:$K$8</c:f>
              <c:numCache>
                <c:formatCode>General</c:formatCode>
                <c:ptCount val="6"/>
                <c:pt idx="0">
                  <c:v>1.0999999999999998E-2</c:v>
                </c:pt>
                <c:pt idx="1">
                  <c:v>1.2999999999999998E-2</c:v>
                </c:pt>
                <c:pt idx="2">
                  <c:v>2.5000000000000001E-2</c:v>
                </c:pt>
                <c:pt idx="4">
                  <c:v>1.2E-2</c:v>
                </c:pt>
                <c:pt idx="5">
                  <c:v>2.5000000000000001E-2</c:v>
                </c:pt>
              </c:numCache>
            </c:numRef>
          </c:yVal>
          <c:smooth val="0"/>
          <c:extLst>
            <c:ext xmlns:c16="http://schemas.microsoft.com/office/drawing/2014/chart" uri="{C3380CC4-5D6E-409C-BE32-E72D297353CC}">
              <c16:uniqueId val="{0000000A-8753-4526-915F-EBF44287F11D}"/>
            </c:ext>
          </c:extLst>
        </c:ser>
        <c:ser>
          <c:idx val="10"/>
          <c:order val="10"/>
          <c:tx>
            <c:strRef>
              <c:f>Hg!$L$2</c:f>
              <c:strCache>
                <c:ptCount val="1"/>
                <c:pt idx="0">
                  <c:v>05.2020.</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xVal>
            <c:strRef>
              <c:f>Hg!$A$3:$A$8</c:f>
              <c:strCache>
                <c:ptCount val="6"/>
                <c:pt idx="0">
                  <c:v>B1</c:v>
                </c:pt>
                <c:pt idx="1">
                  <c:v>B2</c:v>
                </c:pt>
                <c:pt idx="2">
                  <c:v>B3</c:v>
                </c:pt>
                <c:pt idx="3">
                  <c:v>B4</c:v>
                </c:pt>
                <c:pt idx="4">
                  <c:v>B5</c:v>
                </c:pt>
                <c:pt idx="5">
                  <c:v>B6</c:v>
                </c:pt>
              </c:strCache>
            </c:strRef>
          </c:xVal>
          <c:yVal>
            <c:numRef>
              <c:f>Hg!$L$3:$L$8</c:f>
              <c:numCache>
                <c:formatCode>General</c:formatCode>
                <c:ptCount val="6"/>
                <c:pt idx="1">
                  <c:v>1.7000000000000001E-2</c:v>
                </c:pt>
                <c:pt idx="2">
                  <c:v>1.4E-2</c:v>
                </c:pt>
                <c:pt idx="5">
                  <c:v>1.7000000000000001E-2</c:v>
                </c:pt>
              </c:numCache>
            </c:numRef>
          </c:yVal>
          <c:smooth val="0"/>
          <c:extLst>
            <c:ext xmlns:c16="http://schemas.microsoft.com/office/drawing/2014/chart" uri="{C3380CC4-5D6E-409C-BE32-E72D297353CC}">
              <c16:uniqueId val="{0000000B-8753-4526-915F-EBF44287F11D}"/>
            </c:ext>
          </c:extLst>
        </c:ser>
        <c:ser>
          <c:idx val="11"/>
          <c:order val="11"/>
          <c:tx>
            <c:strRef>
              <c:f>Hg!$M$2</c:f>
              <c:strCache>
                <c:ptCount val="1"/>
                <c:pt idx="0">
                  <c:v>10.2020.</c:v>
                </c:pt>
              </c:strCache>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xVal>
            <c:strRef>
              <c:f>Hg!$A$3:$A$8</c:f>
              <c:strCache>
                <c:ptCount val="6"/>
                <c:pt idx="0">
                  <c:v>B1</c:v>
                </c:pt>
                <c:pt idx="1">
                  <c:v>B2</c:v>
                </c:pt>
                <c:pt idx="2">
                  <c:v>B3</c:v>
                </c:pt>
                <c:pt idx="3">
                  <c:v>B4</c:v>
                </c:pt>
                <c:pt idx="4">
                  <c:v>B5</c:v>
                </c:pt>
                <c:pt idx="5">
                  <c:v>B6</c:v>
                </c:pt>
              </c:strCache>
            </c:strRef>
          </c:xVal>
          <c:yVal>
            <c:numRef>
              <c:f>Hg!$M$3:$M$8</c:f>
              <c:numCache>
                <c:formatCode>General</c:formatCode>
                <c:ptCount val="6"/>
                <c:pt idx="1">
                  <c:v>0.15000000000000005</c:v>
                </c:pt>
                <c:pt idx="2">
                  <c:v>1.4E-2</c:v>
                </c:pt>
                <c:pt idx="3">
                  <c:v>1.4999999999999998E-2</c:v>
                </c:pt>
                <c:pt idx="5">
                  <c:v>1.4999999999999998E-2</c:v>
                </c:pt>
              </c:numCache>
            </c:numRef>
          </c:yVal>
          <c:smooth val="0"/>
          <c:extLst>
            <c:ext xmlns:c16="http://schemas.microsoft.com/office/drawing/2014/chart" uri="{C3380CC4-5D6E-409C-BE32-E72D297353CC}">
              <c16:uniqueId val="{0000000C-8753-4526-915F-EBF44287F11D}"/>
            </c:ext>
          </c:extLst>
        </c:ser>
        <c:dLbls>
          <c:showLegendKey val="0"/>
          <c:showVal val="0"/>
          <c:showCatName val="0"/>
          <c:showSerName val="0"/>
          <c:showPercent val="0"/>
          <c:showBubbleSize val="0"/>
        </c:dLbls>
        <c:axId val="474225128"/>
        <c:axId val="474214936"/>
      </c:scatterChart>
      <c:catAx>
        <c:axId val="4742251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Location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14936"/>
        <c:crosses val="autoZero"/>
        <c:auto val="1"/>
        <c:lblAlgn val="ctr"/>
        <c:lblOffset val="100"/>
        <c:noMultiLvlLbl val="0"/>
      </c:catAx>
      <c:valAx>
        <c:axId val="474214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Hg, </a:t>
                </a:r>
                <a:r>
                  <a:rPr lang="en-US" i="1"/>
                  <a:t>mg/kg w.w.</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25128"/>
        <c:crosses val="autoZero"/>
        <c:crossBetween val="between"/>
      </c:valAx>
      <c:spPr>
        <a:noFill/>
        <a:ln>
          <a:noFill/>
        </a:ln>
        <a:effectLst/>
      </c:spPr>
    </c:plotArea>
    <c:legend>
      <c:legendPos val="r"/>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ayout>
        <c:manualLayout>
          <c:xMode val="edge"/>
          <c:yMode val="edge"/>
          <c:x val="0.77693963948033573"/>
          <c:y val="3.6665710308478656E-2"/>
          <c:w val="0.2035698311819345"/>
          <c:h val="0.16976992237672428"/>
        </c:manualLayout>
      </c:layout>
      <c:overlay val="0"/>
      <c:spPr>
        <a:noFill/>
        <a:ln>
          <a:noFill/>
        </a:ln>
        <a:effectLst/>
      </c:spPr>
      <c:txPr>
        <a:bodyPr rot="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2"/>
          <c:order val="12"/>
          <c:tx>
            <c:strRef>
              <c:f>As!$N$2</c:f>
              <c:strCache>
                <c:ptCount val="1"/>
              </c:strCache>
            </c:strRef>
          </c:tx>
          <c:spPr>
            <a:ln w="19050" cap="rnd">
              <a:solidFill>
                <a:schemeClr val="bg1"/>
              </a:solidFill>
              <a:round/>
            </a:ln>
            <a:effectLst/>
          </c:spPr>
          <c:marker>
            <c:symbol val="none"/>
          </c:marker>
          <c:cat>
            <c:strRef>
              <c:f>As!$A$3:$A$8</c:f>
              <c:strCache>
                <c:ptCount val="6"/>
                <c:pt idx="0">
                  <c:v>B1</c:v>
                </c:pt>
                <c:pt idx="1">
                  <c:v>B2</c:v>
                </c:pt>
                <c:pt idx="2">
                  <c:v>B3</c:v>
                </c:pt>
                <c:pt idx="3">
                  <c:v>B4</c:v>
                </c:pt>
                <c:pt idx="4">
                  <c:v>B5</c:v>
                </c:pt>
                <c:pt idx="5">
                  <c:v>B6</c:v>
                </c:pt>
              </c:strCache>
            </c:strRef>
          </c:cat>
          <c:val>
            <c:numRef>
              <c:f>As!$N$3:$N$8</c:f>
              <c:numCache>
                <c:formatCode>General</c:formatCode>
                <c:ptCount val="6"/>
              </c:numCache>
            </c:numRef>
          </c:val>
          <c:smooth val="0"/>
          <c:extLst>
            <c:ext xmlns:c16="http://schemas.microsoft.com/office/drawing/2014/chart" uri="{C3380CC4-5D6E-409C-BE32-E72D297353CC}">
              <c16:uniqueId val="{00000000-1EC1-4D32-9661-9EF92C2224A2}"/>
            </c:ext>
          </c:extLst>
        </c:ser>
        <c:dLbls>
          <c:showLegendKey val="0"/>
          <c:showVal val="0"/>
          <c:showCatName val="0"/>
          <c:showSerName val="0"/>
          <c:showPercent val="0"/>
          <c:showBubbleSize val="0"/>
        </c:dLbls>
        <c:marker val="1"/>
        <c:smooth val="0"/>
        <c:axId val="474227088"/>
        <c:axId val="474226696"/>
      </c:lineChart>
      <c:scatterChart>
        <c:scatterStyle val="lineMarker"/>
        <c:varyColors val="0"/>
        <c:ser>
          <c:idx val="0"/>
          <c:order val="0"/>
          <c:tx>
            <c:strRef>
              <c:f>As!$B$2</c:f>
              <c:strCache>
                <c:ptCount val="1"/>
                <c:pt idx="0">
                  <c:v>11.2014.</c:v>
                </c:pt>
              </c:strCache>
            </c:strRef>
          </c:tx>
          <c:spPr>
            <a:ln w="28575" cap="rnd">
              <a:noFill/>
              <a:round/>
            </a:ln>
            <a:effectLst/>
          </c:spPr>
          <c:marker>
            <c:symbol val="circle"/>
            <c:size val="5"/>
            <c:spPr>
              <a:solidFill>
                <a:schemeClr val="accent1"/>
              </a:solidFill>
              <a:ln w="9525">
                <a:solidFill>
                  <a:schemeClr val="accent1"/>
                </a:solidFill>
              </a:ln>
              <a:effectLst/>
            </c:spPr>
          </c:marker>
          <c:xVal>
            <c:strRef>
              <c:f>As!$A$3:$A$8</c:f>
              <c:strCache>
                <c:ptCount val="6"/>
                <c:pt idx="0">
                  <c:v>B1</c:v>
                </c:pt>
                <c:pt idx="1">
                  <c:v>B2</c:v>
                </c:pt>
                <c:pt idx="2">
                  <c:v>B3</c:v>
                </c:pt>
                <c:pt idx="3">
                  <c:v>B4</c:v>
                </c:pt>
                <c:pt idx="4">
                  <c:v>B5</c:v>
                </c:pt>
                <c:pt idx="5">
                  <c:v>B6</c:v>
                </c:pt>
              </c:strCache>
            </c:strRef>
          </c:xVal>
          <c:yVal>
            <c:numRef>
              <c:f>As!$B$3:$B$8</c:f>
              <c:numCache>
                <c:formatCode>General</c:formatCode>
                <c:ptCount val="6"/>
                <c:pt idx="0">
                  <c:v>4</c:v>
                </c:pt>
                <c:pt idx="1">
                  <c:v>4</c:v>
                </c:pt>
                <c:pt idx="2">
                  <c:v>4.3</c:v>
                </c:pt>
                <c:pt idx="3">
                  <c:v>4.9000000000000004</c:v>
                </c:pt>
                <c:pt idx="4">
                  <c:v>4.8</c:v>
                </c:pt>
                <c:pt idx="5">
                  <c:v>6.4</c:v>
                </c:pt>
              </c:numCache>
            </c:numRef>
          </c:yVal>
          <c:smooth val="0"/>
          <c:extLst>
            <c:ext xmlns:c16="http://schemas.microsoft.com/office/drawing/2014/chart" uri="{C3380CC4-5D6E-409C-BE32-E72D297353CC}">
              <c16:uniqueId val="{00000001-1EC1-4D32-9661-9EF92C2224A2}"/>
            </c:ext>
          </c:extLst>
        </c:ser>
        <c:ser>
          <c:idx val="1"/>
          <c:order val="1"/>
          <c:tx>
            <c:strRef>
              <c:f>As!$C$2</c:f>
              <c:strCache>
                <c:ptCount val="1"/>
                <c:pt idx="0">
                  <c:v>05.2015.</c:v>
                </c:pt>
              </c:strCache>
            </c:strRef>
          </c:tx>
          <c:spPr>
            <a:ln w="25400" cap="rnd">
              <a:noFill/>
              <a:round/>
            </a:ln>
            <a:effectLst/>
          </c:spPr>
          <c:marker>
            <c:symbol val="circle"/>
            <c:size val="5"/>
            <c:spPr>
              <a:solidFill>
                <a:schemeClr val="accent2"/>
              </a:solidFill>
              <a:ln w="9525">
                <a:solidFill>
                  <a:schemeClr val="accent2"/>
                </a:solidFill>
              </a:ln>
              <a:effectLst/>
            </c:spPr>
          </c:marker>
          <c:xVal>
            <c:strRef>
              <c:f>As!$A$3:$A$8</c:f>
              <c:strCache>
                <c:ptCount val="6"/>
                <c:pt idx="0">
                  <c:v>B1</c:v>
                </c:pt>
                <c:pt idx="1">
                  <c:v>B2</c:v>
                </c:pt>
                <c:pt idx="2">
                  <c:v>B3</c:v>
                </c:pt>
                <c:pt idx="3">
                  <c:v>B4</c:v>
                </c:pt>
                <c:pt idx="4">
                  <c:v>B5</c:v>
                </c:pt>
                <c:pt idx="5">
                  <c:v>B6</c:v>
                </c:pt>
              </c:strCache>
            </c:strRef>
          </c:xVal>
          <c:yVal>
            <c:numRef>
              <c:f>As!$C$3:$C$8</c:f>
              <c:numCache>
                <c:formatCode>General</c:formatCode>
                <c:ptCount val="6"/>
                <c:pt idx="0">
                  <c:v>3.3</c:v>
                </c:pt>
                <c:pt idx="1">
                  <c:v>2.4</c:v>
                </c:pt>
                <c:pt idx="2">
                  <c:v>2.5</c:v>
                </c:pt>
                <c:pt idx="3">
                  <c:v>5.7</c:v>
                </c:pt>
                <c:pt idx="4">
                  <c:v>4.3</c:v>
                </c:pt>
                <c:pt idx="5">
                  <c:v>3.4</c:v>
                </c:pt>
              </c:numCache>
            </c:numRef>
          </c:yVal>
          <c:smooth val="0"/>
          <c:extLst>
            <c:ext xmlns:c16="http://schemas.microsoft.com/office/drawing/2014/chart" uri="{C3380CC4-5D6E-409C-BE32-E72D297353CC}">
              <c16:uniqueId val="{00000002-1EC1-4D32-9661-9EF92C2224A2}"/>
            </c:ext>
          </c:extLst>
        </c:ser>
        <c:ser>
          <c:idx val="2"/>
          <c:order val="2"/>
          <c:tx>
            <c:strRef>
              <c:f>As!$D$2</c:f>
              <c:strCache>
                <c:ptCount val="1"/>
                <c:pt idx="0">
                  <c:v>11.2015.</c:v>
                </c:pt>
              </c:strCache>
            </c:strRef>
          </c:tx>
          <c:spPr>
            <a:ln w="25400" cap="rnd">
              <a:noFill/>
              <a:round/>
            </a:ln>
            <a:effectLst/>
          </c:spPr>
          <c:marker>
            <c:symbol val="circle"/>
            <c:size val="5"/>
            <c:spPr>
              <a:solidFill>
                <a:schemeClr val="accent3"/>
              </a:solidFill>
              <a:ln w="9525">
                <a:solidFill>
                  <a:schemeClr val="accent3"/>
                </a:solidFill>
              </a:ln>
              <a:effectLst/>
            </c:spPr>
          </c:marker>
          <c:xVal>
            <c:strRef>
              <c:f>As!$A$3:$A$8</c:f>
              <c:strCache>
                <c:ptCount val="6"/>
                <c:pt idx="0">
                  <c:v>B1</c:v>
                </c:pt>
                <c:pt idx="1">
                  <c:v>B2</c:v>
                </c:pt>
                <c:pt idx="2">
                  <c:v>B3</c:v>
                </c:pt>
                <c:pt idx="3">
                  <c:v>B4</c:v>
                </c:pt>
                <c:pt idx="4">
                  <c:v>B5</c:v>
                </c:pt>
                <c:pt idx="5">
                  <c:v>B6</c:v>
                </c:pt>
              </c:strCache>
            </c:strRef>
          </c:xVal>
          <c:yVal>
            <c:numRef>
              <c:f>As!$D$3:$D$8</c:f>
              <c:numCache>
                <c:formatCode>General</c:formatCode>
                <c:ptCount val="6"/>
                <c:pt idx="0">
                  <c:v>2.7</c:v>
                </c:pt>
                <c:pt idx="1">
                  <c:v>1.7</c:v>
                </c:pt>
                <c:pt idx="2">
                  <c:v>2</c:v>
                </c:pt>
                <c:pt idx="3">
                  <c:v>2.2999999999999998</c:v>
                </c:pt>
                <c:pt idx="4">
                  <c:v>2.7</c:v>
                </c:pt>
                <c:pt idx="5">
                  <c:v>3.11</c:v>
                </c:pt>
              </c:numCache>
            </c:numRef>
          </c:yVal>
          <c:smooth val="0"/>
          <c:extLst>
            <c:ext xmlns:c16="http://schemas.microsoft.com/office/drawing/2014/chart" uri="{C3380CC4-5D6E-409C-BE32-E72D297353CC}">
              <c16:uniqueId val="{00000003-1EC1-4D32-9661-9EF92C2224A2}"/>
            </c:ext>
          </c:extLst>
        </c:ser>
        <c:ser>
          <c:idx val="3"/>
          <c:order val="3"/>
          <c:tx>
            <c:strRef>
              <c:f>As!$E$2</c:f>
              <c:strCache>
                <c:ptCount val="1"/>
                <c:pt idx="0">
                  <c:v>05.2016.</c:v>
                </c:pt>
              </c:strCache>
            </c:strRef>
          </c:tx>
          <c:spPr>
            <a:ln w="25400" cap="rnd">
              <a:noFill/>
              <a:round/>
            </a:ln>
            <a:effectLst/>
          </c:spPr>
          <c:marker>
            <c:symbol val="circle"/>
            <c:size val="5"/>
            <c:spPr>
              <a:solidFill>
                <a:schemeClr val="accent4"/>
              </a:solidFill>
              <a:ln w="9525">
                <a:solidFill>
                  <a:schemeClr val="accent4"/>
                </a:solidFill>
              </a:ln>
              <a:effectLst/>
            </c:spPr>
          </c:marker>
          <c:xVal>
            <c:strRef>
              <c:f>As!$A$3:$A$8</c:f>
              <c:strCache>
                <c:ptCount val="6"/>
                <c:pt idx="0">
                  <c:v>B1</c:v>
                </c:pt>
                <c:pt idx="1">
                  <c:v>B2</c:v>
                </c:pt>
                <c:pt idx="2">
                  <c:v>B3</c:v>
                </c:pt>
                <c:pt idx="3">
                  <c:v>B4</c:v>
                </c:pt>
                <c:pt idx="4">
                  <c:v>B5</c:v>
                </c:pt>
                <c:pt idx="5">
                  <c:v>B6</c:v>
                </c:pt>
              </c:strCache>
            </c:strRef>
          </c:xVal>
          <c:yVal>
            <c:numRef>
              <c:f>As!$E$3:$E$8</c:f>
              <c:numCache>
                <c:formatCode>General</c:formatCode>
                <c:ptCount val="6"/>
                <c:pt idx="0">
                  <c:v>3.4</c:v>
                </c:pt>
                <c:pt idx="1">
                  <c:v>3.2</c:v>
                </c:pt>
                <c:pt idx="2">
                  <c:v>3.4</c:v>
                </c:pt>
                <c:pt idx="3">
                  <c:v>3.7</c:v>
                </c:pt>
                <c:pt idx="4">
                  <c:v>3.5</c:v>
                </c:pt>
                <c:pt idx="5">
                  <c:v>3.5</c:v>
                </c:pt>
              </c:numCache>
            </c:numRef>
          </c:yVal>
          <c:smooth val="0"/>
          <c:extLst>
            <c:ext xmlns:c16="http://schemas.microsoft.com/office/drawing/2014/chart" uri="{C3380CC4-5D6E-409C-BE32-E72D297353CC}">
              <c16:uniqueId val="{00000004-1EC1-4D32-9661-9EF92C2224A2}"/>
            </c:ext>
          </c:extLst>
        </c:ser>
        <c:ser>
          <c:idx val="4"/>
          <c:order val="4"/>
          <c:tx>
            <c:strRef>
              <c:f>As!$F$2</c:f>
              <c:strCache>
                <c:ptCount val="1"/>
                <c:pt idx="0">
                  <c:v>05.2017.</c:v>
                </c:pt>
              </c:strCache>
            </c:strRef>
          </c:tx>
          <c:spPr>
            <a:ln w="25400" cap="rnd">
              <a:noFill/>
              <a:round/>
            </a:ln>
            <a:effectLst/>
          </c:spPr>
          <c:marker>
            <c:symbol val="circle"/>
            <c:size val="5"/>
            <c:spPr>
              <a:solidFill>
                <a:schemeClr val="accent5"/>
              </a:solidFill>
              <a:ln w="9525">
                <a:solidFill>
                  <a:schemeClr val="accent5"/>
                </a:solidFill>
              </a:ln>
              <a:effectLst/>
            </c:spPr>
          </c:marker>
          <c:xVal>
            <c:strRef>
              <c:f>As!$A$3:$A$8</c:f>
              <c:strCache>
                <c:ptCount val="6"/>
                <c:pt idx="0">
                  <c:v>B1</c:v>
                </c:pt>
                <c:pt idx="1">
                  <c:v>B2</c:v>
                </c:pt>
                <c:pt idx="2">
                  <c:v>B3</c:v>
                </c:pt>
                <c:pt idx="3">
                  <c:v>B4</c:v>
                </c:pt>
                <c:pt idx="4">
                  <c:v>B5</c:v>
                </c:pt>
                <c:pt idx="5">
                  <c:v>B6</c:v>
                </c:pt>
              </c:strCache>
            </c:strRef>
          </c:xVal>
          <c:yVal>
            <c:numRef>
              <c:f>As!$F$3:$F$8</c:f>
              <c:numCache>
                <c:formatCode>General</c:formatCode>
                <c:ptCount val="6"/>
                <c:pt idx="0">
                  <c:v>3.4</c:v>
                </c:pt>
                <c:pt idx="1">
                  <c:v>4</c:v>
                </c:pt>
                <c:pt idx="2">
                  <c:v>3.1</c:v>
                </c:pt>
                <c:pt idx="3">
                  <c:v>3.8</c:v>
                </c:pt>
                <c:pt idx="4">
                  <c:v>4.4000000000000004</c:v>
                </c:pt>
                <c:pt idx="5">
                  <c:v>4</c:v>
                </c:pt>
              </c:numCache>
            </c:numRef>
          </c:yVal>
          <c:smooth val="0"/>
          <c:extLst>
            <c:ext xmlns:c16="http://schemas.microsoft.com/office/drawing/2014/chart" uri="{C3380CC4-5D6E-409C-BE32-E72D297353CC}">
              <c16:uniqueId val="{00000005-1EC1-4D32-9661-9EF92C2224A2}"/>
            </c:ext>
          </c:extLst>
        </c:ser>
        <c:ser>
          <c:idx val="5"/>
          <c:order val="5"/>
          <c:tx>
            <c:strRef>
              <c:f>As!$G$2</c:f>
              <c:strCache>
                <c:ptCount val="1"/>
                <c:pt idx="0">
                  <c:v>11.2017.</c:v>
                </c:pt>
              </c:strCache>
            </c:strRef>
          </c:tx>
          <c:spPr>
            <a:ln w="25400" cap="rnd">
              <a:noFill/>
              <a:round/>
            </a:ln>
            <a:effectLst/>
          </c:spPr>
          <c:marker>
            <c:symbol val="circle"/>
            <c:size val="5"/>
            <c:spPr>
              <a:solidFill>
                <a:schemeClr val="accent6"/>
              </a:solidFill>
              <a:ln w="9525">
                <a:solidFill>
                  <a:schemeClr val="accent6"/>
                </a:solidFill>
              </a:ln>
              <a:effectLst/>
            </c:spPr>
          </c:marker>
          <c:xVal>
            <c:strRef>
              <c:f>As!$A$3:$A$8</c:f>
              <c:strCache>
                <c:ptCount val="6"/>
                <c:pt idx="0">
                  <c:v>B1</c:v>
                </c:pt>
                <c:pt idx="1">
                  <c:v>B2</c:v>
                </c:pt>
                <c:pt idx="2">
                  <c:v>B3</c:v>
                </c:pt>
                <c:pt idx="3">
                  <c:v>B4</c:v>
                </c:pt>
                <c:pt idx="4">
                  <c:v>B5</c:v>
                </c:pt>
                <c:pt idx="5">
                  <c:v>B6</c:v>
                </c:pt>
              </c:strCache>
            </c:strRef>
          </c:xVal>
          <c:yVal>
            <c:numRef>
              <c:f>As!$G$3:$G$8</c:f>
              <c:numCache>
                <c:formatCode>General</c:formatCode>
                <c:ptCount val="6"/>
                <c:pt idx="0">
                  <c:v>3.8</c:v>
                </c:pt>
                <c:pt idx="1">
                  <c:v>2.5</c:v>
                </c:pt>
                <c:pt idx="2">
                  <c:v>3.2</c:v>
                </c:pt>
                <c:pt idx="3">
                  <c:v>6.3</c:v>
                </c:pt>
                <c:pt idx="4">
                  <c:v>6.2</c:v>
                </c:pt>
                <c:pt idx="5">
                  <c:v>3.4</c:v>
                </c:pt>
              </c:numCache>
            </c:numRef>
          </c:yVal>
          <c:smooth val="0"/>
          <c:extLst>
            <c:ext xmlns:c16="http://schemas.microsoft.com/office/drawing/2014/chart" uri="{C3380CC4-5D6E-409C-BE32-E72D297353CC}">
              <c16:uniqueId val="{00000006-1EC1-4D32-9661-9EF92C2224A2}"/>
            </c:ext>
          </c:extLst>
        </c:ser>
        <c:ser>
          <c:idx val="6"/>
          <c:order val="6"/>
          <c:tx>
            <c:strRef>
              <c:f>As!$H$2</c:f>
              <c:strCache>
                <c:ptCount val="1"/>
                <c:pt idx="0">
                  <c:v>05.2018.</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strRef>
              <c:f>As!$A$3:$A$8</c:f>
              <c:strCache>
                <c:ptCount val="6"/>
                <c:pt idx="0">
                  <c:v>B1</c:v>
                </c:pt>
                <c:pt idx="1">
                  <c:v>B2</c:v>
                </c:pt>
                <c:pt idx="2">
                  <c:v>B3</c:v>
                </c:pt>
                <c:pt idx="3">
                  <c:v>B4</c:v>
                </c:pt>
                <c:pt idx="4">
                  <c:v>B5</c:v>
                </c:pt>
                <c:pt idx="5">
                  <c:v>B6</c:v>
                </c:pt>
              </c:strCache>
            </c:strRef>
          </c:xVal>
          <c:yVal>
            <c:numRef>
              <c:f>As!$H$3:$H$8</c:f>
              <c:numCache>
                <c:formatCode>General</c:formatCode>
                <c:ptCount val="6"/>
                <c:pt idx="0">
                  <c:v>2.9</c:v>
                </c:pt>
                <c:pt idx="1">
                  <c:v>3</c:v>
                </c:pt>
                <c:pt idx="2">
                  <c:v>3.2</c:v>
                </c:pt>
                <c:pt idx="3">
                  <c:v>3.6</c:v>
                </c:pt>
                <c:pt idx="4">
                  <c:v>3.4</c:v>
                </c:pt>
                <c:pt idx="5">
                  <c:v>3</c:v>
                </c:pt>
              </c:numCache>
            </c:numRef>
          </c:yVal>
          <c:smooth val="0"/>
          <c:extLst>
            <c:ext xmlns:c16="http://schemas.microsoft.com/office/drawing/2014/chart" uri="{C3380CC4-5D6E-409C-BE32-E72D297353CC}">
              <c16:uniqueId val="{00000007-1EC1-4D32-9661-9EF92C2224A2}"/>
            </c:ext>
          </c:extLst>
        </c:ser>
        <c:ser>
          <c:idx val="7"/>
          <c:order val="7"/>
          <c:tx>
            <c:strRef>
              <c:f>As!$I$2</c:f>
              <c:strCache>
                <c:ptCount val="1"/>
                <c:pt idx="0">
                  <c:v>11.2018.</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strRef>
              <c:f>As!$A$3:$A$8</c:f>
              <c:strCache>
                <c:ptCount val="6"/>
                <c:pt idx="0">
                  <c:v>B1</c:v>
                </c:pt>
                <c:pt idx="1">
                  <c:v>B2</c:v>
                </c:pt>
                <c:pt idx="2">
                  <c:v>B3</c:v>
                </c:pt>
                <c:pt idx="3">
                  <c:v>B4</c:v>
                </c:pt>
                <c:pt idx="4">
                  <c:v>B5</c:v>
                </c:pt>
                <c:pt idx="5">
                  <c:v>B6</c:v>
                </c:pt>
              </c:strCache>
            </c:strRef>
          </c:xVal>
          <c:yVal>
            <c:numRef>
              <c:f>As!$I$3:$I$8</c:f>
              <c:numCache>
                <c:formatCode>General</c:formatCode>
                <c:ptCount val="6"/>
                <c:pt idx="0">
                  <c:v>1.9000000000000001</c:v>
                </c:pt>
                <c:pt idx="1">
                  <c:v>2.5</c:v>
                </c:pt>
                <c:pt idx="2">
                  <c:v>2</c:v>
                </c:pt>
                <c:pt idx="3">
                  <c:v>2.8</c:v>
                </c:pt>
                <c:pt idx="4">
                  <c:v>2.5</c:v>
                </c:pt>
                <c:pt idx="5">
                  <c:v>2.5</c:v>
                </c:pt>
              </c:numCache>
            </c:numRef>
          </c:yVal>
          <c:smooth val="0"/>
          <c:extLst>
            <c:ext xmlns:c16="http://schemas.microsoft.com/office/drawing/2014/chart" uri="{C3380CC4-5D6E-409C-BE32-E72D297353CC}">
              <c16:uniqueId val="{00000008-1EC1-4D32-9661-9EF92C2224A2}"/>
            </c:ext>
          </c:extLst>
        </c:ser>
        <c:ser>
          <c:idx val="8"/>
          <c:order val="8"/>
          <c:tx>
            <c:strRef>
              <c:f>As!$J$2</c:f>
              <c:strCache>
                <c:ptCount val="1"/>
                <c:pt idx="0">
                  <c:v>05.2019.</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xVal>
            <c:strRef>
              <c:f>As!$A$3:$A$8</c:f>
              <c:strCache>
                <c:ptCount val="6"/>
                <c:pt idx="0">
                  <c:v>B1</c:v>
                </c:pt>
                <c:pt idx="1">
                  <c:v>B2</c:v>
                </c:pt>
                <c:pt idx="2">
                  <c:v>B3</c:v>
                </c:pt>
                <c:pt idx="3">
                  <c:v>B4</c:v>
                </c:pt>
                <c:pt idx="4">
                  <c:v>B5</c:v>
                </c:pt>
                <c:pt idx="5">
                  <c:v>B6</c:v>
                </c:pt>
              </c:strCache>
            </c:strRef>
          </c:xVal>
          <c:yVal>
            <c:numRef>
              <c:f>As!$J$3:$J$8</c:f>
              <c:numCache>
                <c:formatCode>General</c:formatCode>
                <c:ptCount val="6"/>
                <c:pt idx="0">
                  <c:v>4.0999999999999996</c:v>
                </c:pt>
                <c:pt idx="1">
                  <c:v>5</c:v>
                </c:pt>
                <c:pt idx="2">
                  <c:v>4.9000000000000004</c:v>
                </c:pt>
                <c:pt idx="3">
                  <c:v>4.2</c:v>
                </c:pt>
                <c:pt idx="4">
                  <c:v>6.3</c:v>
                </c:pt>
                <c:pt idx="5">
                  <c:v>5.8</c:v>
                </c:pt>
              </c:numCache>
            </c:numRef>
          </c:yVal>
          <c:smooth val="0"/>
          <c:extLst>
            <c:ext xmlns:c16="http://schemas.microsoft.com/office/drawing/2014/chart" uri="{C3380CC4-5D6E-409C-BE32-E72D297353CC}">
              <c16:uniqueId val="{00000009-1EC1-4D32-9661-9EF92C2224A2}"/>
            </c:ext>
          </c:extLst>
        </c:ser>
        <c:ser>
          <c:idx val="9"/>
          <c:order val="9"/>
          <c:tx>
            <c:strRef>
              <c:f>As!$K$2</c:f>
              <c:strCache>
                <c:ptCount val="1"/>
                <c:pt idx="0">
                  <c:v>11.2019.</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xVal>
            <c:strRef>
              <c:f>As!$A$3:$A$8</c:f>
              <c:strCache>
                <c:ptCount val="6"/>
                <c:pt idx="0">
                  <c:v>B1</c:v>
                </c:pt>
                <c:pt idx="1">
                  <c:v>B2</c:v>
                </c:pt>
                <c:pt idx="2">
                  <c:v>B3</c:v>
                </c:pt>
                <c:pt idx="3">
                  <c:v>B4</c:v>
                </c:pt>
                <c:pt idx="4">
                  <c:v>B5</c:v>
                </c:pt>
                <c:pt idx="5">
                  <c:v>B6</c:v>
                </c:pt>
              </c:strCache>
            </c:strRef>
          </c:xVal>
          <c:yVal>
            <c:numRef>
              <c:f>As!$K$3:$K$8</c:f>
              <c:numCache>
                <c:formatCode>General</c:formatCode>
                <c:ptCount val="6"/>
                <c:pt idx="0">
                  <c:v>2.4</c:v>
                </c:pt>
                <c:pt idx="1">
                  <c:v>3.4</c:v>
                </c:pt>
                <c:pt idx="2">
                  <c:v>2.5</c:v>
                </c:pt>
                <c:pt idx="4">
                  <c:v>3.1</c:v>
                </c:pt>
                <c:pt idx="5">
                  <c:v>2.5</c:v>
                </c:pt>
              </c:numCache>
            </c:numRef>
          </c:yVal>
          <c:smooth val="0"/>
          <c:extLst>
            <c:ext xmlns:c16="http://schemas.microsoft.com/office/drawing/2014/chart" uri="{C3380CC4-5D6E-409C-BE32-E72D297353CC}">
              <c16:uniqueId val="{0000000A-1EC1-4D32-9661-9EF92C2224A2}"/>
            </c:ext>
          </c:extLst>
        </c:ser>
        <c:ser>
          <c:idx val="10"/>
          <c:order val="10"/>
          <c:tx>
            <c:strRef>
              <c:f>As!$L$2</c:f>
              <c:strCache>
                <c:ptCount val="1"/>
                <c:pt idx="0">
                  <c:v>05.2020.</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xVal>
            <c:strRef>
              <c:f>As!$A$3:$A$8</c:f>
              <c:strCache>
                <c:ptCount val="6"/>
                <c:pt idx="0">
                  <c:v>B1</c:v>
                </c:pt>
                <c:pt idx="1">
                  <c:v>B2</c:v>
                </c:pt>
                <c:pt idx="2">
                  <c:v>B3</c:v>
                </c:pt>
                <c:pt idx="3">
                  <c:v>B4</c:v>
                </c:pt>
                <c:pt idx="4">
                  <c:v>B5</c:v>
                </c:pt>
                <c:pt idx="5">
                  <c:v>B6</c:v>
                </c:pt>
              </c:strCache>
            </c:strRef>
          </c:xVal>
          <c:yVal>
            <c:numRef>
              <c:f>As!$L$3:$L$8</c:f>
              <c:numCache>
                <c:formatCode>General</c:formatCode>
                <c:ptCount val="6"/>
                <c:pt idx="1">
                  <c:v>3.7</c:v>
                </c:pt>
                <c:pt idx="2">
                  <c:v>2.8</c:v>
                </c:pt>
                <c:pt idx="5">
                  <c:v>2.5</c:v>
                </c:pt>
              </c:numCache>
            </c:numRef>
          </c:yVal>
          <c:smooth val="0"/>
          <c:extLst>
            <c:ext xmlns:c16="http://schemas.microsoft.com/office/drawing/2014/chart" uri="{C3380CC4-5D6E-409C-BE32-E72D297353CC}">
              <c16:uniqueId val="{0000000B-1EC1-4D32-9661-9EF92C2224A2}"/>
            </c:ext>
          </c:extLst>
        </c:ser>
        <c:ser>
          <c:idx val="11"/>
          <c:order val="11"/>
          <c:tx>
            <c:strRef>
              <c:f>As!$M$2</c:f>
              <c:strCache>
                <c:ptCount val="1"/>
                <c:pt idx="0">
                  <c:v>10.2020.</c:v>
                </c:pt>
              </c:strCache>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xVal>
            <c:strRef>
              <c:f>As!$A$3:$A$8</c:f>
              <c:strCache>
                <c:ptCount val="6"/>
                <c:pt idx="0">
                  <c:v>B1</c:v>
                </c:pt>
                <c:pt idx="1">
                  <c:v>B2</c:v>
                </c:pt>
                <c:pt idx="2">
                  <c:v>B3</c:v>
                </c:pt>
                <c:pt idx="3">
                  <c:v>B4</c:v>
                </c:pt>
                <c:pt idx="4">
                  <c:v>B5</c:v>
                </c:pt>
                <c:pt idx="5">
                  <c:v>B6</c:v>
                </c:pt>
              </c:strCache>
            </c:strRef>
          </c:xVal>
          <c:yVal>
            <c:numRef>
              <c:f>As!$M$3:$M$8</c:f>
              <c:numCache>
                <c:formatCode>General</c:formatCode>
                <c:ptCount val="6"/>
                <c:pt idx="1">
                  <c:v>2.7</c:v>
                </c:pt>
                <c:pt idx="2">
                  <c:v>0.1</c:v>
                </c:pt>
                <c:pt idx="3">
                  <c:v>2.9</c:v>
                </c:pt>
                <c:pt idx="5">
                  <c:v>2.9</c:v>
                </c:pt>
              </c:numCache>
            </c:numRef>
          </c:yVal>
          <c:smooth val="0"/>
          <c:extLst>
            <c:ext xmlns:c16="http://schemas.microsoft.com/office/drawing/2014/chart" uri="{C3380CC4-5D6E-409C-BE32-E72D297353CC}">
              <c16:uniqueId val="{0000000C-1EC1-4D32-9661-9EF92C2224A2}"/>
            </c:ext>
          </c:extLst>
        </c:ser>
        <c:dLbls>
          <c:showLegendKey val="0"/>
          <c:showVal val="0"/>
          <c:showCatName val="0"/>
          <c:showSerName val="0"/>
          <c:showPercent val="0"/>
          <c:showBubbleSize val="0"/>
        </c:dLbls>
        <c:axId val="474227088"/>
        <c:axId val="474226696"/>
      </c:scatterChart>
      <c:catAx>
        <c:axId val="4742270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Location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26696"/>
        <c:crosses val="autoZero"/>
        <c:auto val="1"/>
        <c:lblAlgn val="ctr"/>
        <c:lblOffset val="100"/>
        <c:noMultiLvlLbl val="0"/>
      </c:catAx>
      <c:valAx>
        <c:axId val="474226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As, </a:t>
                </a:r>
                <a:r>
                  <a:rPr lang="en-US" i="1"/>
                  <a:t>mg/kg w.w.</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227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Sheet2!$B$2</c:f>
              <c:strCache>
                <c:ptCount val="1"/>
                <c:pt idx="0">
                  <c:v>a</c:v>
                </c:pt>
              </c:strCache>
            </c:strRef>
          </c:tx>
          <c:spPr>
            <a:ln w="28575">
              <a:noFill/>
            </a:ln>
          </c:spPr>
          <c:xVal>
            <c:strRef>
              <c:f>Sheet2!$A$3:$A$8</c:f>
              <c:strCache>
                <c:ptCount val="6"/>
                <c:pt idx="0">
                  <c:v>B1</c:v>
                </c:pt>
                <c:pt idx="1">
                  <c:v>B2</c:v>
                </c:pt>
                <c:pt idx="2">
                  <c:v>B3</c:v>
                </c:pt>
                <c:pt idx="3">
                  <c:v>B4</c:v>
                </c:pt>
                <c:pt idx="4">
                  <c:v>B5</c:v>
                </c:pt>
                <c:pt idx="5">
                  <c:v>B6</c:v>
                </c:pt>
              </c:strCache>
            </c:strRef>
          </c:xVal>
          <c:yVal>
            <c:numRef>
              <c:f>Sheet2!$B$3:$B$8</c:f>
              <c:numCache>
                <c:formatCode>General</c:formatCode>
                <c:ptCount val="6"/>
                <c:pt idx="0">
                  <c:v>0.45</c:v>
                </c:pt>
                <c:pt idx="1">
                  <c:v>0.45</c:v>
                </c:pt>
                <c:pt idx="2">
                  <c:v>0.45</c:v>
                </c:pt>
                <c:pt idx="3">
                  <c:v>0.45</c:v>
                </c:pt>
                <c:pt idx="4">
                  <c:v>0.45</c:v>
                </c:pt>
                <c:pt idx="5">
                  <c:v>0.45</c:v>
                </c:pt>
              </c:numCache>
            </c:numRef>
          </c:yVal>
          <c:smooth val="0"/>
          <c:extLst>
            <c:ext xmlns:c16="http://schemas.microsoft.com/office/drawing/2014/chart" uri="{C3380CC4-5D6E-409C-BE32-E72D297353CC}">
              <c16:uniqueId val="{00000000-443F-499F-A66A-FE7B96A99F5E}"/>
            </c:ext>
          </c:extLst>
        </c:ser>
        <c:ser>
          <c:idx val="1"/>
          <c:order val="1"/>
          <c:tx>
            <c:strRef>
              <c:f>Sheet2!$C$2</c:f>
              <c:strCache>
                <c:ptCount val="1"/>
                <c:pt idx="0">
                  <c:v>a</c:v>
                </c:pt>
              </c:strCache>
            </c:strRef>
          </c:tx>
          <c:spPr>
            <a:ln w="28575">
              <a:noFill/>
            </a:ln>
          </c:spPr>
          <c:xVal>
            <c:strRef>
              <c:f>Sheet2!$A$3:$A$8</c:f>
              <c:strCache>
                <c:ptCount val="6"/>
                <c:pt idx="0">
                  <c:v>B1</c:v>
                </c:pt>
                <c:pt idx="1">
                  <c:v>B2</c:v>
                </c:pt>
                <c:pt idx="2">
                  <c:v>B3</c:v>
                </c:pt>
                <c:pt idx="3">
                  <c:v>B4</c:v>
                </c:pt>
                <c:pt idx="4">
                  <c:v>B5</c:v>
                </c:pt>
                <c:pt idx="5">
                  <c:v>B6</c:v>
                </c:pt>
              </c:strCache>
            </c:strRef>
          </c:xVal>
          <c:yVal>
            <c:numRef>
              <c:f>Sheet2!$C$3:$C$8</c:f>
              <c:numCache>
                <c:formatCode>General</c:formatCode>
                <c:ptCount val="6"/>
                <c:pt idx="0">
                  <c:v>0.45</c:v>
                </c:pt>
                <c:pt idx="1">
                  <c:v>0.45</c:v>
                </c:pt>
                <c:pt idx="2">
                  <c:v>0.45</c:v>
                </c:pt>
                <c:pt idx="3">
                  <c:v>0.45</c:v>
                </c:pt>
                <c:pt idx="4">
                  <c:v>0.45</c:v>
                </c:pt>
                <c:pt idx="5">
                  <c:v>0.45</c:v>
                </c:pt>
              </c:numCache>
            </c:numRef>
          </c:yVal>
          <c:smooth val="0"/>
          <c:extLst>
            <c:ext xmlns:c16="http://schemas.microsoft.com/office/drawing/2014/chart" uri="{C3380CC4-5D6E-409C-BE32-E72D297353CC}">
              <c16:uniqueId val="{00000001-443F-499F-A66A-FE7B96A99F5E}"/>
            </c:ext>
          </c:extLst>
        </c:ser>
        <c:ser>
          <c:idx val="2"/>
          <c:order val="2"/>
          <c:tx>
            <c:strRef>
              <c:f>Sheet2!$D$2</c:f>
              <c:strCache>
                <c:ptCount val="1"/>
                <c:pt idx="0">
                  <c:v>a</c:v>
                </c:pt>
              </c:strCache>
            </c:strRef>
          </c:tx>
          <c:spPr>
            <a:ln w="28575">
              <a:noFill/>
            </a:ln>
          </c:spPr>
          <c:xVal>
            <c:strRef>
              <c:f>Sheet2!$A$3:$A$8</c:f>
              <c:strCache>
                <c:ptCount val="6"/>
                <c:pt idx="0">
                  <c:v>B1</c:v>
                </c:pt>
                <c:pt idx="1">
                  <c:v>B2</c:v>
                </c:pt>
                <c:pt idx="2">
                  <c:v>B3</c:v>
                </c:pt>
                <c:pt idx="3">
                  <c:v>B4</c:v>
                </c:pt>
                <c:pt idx="4">
                  <c:v>B5</c:v>
                </c:pt>
                <c:pt idx="5">
                  <c:v>B6</c:v>
                </c:pt>
              </c:strCache>
            </c:strRef>
          </c:xVal>
          <c:yVal>
            <c:numRef>
              <c:f>Sheet2!$D$3:$D$8</c:f>
              <c:numCache>
                <c:formatCode>General</c:formatCode>
                <c:ptCount val="6"/>
                <c:pt idx="0">
                  <c:v>0.45</c:v>
                </c:pt>
                <c:pt idx="1">
                  <c:v>0.45</c:v>
                </c:pt>
                <c:pt idx="2">
                  <c:v>0.45</c:v>
                </c:pt>
                <c:pt idx="3">
                  <c:v>0.45</c:v>
                </c:pt>
                <c:pt idx="4">
                  <c:v>0.45</c:v>
                </c:pt>
                <c:pt idx="5">
                  <c:v>0.45</c:v>
                </c:pt>
              </c:numCache>
            </c:numRef>
          </c:yVal>
          <c:smooth val="0"/>
          <c:extLst>
            <c:ext xmlns:c16="http://schemas.microsoft.com/office/drawing/2014/chart" uri="{C3380CC4-5D6E-409C-BE32-E72D297353CC}">
              <c16:uniqueId val="{00000002-443F-499F-A66A-FE7B96A99F5E}"/>
            </c:ext>
          </c:extLst>
        </c:ser>
        <c:ser>
          <c:idx val="3"/>
          <c:order val="3"/>
          <c:tx>
            <c:strRef>
              <c:f>Sheet2!$E$2</c:f>
              <c:strCache>
                <c:ptCount val="1"/>
                <c:pt idx="0">
                  <c:v>a</c:v>
                </c:pt>
              </c:strCache>
            </c:strRef>
          </c:tx>
          <c:spPr>
            <a:ln w="28575">
              <a:noFill/>
            </a:ln>
          </c:spPr>
          <c:xVal>
            <c:strRef>
              <c:f>Sheet2!$A$3:$A$8</c:f>
              <c:strCache>
                <c:ptCount val="6"/>
                <c:pt idx="0">
                  <c:v>B1</c:v>
                </c:pt>
                <c:pt idx="1">
                  <c:v>B2</c:v>
                </c:pt>
                <c:pt idx="2">
                  <c:v>B3</c:v>
                </c:pt>
                <c:pt idx="3">
                  <c:v>B4</c:v>
                </c:pt>
                <c:pt idx="4">
                  <c:v>B5</c:v>
                </c:pt>
                <c:pt idx="5">
                  <c:v>B6</c:v>
                </c:pt>
              </c:strCache>
            </c:strRef>
          </c:xVal>
          <c:yVal>
            <c:numRef>
              <c:f>Sheet2!$E$3:$E$8</c:f>
              <c:numCache>
                <c:formatCode>General</c:formatCode>
                <c:ptCount val="6"/>
                <c:pt idx="0">
                  <c:v>0.45</c:v>
                </c:pt>
                <c:pt idx="1">
                  <c:v>0.45</c:v>
                </c:pt>
                <c:pt idx="2">
                  <c:v>0.45</c:v>
                </c:pt>
                <c:pt idx="3">
                  <c:v>0.45</c:v>
                </c:pt>
                <c:pt idx="4">
                  <c:v>0.45</c:v>
                </c:pt>
                <c:pt idx="5">
                  <c:v>0.45</c:v>
                </c:pt>
              </c:numCache>
            </c:numRef>
          </c:yVal>
          <c:smooth val="0"/>
          <c:extLst>
            <c:ext xmlns:c16="http://schemas.microsoft.com/office/drawing/2014/chart" uri="{C3380CC4-5D6E-409C-BE32-E72D297353CC}">
              <c16:uniqueId val="{00000003-443F-499F-A66A-FE7B96A99F5E}"/>
            </c:ext>
          </c:extLst>
        </c:ser>
        <c:ser>
          <c:idx val="4"/>
          <c:order val="4"/>
          <c:tx>
            <c:strRef>
              <c:f>Sheet2!$F$2</c:f>
              <c:strCache>
                <c:ptCount val="1"/>
                <c:pt idx="0">
                  <c:v>a</c:v>
                </c:pt>
              </c:strCache>
            </c:strRef>
          </c:tx>
          <c:spPr>
            <a:ln w="28575">
              <a:noFill/>
            </a:ln>
          </c:spPr>
          <c:xVal>
            <c:strRef>
              <c:f>Sheet2!$A$3:$A$8</c:f>
              <c:strCache>
                <c:ptCount val="6"/>
                <c:pt idx="0">
                  <c:v>B1</c:v>
                </c:pt>
                <c:pt idx="1">
                  <c:v>B2</c:v>
                </c:pt>
                <c:pt idx="2">
                  <c:v>B3</c:v>
                </c:pt>
                <c:pt idx="3">
                  <c:v>B4</c:v>
                </c:pt>
                <c:pt idx="4">
                  <c:v>B5</c:v>
                </c:pt>
                <c:pt idx="5">
                  <c:v>B6</c:v>
                </c:pt>
              </c:strCache>
            </c:strRef>
          </c:xVal>
          <c:yVal>
            <c:numRef>
              <c:f>Sheet2!$F$3:$F$8</c:f>
              <c:numCache>
                <c:formatCode>General</c:formatCode>
                <c:ptCount val="6"/>
                <c:pt idx="0">
                  <c:v>0.45</c:v>
                </c:pt>
                <c:pt idx="1">
                  <c:v>0.45</c:v>
                </c:pt>
                <c:pt idx="2">
                  <c:v>0.45</c:v>
                </c:pt>
                <c:pt idx="3">
                  <c:v>0.45</c:v>
                </c:pt>
                <c:pt idx="4">
                  <c:v>0.45</c:v>
                </c:pt>
                <c:pt idx="5">
                  <c:v>0.45</c:v>
                </c:pt>
              </c:numCache>
            </c:numRef>
          </c:yVal>
          <c:smooth val="0"/>
          <c:extLst>
            <c:ext xmlns:c16="http://schemas.microsoft.com/office/drawing/2014/chart" uri="{C3380CC4-5D6E-409C-BE32-E72D297353CC}">
              <c16:uniqueId val="{00000004-443F-499F-A66A-FE7B96A99F5E}"/>
            </c:ext>
          </c:extLst>
        </c:ser>
        <c:ser>
          <c:idx val="5"/>
          <c:order val="5"/>
          <c:tx>
            <c:strRef>
              <c:f>Sheet2!$G$2</c:f>
              <c:strCache>
                <c:ptCount val="1"/>
                <c:pt idx="0">
                  <c:v>a</c:v>
                </c:pt>
              </c:strCache>
            </c:strRef>
          </c:tx>
          <c:spPr>
            <a:ln w="28575">
              <a:noFill/>
            </a:ln>
          </c:spPr>
          <c:xVal>
            <c:strRef>
              <c:f>Sheet2!$A$3:$A$8</c:f>
              <c:strCache>
                <c:ptCount val="6"/>
                <c:pt idx="0">
                  <c:v>B1</c:v>
                </c:pt>
                <c:pt idx="1">
                  <c:v>B2</c:v>
                </c:pt>
                <c:pt idx="2">
                  <c:v>B3</c:v>
                </c:pt>
                <c:pt idx="3">
                  <c:v>B4</c:v>
                </c:pt>
                <c:pt idx="4">
                  <c:v>B5</c:v>
                </c:pt>
                <c:pt idx="5">
                  <c:v>B6</c:v>
                </c:pt>
              </c:strCache>
            </c:strRef>
          </c:xVal>
          <c:yVal>
            <c:numRef>
              <c:f>Sheet2!$G$3:$G$8</c:f>
              <c:numCache>
                <c:formatCode>General</c:formatCode>
                <c:ptCount val="6"/>
                <c:pt idx="0">
                  <c:v>0.45</c:v>
                </c:pt>
                <c:pt idx="1">
                  <c:v>0.45</c:v>
                </c:pt>
                <c:pt idx="2">
                  <c:v>0.45</c:v>
                </c:pt>
                <c:pt idx="3">
                  <c:v>0.45</c:v>
                </c:pt>
                <c:pt idx="4">
                  <c:v>0.45</c:v>
                </c:pt>
                <c:pt idx="5">
                  <c:v>0.45</c:v>
                </c:pt>
              </c:numCache>
            </c:numRef>
          </c:yVal>
          <c:smooth val="0"/>
          <c:extLst>
            <c:ext xmlns:c16="http://schemas.microsoft.com/office/drawing/2014/chart" uri="{C3380CC4-5D6E-409C-BE32-E72D297353CC}">
              <c16:uniqueId val="{00000005-443F-499F-A66A-FE7B96A99F5E}"/>
            </c:ext>
          </c:extLst>
        </c:ser>
        <c:ser>
          <c:idx val="6"/>
          <c:order val="6"/>
          <c:tx>
            <c:strRef>
              <c:f>Sheet2!$H$2</c:f>
              <c:strCache>
                <c:ptCount val="1"/>
                <c:pt idx="0">
                  <c:v>a</c:v>
                </c:pt>
              </c:strCache>
            </c:strRef>
          </c:tx>
          <c:spPr>
            <a:ln w="28575">
              <a:noFill/>
            </a:ln>
          </c:spPr>
          <c:xVal>
            <c:strRef>
              <c:f>Sheet2!$A$3:$A$8</c:f>
              <c:strCache>
                <c:ptCount val="6"/>
                <c:pt idx="0">
                  <c:v>B1</c:v>
                </c:pt>
                <c:pt idx="1">
                  <c:v>B2</c:v>
                </c:pt>
                <c:pt idx="2">
                  <c:v>B3</c:v>
                </c:pt>
                <c:pt idx="3">
                  <c:v>B4</c:v>
                </c:pt>
                <c:pt idx="4">
                  <c:v>B5</c:v>
                </c:pt>
                <c:pt idx="5">
                  <c:v>B6</c:v>
                </c:pt>
              </c:strCache>
            </c:strRef>
          </c:xVal>
          <c:yVal>
            <c:numRef>
              <c:f>Sheet2!$H$3:$H$8</c:f>
              <c:numCache>
                <c:formatCode>General</c:formatCode>
                <c:ptCount val="6"/>
                <c:pt idx="0">
                  <c:v>0.45</c:v>
                </c:pt>
                <c:pt idx="1">
                  <c:v>0.45</c:v>
                </c:pt>
                <c:pt idx="2">
                  <c:v>0.45</c:v>
                </c:pt>
                <c:pt idx="3">
                  <c:v>0.45</c:v>
                </c:pt>
                <c:pt idx="4">
                  <c:v>0.45</c:v>
                </c:pt>
                <c:pt idx="5">
                  <c:v>0.45</c:v>
                </c:pt>
              </c:numCache>
            </c:numRef>
          </c:yVal>
          <c:smooth val="0"/>
          <c:extLst>
            <c:ext xmlns:c16="http://schemas.microsoft.com/office/drawing/2014/chart" uri="{C3380CC4-5D6E-409C-BE32-E72D297353CC}">
              <c16:uniqueId val="{00000006-443F-499F-A66A-FE7B96A99F5E}"/>
            </c:ext>
          </c:extLst>
        </c:ser>
        <c:ser>
          <c:idx val="7"/>
          <c:order val="7"/>
          <c:tx>
            <c:strRef>
              <c:f>Sheet2!$I$2</c:f>
              <c:strCache>
                <c:ptCount val="1"/>
                <c:pt idx="0">
                  <c:v>a</c:v>
                </c:pt>
              </c:strCache>
            </c:strRef>
          </c:tx>
          <c:spPr>
            <a:ln w="28575">
              <a:noFill/>
            </a:ln>
          </c:spPr>
          <c:xVal>
            <c:strRef>
              <c:f>Sheet2!$A$3:$A$8</c:f>
              <c:strCache>
                <c:ptCount val="6"/>
                <c:pt idx="0">
                  <c:v>B1</c:v>
                </c:pt>
                <c:pt idx="1">
                  <c:v>B2</c:v>
                </c:pt>
                <c:pt idx="2">
                  <c:v>B3</c:v>
                </c:pt>
                <c:pt idx="3">
                  <c:v>B4</c:v>
                </c:pt>
                <c:pt idx="4">
                  <c:v>B5</c:v>
                </c:pt>
                <c:pt idx="5">
                  <c:v>B6</c:v>
                </c:pt>
              </c:strCache>
            </c:strRef>
          </c:xVal>
          <c:yVal>
            <c:numRef>
              <c:f>Sheet2!$I$3:$I$8</c:f>
              <c:numCache>
                <c:formatCode>General</c:formatCode>
                <c:ptCount val="6"/>
                <c:pt idx="0">
                  <c:v>0.45</c:v>
                </c:pt>
                <c:pt idx="1">
                  <c:v>0.45</c:v>
                </c:pt>
                <c:pt idx="2">
                  <c:v>0.45</c:v>
                </c:pt>
                <c:pt idx="3">
                  <c:v>0.45</c:v>
                </c:pt>
                <c:pt idx="4">
                  <c:v>0.45</c:v>
                </c:pt>
                <c:pt idx="5">
                  <c:v>0.45</c:v>
                </c:pt>
              </c:numCache>
            </c:numRef>
          </c:yVal>
          <c:smooth val="0"/>
          <c:extLst>
            <c:ext xmlns:c16="http://schemas.microsoft.com/office/drawing/2014/chart" uri="{C3380CC4-5D6E-409C-BE32-E72D297353CC}">
              <c16:uniqueId val="{00000007-443F-499F-A66A-FE7B96A99F5E}"/>
            </c:ext>
          </c:extLst>
        </c:ser>
        <c:ser>
          <c:idx val="8"/>
          <c:order val="8"/>
          <c:tx>
            <c:strRef>
              <c:f>Sheet2!$J$2</c:f>
              <c:strCache>
                <c:ptCount val="1"/>
                <c:pt idx="0">
                  <c:v>a</c:v>
                </c:pt>
              </c:strCache>
            </c:strRef>
          </c:tx>
          <c:spPr>
            <a:ln w="28575">
              <a:noFill/>
            </a:ln>
          </c:spPr>
          <c:xVal>
            <c:strRef>
              <c:f>Sheet2!$A$3:$A$8</c:f>
              <c:strCache>
                <c:ptCount val="6"/>
                <c:pt idx="0">
                  <c:v>B1</c:v>
                </c:pt>
                <c:pt idx="1">
                  <c:v>B2</c:v>
                </c:pt>
                <c:pt idx="2">
                  <c:v>B3</c:v>
                </c:pt>
                <c:pt idx="3">
                  <c:v>B4</c:v>
                </c:pt>
                <c:pt idx="4">
                  <c:v>B5</c:v>
                </c:pt>
                <c:pt idx="5">
                  <c:v>B6</c:v>
                </c:pt>
              </c:strCache>
            </c:strRef>
          </c:xVal>
          <c:yVal>
            <c:numRef>
              <c:f>Sheet2!$J$3:$J$8</c:f>
              <c:numCache>
                <c:formatCode>General</c:formatCode>
                <c:ptCount val="6"/>
                <c:pt idx="0">
                  <c:v>0.45</c:v>
                </c:pt>
                <c:pt idx="1">
                  <c:v>0.45</c:v>
                </c:pt>
                <c:pt idx="2">
                  <c:v>0.45</c:v>
                </c:pt>
                <c:pt idx="3">
                  <c:v>0.45</c:v>
                </c:pt>
                <c:pt idx="4">
                  <c:v>0.45</c:v>
                </c:pt>
                <c:pt idx="5">
                  <c:v>0.45</c:v>
                </c:pt>
              </c:numCache>
            </c:numRef>
          </c:yVal>
          <c:smooth val="0"/>
          <c:extLst>
            <c:ext xmlns:c16="http://schemas.microsoft.com/office/drawing/2014/chart" uri="{C3380CC4-5D6E-409C-BE32-E72D297353CC}">
              <c16:uniqueId val="{00000008-443F-499F-A66A-FE7B96A99F5E}"/>
            </c:ext>
          </c:extLst>
        </c:ser>
        <c:ser>
          <c:idx val="9"/>
          <c:order val="9"/>
          <c:tx>
            <c:strRef>
              <c:f>Sheet2!$K$2</c:f>
              <c:strCache>
                <c:ptCount val="1"/>
                <c:pt idx="0">
                  <c:v>a</c:v>
                </c:pt>
              </c:strCache>
            </c:strRef>
          </c:tx>
          <c:spPr>
            <a:ln w="28575">
              <a:noFill/>
            </a:ln>
          </c:spPr>
          <c:xVal>
            <c:strRef>
              <c:f>Sheet2!$A$3:$A$8</c:f>
              <c:strCache>
                <c:ptCount val="6"/>
                <c:pt idx="0">
                  <c:v>B1</c:v>
                </c:pt>
                <c:pt idx="1">
                  <c:v>B2</c:v>
                </c:pt>
                <c:pt idx="2">
                  <c:v>B3</c:v>
                </c:pt>
                <c:pt idx="3">
                  <c:v>B4</c:v>
                </c:pt>
                <c:pt idx="4">
                  <c:v>B5</c:v>
                </c:pt>
                <c:pt idx="5">
                  <c:v>B6</c:v>
                </c:pt>
              </c:strCache>
            </c:strRef>
          </c:xVal>
          <c:yVal>
            <c:numRef>
              <c:f>Sheet2!$K$3:$K$8</c:f>
              <c:numCache>
                <c:formatCode>General</c:formatCode>
                <c:ptCount val="6"/>
                <c:pt idx="0">
                  <c:v>0.45</c:v>
                </c:pt>
                <c:pt idx="1">
                  <c:v>0.45</c:v>
                </c:pt>
                <c:pt idx="2">
                  <c:v>0.45</c:v>
                </c:pt>
                <c:pt idx="4">
                  <c:v>0.45</c:v>
                </c:pt>
                <c:pt idx="5">
                  <c:v>0.45</c:v>
                </c:pt>
              </c:numCache>
            </c:numRef>
          </c:yVal>
          <c:smooth val="0"/>
          <c:extLst>
            <c:ext xmlns:c16="http://schemas.microsoft.com/office/drawing/2014/chart" uri="{C3380CC4-5D6E-409C-BE32-E72D297353CC}">
              <c16:uniqueId val="{00000009-443F-499F-A66A-FE7B96A99F5E}"/>
            </c:ext>
          </c:extLst>
        </c:ser>
        <c:ser>
          <c:idx val="10"/>
          <c:order val="10"/>
          <c:tx>
            <c:strRef>
              <c:f>Sheet2!$L$2</c:f>
              <c:strCache>
                <c:ptCount val="1"/>
                <c:pt idx="0">
                  <c:v>a</c:v>
                </c:pt>
              </c:strCache>
            </c:strRef>
          </c:tx>
          <c:spPr>
            <a:ln w="28575">
              <a:noFill/>
            </a:ln>
          </c:spPr>
          <c:xVal>
            <c:strRef>
              <c:f>Sheet2!$A$3:$A$8</c:f>
              <c:strCache>
                <c:ptCount val="6"/>
                <c:pt idx="0">
                  <c:v>B1</c:v>
                </c:pt>
                <c:pt idx="1">
                  <c:v>B2</c:v>
                </c:pt>
                <c:pt idx="2">
                  <c:v>B3</c:v>
                </c:pt>
                <c:pt idx="3">
                  <c:v>B4</c:v>
                </c:pt>
                <c:pt idx="4">
                  <c:v>B5</c:v>
                </c:pt>
                <c:pt idx="5">
                  <c:v>B6</c:v>
                </c:pt>
              </c:strCache>
            </c:strRef>
          </c:xVal>
          <c:yVal>
            <c:numRef>
              <c:f>Sheet2!$L$3:$L$8</c:f>
              <c:numCache>
                <c:formatCode>General</c:formatCode>
                <c:ptCount val="6"/>
                <c:pt idx="1">
                  <c:v>0.45</c:v>
                </c:pt>
                <c:pt idx="2">
                  <c:v>0.45</c:v>
                </c:pt>
                <c:pt idx="3">
                  <c:v>0.45</c:v>
                </c:pt>
                <c:pt idx="5">
                  <c:v>0.45</c:v>
                </c:pt>
              </c:numCache>
            </c:numRef>
          </c:yVal>
          <c:smooth val="0"/>
          <c:extLst>
            <c:ext xmlns:c16="http://schemas.microsoft.com/office/drawing/2014/chart" uri="{C3380CC4-5D6E-409C-BE32-E72D297353CC}">
              <c16:uniqueId val="{0000000A-443F-499F-A66A-FE7B96A99F5E}"/>
            </c:ext>
          </c:extLst>
        </c:ser>
        <c:ser>
          <c:idx val="11"/>
          <c:order val="11"/>
          <c:tx>
            <c:strRef>
              <c:f>Sheet2!$M$2</c:f>
              <c:strCache>
                <c:ptCount val="1"/>
                <c:pt idx="0">
                  <c:v>c</c:v>
                </c:pt>
              </c:strCache>
            </c:strRef>
          </c:tx>
          <c:spPr>
            <a:ln w="28575">
              <a:noFill/>
            </a:ln>
          </c:spPr>
          <c:xVal>
            <c:strRef>
              <c:f>Sheet2!$A$3:$A$8</c:f>
              <c:strCache>
                <c:ptCount val="6"/>
                <c:pt idx="0">
                  <c:v>B1</c:v>
                </c:pt>
                <c:pt idx="1">
                  <c:v>B2</c:v>
                </c:pt>
                <c:pt idx="2">
                  <c:v>B3</c:v>
                </c:pt>
                <c:pt idx="3">
                  <c:v>B4</c:v>
                </c:pt>
                <c:pt idx="4">
                  <c:v>B5</c:v>
                </c:pt>
                <c:pt idx="5">
                  <c:v>B6</c:v>
                </c:pt>
              </c:strCache>
            </c:strRef>
          </c:xVal>
          <c:yVal>
            <c:numRef>
              <c:f>Sheet2!$M$3:$M$8</c:f>
              <c:numCache>
                <c:formatCode>General</c:formatCode>
                <c:ptCount val="6"/>
                <c:pt idx="1">
                  <c:v>0.45</c:v>
                </c:pt>
                <c:pt idx="2">
                  <c:v>0.45</c:v>
                </c:pt>
                <c:pt idx="3">
                  <c:v>0.45</c:v>
                </c:pt>
                <c:pt idx="5">
                  <c:v>0.45</c:v>
                </c:pt>
              </c:numCache>
            </c:numRef>
          </c:yVal>
          <c:smooth val="0"/>
          <c:extLst>
            <c:ext xmlns:c16="http://schemas.microsoft.com/office/drawing/2014/chart" uri="{C3380CC4-5D6E-409C-BE32-E72D297353CC}">
              <c16:uniqueId val="{0000000B-443F-499F-A66A-FE7B96A99F5E}"/>
            </c:ext>
          </c:extLst>
        </c:ser>
        <c:dLbls>
          <c:showLegendKey val="0"/>
          <c:showVal val="0"/>
          <c:showCatName val="0"/>
          <c:showSerName val="0"/>
          <c:showPercent val="0"/>
          <c:showBubbleSize val="0"/>
        </c:dLbls>
        <c:axId val="474229048"/>
        <c:axId val="474226304"/>
      </c:scatterChart>
      <c:lineChart>
        <c:grouping val="standard"/>
        <c:varyColors val="0"/>
        <c:ser>
          <c:idx val="12"/>
          <c:order val="12"/>
          <c:tx>
            <c:strRef>
              <c:f>Sheet2!$N$2</c:f>
              <c:strCache>
                <c:ptCount val="1"/>
                <c:pt idx="0">
                  <c:v>ML</c:v>
                </c:pt>
              </c:strCache>
            </c:strRef>
          </c:tx>
          <c:spPr>
            <a:ln>
              <a:solidFill>
                <a:srgbClr val="FF0000"/>
              </a:solidFill>
            </a:ln>
          </c:spPr>
          <c:marker>
            <c:symbol val="none"/>
          </c:marker>
          <c:cat>
            <c:strRef>
              <c:f>Sheet2!$A$3:$A$8</c:f>
              <c:strCache>
                <c:ptCount val="6"/>
                <c:pt idx="0">
                  <c:v>B1</c:v>
                </c:pt>
                <c:pt idx="1">
                  <c:v>B2</c:v>
                </c:pt>
                <c:pt idx="2">
                  <c:v>B3</c:v>
                </c:pt>
                <c:pt idx="3">
                  <c:v>B4</c:v>
                </c:pt>
                <c:pt idx="4">
                  <c:v>B5</c:v>
                </c:pt>
                <c:pt idx="5">
                  <c:v>B6</c:v>
                </c:pt>
              </c:strCache>
            </c:strRef>
          </c:cat>
          <c:val>
            <c:numRef>
              <c:f>Sheet2!$N$3:$N$8</c:f>
              <c:numCache>
                <c:formatCode>General</c:formatCode>
                <c:ptCount val="6"/>
                <c:pt idx="0">
                  <c:v>5</c:v>
                </c:pt>
                <c:pt idx="1">
                  <c:v>5</c:v>
                </c:pt>
                <c:pt idx="2">
                  <c:v>5</c:v>
                </c:pt>
                <c:pt idx="3">
                  <c:v>5</c:v>
                </c:pt>
                <c:pt idx="4">
                  <c:v>5</c:v>
                </c:pt>
                <c:pt idx="5">
                  <c:v>5</c:v>
                </c:pt>
              </c:numCache>
            </c:numRef>
          </c:val>
          <c:smooth val="0"/>
          <c:extLst>
            <c:ext xmlns:c16="http://schemas.microsoft.com/office/drawing/2014/chart" uri="{C3380CC4-5D6E-409C-BE32-E72D297353CC}">
              <c16:uniqueId val="{0000000C-443F-499F-A66A-FE7B96A99F5E}"/>
            </c:ext>
          </c:extLst>
        </c:ser>
        <c:dLbls>
          <c:showLegendKey val="0"/>
          <c:showVal val="0"/>
          <c:showCatName val="0"/>
          <c:showSerName val="0"/>
          <c:showPercent val="0"/>
          <c:showBubbleSize val="0"/>
        </c:dLbls>
        <c:marker val="1"/>
        <c:smooth val="0"/>
        <c:axId val="474229048"/>
        <c:axId val="474226304"/>
      </c:lineChart>
      <c:catAx>
        <c:axId val="474229048"/>
        <c:scaling>
          <c:orientation val="minMax"/>
        </c:scaling>
        <c:delete val="0"/>
        <c:axPos val="b"/>
        <c:title>
          <c:tx>
            <c:rich>
              <a:bodyPr/>
              <a:lstStyle/>
              <a:p>
                <a:pPr>
                  <a:defRPr/>
                </a:pPr>
                <a:r>
                  <a:rPr lang="en-US" b="0"/>
                  <a:t>Location</a:t>
                </a:r>
              </a:p>
            </c:rich>
          </c:tx>
          <c:overlay val="0"/>
        </c:title>
        <c:majorTickMark val="none"/>
        <c:minorTickMark val="none"/>
        <c:tickLblPos val="nextTo"/>
        <c:crossAx val="474226304"/>
        <c:crosses val="autoZero"/>
        <c:auto val="1"/>
        <c:lblAlgn val="ctr"/>
        <c:lblOffset val="100"/>
        <c:noMultiLvlLbl val="0"/>
      </c:catAx>
      <c:valAx>
        <c:axId val="474226304"/>
        <c:scaling>
          <c:orientation val="minMax"/>
        </c:scaling>
        <c:delete val="0"/>
        <c:axPos val="l"/>
        <c:majorGridlines/>
        <c:title>
          <c:tx>
            <c:rich>
              <a:bodyPr/>
              <a:lstStyle/>
              <a:p>
                <a:pPr>
                  <a:defRPr/>
                </a:pPr>
                <a:r>
                  <a:rPr lang="en-US" sz="1000" b="0" i="0" u="none" strike="noStrike" baseline="0"/>
                  <a:t>Benzo(a)pyrene,  </a:t>
                </a:r>
                <a:r>
                  <a:rPr lang="en-US" sz="1000" b="0" i="1" u="none" strike="noStrike" baseline="0"/>
                  <a:t>µg/kg w.w. </a:t>
                </a:r>
                <a:endParaRPr lang="en-US" b="0" i="1"/>
              </a:p>
            </c:rich>
          </c:tx>
          <c:overlay val="0"/>
        </c:title>
        <c:numFmt formatCode="General" sourceLinked="1"/>
        <c:majorTickMark val="none"/>
        <c:minorTickMark val="none"/>
        <c:tickLblPos val="nextTo"/>
        <c:crossAx val="474229048"/>
        <c:crosses val="autoZero"/>
        <c:crossBetween val="between"/>
      </c:valAx>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ayout>
        <c:manualLayout>
          <c:xMode val="edge"/>
          <c:yMode val="edge"/>
          <c:x val="0.73003343547573796"/>
          <c:y val="9.4733510070035221E-2"/>
          <c:w val="0.250383770994143"/>
          <c:h val="0.33695036864110578"/>
        </c:manualLayout>
      </c:layout>
      <c:overlay val="0"/>
    </c:legend>
    <c:plotVisOnly val="1"/>
    <c:dispBlanksAs val="gap"/>
    <c:showDLblsOverMax val="0"/>
  </c:chart>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Sheet2!$B$13</c:f>
              <c:strCache>
                <c:ptCount val="1"/>
                <c:pt idx="0">
                  <c:v>a</c:v>
                </c:pt>
              </c:strCache>
            </c:strRef>
          </c:tx>
          <c:spPr>
            <a:ln w="28575">
              <a:noFill/>
            </a:ln>
          </c:spPr>
          <c:xVal>
            <c:strRef>
              <c:f>Sheet2!$A$14:$A$19</c:f>
              <c:strCache>
                <c:ptCount val="6"/>
                <c:pt idx="0">
                  <c:v>B1</c:v>
                </c:pt>
                <c:pt idx="1">
                  <c:v>B2</c:v>
                </c:pt>
                <c:pt idx="2">
                  <c:v>B3</c:v>
                </c:pt>
                <c:pt idx="3">
                  <c:v>B4</c:v>
                </c:pt>
                <c:pt idx="4">
                  <c:v>B5</c:v>
                </c:pt>
                <c:pt idx="5">
                  <c:v>B6</c:v>
                </c:pt>
              </c:strCache>
            </c:strRef>
          </c:xVal>
          <c:yVal>
            <c:numRef>
              <c:f>Sheet2!$B$14:$B$19</c:f>
              <c:numCache>
                <c:formatCode>General</c:formatCode>
                <c:ptCount val="6"/>
                <c:pt idx="0">
                  <c:v>1.8</c:v>
                </c:pt>
                <c:pt idx="1">
                  <c:v>1.2</c:v>
                </c:pt>
                <c:pt idx="2">
                  <c:v>1.2</c:v>
                </c:pt>
                <c:pt idx="3">
                  <c:v>4.3</c:v>
                </c:pt>
                <c:pt idx="4">
                  <c:v>5</c:v>
                </c:pt>
                <c:pt idx="5">
                  <c:v>7.9</c:v>
                </c:pt>
              </c:numCache>
            </c:numRef>
          </c:yVal>
          <c:smooth val="0"/>
          <c:extLst>
            <c:ext xmlns:c16="http://schemas.microsoft.com/office/drawing/2014/chart" uri="{C3380CC4-5D6E-409C-BE32-E72D297353CC}">
              <c16:uniqueId val="{00000000-36C3-41E6-A27B-5579ED93ED13}"/>
            </c:ext>
          </c:extLst>
        </c:ser>
        <c:ser>
          <c:idx val="1"/>
          <c:order val="1"/>
          <c:tx>
            <c:strRef>
              <c:f>Sheet2!$C$13</c:f>
              <c:strCache>
                <c:ptCount val="1"/>
                <c:pt idx="0">
                  <c:v>b</c:v>
                </c:pt>
              </c:strCache>
            </c:strRef>
          </c:tx>
          <c:spPr>
            <a:ln w="28575">
              <a:noFill/>
            </a:ln>
          </c:spPr>
          <c:xVal>
            <c:strRef>
              <c:f>Sheet2!$A$14:$A$19</c:f>
              <c:strCache>
                <c:ptCount val="6"/>
                <c:pt idx="0">
                  <c:v>B1</c:v>
                </c:pt>
                <c:pt idx="1">
                  <c:v>B2</c:v>
                </c:pt>
                <c:pt idx="2">
                  <c:v>B3</c:v>
                </c:pt>
                <c:pt idx="3">
                  <c:v>B4</c:v>
                </c:pt>
                <c:pt idx="4">
                  <c:v>B5</c:v>
                </c:pt>
                <c:pt idx="5">
                  <c:v>B6</c:v>
                </c:pt>
              </c:strCache>
            </c:strRef>
          </c:xVal>
          <c:yVal>
            <c:numRef>
              <c:f>Sheet2!$C$14:$C$19</c:f>
              <c:numCache>
                <c:formatCode>General</c:formatCode>
                <c:ptCount val="6"/>
                <c:pt idx="0">
                  <c:v>0.45</c:v>
                </c:pt>
                <c:pt idx="1">
                  <c:v>0.45</c:v>
                </c:pt>
                <c:pt idx="2">
                  <c:v>0.45</c:v>
                </c:pt>
                <c:pt idx="3">
                  <c:v>0.45</c:v>
                </c:pt>
                <c:pt idx="4">
                  <c:v>0.45</c:v>
                </c:pt>
                <c:pt idx="5">
                  <c:v>0.45</c:v>
                </c:pt>
              </c:numCache>
            </c:numRef>
          </c:yVal>
          <c:smooth val="0"/>
          <c:extLst>
            <c:ext xmlns:c16="http://schemas.microsoft.com/office/drawing/2014/chart" uri="{C3380CC4-5D6E-409C-BE32-E72D297353CC}">
              <c16:uniqueId val="{00000001-36C3-41E6-A27B-5579ED93ED13}"/>
            </c:ext>
          </c:extLst>
        </c:ser>
        <c:ser>
          <c:idx val="2"/>
          <c:order val="2"/>
          <c:tx>
            <c:strRef>
              <c:f>Sheet2!$D$13</c:f>
              <c:strCache>
                <c:ptCount val="1"/>
              </c:strCache>
            </c:strRef>
          </c:tx>
          <c:spPr>
            <a:ln w="28575">
              <a:noFill/>
            </a:ln>
          </c:spPr>
          <c:xVal>
            <c:strRef>
              <c:f>Sheet2!$A$14:$A$19</c:f>
              <c:strCache>
                <c:ptCount val="6"/>
                <c:pt idx="0">
                  <c:v>B1</c:v>
                </c:pt>
                <c:pt idx="1">
                  <c:v>B2</c:v>
                </c:pt>
                <c:pt idx="2">
                  <c:v>B3</c:v>
                </c:pt>
                <c:pt idx="3">
                  <c:v>B4</c:v>
                </c:pt>
                <c:pt idx="4">
                  <c:v>B5</c:v>
                </c:pt>
                <c:pt idx="5">
                  <c:v>B6</c:v>
                </c:pt>
              </c:strCache>
            </c:strRef>
          </c:xVal>
          <c:yVal>
            <c:numRef>
              <c:f>Sheet2!$D$14:$D$19</c:f>
              <c:numCache>
                <c:formatCode>General</c:formatCode>
                <c:ptCount val="6"/>
                <c:pt idx="0">
                  <c:v>0.45</c:v>
                </c:pt>
                <c:pt idx="1">
                  <c:v>0.45</c:v>
                </c:pt>
                <c:pt idx="2">
                  <c:v>1.5</c:v>
                </c:pt>
                <c:pt idx="3">
                  <c:v>1.2</c:v>
                </c:pt>
                <c:pt idx="4">
                  <c:v>3</c:v>
                </c:pt>
                <c:pt idx="5">
                  <c:v>4.9000000000000004</c:v>
                </c:pt>
              </c:numCache>
            </c:numRef>
          </c:yVal>
          <c:smooth val="0"/>
          <c:extLst>
            <c:ext xmlns:c16="http://schemas.microsoft.com/office/drawing/2014/chart" uri="{C3380CC4-5D6E-409C-BE32-E72D297353CC}">
              <c16:uniqueId val="{00000002-36C3-41E6-A27B-5579ED93ED13}"/>
            </c:ext>
          </c:extLst>
        </c:ser>
        <c:ser>
          <c:idx val="3"/>
          <c:order val="3"/>
          <c:tx>
            <c:strRef>
              <c:f>Sheet2!$E$13</c:f>
              <c:strCache>
                <c:ptCount val="1"/>
              </c:strCache>
            </c:strRef>
          </c:tx>
          <c:spPr>
            <a:ln w="28575">
              <a:noFill/>
            </a:ln>
          </c:spPr>
          <c:xVal>
            <c:strRef>
              <c:f>Sheet2!$A$14:$A$19</c:f>
              <c:strCache>
                <c:ptCount val="6"/>
                <c:pt idx="0">
                  <c:v>B1</c:v>
                </c:pt>
                <c:pt idx="1">
                  <c:v>B2</c:v>
                </c:pt>
                <c:pt idx="2">
                  <c:v>B3</c:v>
                </c:pt>
                <c:pt idx="3">
                  <c:v>B4</c:v>
                </c:pt>
                <c:pt idx="4">
                  <c:v>B5</c:v>
                </c:pt>
                <c:pt idx="5">
                  <c:v>B6</c:v>
                </c:pt>
              </c:strCache>
            </c:strRef>
          </c:xVal>
          <c:yVal>
            <c:numRef>
              <c:f>Sheet2!$E$14:$E$19</c:f>
              <c:numCache>
                <c:formatCode>General</c:formatCode>
                <c:ptCount val="6"/>
                <c:pt idx="0">
                  <c:v>0.45</c:v>
                </c:pt>
                <c:pt idx="1">
                  <c:v>0.45</c:v>
                </c:pt>
                <c:pt idx="2">
                  <c:v>0.45</c:v>
                </c:pt>
                <c:pt idx="3">
                  <c:v>0.45</c:v>
                </c:pt>
                <c:pt idx="4">
                  <c:v>0.45</c:v>
                </c:pt>
                <c:pt idx="5">
                  <c:v>0.45</c:v>
                </c:pt>
              </c:numCache>
            </c:numRef>
          </c:yVal>
          <c:smooth val="0"/>
          <c:extLst>
            <c:ext xmlns:c16="http://schemas.microsoft.com/office/drawing/2014/chart" uri="{C3380CC4-5D6E-409C-BE32-E72D297353CC}">
              <c16:uniqueId val="{00000003-36C3-41E6-A27B-5579ED93ED13}"/>
            </c:ext>
          </c:extLst>
        </c:ser>
        <c:ser>
          <c:idx val="4"/>
          <c:order val="4"/>
          <c:tx>
            <c:strRef>
              <c:f>Sheet2!$F$13</c:f>
              <c:strCache>
                <c:ptCount val="1"/>
              </c:strCache>
            </c:strRef>
          </c:tx>
          <c:spPr>
            <a:ln w="28575">
              <a:noFill/>
            </a:ln>
          </c:spPr>
          <c:xVal>
            <c:strRef>
              <c:f>Sheet2!$A$14:$A$19</c:f>
              <c:strCache>
                <c:ptCount val="6"/>
                <c:pt idx="0">
                  <c:v>B1</c:v>
                </c:pt>
                <c:pt idx="1">
                  <c:v>B2</c:v>
                </c:pt>
                <c:pt idx="2">
                  <c:v>B3</c:v>
                </c:pt>
                <c:pt idx="3">
                  <c:v>B4</c:v>
                </c:pt>
                <c:pt idx="4">
                  <c:v>B5</c:v>
                </c:pt>
                <c:pt idx="5">
                  <c:v>B6</c:v>
                </c:pt>
              </c:strCache>
            </c:strRef>
          </c:xVal>
          <c:yVal>
            <c:numRef>
              <c:f>Sheet2!$F$14:$F$19</c:f>
              <c:numCache>
                <c:formatCode>General</c:formatCode>
                <c:ptCount val="6"/>
                <c:pt idx="0">
                  <c:v>0.45</c:v>
                </c:pt>
                <c:pt idx="1">
                  <c:v>0.45</c:v>
                </c:pt>
                <c:pt idx="2">
                  <c:v>0.45</c:v>
                </c:pt>
                <c:pt idx="3">
                  <c:v>0.45</c:v>
                </c:pt>
                <c:pt idx="4">
                  <c:v>0.45</c:v>
                </c:pt>
                <c:pt idx="5">
                  <c:v>0.45</c:v>
                </c:pt>
              </c:numCache>
            </c:numRef>
          </c:yVal>
          <c:smooth val="0"/>
          <c:extLst>
            <c:ext xmlns:c16="http://schemas.microsoft.com/office/drawing/2014/chart" uri="{C3380CC4-5D6E-409C-BE32-E72D297353CC}">
              <c16:uniqueId val="{00000004-36C3-41E6-A27B-5579ED93ED13}"/>
            </c:ext>
          </c:extLst>
        </c:ser>
        <c:ser>
          <c:idx val="5"/>
          <c:order val="5"/>
          <c:tx>
            <c:strRef>
              <c:f>Sheet2!$G$13</c:f>
              <c:strCache>
                <c:ptCount val="1"/>
              </c:strCache>
            </c:strRef>
          </c:tx>
          <c:spPr>
            <a:ln w="28575">
              <a:noFill/>
            </a:ln>
          </c:spPr>
          <c:xVal>
            <c:strRef>
              <c:f>Sheet2!$A$14:$A$19</c:f>
              <c:strCache>
                <c:ptCount val="6"/>
                <c:pt idx="0">
                  <c:v>B1</c:v>
                </c:pt>
                <c:pt idx="1">
                  <c:v>B2</c:v>
                </c:pt>
                <c:pt idx="2">
                  <c:v>B3</c:v>
                </c:pt>
                <c:pt idx="3">
                  <c:v>B4</c:v>
                </c:pt>
                <c:pt idx="4">
                  <c:v>B5</c:v>
                </c:pt>
                <c:pt idx="5">
                  <c:v>B6</c:v>
                </c:pt>
              </c:strCache>
            </c:strRef>
          </c:xVal>
          <c:yVal>
            <c:numRef>
              <c:f>Sheet2!$G$14:$G$19</c:f>
              <c:numCache>
                <c:formatCode>General</c:formatCode>
                <c:ptCount val="6"/>
                <c:pt idx="0">
                  <c:v>0.45</c:v>
                </c:pt>
                <c:pt idx="1">
                  <c:v>0.45</c:v>
                </c:pt>
                <c:pt idx="2">
                  <c:v>0.45</c:v>
                </c:pt>
                <c:pt idx="3">
                  <c:v>0.45</c:v>
                </c:pt>
                <c:pt idx="4">
                  <c:v>0.45</c:v>
                </c:pt>
                <c:pt idx="5">
                  <c:v>0.45</c:v>
                </c:pt>
              </c:numCache>
            </c:numRef>
          </c:yVal>
          <c:smooth val="0"/>
          <c:extLst>
            <c:ext xmlns:c16="http://schemas.microsoft.com/office/drawing/2014/chart" uri="{C3380CC4-5D6E-409C-BE32-E72D297353CC}">
              <c16:uniqueId val="{00000005-36C3-41E6-A27B-5579ED93ED13}"/>
            </c:ext>
          </c:extLst>
        </c:ser>
        <c:ser>
          <c:idx val="6"/>
          <c:order val="6"/>
          <c:tx>
            <c:strRef>
              <c:f>Sheet2!$H$13</c:f>
              <c:strCache>
                <c:ptCount val="1"/>
              </c:strCache>
            </c:strRef>
          </c:tx>
          <c:spPr>
            <a:ln w="28575">
              <a:noFill/>
            </a:ln>
          </c:spPr>
          <c:xVal>
            <c:strRef>
              <c:f>Sheet2!$A$14:$A$19</c:f>
              <c:strCache>
                <c:ptCount val="6"/>
                <c:pt idx="0">
                  <c:v>B1</c:v>
                </c:pt>
                <c:pt idx="1">
                  <c:v>B2</c:v>
                </c:pt>
                <c:pt idx="2">
                  <c:v>B3</c:v>
                </c:pt>
                <c:pt idx="3">
                  <c:v>B4</c:v>
                </c:pt>
                <c:pt idx="4">
                  <c:v>B5</c:v>
                </c:pt>
                <c:pt idx="5">
                  <c:v>B6</c:v>
                </c:pt>
              </c:strCache>
            </c:strRef>
          </c:xVal>
          <c:yVal>
            <c:numRef>
              <c:f>Sheet2!$H$14:$H$19</c:f>
              <c:numCache>
                <c:formatCode>General</c:formatCode>
                <c:ptCount val="6"/>
                <c:pt idx="0">
                  <c:v>0.45</c:v>
                </c:pt>
                <c:pt idx="1">
                  <c:v>0.45</c:v>
                </c:pt>
                <c:pt idx="2">
                  <c:v>0.45</c:v>
                </c:pt>
                <c:pt idx="3">
                  <c:v>0.45</c:v>
                </c:pt>
                <c:pt idx="4">
                  <c:v>0.45</c:v>
                </c:pt>
                <c:pt idx="5">
                  <c:v>0.45</c:v>
                </c:pt>
              </c:numCache>
            </c:numRef>
          </c:yVal>
          <c:smooth val="0"/>
          <c:extLst>
            <c:ext xmlns:c16="http://schemas.microsoft.com/office/drawing/2014/chart" uri="{C3380CC4-5D6E-409C-BE32-E72D297353CC}">
              <c16:uniqueId val="{00000006-36C3-41E6-A27B-5579ED93ED13}"/>
            </c:ext>
          </c:extLst>
        </c:ser>
        <c:ser>
          <c:idx val="7"/>
          <c:order val="7"/>
          <c:tx>
            <c:strRef>
              <c:f>Sheet2!$I$13</c:f>
              <c:strCache>
                <c:ptCount val="1"/>
              </c:strCache>
            </c:strRef>
          </c:tx>
          <c:spPr>
            <a:ln w="28575">
              <a:noFill/>
            </a:ln>
          </c:spPr>
          <c:xVal>
            <c:strRef>
              <c:f>Sheet2!$A$14:$A$19</c:f>
              <c:strCache>
                <c:ptCount val="6"/>
                <c:pt idx="0">
                  <c:v>B1</c:v>
                </c:pt>
                <c:pt idx="1">
                  <c:v>B2</c:v>
                </c:pt>
                <c:pt idx="2">
                  <c:v>B3</c:v>
                </c:pt>
                <c:pt idx="3">
                  <c:v>B4</c:v>
                </c:pt>
                <c:pt idx="4">
                  <c:v>B5</c:v>
                </c:pt>
                <c:pt idx="5">
                  <c:v>B6</c:v>
                </c:pt>
              </c:strCache>
            </c:strRef>
          </c:xVal>
          <c:yVal>
            <c:numRef>
              <c:f>Sheet2!$I$14:$I$19</c:f>
              <c:numCache>
                <c:formatCode>General</c:formatCode>
                <c:ptCount val="6"/>
                <c:pt idx="0">
                  <c:v>0.45</c:v>
                </c:pt>
                <c:pt idx="1">
                  <c:v>1.7</c:v>
                </c:pt>
                <c:pt idx="2">
                  <c:v>1.3</c:v>
                </c:pt>
                <c:pt idx="3">
                  <c:v>2.6</c:v>
                </c:pt>
                <c:pt idx="4">
                  <c:v>0.45</c:v>
                </c:pt>
                <c:pt idx="5">
                  <c:v>3.4</c:v>
                </c:pt>
              </c:numCache>
            </c:numRef>
          </c:yVal>
          <c:smooth val="0"/>
          <c:extLst>
            <c:ext xmlns:c16="http://schemas.microsoft.com/office/drawing/2014/chart" uri="{C3380CC4-5D6E-409C-BE32-E72D297353CC}">
              <c16:uniqueId val="{00000007-36C3-41E6-A27B-5579ED93ED13}"/>
            </c:ext>
          </c:extLst>
        </c:ser>
        <c:ser>
          <c:idx val="8"/>
          <c:order val="8"/>
          <c:tx>
            <c:strRef>
              <c:f>Sheet2!$J$13</c:f>
              <c:strCache>
                <c:ptCount val="1"/>
              </c:strCache>
            </c:strRef>
          </c:tx>
          <c:spPr>
            <a:ln w="28575">
              <a:noFill/>
            </a:ln>
          </c:spPr>
          <c:xVal>
            <c:strRef>
              <c:f>Sheet2!$A$14:$A$19</c:f>
              <c:strCache>
                <c:ptCount val="6"/>
                <c:pt idx="0">
                  <c:v>B1</c:v>
                </c:pt>
                <c:pt idx="1">
                  <c:v>B2</c:v>
                </c:pt>
                <c:pt idx="2">
                  <c:v>B3</c:v>
                </c:pt>
                <c:pt idx="3">
                  <c:v>B4</c:v>
                </c:pt>
                <c:pt idx="4">
                  <c:v>B5</c:v>
                </c:pt>
                <c:pt idx="5">
                  <c:v>B6</c:v>
                </c:pt>
              </c:strCache>
            </c:strRef>
          </c:xVal>
          <c:yVal>
            <c:numRef>
              <c:f>Sheet2!$J$14:$J$19</c:f>
              <c:numCache>
                <c:formatCode>General</c:formatCode>
                <c:ptCount val="6"/>
                <c:pt idx="0">
                  <c:v>1.6</c:v>
                </c:pt>
                <c:pt idx="1">
                  <c:v>0.45</c:v>
                </c:pt>
                <c:pt idx="2">
                  <c:v>1.1000000000000001</c:v>
                </c:pt>
                <c:pt idx="3">
                  <c:v>2</c:v>
                </c:pt>
                <c:pt idx="4">
                  <c:v>2.8</c:v>
                </c:pt>
                <c:pt idx="5">
                  <c:v>1.5</c:v>
                </c:pt>
              </c:numCache>
            </c:numRef>
          </c:yVal>
          <c:smooth val="0"/>
          <c:extLst>
            <c:ext xmlns:c16="http://schemas.microsoft.com/office/drawing/2014/chart" uri="{C3380CC4-5D6E-409C-BE32-E72D297353CC}">
              <c16:uniqueId val="{00000008-36C3-41E6-A27B-5579ED93ED13}"/>
            </c:ext>
          </c:extLst>
        </c:ser>
        <c:ser>
          <c:idx val="9"/>
          <c:order val="9"/>
          <c:tx>
            <c:strRef>
              <c:f>Sheet2!$K$13</c:f>
              <c:strCache>
                <c:ptCount val="1"/>
              </c:strCache>
            </c:strRef>
          </c:tx>
          <c:spPr>
            <a:ln w="28575">
              <a:noFill/>
            </a:ln>
          </c:spPr>
          <c:xVal>
            <c:strRef>
              <c:f>Sheet2!$A$14:$A$19</c:f>
              <c:strCache>
                <c:ptCount val="6"/>
                <c:pt idx="0">
                  <c:v>B1</c:v>
                </c:pt>
                <c:pt idx="1">
                  <c:v>B2</c:v>
                </c:pt>
                <c:pt idx="2">
                  <c:v>B3</c:v>
                </c:pt>
                <c:pt idx="3">
                  <c:v>B4</c:v>
                </c:pt>
                <c:pt idx="4">
                  <c:v>B5</c:v>
                </c:pt>
                <c:pt idx="5">
                  <c:v>B6</c:v>
                </c:pt>
              </c:strCache>
            </c:strRef>
          </c:xVal>
          <c:yVal>
            <c:numRef>
              <c:f>Sheet2!$K$14:$K$19</c:f>
              <c:numCache>
                <c:formatCode>General</c:formatCode>
                <c:ptCount val="6"/>
                <c:pt idx="0">
                  <c:v>0.45</c:v>
                </c:pt>
                <c:pt idx="1">
                  <c:v>0.45</c:v>
                </c:pt>
                <c:pt idx="2">
                  <c:v>0.45</c:v>
                </c:pt>
                <c:pt idx="4">
                  <c:v>0.45</c:v>
                </c:pt>
                <c:pt idx="5">
                  <c:v>0.45</c:v>
                </c:pt>
              </c:numCache>
            </c:numRef>
          </c:yVal>
          <c:smooth val="0"/>
          <c:extLst>
            <c:ext xmlns:c16="http://schemas.microsoft.com/office/drawing/2014/chart" uri="{C3380CC4-5D6E-409C-BE32-E72D297353CC}">
              <c16:uniqueId val="{00000009-36C3-41E6-A27B-5579ED93ED13}"/>
            </c:ext>
          </c:extLst>
        </c:ser>
        <c:ser>
          <c:idx val="10"/>
          <c:order val="10"/>
          <c:tx>
            <c:strRef>
              <c:f>Sheet2!$L$13</c:f>
              <c:strCache>
                <c:ptCount val="1"/>
              </c:strCache>
            </c:strRef>
          </c:tx>
          <c:spPr>
            <a:ln w="28575">
              <a:noFill/>
            </a:ln>
          </c:spPr>
          <c:xVal>
            <c:strRef>
              <c:f>Sheet2!$A$14:$A$19</c:f>
              <c:strCache>
                <c:ptCount val="6"/>
                <c:pt idx="0">
                  <c:v>B1</c:v>
                </c:pt>
                <c:pt idx="1">
                  <c:v>B2</c:v>
                </c:pt>
                <c:pt idx="2">
                  <c:v>B3</c:v>
                </c:pt>
                <c:pt idx="3">
                  <c:v>B4</c:v>
                </c:pt>
                <c:pt idx="4">
                  <c:v>B5</c:v>
                </c:pt>
                <c:pt idx="5">
                  <c:v>B6</c:v>
                </c:pt>
              </c:strCache>
            </c:strRef>
          </c:xVal>
          <c:yVal>
            <c:numRef>
              <c:f>Sheet2!$L$14:$L$19</c:f>
              <c:numCache>
                <c:formatCode>General</c:formatCode>
                <c:ptCount val="6"/>
                <c:pt idx="1">
                  <c:v>0.45</c:v>
                </c:pt>
                <c:pt idx="2">
                  <c:v>0.45</c:v>
                </c:pt>
                <c:pt idx="3">
                  <c:v>0.45</c:v>
                </c:pt>
                <c:pt idx="5">
                  <c:v>0.45</c:v>
                </c:pt>
              </c:numCache>
            </c:numRef>
          </c:yVal>
          <c:smooth val="0"/>
          <c:extLst>
            <c:ext xmlns:c16="http://schemas.microsoft.com/office/drawing/2014/chart" uri="{C3380CC4-5D6E-409C-BE32-E72D297353CC}">
              <c16:uniqueId val="{0000000A-36C3-41E6-A27B-5579ED93ED13}"/>
            </c:ext>
          </c:extLst>
        </c:ser>
        <c:ser>
          <c:idx val="11"/>
          <c:order val="11"/>
          <c:tx>
            <c:strRef>
              <c:f>Sheet2!$M$13</c:f>
              <c:strCache>
                <c:ptCount val="1"/>
              </c:strCache>
            </c:strRef>
          </c:tx>
          <c:spPr>
            <a:ln w="28575">
              <a:noFill/>
            </a:ln>
          </c:spPr>
          <c:xVal>
            <c:strRef>
              <c:f>Sheet2!$A$14:$A$19</c:f>
              <c:strCache>
                <c:ptCount val="6"/>
                <c:pt idx="0">
                  <c:v>B1</c:v>
                </c:pt>
                <c:pt idx="1">
                  <c:v>B2</c:v>
                </c:pt>
                <c:pt idx="2">
                  <c:v>B3</c:v>
                </c:pt>
                <c:pt idx="3">
                  <c:v>B4</c:v>
                </c:pt>
                <c:pt idx="4">
                  <c:v>B5</c:v>
                </c:pt>
                <c:pt idx="5">
                  <c:v>B6</c:v>
                </c:pt>
              </c:strCache>
            </c:strRef>
          </c:xVal>
          <c:yVal>
            <c:numRef>
              <c:f>Sheet2!$M$14:$M$19</c:f>
              <c:numCache>
                <c:formatCode>General</c:formatCode>
                <c:ptCount val="6"/>
                <c:pt idx="1">
                  <c:v>0.45</c:v>
                </c:pt>
                <c:pt idx="2">
                  <c:v>0.45</c:v>
                </c:pt>
                <c:pt idx="3">
                  <c:v>0.45</c:v>
                </c:pt>
                <c:pt idx="5">
                  <c:v>0.45</c:v>
                </c:pt>
              </c:numCache>
            </c:numRef>
          </c:yVal>
          <c:smooth val="0"/>
          <c:extLst>
            <c:ext xmlns:c16="http://schemas.microsoft.com/office/drawing/2014/chart" uri="{C3380CC4-5D6E-409C-BE32-E72D297353CC}">
              <c16:uniqueId val="{0000000B-36C3-41E6-A27B-5579ED93ED13}"/>
            </c:ext>
          </c:extLst>
        </c:ser>
        <c:dLbls>
          <c:showLegendKey val="0"/>
          <c:showVal val="0"/>
          <c:showCatName val="0"/>
          <c:showSerName val="0"/>
          <c:showPercent val="0"/>
          <c:showBubbleSize val="0"/>
        </c:dLbls>
        <c:axId val="894577064"/>
        <c:axId val="894571576"/>
      </c:scatterChart>
      <c:lineChart>
        <c:grouping val="standard"/>
        <c:varyColors val="0"/>
        <c:ser>
          <c:idx val="12"/>
          <c:order val="12"/>
          <c:tx>
            <c:strRef>
              <c:f>Sheet2!$N$13</c:f>
              <c:strCache>
                <c:ptCount val="1"/>
                <c:pt idx="0">
                  <c:v>ML</c:v>
                </c:pt>
              </c:strCache>
            </c:strRef>
          </c:tx>
          <c:spPr>
            <a:ln>
              <a:solidFill>
                <a:srgbClr val="FF0000"/>
              </a:solidFill>
            </a:ln>
          </c:spPr>
          <c:marker>
            <c:symbol val="none"/>
          </c:marker>
          <c:cat>
            <c:strRef>
              <c:f>Sheet2!$A$14:$A$19</c:f>
              <c:strCache>
                <c:ptCount val="6"/>
                <c:pt idx="0">
                  <c:v>B1</c:v>
                </c:pt>
                <c:pt idx="1">
                  <c:v>B2</c:v>
                </c:pt>
                <c:pt idx="2">
                  <c:v>B3</c:v>
                </c:pt>
                <c:pt idx="3">
                  <c:v>B4</c:v>
                </c:pt>
                <c:pt idx="4">
                  <c:v>B5</c:v>
                </c:pt>
                <c:pt idx="5">
                  <c:v>B6</c:v>
                </c:pt>
              </c:strCache>
            </c:strRef>
          </c:cat>
          <c:val>
            <c:numRef>
              <c:f>Sheet2!$N$14:$N$19</c:f>
              <c:numCache>
                <c:formatCode>General</c:formatCode>
                <c:ptCount val="6"/>
                <c:pt idx="0">
                  <c:v>30</c:v>
                </c:pt>
                <c:pt idx="1">
                  <c:v>30</c:v>
                </c:pt>
                <c:pt idx="2">
                  <c:v>30</c:v>
                </c:pt>
                <c:pt idx="3">
                  <c:v>30</c:v>
                </c:pt>
                <c:pt idx="4">
                  <c:v>30</c:v>
                </c:pt>
                <c:pt idx="5">
                  <c:v>30</c:v>
                </c:pt>
              </c:numCache>
            </c:numRef>
          </c:val>
          <c:smooth val="0"/>
          <c:extLst>
            <c:ext xmlns:c16="http://schemas.microsoft.com/office/drawing/2014/chart" uri="{C3380CC4-5D6E-409C-BE32-E72D297353CC}">
              <c16:uniqueId val="{0000000C-36C3-41E6-A27B-5579ED93ED13}"/>
            </c:ext>
          </c:extLst>
        </c:ser>
        <c:dLbls>
          <c:showLegendKey val="0"/>
          <c:showVal val="0"/>
          <c:showCatName val="0"/>
          <c:showSerName val="0"/>
          <c:showPercent val="0"/>
          <c:showBubbleSize val="0"/>
        </c:dLbls>
        <c:marker val="1"/>
        <c:smooth val="0"/>
        <c:axId val="894577064"/>
        <c:axId val="894571576"/>
      </c:lineChart>
      <c:catAx>
        <c:axId val="894577064"/>
        <c:scaling>
          <c:orientation val="minMax"/>
        </c:scaling>
        <c:delete val="0"/>
        <c:axPos val="b"/>
        <c:title>
          <c:tx>
            <c:rich>
              <a:bodyPr/>
              <a:lstStyle/>
              <a:p>
                <a:pPr>
                  <a:defRPr b="0"/>
                </a:pPr>
                <a:r>
                  <a:rPr lang="en-US" b="0"/>
                  <a:t>Location</a:t>
                </a:r>
              </a:p>
            </c:rich>
          </c:tx>
          <c:overlay val="0"/>
        </c:title>
        <c:majorTickMark val="none"/>
        <c:minorTickMark val="none"/>
        <c:tickLblPos val="nextTo"/>
        <c:crossAx val="894571576"/>
        <c:crosses val="autoZero"/>
        <c:auto val="1"/>
        <c:lblAlgn val="ctr"/>
        <c:lblOffset val="100"/>
        <c:noMultiLvlLbl val="0"/>
      </c:catAx>
      <c:valAx>
        <c:axId val="894571576"/>
        <c:scaling>
          <c:orientation val="minMax"/>
        </c:scaling>
        <c:delete val="0"/>
        <c:axPos val="l"/>
        <c:majorGridlines/>
        <c:title>
          <c:tx>
            <c:rich>
              <a:bodyPr/>
              <a:lstStyle/>
              <a:p>
                <a:pPr>
                  <a:defRPr/>
                </a:pPr>
                <a:r>
                  <a:rPr lang="en-US" sz="1000" b="0" i="0" u="none" strike="noStrike" baseline="0">
                    <a:latin typeface="Georgia"/>
                  </a:rPr>
                  <a:t>Σ</a:t>
                </a:r>
                <a:r>
                  <a:rPr lang="en-US" sz="1000" b="0" i="0" u="none" strike="noStrike" baseline="0"/>
                  <a:t> B(a)P, Chr,</a:t>
                </a:r>
                <a:r>
                  <a:rPr lang="en-US" sz="1000" b="1" i="0" u="none" strike="noStrike" baseline="0"/>
                  <a:t> </a:t>
                </a:r>
                <a:r>
                  <a:rPr lang="en-US" sz="1000" b="0" i="0" u="none" strike="noStrike" baseline="0"/>
                  <a:t>B(b)F and B(a)P,</a:t>
                </a:r>
                <a:r>
                  <a:rPr lang="en-US" sz="1000" b="1" i="0" u="none" strike="noStrike" baseline="0"/>
                  <a:t> </a:t>
                </a:r>
                <a:r>
                  <a:rPr lang="en-US" sz="1000" b="0" i="1" u="none" strike="noStrike" baseline="0"/>
                  <a:t>µg/kg w.w</a:t>
                </a:r>
                <a:r>
                  <a:rPr lang="en-US" sz="1000" b="0" i="0" u="none" strike="noStrike" baseline="0"/>
                  <a:t>.</a:t>
                </a:r>
                <a:r>
                  <a:rPr lang="en-US" sz="1000" b="1" i="0" u="none" strike="noStrike" baseline="0"/>
                  <a:t> </a:t>
                </a:r>
                <a:endParaRPr lang="en-US"/>
              </a:p>
            </c:rich>
          </c:tx>
          <c:overlay val="0"/>
        </c:title>
        <c:numFmt formatCode="General" sourceLinked="1"/>
        <c:majorTickMark val="none"/>
        <c:minorTickMark val="none"/>
        <c:tickLblPos val="nextTo"/>
        <c:crossAx val="894577064"/>
        <c:crosses val="autoZero"/>
        <c:crossBetween val="between"/>
      </c:valAx>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ayout>
        <c:manualLayout>
          <c:xMode val="edge"/>
          <c:yMode val="edge"/>
          <c:x val="0.72847114678532221"/>
          <c:y val="8.4368734821218067E-2"/>
          <c:w val="0.2520844693582277"/>
          <c:h val="0.46498425196850401"/>
        </c:manualLayout>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2769240538481078"/>
          <c:y val="0.13425925925925927"/>
          <c:w val="0.68613435039370074"/>
          <c:h val="0.6523913677456985"/>
        </c:manualLayout>
      </c:layout>
      <c:barChart>
        <c:barDir val="col"/>
        <c:grouping val="stacked"/>
        <c:varyColors val="0"/>
        <c:ser>
          <c:idx val="0"/>
          <c:order val="0"/>
          <c:tx>
            <c:v>Below 95%</c:v>
          </c:tx>
          <c:spPr>
            <a:solidFill>
              <a:schemeClr val="accent1"/>
            </a:solidFill>
            <a:ln>
              <a:noFill/>
            </a:ln>
            <a:effectLst/>
          </c:spPr>
          <c:invertIfNegative val="0"/>
          <c:cat>
            <c:numRef>
              <c:f>MUT_95!$AS$1:$AW$1</c:f>
              <c:numCache>
                <c:formatCode>General</c:formatCode>
                <c:ptCount val="5"/>
                <c:pt idx="0">
                  <c:v>2014</c:v>
                </c:pt>
                <c:pt idx="1">
                  <c:v>2015</c:v>
                </c:pt>
                <c:pt idx="2">
                  <c:v>2016</c:v>
                </c:pt>
                <c:pt idx="3">
                  <c:v>2017</c:v>
                </c:pt>
                <c:pt idx="4">
                  <c:v>2018</c:v>
                </c:pt>
              </c:numCache>
            </c:numRef>
          </c:cat>
          <c:val>
            <c:numRef>
              <c:f>MUT_95!$AS$2:$AW$2</c:f>
              <c:numCache>
                <c:formatCode>General</c:formatCode>
                <c:ptCount val="5"/>
                <c:pt idx="0">
                  <c:v>19.5</c:v>
                </c:pt>
                <c:pt idx="1">
                  <c:v>19</c:v>
                </c:pt>
                <c:pt idx="2">
                  <c:v>18.5</c:v>
                </c:pt>
                <c:pt idx="3">
                  <c:v>19.5</c:v>
                </c:pt>
                <c:pt idx="4">
                  <c:v>19</c:v>
                </c:pt>
              </c:numCache>
            </c:numRef>
          </c:val>
          <c:extLst>
            <c:ext xmlns:c16="http://schemas.microsoft.com/office/drawing/2014/chart" uri="{C3380CC4-5D6E-409C-BE32-E72D297353CC}">
              <c16:uniqueId val="{00000000-732D-4B01-910B-EEF80C8BD934}"/>
            </c:ext>
          </c:extLst>
        </c:ser>
        <c:ser>
          <c:idx val="1"/>
          <c:order val="1"/>
          <c:tx>
            <c:v>Over 95%</c:v>
          </c:tx>
          <c:spPr>
            <a:solidFill>
              <a:schemeClr val="accent2"/>
            </a:solidFill>
            <a:ln>
              <a:noFill/>
            </a:ln>
            <a:effectLst/>
          </c:spPr>
          <c:invertIfNegative val="0"/>
          <c:cat>
            <c:numRef>
              <c:f>MUT_95!$AS$1:$AW$1</c:f>
              <c:numCache>
                <c:formatCode>General</c:formatCode>
                <c:ptCount val="5"/>
                <c:pt idx="0">
                  <c:v>2014</c:v>
                </c:pt>
                <c:pt idx="1">
                  <c:v>2015</c:v>
                </c:pt>
                <c:pt idx="2">
                  <c:v>2016</c:v>
                </c:pt>
                <c:pt idx="3">
                  <c:v>2017</c:v>
                </c:pt>
                <c:pt idx="4">
                  <c:v>2018</c:v>
                </c:pt>
              </c:numCache>
            </c:numRef>
          </c:cat>
          <c:val>
            <c:numRef>
              <c:f>MUT_95!$AS$4:$AW$4</c:f>
              <c:numCache>
                <c:formatCode>General</c:formatCode>
                <c:ptCount val="5"/>
                <c:pt idx="0">
                  <c:v>3.5</c:v>
                </c:pt>
                <c:pt idx="1">
                  <c:v>3.5</c:v>
                </c:pt>
                <c:pt idx="2">
                  <c:v>8</c:v>
                </c:pt>
                <c:pt idx="3">
                  <c:v>4</c:v>
                </c:pt>
                <c:pt idx="4">
                  <c:v>4.5</c:v>
                </c:pt>
              </c:numCache>
            </c:numRef>
          </c:val>
          <c:extLst>
            <c:ext xmlns:c16="http://schemas.microsoft.com/office/drawing/2014/chart" uri="{C3380CC4-5D6E-409C-BE32-E72D297353CC}">
              <c16:uniqueId val="{00000001-732D-4B01-910B-EEF80C8BD934}"/>
            </c:ext>
          </c:extLst>
        </c:ser>
        <c:dLbls>
          <c:showLegendKey val="0"/>
          <c:showVal val="0"/>
          <c:showCatName val="0"/>
          <c:showSerName val="0"/>
          <c:showPercent val="0"/>
          <c:showBubbleSize val="0"/>
        </c:dLbls>
        <c:gapWidth val="20"/>
        <c:overlap val="100"/>
        <c:axId val="480278256"/>
        <c:axId val="480278648"/>
      </c:barChart>
      <c:catAx>
        <c:axId val="48027825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278648"/>
        <c:crosses val="autoZero"/>
        <c:auto val="1"/>
        <c:lblAlgn val="ctr"/>
        <c:lblOffset val="100"/>
        <c:noMultiLvlLbl val="0"/>
      </c:catAx>
      <c:valAx>
        <c:axId val="480278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TL (</a:t>
                </a:r>
                <a:r>
                  <a:rPr lang="hr-HR" b="1"/>
                  <a:t>c</a:t>
                </a:r>
                <a:r>
                  <a:rPr lang="en-US" b="1"/>
                  <a:t>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278256"/>
        <c:crosses val="autoZero"/>
        <c:crossBetween val="between"/>
      </c:valAx>
      <c:spPr>
        <a:noFill/>
        <a:ln>
          <a:noFill/>
        </a:ln>
        <a:effectLst/>
      </c:spPr>
    </c:plotArea>
    <c:legend>
      <c:legendPos val="r"/>
      <c:layout>
        <c:manualLayout>
          <c:xMode val="edge"/>
          <c:yMode val="edge"/>
          <c:x val="0.19810094932689865"/>
          <c:y val="2.3726305045202706E-2"/>
          <c:w val="0.62548776035052067"/>
          <c:h val="9.606590842811314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errBars>
            <c:errBarType val="plus"/>
            <c:errValType val="cust"/>
            <c:noEndCap val="0"/>
            <c:plus>
              <c:numRef>
                <c:f>HKE_95!$AC$3:$AE$3</c:f>
                <c:numCache>
                  <c:formatCode>General</c:formatCode>
                  <c:ptCount val="3"/>
                  <c:pt idx="0">
                    <c:v>4.76</c:v>
                  </c:pt>
                  <c:pt idx="1">
                    <c:v>4.2699999999999996</c:v>
                  </c:pt>
                  <c:pt idx="2">
                    <c:v>4.43</c:v>
                  </c:pt>
                </c:numCache>
              </c:numRef>
            </c:plus>
            <c:minus>
              <c:numRef>
                <c:f>HKE_95!$AC$3:$AE$3</c:f>
                <c:numCache>
                  <c:formatCode>General</c:formatCode>
                  <c:ptCount val="3"/>
                  <c:pt idx="0">
                    <c:v>4.76</c:v>
                  </c:pt>
                  <c:pt idx="1">
                    <c:v>4.2699999999999996</c:v>
                  </c:pt>
                  <c:pt idx="2">
                    <c:v>4.43</c:v>
                  </c:pt>
                </c:numCache>
              </c:numRef>
            </c:minus>
            <c:spPr>
              <a:noFill/>
              <a:ln w="9525" cap="flat" cmpd="sng" algn="ctr">
                <a:solidFill>
                  <a:schemeClr val="tx1">
                    <a:lumMod val="65000"/>
                    <a:lumOff val="35000"/>
                  </a:schemeClr>
                </a:solidFill>
                <a:round/>
              </a:ln>
              <a:effectLst/>
            </c:spPr>
          </c:errBars>
          <c:cat>
            <c:numRef>
              <c:f>HKE_95!$AC$1:$AE$1</c:f>
              <c:numCache>
                <c:formatCode>General</c:formatCode>
                <c:ptCount val="3"/>
                <c:pt idx="0">
                  <c:v>2017</c:v>
                </c:pt>
                <c:pt idx="1">
                  <c:v>2018</c:v>
                </c:pt>
                <c:pt idx="2">
                  <c:v>2019</c:v>
                </c:pt>
              </c:numCache>
            </c:numRef>
          </c:cat>
          <c:val>
            <c:numRef>
              <c:f>HKE_95!$AC$2:$AE$2</c:f>
              <c:numCache>
                <c:formatCode>General</c:formatCode>
                <c:ptCount val="3"/>
                <c:pt idx="0">
                  <c:v>22.491286863270783</c:v>
                </c:pt>
                <c:pt idx="1">
                  <c:v>22.306127659574468</c:v>
                </c:pt>
                <c:pt idx="2">
                  <c:v>22.594050480769223</c:v>
                </c:pt>
              </c:numCache>
            </c:numRef>
          </c:val>
          <c:extLst>
            <c:ext xmlns:c16="http://schemas.microsoft.com/office/drawing/2014/chart" uri="{C3380CC4-5D6E-409C-BE32-E72D297353CC}">
              <c16:uniqueId val="{00000000-CCE7-4619-91B9-95EF836F828C}"/>
            </c:ext>
          </c:extLst>
        </c:ser>
        <c:dLbls>
          <c:showLegendKey val="0"/>
          <c:showVal val="0"/>
          <c:showCatName val="0"/>
          <c:showSerName val="0"/>
          <c:showPercent val="0"/>
          <c:showBubbleSize val="0"/>
        </c:dLbls>
        <c:gapWidth val="50"/>
        <c:overlap val="-27"/>
        <c:axId val="612174224"/>
        <c:axId val="127402200"/>
      </c:barChart>
      <c:catAx>
        <c:axId val="61217422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402200"/>
        <c:crosses val="autoZero"/>
        <c:auto val="1"/>
        <c:lblAlgn val="ctr"/>
        <c:lblOffset val="100"/>
        <c:noMultiLvlLbl val="0"/>
      </c:catAx>
      <c:valAx>
        <c:axId val="1274022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TL (cm)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21742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errBars>
            <c:errBarType val="plus"/>
            <c:errValType val="cust"/>
            <c:noEndCap val="0"/>
            <c:plus>
              <c:numRef>
                <c:f>HKE_95!$AV$3:$AZ$3</c:f>
                <c:numCache>
                  <c:formatCode>General</c:formatCode>
                  <c:ptCount val="5"/>
                  <c:pt idx="0">
                    <c:v>6.35</c:v>
                  </c:pt>
                  <c:pt idx="1">
                    <c:v>8.3699999999999992</c:v>
                  </c:pt>
                  <c:pt idx="2">
                    <c:v>7.85</c:v>
                  </c:pt>
                  <c:pt idx="3">
                    <c:v>5.7</c:v>
                  </c:pt>
                  <c:pt idx="4">
                    <c:v>8.2799999999999994</c:v>
                  </c:pt>
                </c:numCache>
              </c:numRef>
            </c:plus>
            <c:minus>
              <c:numRef>
                <c:f>HKE_95!$AV$3:$AZ$3</c:f>
                <c:numCache>
                  <c:formatCode>General</c:formatCode>
                  <c:ptCount val="5"/>
                  <c:pt idx="0">
                    <c:v>6.35</c:v>
                  </c:pt>
                  <c:pt idx="1">
                    <c:v>8.3699999999999992</c:v>
                  </c:pt>
                  <c:pt idx="2">
                    <c:v>7.85</c:v>
                  </c:pt>
                  <c:pt idx="3">
                    <c:v>5.7</c:v>
                  </c:pt>
                  <c:pt idx="4">
                    <c:v>8.2799999999999994</c:v>
                  </c:pt>
                </c:numCache>
              </c:numRef>
            </c:minus>
            <c:spPr>
              <a:noFill/>
              <a:ln w="9525" cap="flat" cmpd="sng" algn="ctr">
                <a:solidFill>
                  <a:schemeClr val="tx1">
                    <a:lumMod val="65000"/>
                    <a:lumOff val="35000"/>
                  </a:schemeClr>
                </a:solidFill>
                <a:round/>
              </a:ln>
              <a:effectLst/>
            </c:spPr>
          </c:errBars>
          <c:cat>
            <c:numRef>
              <c:f>HKE_95!$AV$1:$AZ$1</c:f>
              <c:numCache>
                <c:formatCode>General</c:formatCode>
                <c:ptCount val="5"/>
                <c:pt idx="0">
                  <c:v>2014</c:v>
                </c:pt>
                <c:pt idx="1">
                  <c:v>2015</c:v>
                </c:pt>
                <c:pt idx="2">
                  <c:v>2016</c:v>
                </c:pt>
                <c:pt idx="3">
                  <c:v>2017</c:v>
                </c:pt>
                <c:pt idx="4">
                  <c:v>2018</c:v>
                </c:pt>
              </c:numCache>
            </c:numRef>
          </c:cat>
          <c:val>
            <c:numRef>
              <c:f>HKE_95!$AV$2:$AZ$2</c:f>
              <c:numCache>
                <c:formatCode>General</c:formatCode>
                <c:ptCount val="5"/>
                <c:pt idx="0">
                  <c:v>17.012738853503183</c:v>
                </c:pt>
                <c:pt idx="1">
                  <c:v>17.083333333333332</c:v>
                </c:pt>
                <c:pt idx="2">
                  <c:v>17.263698630136986</c:v>
                </c:pt>
                <c:pt idx="3">
                  <c:v>17.692682926829267</c:v>
                </c:pt>
                <c:pt idx="4">
                  <c:v>18.50561797752809</c:v>
                </c:pt>
              </c:numCache>
            </c:numRef>
          </c:val>
          <c:extLst>
            <c:ext xmlns:c16="http://schemas.microsoft.com/office/drawing/2014/chart" uri="{C3380CC4-5D6E-409C-BE32-E72D297353CC}">
              <c16:uniqueId val="{00000000-1A41-42B0-AF8B-23E99917BB03}"/>
            </c:ext>
          </c:extLst>
        </c:ser>
        <c:dLbls>
          <c:showLegendKey val="0"/>
          <c:showVal val="0"/>
          <c:showCatName val="0"/>
          <c:showSerName val="0"/>
          <c:showPercent val="0"/>
          <c:showBubbleSize val="0"/>
        </c:dLbls>
        <c:gapWidth val="50"/>
        <c:overlap val="-27"/>
        <c:axId val="737356272"/>
        <c:axId val="737355880"/>
      </c:barChart>
      <c:catAx>
        <c:axId val="73735627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355880"/>
        <c:crosses val="autoZero"/>
        <c:auto val="1"/>
        <c:lblAlgn val="ctr"/>
        <c:lblOffset val="100"/>
        <c:noMultiLvlLbl val="0"/>
      </c:catAx>
      <c:valAx>
        <c:axId val="737355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TL (cm)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3562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766349206349207"/>
          <c:y val="0.12962962962962962"/>
          <c:w val="0.68617420634920645"/>
          <c:h val="0.66479950422863809"/>
        </c:manualLayout>
      </c:layout>
      <c:barChart>
        <c:barDir val="col"/>
        <c:grouping val="stacked"/>
        <c:varyColors val="0"/>
        <c:ser>
          <c:idx val="0"/>
          <c:order val="0"/>
          <c:tx>
            <c:strRef>
              <c:f>HKE_95!$X$2</c:f>
              <c:strCache>
                <c:ptCount val="1"/>
                <c:pt idx="0">
                  <c:v>Below 95%</c:v>
                </c:pt>
              </c:strCache>
            </c:strRef>
          </c:tx>
          <c:spPr>
            <a:solidFill>
              <a:schemeClr val="accent1"/>
            </a:solidFill>
            <a:ln>
              <a:noFill/>
            </a:ln>
            <a:effectLst/>
          </c:spPr>
          <c:invertIfNegative val="0"/>
          <c:cat>
            <c:numRef>
              <c:f>HKE_95!$AC$1:$AE$1</c:f>
              <c:numCache>
                <c:formatCode>General</c:formatCode>
                <c:ptCount val="3"/>
                <c:pt idx="0">
                  <c:v>2017</c:v>
                </c:pt>
                <c:pt idx="1">
                  <c:v>2018</c:v>
                </c:pt>
                <c:pt idx="2">
                  <c:v>2019</c:v>
                </c:pt>
              </c:numCache>
            </c:numRef>
          </c:cat>
          <c:val>
            <c:numRef>
              <c:f>HKE_95!$Y$2:$AA$2</c:f>
              <c:numCache>
                <c:formatCode>General</c:formatCode>
                <c:ptCount val="3"/>
                <c:pt idx="0">
                  <c:v>33.1</c:v>
                </c:pt>
                <c:pt idx="1">
                  <c:v>34</c:v>
                </c:pt>
                <c:pt idx="2">
                  <c:v>33.299999999999997</c:v>
                </c:pt>
              </c:numCache>
            </c:numRef>
          </c:val>
          <c:extLst>
            <c:ext xmlns:c16="http://schemas.microsoft.com/office/drawing/2014/chart" uri="{C3380CC4-5D6E-409C-BE32-E72D297353CC}">
              <c16:uniqueId val="{00000000-BC08-4B84-A5E2-311AF0839683}"/>
            </c:ext>
          </c:extLst>
        </c:ser>
        <c:ser>
          <c:idx val="1"/>
          <c:order val="1"/>
          <c:tx>
            <c:strRef>
              <c:f>HKE_95!$X$3</c:f>
              <c:strCache>
                <c:ptCount val="1"/>
                <c:pt idx="0">
                  <c:v>Over 95%</c:v>
                </c:pt>
              </c:strCache>
            </c:strRef>
          </c:tx>
          <c:spPr>
            <a:solidFill>
              <a:schemeClr val="accent2"/>
            </a:solidFill>
            <a:ln>
              <a:noFill/>
            </a:ln>
            <a:effectLst/>
          </c:spPr>
          <c:invertIfNegative val="0"/>
          <c:cat>
            <c:numRef>
              <c:f>HKE_95!$AC$1:$AE$1</c:f>
              <c:numCache>
                <c:formatCode>General</c:formatCode>
                <c:ptCount val="3"/>
                <c:pt idx="0">
                  <c:v>2017</c:v>
                </c:pt>
                <c:pt idx="1">
                  <c:v>2018</c:v>
                </c:pt>
                <c:pt idx="2">
                  <c:v>2019</c:v>
                </c:pt>
              </c:numCache>
            </c:numRef>
          </c:cat>
          <c:val>
            <c:numRef>
              <c:f>HKE_95!$Y$3:$AA$3</c:f>
              <c:numCache>
                <c:formatCode>General</c:formatCode>
                <c:ptCount val="3"/>
                <c:pt idx="0">
                  <c:v>15.799999999999997</c:v>
                </c:pt>
                <c:pt idx="1">
                  <c:v>36.400000000000006</c:v>
                </c:pt>
                <c:pt idx="2">
                  <c:v>26.700000000000003</c:v>
                </c:pt>
              </c:numCache>
            </c:numRef>
          </c:val>
          <c:extLst>
            <c:ext xmlns:c16="http://schemas.microsoft.com/office/drawing/2014/chart" uri="{C3380CC4-5D6E-409C-BE32-E72D297353CC}">
              <c16:uniqueId val="{00000001-BC08-4B84-A5E2-311AF0839683}"/>
            </c:ext>
          </c:extLst>
        </c:ser>
        <c:dLbls>
          <c:showLegendKey val="0"/>
          <c:showVal val="0"/>
          <c:showCatName val="0"/>
          <c:showSerName val="0"/>
          <c:showPercent val="0"/>
          <c:showBubbleSize val="0"/>
        </c:dLbls>
        <c:gapWidth val="50"/>
        <c:overlap val="100"/>
        <c:axId val="737357448"/>
        <c:axId val="737358232"/>
      </c:barChart>
      <c:catAx>
        <c:axId val="737357448"/>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358232"/>
        <c:crosses val="autoZero"/>
        <c:auto val="1"/>
        <c:lblAlgn val="ctr"/>
        <c:lblOffset val="100"/>
        <c:noMultiLvlLbl val="0"/>
      </c:catAx>
      <c:valAx>
        <c:axId val="737358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TL (cm)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357448"/>
        <c:crosses val="autoZero"/>
        <c:crossBetween val="between"/>
      </c:valAx>
      <c:spPr>
        <a:noFill/>
        <a:ln>
          <a:noFill/>
        </a:ln>
        <a:effectLst/>
      </c:spPr>
    </c:plotArea>
    <c:legend>
      <c:legendPos val="r"/>
      <c:layout>
        <c:manualLayout>
          <c:xMode val="edge"/>
          <c:yMode val="edge"/>
          <c:x val="0.19820277777777776"/>
          <c:y val="5.2077865266841883E-3"/>
          <c:w val="0.59013055555555549"/>
          <c:h val="9.143627879848349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766349206349207"/>
          <c:y val="0.12962962962962962"/>
          <c:w val="0.67609484126984132"/>
          <c:h val="0.67090988626421699"/>
        </c:manualLayout>
      </c:layout>
      <c:barChart>
        <c:barDir val="col"/>
        <c:grouping val="stacked"/>
        <c:varyColors val="0"/>
        <c:ser>
          <c:idx val="0"/>
          <c:order val="0"/>
          <c:tx>
            <c:strRef>
              <c:f>HKE_95!$AO$2</c:f>
              <c:strCache>
                <c:ptCount val="1"/>
                <c:pt idx="0">
                  <c:v>Below 95%</c:v>
                </c:pt>
              </c:strCache>
            </c:strRef>
          </c:tx>
          <c:spPr>
            <a:solidFill>
              <a:schemeClr val="accent1"/>
            </a:solidFill>
            <a:ln>
              <a:noFill/>
            </a:ln>
            <a:effectLst/>
          </c:spPr>
          <c:invertIfNegative val="0"/>
          <c:cat>
            <c:numRef>
              <c:f>HKE_95!$AP$1:$AT$1</c:f>
              <c:numCache>
                <c:formatCode>General</c:formatCode>
                <c:ptCount val="5"/>
                <c:pt idx="0">
                  <c:v>2014</c:v>
                </c:pt>
                <c:pt idx="1">
                  <c:v>2015</c:v>
                </c:pt>
                <c:pt idx="2">
                  <c:v>2016</c:v>
                </c:pt>
                <c:pt idx="3">
                  <c:v>2017</c:v>
                </c:pt>
                <c:pt idx="4">
                  <c:v>2018</c:v>
                </c:pt>
              </c:numCache>
            </c:numRef>
          </c:cat>
          <c:val>
            <c:numRef>
              <c:f>HKE_95!$AP$2:$AT$2</c:f>
              <c:numCache>
                <c:formatCode>General</c:formatCode>
                <c:ptCount val="5"/>
                <c:pt idx="0">
                  <c:v>33.5</c:v>
                </c:pt>
                <c:pt idx="1">
                  <c:v>33.5</c:v>
                </c:pt>
                <c:pt idx="2">
                  <c:v>34</c:v>
                </c:pt>
                <c:pt idx="3">
                  <c:v>32</c:v>
                </c:pt>
                <c:pt idx="4">
                  <c:v>34.5</c:v>
                </c:pt>
              </c:numCache>
            </c:numRef>
          </c:val>
          <c:extLst>
            <c:ext xmlns:c16="http://schemas.microsoft.com/office/drawing/2014/chart" uri="{C3380CC4-5D6E-409C-BE32-E72D297353CC}">
              <c16:uniqueId val="{00000000-983D-42DB-8218-E08EBB39DB06}"/>
            </c:ext>
          </c:extLst>
        </c:ser>
        <c:ser>
          <c:idx val="1"/>
          <c:order val="1"/>
          <c:tx>
            <c:strRef>
              <c:f>HKE_95!$AO$3</c:f>
              <c:strCache>
                <c:ptCount val="1"/>
                <c:pt idx="0">
                  <c:v>Over 95%</c:v>
                </c:pt>
              </c:strCache>
            </c:strRef>
          </c:tx>
          <c:spPr>
            <a:solidFill>
              <a:schemeClr val="accent2"/>
            </a:solidFill>
            <a:ln>
              <a:noFill/>
            </a:ln>
            <a:effectLst/>
          </c:spPr>
          <c:invertIfNegative val="0"/>
          <c:cat>
            <c:numRef>
              <c:f>HKE_95!$AP$1:$AT$1</c:f>
              <c:numCache>
                <c:formatCode>General</c:formatCode>
                <c:ptCount val="5"/>
                <c:pt idx="0">
                  <c:v>2014</c:v>
                </c:pt>
                <c:pt idx="1">
                  <c:v>2015</c:v>
                </c:pt>
                <c:pt idx="2">
                  <c:v>2016</c:v>
                </c:pt>
                <c:pt idx="3">
                  <c:v>2017</c:v>
                </c:pt>
                <c:pt idx="4">
                  <c:v>2018</c:v>
                </c:pt>
              </c:numCache>
            </c:numRef>
          </c:cat>
          <c:val>
            <c:numRef>
              <c:f>HKE_95!$AP$3:$AT$3</c:f>
              <c:numCache>
                <c:formatCode>General</c:formatCode>
                <c:ptCount val="5"/>
                <c:pt idx="0">
                  <c:v>10.5</c:v>
                </c:pt>
                <c:pt idx="1">
                  <c:v>16.5</c:v>
                </c:pt>
                <c:pt idx="2">
                  <c:v>29</c:v>
                </c:pt>
                <c:pt idx="3">
                  <c:v>10</c:v>
                </c:pt>
                <c:pt idx="4">
                  <c:v>36.5</c:v>
                </c:pt>
              </c:numCache>
            </c:numRef>
          </c:val>
          <c:extLst>
            <c:ext xmlns:c16="http://schemas.microsoft.com/office/drawing/2014/chart" uri="{C3380CC4-5D6E-409C-BE32-E72D297353CC}">
              <c16:uniqueId val="{00000001-983D-42DB-8218-E08EBB39DB06}"/>
            </c:ext>
          </c:extLst>
        </c:ser>
        <c:dLbls>
          <c:showLegendKey val="0"/>
          <c:showVal val="0"/>
          <c:showCatName val="0"/>
          <c:showSerName val="0"/>
          <c:showPercent val="0"/>
          <c:showBubbleSize val="0"/>
        </c:dLbls>
        <c:gapWidth val="50"/>
        <c:overlap val="100"/>
        <c:axId val="737355488"/>
        <c:axId val="737360192"/>
      </c:barChart>
      <c:catAx>
        <c:axId val="737355488"/>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360192"/>
        <c:crosses val="autoZero"/>
        <c:auto val="1"/>
        <c:lblAlgn val="ctr"/>
        <c:lblOffset val="100"/>
        <c:noMultiLvlLbl val="0"/>
      </c:catAx>
      <c:valAx>
        <c:axId val="737360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TL (cm)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355488"/>
        <c:crosses val="autoZero"/>
        <c:crossBetween val="between"/>
      </c:valAx>
      <c:spPr>
        <a:noFill/>
        <a:ln>
          <a:noFill/>
        </a:ln>
        <a:effectLst/>
      </c:spPr>
    </c:plotArea>
    <c:legend>
      <c:legendPos val="r"/>
      <c:layout>
        <c:manualLayout>
          <c:xMode val="edge"/>
          <c:yMode val="edge"/>
          <c:x val="0.19820277777777781"/>
          <c:y val="9.8374161563137934E-3"/>
          <c:w val="0.58509087301587293"/>
          <c:h val="9.606590842811313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errBars>
            <c:errBarType val="plus"/>
            <c:errValType val="cust"/>
            <c:noEndCap val="0"/>
            <c:plus>
              <c:numRef>
                <c:f>DPS_95!$AD$3:$AF$3</c:f>
                <c:numCache>
                  <c:formatCode>General</c:formatCode>
                  <c:ptCount val="3"/>
                  <c:pt idx="0">
                    <c:v>1.72</c:v>
                  </c:pt>
                  <c:pt idx="1">
                    <c:v>1.21</c:v>
                  </c:pt>
                  <c:pt idx="2">
                    <c:v>0.95</c:v>
                  </c:pt>
                </c:numCache>
              </c:numRef>
            </c:plus>
            <c:minus>
              <c:numRef>
                <c:f>DPS_95!$AD$3:$AF$3</c:f>
                <c:numCache>
                  <c:formatCode>General</c:formatCode>
                  <c:ptCount val="3"/>
                  <c:pt idx="0">
                    <c:v>1.72</c:v>
                  </c:pt>
                  <c:pt idx="1">
                    <c:v>1.21</c:v>
                  </c:pt>
                  <c:pt idx="2">
                    <c:v>0.95</c:v>
                  </c:pt>
                </c:numCache>
              </c:numRef>
            </c:minus>
            <c:spPr>
              <a:noFill/>
              <a:ln w="9525" cap="flat" cmpd="sng" algn="ctr">
                <a:solidFill>
                  <a:schemeClr val="tx1">
                    <a:lumMod val="65000"/>
                    <a:lumOff val="35000"/>
                  </a:schemeClr>
                </a:solidFill>
                <a:round/>
              </a:ln>
              <a:effectLst/>
            </c:spPr>
          </c:errBars>
          <c:cat>
            <c:numRef>
              <c:f>DPS_95!$AD$1:$AF$1</c:f>
              <c:numCache>
                <c:formatCode>General</c:formatCode>
                <c:ptCount val="3"/>
                <c:pt idx="0">
                  <c:v>2017</c:v>
                </c:pt>
                <c:pt idx="1">
                  <c:v>2018</c:v>
                </c:pt>
                <c:pt idx="2">
                  <c:v>2019</c:v>
                </c:pt>
              </c:numCache>
            </c:numRef>
          </c:cat>
          <c:val>
            <c:numRef>
              <c:f>DPS_95!$AD$2:$AF$2</c:f>
              <c:numCache>
                <c:formatCode>General</c:formatCode>
                <c:ptCount val="3"/>
                <c:pt idx="0">
                  <c:v>20.922346850733391</c:v>
                </c:pt>
                <c:pt idx="1">
                  <c:v>21.917140536149471</c:v>
                </c:pt>
                <c:pt idx="2">
                  <c:v>20.653609831029186</c:v>
                </c:pt>
              </c:numCache>
            </c:numRef>
          </c:val>
          <c:extLst>
            <c:ext xmlns:c16="http://schemas.microsoft.com/office/drawing/2014/chart" uri="{C3380CC4-5D6E-409C-BE32-E72D297353CC}">
              <c16:uniqueId val="{00000000-6381-4B58-95FA-2C9103755479}"/>
            </c:ext>
          </c:extLst>
        </c:ser>
        <c:dLbls>
          <c:showLegendKey val="0"/>
          <c:showVal val="0"/>
          <c:showCatName val="0"/>
          <c:showSerName val="0"/>
          <c:showPercent val="0"/>
          <c:showBubbleSize val="0"/>
        </c:dLbls>
        <c:gapWidth val="50"/>
        <c:overlap val="-27"/>
        <c:axId val="737356664"/>
        <c:axId val="737357840"/>
      </c:barChart>
      <c:catAx>
        <c:axId val="73735666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357840"/>
        <c:crosses val="autoZero"/>
        <c:auto val="1"/>
        <c:lblAlgn val="ctr"/>
        <c:lblOffset val="100"/>
        <c:noMultiLvlLbl val="0"/>
      </c:catAx>
      <c:valAx>
        <c:axId val="737357840"/>
        <c:scaling>
          <c:orientation val="minMax"/>
          <c:max val="3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CL (mm)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35666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2DAC79-0C19-4194-8AFE-8F972C02C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66510</Words>
  <Characters>379113</Characters>
  <Application>Microsoft Office Word</Application>
  <DocSecurity>0</DocSecurity>
  <Lines>3159</Lines>
  <Paragraphs>889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SAFEGE</Company>
  <LinksUpToDate>false</LinksUpToDate>
  <CharactersWithSpaces>444734</CharactersWithSpaces>
  <SharedDoc>false</SharedDoc>
  <HLinks>
    <vt:vector size="972" baseType="variant">
      <vt:variant>
        <vt:i4>1048633</vt:i4>
      </vt:variant>
      <vt:variant>
        <vt:i4>962</vt:i4>
      </vt:variant>
      <vt:variant>
        <vt:i4>0</vt:i4>
      </vt:variant>
      <vt:variant>
        <vt:i4>5</vt:i4>
      </vt:variant>
      <vt:variant>
        <vt:lpwstr/>
      </vt:variant>
      <vt:variant>
        <vt:lpwstr>_Toc367097463</vt:lpwstr>
      </vt:variant>
      <vt:variant>
        <vt:i4>1048633</vt:i4>
      </vt:variant>
      <vt:variant>
        <vt:i4>956</vt:i4>
      </vt:variant>
      <vt:variant>
        <vt:i4>0</vt:i4>
      </vt:variant>
      <vt:variant>
        <vt:i4>5</vt:i4>
      </vt:variant>
      <vt:variant>
        <vt:lpwstr/>
      </vt:variant>
      <vt:variant>
        <vt:lpwstr>_Toc367097462</vt:lpwstr>
      </vt:variant>
      <vt:variant>
        <vt:i4>1048633</vt:i4>
      </vt:variant>
      <vt:variant>
        <vt:i4>950</vt:i4>
      </vt:variant>
      <vt:variant>
        <vt:i4>0</vt:i4>
      </vt:variant>
      <vt:variant>
        <vt:i4>5</vt:i4>
      </vt:variant>
      <vt:variant>
        <vt:lpwstr/>
      </vt:variant>
      <vt:variant>
        <vt:lpwstr>_Toc367097461</vt:lpwstr>
      </vt:variant>
      <vt:variant>
        <vt:i4>1048633</vt:i4>
      </vt:variant>
      <vt:variant>
        <vt:i4>944</vt:i4>
      </vt:variant>
      <vt:variant>
        <vt:i4>0</vt:i4>
      </vt:variant>
      <vt:variant>
        <vt:i4>5</vt:i4>
      </vt:variant>
      <vt:variant>
        <vt:lpwstr/>
      </vt:variant>
      <vt:variant>
        <vt:lpwstr>_Toc367097460</vt:lpwstr>
      </vt:variant>
      <vt:variant>
        <vt:i4>1245241</vt:i4>
      </vt:variant>
      <vt:variant>
        <vt:i4>938</vt:i4>
      </vt:variant>
      <vt:variant>
        <vt:i4>0</vt:i4>
      </vt:variant>
      <vt:variant>
        <vt:i4>5</vt:i4>
      </vt:variant>
      <vt:variant>
        <vt:lpwstr/>
      </vt:variant>
      <vt:variant>
        <vt:lpwstr>_Toc367097459</vt:lpwstr>
      </vt:variant>
      <vt:variant>
        <vt:i4>1245241</vt:i4>
      </vt:variant>
      <vt:variant>
        <vt:i4>932</vt:i4>
      </vt:variant>
      <vt:variant>
        <vt:i4>0</vt:i4>
      </vt:variant>
      <vt:variant>
        <vt:i4>5</vt:i4>
      </vt:variant>
      <vt:variant>
        <vt:lpwstr/>
      </vt:variant>
      <vt:variant>
        <vt:lpwstr>_Toc367097458</vt:lpwstr>
      </vt:variant>
      <vt:variant>
        <vt:i4>1245241</vt:i4>
      </vt:variant>
      <vt:variant>
        <vt:i4>926</vt:i4>
      </vt:variant>
      <vt:variant>
        <vt:i4>0</vt:i4>
      </vt:variant>
      <vt:variant>
        <vt:i4>5</vt:i4>
      </vt:variant>
      <vt:variant>
        <vt:lpwstr/>
      </vt:variant>
      <vt:variant>
        <vt:lpwstr>_Toc367097457</vt:lpwstr>
      </vt:variant>
      <vt:variant>
        <vt:i4>1245241</vt:i4>
      </vt:variant>
      <vt:variant>
        <vt:i4>920</vt:i4>
      </vt:variant>
      <vt:variant>
        <vt:i4>0</vt:i4>
      </vt:variant>
      <vt:variant>
        <vt:i4>5</vt:i4>
      </vt:variant>
      <vt:variant>
        <vt:lpwstr/>
      </vt:variant>
      <vt:variant>
        <vt:lpwstr>_Toc367097456</vt:lpwstr>
      </vt:variant>
      <vt:variant>
        <vt:i4>1245241</vt:i4>
      </vt:variant>
      <vt:variant>
        <vt:i4>914</vt:i4>
      </vt:variant>
      <vt:variant>
        <vt:i4>0</vt:i4>
      </vt:variant>
      <vt:variant>
        <vt:i4>5</vt:i4>
      </vt:variant>
      <vt:variant>
        <vt:lpwstr/>
      </vt:variant>
      <vt:variant>
        <vt:lpwstr>_Toc367097455</vt:lpwstr>
      </vt:variant>
      <vt:variant>
        <vt:i4>1245241</vt:i4>
      </vt:variant>
      <vt:variant>
        <vt:i4>908</vt:i4>
      </vt:variant>
      <vt:variant>
        <vt:i4>0</vt:i4>
      </vt:variant>
      <vt:variant>
        <vt:i4>5</vt:i4>
      </vt:variant>
      <vt:variant>
        <vt:lpwstr/>
      </vt:variant>
      <vt:variant>
        <vt:lpwstr>_Toc367097454</vt:lpwstr>
      </vt:variant>
      <vt:variant>
        <vt:i4>1245241</vt:i4>
      </vt:variant>
      <vt:variant>
        <vt:i4>902</vt:i4>
      </vt:variant>
      <vt:variant>
        <vt:i4>0</vt:i4>
      </vt:variant>
      <vt:variant>
        <vt:i4>5</vt:i4>
      </vt:variant>
      <vt:variant>
        <vt:lpwstr/>
      </vt:variant>
      <vt:variant>
        <vt:lpwstr>_Toc367097453</vt:lpwstr>
      </vt:variant>
      <vt:variant>
        <vt:i4>1245241</vt:i4>
      </vt:variant>
      <vt:variant>
        <vt:i4>896</vt:i4>
      </vt:variant>
      <vt:variant>
        <vt:i4>0</vt:i4>
      </vt:variant>
      <vt:variant>
        <vt:i4>5</vt:i4>
      </vt:variant>
      <vt:variant>
        <vt:lpwstr/>
      </vt:variant>
      <vt:variant>
        <vt:lpwstr>_Toc367097452</vt:lpwstr>
      </vt:variant>
      <vt:variant>
        <vt:i4>1245241</vt:i4>
      </vt:variant>
      <vt:variant>
        <vt:i4>890</vt:i4>
      </vt:variant>
      <vt:variant>
        <vt:i4>0</vt:i4>
      </vt:variant>
      <vt:variant>
        <vt:i4>5</vt:i4>
      </vt:variant>
      <vt:variant>
        <vt:lpwstr/>
      </vt:variant>
      <vt:variant>
        <vt:lpwstr>_Toc367097451</vt:lpwstr>
      </vt:variant>
      <vt:variant>
        <vt:i4>1245241</vt:i4>
      </vt:variant>
      <vt:variant>
        <vt:i4>884</vt:i4>
      </vt:variant>
      <vt:variant>
        <vt:i4>0</vt:i4>
      </vt:variant>
      <vt:variant>
        <vt:i4>5</vt:i4>
      </vt:variant>
      <vt:variant>
        <vt:lpwstr/>
      </vt:variant>
      <vt:variant>
        <vt:lpwstr>_Toc367097450</vt:lpwstr>
      </vt:variant>
      <vt:variant>
        <vt:i4>1179705</vt:i4>
      </vt:variant>
      <vt:variant>
        <vt:i4>878</vt:i4>
      </vt:variant>
      <vt:variant>
        <vt:i4>0</vt:i4>
      </vt:variant>
      <vt:variant>
        <vt:i4>5</vt:i4>
      </vt:variant>
      <vt:variant>
        <vt:lpwstr/>
      </vt:variant>
      <vt:variant>
        <vt:lpwstr>_Toc367097449</vt:lpwstr>
      </vt:variant>
      <vt:variant>
        <vt:i4>1179705</vt:i4>
      </vt:variant>
      <vt:variant>
        <vt:i4>872</vt:i4>
      </vt:variant>
      <vt:variant>
        <vt:i4>0</vt:i4>
      </vt:variant>
      <vt:variant>
        <vt:i4>5</vt:i4>
      </vt:variant>
      <vt:variant>
        <vt:lpwstr/>
      </vt:variant>
      <vt:variant>
        <vt:lpwstr>_Toc367097448</vt:lpwstr>
      </vt:variant>
      <vt:variant>
        <vt:i4>1179705</vt:i4>
      </vt:variant>
      <vt:variant>
        <vt:i4>866</vt:i4>
      </vt:variant>
      <vt:variant>
        <vt:i4>0</vt:i4>
      </vt:variant>
      <vt:variant>
        <vt:i4>5</vt:i4>
      </vt:variant>
      <vt:variant>
        <vt:lpwstr/>
      </vt:variant>
      <vt:variant>
        <vt:lpwstr>_Toc367097447</vt:lpwstr>
      </vt:variant>
      <vt:variant>
        <vt:i4>1179705</vt:i4>
      </vt:variant>
      <vt:variant>
        <vt:i4>860</vt:i4>
      </vt:variant>
      <vt:variant>
        <vt:i4>0</vt:i4>
      </vt:variant>
      <vt:variant>
        <vt:i4>5</vt:i4>
      </vt:variant>
      <vt:variant>
        <vt:lpwstr/>
      </vt:variant>
      <vt:variant>
        <vt:lpwstr>_Toc367097446</vt:lpwstr>
      </vt:variant>
      <vt:variant>
        <vt:i4>1179705</vt:i4>
      </vt:variant>
      <vt:variant>
        <vt:i4>854</vt:i4>
      </vt:variant>
      <vt:variant>
        <vt:i4>0</vt:i4>
      </vt:variant>
      <vt:variant>
        <vt:i4>5</vt:i4>
      </vt:variant>
      <vt:variant>
        <vt:lpwstr/>
      </vt:variant>
      <vt:variant>
        <vt:lpwstr>_Toc367097445</vt:lpwstr>
      </vt:variant>
      <vt:variant>
        <vt:i4>1179705</vt:i4>
      </vt:variant>
      <vt:variant>
        <vt:i4>848</vt:i4>
      </vt:variant>
      <vt:variant>
        <vt:i4>0</vt:i4>
      </vt:variant>
      <vt:variant>
        <vt:i4>5</vt:i4>
      </vt:variant>
      <vt:variant>
        <vt:lpwstr/>
      </vt:variant>
      <vt:variant>
        <vt:lpwstr>_Toc367097444</vt:lpwstr>
      </vt:variant>
      <vt:variant>
        <vt:i4>1179705</vt:i4>
      </vt:variant>
      <vt:variant>
        <vt:i4>842</vt:i4>
      </vt:variant>
      <vt:variant>
        <vt:i4>0</vt:i4>
      </vt:variant>
      <vt:variant>
        <vt:i4>5</vt:i4>
      </vt:variant>
      <vt:variant>
        <vt:lpwstr/>
      </vt:variant>
      <vt:variant>
        <vt:lpwstr>_Toc367097443</vt:lpwstr>
      </vt:variant>
      <vt:variant>
        <vt:i4>1179705</vt:i4>
      </vt:variant>
      <vt:variant>
        <vt:i4>836</vt:i4>
      </vt:variant>
      <vt:variant>
        <vt:i4>0</vt:i4>
      </vt:variant>
      <vt:variant>
        <vt:i4>5</vt:i4>
      </vt:variant>
      <vt:variant>
        <vt:lpwstr/>
      </vt:variant>
      <vt:variant>
        <vt:lpwstr>_Toc367097442</vt:lpwstr>
      </vt:variant>
      <vt:variant>
        <vt:i4>1179705</vt:i4>
      </vt:variant>
      <vt:variant>
        <vt:i4>830</vt:i4>
      </vt:variant>
      <vt:variant>
        <vt:i4>0</vt:i4>
      </vt:variant>
      <vt:variant>
        <vt:i4>5</vt:i4>
      </vt:variant>
      <vt:variant>
        <vt:lpwstr/>
      </vt:variant>
      <vt:variant>
        <vt:lpwstr>_Toc367097441</vt:lpwstr>
      </vt:variant>
      <vt:variant>
        <vt:i4>1179705</vt:i4>
      </vt:variant>
      <vt:variant>
        <vt:i4>824</vt:i4>
      </vt:variant>
      <vt:variant>
        <vt:i4>0</vt:i4>
      </vt:variant>
      <vt:variant>
        <vt:i4>5</vt:i4>
      </vt:variant>
      <vt:variant>
        <vt:lpwstr/>
      </vt:variant>
      <vt:variant>
        <vt:lpwstr>_Toc367097440</vt:lpwstr>
      </vt:variant>
      <vt:variant>
        <vt:i4>1376313</vt:i4>
      </vt:variant>
      <vt:variant>
        <vt:i4>818</vt:i4>
      </vt:variant>
      <vt:variant>
        <vt:i4>0</vt:i4>
      </vt:variant>
      <vt:variant>
        <vt:i4>5</vt:i4>
      </vt:variant>
      <vt:variant>
        <vt:lpwstr/>
      </vt:variant>
      <vt:variant>
        <vt:lpwstr>_Toc367097439</vt:lpwstr>
      </vt:variant>
      <vt:variant>
        <vt:i4>1376313</vt:i4>
      </vt:variant>
      <vt:variant>
        <vt:i4>812</vt:i4>
      </vt:variant>
      <vt:variant>
        <vt:i4>0</vt:i4>
      </vt:variant>
      <vt:variant>
        <vt:i4>5</vt:i4>
      </vt:variant>
      <vt:variant>
        <vt:lpwstr/>
      </vt:variant>
      <vt:variant>
        <vt:lpwstr>_Toc367097438</vt:lpwstr>
      </vt:variant>
      <vt:variant>
        <vt:i4>1376313</vt:i4>
      </vt:variant>
      <vt:variant>
        <vt:i4>806</vt:i4>
      </vt:variant>
      <vt:variant>
        <vt:i4>0</vt:i4>
      </vt:variant>
      <vt:variant>
        <vt:i4>5</vt:i4>
      </vt:variant>
      <vt:variant>
        <vt:lpwstr/>
      </vt:variant>
      <vt:variant>
        <vt:lpwstr>_Toc367097437</vt:lpwstr>
      </vt:variant>
      <vt:variant>
        <vt:i4>1376313</vt:i4>
      </vt:variant>
      <vt:variant>
        <vt:i4>800</vt:i4>
      </vt:variant>
      <vt:variant>
        <vt:i4>0</vt:i4>
      </vt:variant>
      <vt:variant>
        <vt:i4>5</vt:i4>
      </vt:variant>
      <vt:variant>
        <vt:lpwstr/>
      </vt:variant>
      <vt:variant>
        <vt:lpwstr>_Toc367097436</vt:lpwstr>
      </vt:variant>
      <vt:variant>
        <vt:i4>1376313</vt:i4>
      </vt:variant>
      <vt:variant>
        <vt:i4>794</vt:i4>
      </vt:variant>
      <vt:variant>
        <vt:i4>0</vt:i4>
      </vt:variant>
      <vt:variant>
        <vt:i4>5</vt:i4>
      </vt:variant>
      <vt:variant>
        <vt:lpwstr/>
      </vt:variant>
      <vt:variant>
        <vt:lpwstr>_Toc367097435</vt:lpwstr>
      </vt:variant>
      <vt:variant>
        <vt:i4>1376313</vt:i4>
      </vt:variant>
      <vt:variant>
        <vt:i4>788</vt:i4>
      </vt:variant>
      <vt:variant>
        <vt:i4>0</vt:i4>
      </vt:variant>
      <vt:variant>
        <vt:i4>5</vt:i4>
      </vt:variant>
      <vt:variant>
        <vt:lpwstr/>
      </vt:variant>
      <vt:variant>
        <vt:lpwstr>_Toc367097434</vt:lpwstr>
      </vt:variant>
      <vt:variant>
        <vt:i4>1376313</vt:i4>
      </vt:variant>
      <vt:variant>
        <vt:i4>782</vt:i4>
      </vt:variant>
      <vt:variant>
        <vt:i4>0</vt:i4>
      </vt:variant>
      <vt:variant>
        <vt:i4>5</vt:i4>
      </vt:variant>
      <vt:variant>
        <vt:lpwstr/>
      </vt:variant>
      <vt:variant>
        <vt:lpwstr>_Toc367097433</vt:lpwstr>
      </vt:variant>
      <vt:variant>
        <vt:i4>1376313</vt:i4>
      </vt:variant>
      <vt:variant>
        <vt:i4>776</vt:i4>
      </vt:variant>
      <vt:variant>
        <vt:i4>0</vt:i4>
      </vt:variant>
      <vt:variant>
        <vt:i4>5</vt:i4>
      </vt:variant>
      <vt:variant>
        <vt:lpwstr/>
      </vt:variant>
      <vt:variant>
        <vt:lpwstr>_Toc367097432</vt:lpwstr>
      </vt:variant>
      <vt:variant>
        <vt:i4>1376313</vt:i4>
      </vt:variant>
      <vt:variant>
        <vt:i4>770</vt:i4>
      </vt:variant>
      <vt:variant>
        <vt:i4>0</vt:i4>
      </vt:variant>
      <vt:variant>
        <vt:i4>5</vt:i4>
      </vt:variant>
      <vt:variant>
        <vt:lpwstr/>
      </vt:variant>
      <vt:variant>
        <vt:lpwstr>_Toc367097431</vt:lpwstr>
      </vt:variant>
      <vt:variant>
        <vt:i4>1376313</vt:i4>
      </vt:variant>
      <vt:variant>
        <vt:i4>764</vt:i4>
      </vt:variant>
      <vt:variant>
        <vt:i4>0</vt:i4>
      </vt:variant>
      <vt:variant>
        <vt:i4>5</vt:i4>
      </vt:variant>
      <vt:variant>
        <vt:lpwstr/>
      </vt:variant>
      <vt:variant>
        <vt:lpwstr>_Toc367097430</vt:lpwstr>
      </vt:variant>
      <vt:variant>
        <vt:i4>1310777</vt:i4>
      </vt:variant>
      <vt:variant>
        <vt:i4>758</vt:i4>
      </vt:variant>
      <vt:variant>
        <vt:i4>0</vt:i4>
      </vt:variant>
      <vt:variant>
        <vt:i4>5</vt:i4>
      </vt:variant>
      <vt:variant>
        <vt:lpwstr/>
      </vt:variant>
      <vt:variant>
        <vt:lpwstr>_Toc367097429</vt:lpwstr>
      </vt:variant>
      <vt:variant>
        <vt:i4>1310777</vt:i4>
      </vt:variant>
      <vt:variant>
        <vt:i4>752</vt:i4>
      </vt:variant>
      <vt:variant>
        <vt:i4>0</vt:i4>
      </vt:variant>
      <vt:variant>
        <vt:i4>5</vt:i4>
      </vt:variant>
      <vt:variant>
        <vt:lpwstr/>
      </vt:variant>
      <vt:variant>
        <vt:lpwstr>_Toc367097428</vt:lpwstr>
      </vt:variant>
      <vt:variant>
        <vt:i4>1310777</vt:i4>
      </vt:variant>
      <vt:variant>
        <vt:i4>746</vt:i4>
      </vt:variant>
      <vt:variant>
        <vt:i4>0</vt:i4>
      </vt:variant>
      <vt:variant>
        <vt:i4>5</vt:i4>
      </vt:variant>
      <vt:variant>
        <vt:lpwstr/>
      </vt:variant>
      <vt:variant>
        <vt:lpwstr>_Toc367097427</vt:lpwstr>
      </vt:variant>
      <vt:variant>
        <vt:i4>1310777</vt:i4>
      </vt:variant>
      <vt:variant>
        <vt:i4>740</vt:i4>
      </vt:variant>
      <vt:variant>
        <vt:i4>0</vt:i4>
      </vt:variant>
      <vt:variant>
        <vt:i4>5</vt:i4>
      </vt:variant>
      <vt:variant>
        <vt:lpwstr/>
      </vt:variant>
      <vt:variant>
        <vt:lpwstr>_Toc367097426</vt:lpwstr>
      </vt:variant>
      <vt:variant>
        <vt:i4>1310777</vt:i4>
      </vt:variant>
      <vt:variant>
        <vt:i4>734</vt:i4>
      </vt:variant>
      <vt:variant>
        <vt:i4>0</vt:i4>
      </vt:variant>
      <vt:variant>
        <vt:i4>5</vt:i4>
      </vt:variant>
      <vt:variant>
        <vt:lpwstr/>
      </vt:variant>
      <vt:variant>
        <vt:lpwstr>_Toc367097425</vt:lpwstr>
      </vt:variant>
      <vt:variant>
        <vt:i4>1310777</vt:i4>
      </vt:variant>
      <vt:variant>
        <vt:i4>728</vt:i4>
      </vt:variant>
      <vt:variant>
        <vt:i4>0</vt:i4>
      </vt:variant>
      <vt:variant>
        <vt:i4>5</vt:i4>
      </vt:variant>
      <vt:variant>
        <vt:lpwstr/>
      </vt:variant>
      <vt:variant>
        <vt:lpwstr>_Toc367097424</vt:lpwstr>
      </vt:variant>
      <vt:variant>
        <vt:i4>1310777</vt:i4>
      </vt:variant>
      <vt:variant>
        <vt:i4>722</vt:i4>
      </vt:variant>
      <vt:variant>
        <vt:i4>0</vt:i4>
      </vt:variant>
      <vt:variant>
        <vt:i4>5</vt:i4>
      </vt:variant>
      <vt:variant>
        <vt:lpwstr/>
      </vt:variant>
      <vt:variant>
        <vt:lpwstr>_Toc367097423</vt:lpwstr>
      </vt:variant>
      <vt:variant>
        <vt:i4>1310777</vt:i4>
      </vt:variant>
      <vt:variant>
        <vt:i4>716</vt:i4>
      </vt:variant>
      <vt:variant>
        <vt:i4>0</vt:i4>
      </vt:variant>
      <vt:variant>
        <vt:i4>5</vt:i4>
      </vt:variant>
      <vt:variant>
        <vt:lpwstr/>
      </vt:variant>
      <vt:variant>
        <vt:lpwstr>_Toc367097422</vt:lpwstr>
      </vt:variant>
      <vt:variant>
        <vt:i4>1310777</vt:i4>
      </vt:variant>
      <vt:variant>
        <vt:i4>710</vt:i4>
      </vt:variant>
      <vt:variant>
        <vt:i4>0</vt:i4>
      </vt:variant>
      <vt:variant>
        <vt:i4>5</vt:i4>
      </vt:variant>
      <vt:variant>
        <vt:lpwstr/>
      </vt:variant>
      <vt:variant>
        <vt:lpwstr>_Toc367097421</vt:lpwstr>
      </vt:variant>
      <vt:variant>
        <vt:i4>1310777</vt:i4>
      </vt:variant>
      <vt:variant>
        <vt:i4>704</vt:i4>
      </vt:variant>
      <vt:variant>
        <vt:i4>0</vt:i4>
      </vt:variant>
      <vt:variant>
        <vt:i4>5</vt:i4>
      </vt:variant>
      <vt:variant>
        <vt:lpwstr/>
      </vt:variant>
      <vt:variant>
        <vt:lpwstr>_Toc367097420</vt:lpwstr>
      </vt:variant>
      <vt:variant>
        <vt:i4>1507385</vt:i4>
      </vt:variant>
      <vt:variant>
        <vt:i4>698</vt:i4>
      </vt:variant>
      <vt:variant>
        <vt:i4>0</vt:i4>
      </vt:variant>
      <vt:variant>
        <vt:i4>5</vt:i4>
      </vt:variant>
      <vt:variant>
        <vt:lpwstr/>
      </vt:variant>
      <vt:variant>
        <vt:lpwstr>_Toc367097419</vt:lpwstr>
      </vt:variant>
      <vt:variant>
        <vt:i4>1507385</vt:i4>
      </vt:variant>
      <vt:variant>
        <vt:i4>692</vt:i4>
      </vt:variant>
      <vt:variant>
        <vt:i4>0</vt:i4>
      </vt:variant>
      <vt:variant>
        <vt:i4>5</vt:i4>
      </vt:variant>
      <vt:variant>
        <vt:lpwstr/>
      </vt:variant>
      <vt:variant>
        <vt:lpwstr>_Toc367097418</vt:lpwstr>
      </vt:variant>
      <vt:variant>
        <vt:i4>1507385</vt:i4>
      </vt:variant>
      <vt:variant>
        <vt:i4>686</vt:i4>
      </vt:variant>
      <vt:variant>
        <vt:i4>0</vt:i4>
      </vt:variant>
      <vt:variant>
        <vt:i4>5</vt:i4>
      </vt:variant>
      <vt:variant>
        <vt:lpwstr/>
      </vt:variant>
      <vt:variant>
        <vt:lpwstr>_Toc367097417</vt:lpwstr>
      </vt:variant>
      <vt:variant>
        <vt:i4>1507385</vt:i4>
      </vt:variant>
      <vt:variant>
        <vt:i4>680</vt:i4>
      </vt:variant>
      <vt:variant>
        <vt:i4>0</vt:i4>
      </vt:variant>
      <vt:variant>
        <vt:i4>5</vt:i4>
      </vt:variant>
      <vt:variant>
        <vt:lpwstr/>
      </vt:variant>
      <vt:variant>
        <vt:lpwstr>_Toc367097416</vt:lpwstr>
      </vt:variant>
      <vt:variant>
        <vt:i4>1507385</vt:i4>
      </vt:variant>
      <vt:variant>
        <vt:i4>674</vt:i4>
      </vt:variant>
      <vt:variant>
        <vt:i4>0</vt:i4>
      </vt:variant>
      <vt:variant>
        <vt:i4>5</vt:i4>
      </vt:variant>
      <vt:variant>
        <vt:lpwstr/>
      </vt:variant>
      <vt:variant>
        <vt:lpwstr>_Toc367097415</vt:lpwstr>
      </vt:variant>
      <vt:variant>
        <vt:i4>1507385</vt:i4>
      </vt:variant>
      <vt:variant>
        <vt:i4>668</vt:i4>
      </vt:variant>
      <vt:variant>
        <vt:i4>0</vt:i4>
      </vt:variant>
      <vt:variant>
        <vt:i4>5</vt:i4>
      </vt:variant>
      <vt:variant>
        <vt:lpwstr/>
      </vt:variant>
      <vt:variant>
        <vt:lpwstr>_Toc367097414</vt:lpwstr>
      </vt:variant>
      <vt:variant>
        <vt:i4>1507385</vt:i4>
      </vt:variant>
      <vt:variant>
        <vt:i4>662</vt:i4>
      </vt:variant>
      <vt:variant>
        <vt:i4>0</vt:i4>
      </vt:variant>
      <vt:variant>
        <vt:i4>5</vt:i4>
      </vt:variant>
      <vt:variant>
        <vt:lpwstr/>
      </vt:variant>
      <vt:variant>
        <vt:lpwstr>_Toc367097413</vt:lpwstr>
      </vt:variant>
      <vt:variant>
        <vt:i4>1507385</vt:i4>
      </vt:variant>
      <vt:variant>
        <vt:i4>656</vt:i4>
      </vt:variant>
      <vt:variant>
        <vt:i4>0</vt:i4>
      </vt:variant>
      <vt:variant>
        <vt:i4>5</vt:i4>
      </vt:variant>
      <vt:variant>
        <vt:lpwstr/>
      </vt:variant>
      <vt:variant>
        <vt:lpwstr>_Toc367097412</vt:lpwstr>
      </vt:variant>
      <vt:variant>
        <vt:i4>1507385</vt:i4>
      </vt:variant>
      <vt:variant>
        <vt:i4>650</vt:i4>
      </vt:variant>
      <vt:variant>
        <vt:i4>0</vt:i4>
      </vt:variant>
      <vt:variant>
        <vt:i4>5</vt:i4>
      </vt:variant>
      <vt:variant>
        <vt:lpwstr/>
      </vt:variant>
      <vt:variant>
        <vt:lpwstr>_Toc367097411</vt:lpwstr>
      </vt:variant>
      <vt:variant>
        <vt:i4>1507385</vt:i4>
      </vt:variant>
      <vt:variant>
        <vt:i4>644</vt:i4>
      </vt:variant>
      <vt:variant>
        <vt:i4>0</vt:i4>
      </vt:variant>
      <vt:variant>
        <vt:i4>5</vt:i4>
      </vt:variant>
      <vt:variant>
        <vt:lpwstr/>
      </vt:variant>
      <vt:variant>
        <vt:lpwstr>_Toc367097410</vt:lpwstr>
      </vt:variant>
      <vt:variant>
        <vt:i4>1441849</vt:i4>
      </vt:variant>
      <vt:variant>
        <vt:i4>638</vt:i4>
      </vt:variant>
      <vt:variant>
        <vt:i4>0</vt:i4>
      </vt:variant>
      <vt:variant>
        <vt:i4>5</vt:i4>
      </vt:variant>
      <vt:variant>
        <vt:lpwstr/>
      </vt:variant>
      <vt:variant>
        <vt:lpwstr>_Toc367097409</vt:lpwstr>
      </vt:variant>
      <vt:variant>
        <vt:i4>1441849</vt:i4>
      </vt:variant>
      <vt:variant>
        <vt:i4>632</vt:i4>
      </vt:variant>
      <vt:variant>
        <vt:i4>0</vt:i4>
      </vt:variant>
      <vt:variant>
        <vt:i4>5</vt:i4>
      </vt:variant>
      <vt:variant>
        <vt:lpwstr/>
      </vt:variant>
      <vt:variant>
        <vt:lpwstr>_Toc367097408</vt:lpwstr>
      </vt:variant>
      <vt:variant>
        <vt:i4>1441849</vt:i4>
      </vt:variant>
      <vt:variant>
        <vt:i4>626</vt:i4>
      </vt:variant>
      <vt:variant>
        <vt:i4>0</vt:i4>
      </vt:variant>
      <vt:variant>
        <vt:i4>5</vt:i4>
      </vt:variant>
      <vt:variant>
        <vt:lpwstr/>
      </vt:variant>
      <vt:variant>
        <vt:lpwstr>_Toc367097407</vt:lpwstr>
      </vt:variant>
      <vt:variant>
        <vt:i4>1441849</vt:i4>
      </vt:variant>
      <vt:variant>
        <vt:i4>620</vt:i4>
      </vt:variant>
      <vt:variant>
        <vt:i4>0</vt:i4>
      </vt:variant>
      <vt:variant>
        <vt:i4>5</vt:i4>
      </vt:variant>
      <vt:variant>
        <vt:lpwstr/>
      </vt:variant>
      <vt:variant>
        <vt:lpwstr>_Toc367097406</vt:lpwstr>
      </vt:variant>
      <vt:variant>
        <vt:i4>1441849</vt:i4>
      </vt:variant>
      <vt:variant>
        <vt:i4>614</vt:i4>
      </vt:variant>
      <vt:variant>
        <vt:i4>0</vt:i4>
      </vt:variant>
      <vt:variant>
        <vt:i4>5</vt:i4>
      </vt:variant>
      <vt:variant>
        <vt:lpwstr/>
      </vt:variant>
      <vt:variant>
        <vt:lpwstr>_Toc367097405</vt:lpwstr>
      </vt:variant>
      <vt:variant>
        <vt:i4>1441849</vt:i4>
      </vt:variant>
      <vt:variant>
        <vt:i4>608</vt:i4>
      </vt:variant>
      <vt:variant>
        <vt:i4>0</vt:i4>
      </vt:variant>
      <vt:variant>
        <vt:i4>5</vt:i4>
      </vt:variant>
      <vt:variant>
        <vt:lpwstr/>
      </vt:variant>
      <vt:variant>
        <vt:lpwstr>_Toc367097404</vt:lpwstr>
      </vt:variant>
      <vt:variant>
        <vt:i4>1441849</vt:i4>
      </vt:variant>
      <vt:variant>
        <vt:i4>602</vt:i4>
      </vt:variant>
      <vt:variant>
        <vt:i4>0</vt:i4>
      </vt:variant>
      <vt:variant>
        <vt:i4>5</vt:i4>
      </vt:variant>
      <vt:variant>
        <vt:lpwstr/>
      </vt:variant>
      <vt:variant>
        <vt:lpwstr>_Toc367097403</vt:lpwstr>
      </vt:variant>
      <vt:variant>
        <vt:i4>1441849</vt:i4>
      </vt:variant>
      <vt:variant>
        <vt:i4>596</vt:i4>
      </vt:variant>
      <vt:variant>
        <vt:i4>0</vt:i4>
      </vt:variant>
      <vt:variant>
        <vt:i4>5</vt:i4>
      </vt:variant>
      <vt:variant>
        <vt:lpwstr/>
      </vt:variant>
      <vt:variant>
        <vt:lpwstr>_Toc367097402</vt:lpwstr>
      </vt:variant>
      <vt:variant>
        <vt:i4>1441849</vt:i4>
      </vt:variant>
      <vt:variant>
        <vt:i4>590</vt:i4>
      </vt:variant>
      <vt:variant>
        <vt:i4>0</vt:i4>
      </vt:variant>
      <vt:variant>
        <vt:i4>5</vt:i4>
      </vt:variant>
      <vt:variant>
        <vt:lpwstr/>
      </vt:variant>
      <vt:variant>
        <vt:lpwstr>_Toc367097401</vt:lpwstr>
      </vt:variant>
      <vt:variant>
        <vt:i4>1441849</vt:i4>
      </vt:variant>
      <vt:variant>
        <vt:i4>584</vt:i4>
      </vt:variant>
      <vt:variant>
        <vt:i4>0</vt:i4>
      </vt:variant>
      <vt:variant>
        <vt:i4>5</vt:i4>
      </vt:variant>
      <vt:variant>
        <vt:lpwstr/>
      </vt:variant>
      <vt:variant>
        <vt:lpwstr>_Toc367097400</vt:lpwstr>
      </vt:variant>
      <vt:variant>
        <vt:i4>2031678</vt:i4>
      </vt:variant>
      <vt:variant>
        <vt:i4>578</vt:i4>
      </vt:variant>
      <vt:variant>
        <vt:i4>0</vt:i4>
      </vt:variant>
      <vt:variant>
        <vt:i4>5</vt:i4>
      </vt:variant>
      <vt:variant>
        <vt:lpwstr/>
      </vt:variant>
      <vt:variant>
        <vt:lpwstr>_Toc367097399</vt:lpwstr>
      </vt:variant>
      <vt:variant>
        <vt:i4>2031678</vt:i4>
      </vt:variant>
      <vt:variant>
        <vt:i4>572</vt:i4>
      </vt:variant>
      <vt:variant>
        <vt:i4>0</vt:i4>
      </vt:variant>
      <vt:variant>
        <vt:i4>5</vt:i4>
      </vt:variant>
      <vt:variant>
        <vt:lpwstr/>
      </vt:variant>
      <vt:variant>
        <vt:lpwstr>_Toc367097398</vt:lpwstr>
      </vt:variant>
      <vt:variant>
        <vt:i4>2031678</vt:i4>
      </vt:variant>
      <vt:variant>
        <vt:i4>566</vt:i4>
      </vt:variant>
      <vt:variant>
        <vt:i4>0</vt:i4>
      </vt:variant>
      <vt:variant>
        <vt:i4>5</vt:i4>
      </vt:variant>
      <vt:variant>
        <vt:lpwstr/>
      </vt:variant>
      <vt:variant>
        <vt:lpwstr>_Toc367097397</vt:lpwstr>
      </vt:variant>
      <vt:variant>
        <vt:i4>2031678</vt:i4>
      </vt:variant>
      <vt:variant>
        <vt:i4>560</vt:i4>
      </vt:variant>
      <vt:variant>
        <vt:i4>0</vt:i4>
      </vt:variant>
      <vt:variant>
        <vt:i4>5</vt:i4>
      </vt:variant>
      <vt:variant>
        <vt:lpwstr/>
      </vt:variant>
      <vt:variant>
        <vt:lpwstr>_Toc367097396</vt:lpwstr>
      </vt:variant>
      <vt:variant>
        <vt:i4>2031678</vt:i4>
      </vt:variant>
      <vt:variant>
        <vt:i4>554</vt:i4>
      </vt:variant>
      <vt:variant>
        <vt:i4>0</vt:i4>
      </vt:variant>
      <vt:variant>
        <vt:i4>5</vt:i4>
      </vt:variant>
      <vt:variant>
        <vt:lpwstr/>
      </vt:variant>
      <vt:variant>
        <vt:lpwstr>_Toc367097395</vt:lpwstr>
      </vt:variant>
      <vt:variant>
        <vt:i4>2031678</vt:i4>
      </vt:variant>
      <vt:variant>
        <vt:i4>548</vt:i4>
      </vt:variant>
      <vt:variant>
        <vt:i4>0</vt:i4>
      </vt:variant>
      <vt:variant>
        <vt:i4>5</vt:i4>
      </vt:variant>
      <vt:variant>
        <vt:lpwstr/>
      </vt:variant>
      <vt:variant>
        <vt:lpwstr>_Toc367097394</vt:lpwstr>
      </vt:variant>
      <vt:variant>
        <vt:i4>2031678</vt:i4>
      </vt:variant>
      <vt:variant>
        <vt:i4>542</vt:i4>
      </vt:variant>
      <vt:variant>
        <vt:i4>0</vt:i4>
      </vt:variant>
      <vt:variant>
        <vt:i4>5</vt:i4>
      </vt:variant>
      <vt:variant>
        <vt:lpwstr/>
      </vt:variant>
      <vt:variant>
        <vt:lpwstr>_Toc367097393</vt:lpwstr>
      </vt:variant>
      <vt:variant>
        <vt:i4>2031678</vt:i4>
      </vt:variant>
      <vt:variant>
        <vt:i4>536</vt:i4>
      </vt:variant>
      <vt:variant>
        <vt:i4>0</vt:i4>
      </vt:variant>
      <vt:variant>
        <vt:i4>5</vt:i4>
      </vt:variant>
      <vt:variant>
        <vt:lpwstr/>
      </vt:variant>
      <vt:variant>
        <vt:lpwstr>_Toc367097392</vt:lpwstr>
      </vt:variant>
      <vt:variant>
        <vt:i4>2031678</vt:i4>
      </vt:variant>
      <vt:variant>
        <vt:i4>530</vt:i4>
      </vt:variant>
      <vt:variant>
        <vt:i4>0</vt:i4>
      </vt:variant>
      <vt:variant>
        <vt:i4>5</vt:i4>
      </vt:variant>
      <vt:variant>
        <vt:lpwstr/>
      </vt:variant>
      <vt:variant>
        <vt:lpwstr>_Toc367097391</vt:lpwstr>
      </vt:variant>
      <vt:variant>
        <vt:i4>2031678</vt:i4>
      </vt:variant>
      <vt:variant>
        <vt:i4>524</vt:i4>
      </vt:variant>
      <vt:variant>
        <vt:i4>0</vt:i4>
      </vt:variant>
      <vt:variant>
        <vt:i4>5</vt:i4>
      </vt:variant>
      <vt:variant>
        <vt:lpwstr/>
      </vt:variant>
      <vt:variant>
        <vt:lpwstr>_Toc367097390</vt:lpwstr>
      </vt:variant>
      <vt:variant>
        <vt:i4>1966142</vt:i4>
      </vt:variant>
      <vt:variant>
        <vt:i4>518</vt:i4>
      </vt:variant>
      <vt:variant>
        <vt:i4>0</vt:i4>
      </vt:variant>
      <vt:variant>
        <vt:i4>5</vt:i4>
      </vt:variant>
      <vt:variant>
        <vt:lpwstr/>
      </vt:variant>
      <vt:variant>
        <vt:lpwstr>_Toc367097389</vt:lpwstr>
      </vt:variant>
      <vt:variant>
        <vt:i4>1966142</vt:i4>
      </vt:variant>
      <vt:variant>
        <vt:i4>512</vt:i4>
      </vt:variant>
      <vt:variant>
        <vt:i4>0</vt:i4>
      </vt:variant>
      <vt:variant>
        <vt:i4>5</vt:i4>
      </vt:variant>
      <vt:variant>
        <vt:lpwstr/>
      </vt:variant>
      <vt:variant>
        <vt:lpwstr>_Toc367097388</vt:lpwstr>
      </vt:variant>
      <vt:variant>
        <vt:i4>1966142</vt:i4>
      </vt:variant>
      <vt:variant>
        <vt:i4>506</vt:i4>
      </vt:variant>
      <vt:variant>
        <vt:i4>0</vt:i4>
      </vt:variant>
      <vt:variant>
        <vt:i4>5</vt:i4>
      </vt:variant>
      <vt:variant>
        <vt:lpwstr/>
      </vt:variant>
      <vt:variant>
        <vt:lpwstr>_Toc367097387</vt:lpwstr>
      </vt:variant>
      <vt:variant>
        <vt:i4>1966142</vt:i4>
      </vt:variant>
      <vt:variant>
        <vt:i4>500</vt:i4>
      </vt:variant>
      <vt:variant>
        <vt:i4>0</vt:i4>
      </vt:variant>
      <vt:variant>
        <vt:i4>5</vt:i4>
      </vt:variant>
      <vt:variant>
        <vt:lpwstr/>
      </vt:variant>
      <vt:variant>
        <vt:lpwstr>_Toc367097386</vt:lpwstr>
      </vt:variant>
      <vt:variant>
        <vt:i4>1966142</vt:i4>
      </vt:variant>
      <vt:variant>
        <vt:i4>494</vt:i4>
      </vt:variant>
      <vt:variant>
        <vt:i4>0</vt:i4>
      </vt:variant>
      <vt:variant>
        <vt:i4>5</vt:i4>
      </vt:variant>
      <vt:variant>
        <vt:lpwstr/>
      </vt:variant>
      <vt:variant>
        <vt:lpwstr>_Toc367097385</vt:lpwstr>
      </vt:variant>
      <vt:variant>
        <vt:i4>1966142</vt:i4>
      </vt:variant>
      <vt:variant>
        <vt:i4>488</vt:i4>
      </vt:variant>
      <vt:variant>
        <vt:i4>0</vt:i4>
      </vt:variant>
      <vt:variant>
        <vt:i4>5</vt:i4>
      </vt:variant>
      <vt:variant>
        <vt:lpwstr/>
      </vt:variant>
      <vt:variant>
        <vt:lpwstr>_Toc367097384</vt:lpwstr>
      </vt:variant>
      <vt:variant>
        <vt:i4>1966142</vt:i4>
      </vt:variant>
      <vt:variant>
        <vt:i4>482</vt:i4>
      </vt:variant>
      <vt:variant>
        <vt:i4>0</vt:i4>
      </vt:variant>
      <vt:variant>
        <vt:i4>5</vt:i4>
      </vt:variant>
      <vt:variant>
        <vt:lpwstr/>
      </vt:variant>
      <vt:variant>
        <vt:lpwstr>_Toc367097383</vt:lpwstr>
      </vt:variant>
      <vt:variant>
        <vt:i4>1966142</vt:i4>
      </vt:variant>
      <vt:variant>
        <vt:i4>476</vt:i4>
      </vt:variant>
      <vt:variant>
        <vt:i4>0</vt:i4>
      </vt:variant>
      <vt:variant>
        <vt:i4>5</vt:i4>
      </vt:variant>
      <vt:variant>
        <vt:lpwstr/>
      </vt:variant>
      <vt:variant>
        <vt:lpwstr>_Toc367097382</vt:lpwstr>
      </vt:variant>
      <vt:variant>
        <vt:i4>1966142</vt:i4>
      </vt:variant>
      <vt:variant>
        <vt:i4>470</vt:i4>
      </vt:variant>
      <vt:variant>
        <vt:i4>0</vt:i4>
      </vt:variant>
      <vt:variant>
        <vt:i4>5</vt:i4>
      </vt:variant>
      <vt:variant>
        <vt:lpwstr/>
      </vt:variant>
      <vt:variant>
        <vt:lpwstr>_Toc367097381</vt:lpwstr>
      </vt:variant>
      <vt:variant>
        <vt:i4>1966142</vt:i4>
      </vt:variant>
      <vt:variant>
        <vt:i4>464</vt:i4>
      </vt:variant>
      <vt:variant>
        <vt:i4>0</vt:i4>
      </vt:variant>
      <vt:variant>
        <vt:i4>5</vt:i4>
      </vt:variant>
      <vt:variant>
        <vt:lpwstr/>
      </vt:variant>
      <vt:variant>
        <vt:lpwstr>_Toc367097380</vt:lpwstr>
      </vt:variant>
      <vt:variant>
        <vt:i4>1114174</vt:i4>
      </vt:variant>
      <vt:variant>
        <vt:i4>458</vt:i4>
      </vt:variant>
      <vt:variant>
        <vt:i4>0</vt:i4>
      </vt:variant>
      <vt:variant>
        <vt:i4>5</vt:i4>
      </vt:variant>
      <vt:variant>
        <vt:lpwstr/>
      </vt:variant>
      <vt:variant>
        <vt:lpwstr>_Toc367097379</vt:lpwstr>
      </vt:variant>
      <vt:variant>
        <vt:i4>1114174</vt:i4>
      </vt:variant>
      <vt:variant>
        <vt:i4>452</vt:i4>
      </vt:variant>
      <vt:variant>
        <vt:i4>0</vt:i4>
      </vt:variant>
      <vt:variant>
        <vt:i4>5</vt:i4>
      </vt:variant>
      <vt:variant>
        <vt:lpwstr/>
      </vt:variant>
      <vt:variant>
        <vt:lpwstr>_Toc367097378</vt:lpwstr>
      </vt:variant>
      <vt:variant>
        <vt:i4>1114174</vt:i4>
      </vt:variant>
      <vt:variant>
        <vt:i4>446</vt:i4>
      </vt:variant>
      <vt:variant>
        <vt:i4>0</vt:i4>
      </vt:variant>
      <vt:variant>
        <vt:i4>5</vt:i4>
      </vt:variant>
      <vt:variant>
        <vt:lpwstr/>
      </vt:variant>
      <vt:variant>
        <vt:lpwstr>_Toc367097377</vt:lpwstr>
      </vt:variant>
      <vt:variant>
        <vt:i4>1114174</vt:i4>
      </vt:variant>
      <vt:variant>
        <vt:i4>440</vt:i4>
      </vt:variant>
      <vt:variant>
        <vt:i4>0</vt:i4>
      </vt:variant>
      <vt:variant>
        <vt:i4>5</vt:i4>
      </vt:variant>
      <vt:variant>
        <vt:lpwstr/>
      </vt:variant>
      <vt:variant>
        <vt:lpwstr>_Toc367097376</vt:lpwstr>
      </vt:variant>
      <vt:variant>
        <vt:i4>1114174</vt:i4>
      </vt:variant>
      <vt:variant>
        <vt:i4>434</vt:i4>
      </vt:variant>
      <vt:variant>
        <vt:i4>0</vt:i4>
      </vt:variant>
      <vt:variant>
        <vt:i4>5</vt:i4>
      </vt:variant>
      <vt:variant>
        <vt:lpwstr/>
      </vt:variant>
      <vt:variant>
        <vt:lpwstr>_Toc367097375</vt:lpwstr>
      </vt:variant>
      <vt:variant>
        <vt:i4>1114174</vt:i4>
      </vt:variant>
      <vt:variant>
        <vt:i4>428</vt:i4>
      </vt:variant>
      <vt:variant>
        <vt:i4>0</vt:i4>
      </vt:variant>
      <vt:variant>
        <vt:i4>5</vt:i4>
      </vt:variant>
      <vt:variant>
        <vt:lpwstr/>
      </vt:variant>
      <vt:variant>
        <vt:lpwstr>_Toc367097374</vt:lpwstr>
      </vt:variant>
      <vt:variant>
        <vt:i4>1114174</vt:i4>
      </vt:variant>
      <vt:variant>
        <vt:i4>422</vt:i4>
      </vt:variant>
      <vt:variant>
        <vt:i4>0</vt:i4>
      </vt:variant>
      <vt:variant>
        <vt:i4>5</vt:i4>
      </vt:variant>
      <vt:variant>
        <vt:lpwstr/>
      </vt:variant>
      <vt:variant>
        <vt:lpwstr>_Toc367097373</vt:lpwstr>
      </vt:variant>
      <vt:variant>
        <vt:i4>1114174</vt:i4>
      </vt:variant>
      <vt:variant>
        <vt:i4>416</vt:i4>
      </vt:variant>
      <vt:variant>
        <vt:i4>0</vt:i4>
      </vt:variant>
      <vt:variant>
        <vt:i4>5</vt:i4>
      </vt:variant>
      <vt:variant>
        <vt:lpwstr/>
      </vt:variant>
      <vt:variant>
        <vt:lpwstr>_Toc367097372</vt:lpwstr>
      </vt:variant>
      <vt:variant>
        <vt:i4>1114174</vt:i4>
      </vt:variant>
      <vt:variant>
        <vt:i4>410</vt:i4>
      </vt:variant>
      <vt:variant>
        <vt:i4>0</vt:i4>
      </vt:variant>
      <vt:variant>
        <vt:i4>5</vt:i4>
      </vt:variant>
      <vt:variant>
        <vt:lpwstr/>
      </vt:variant>
      <vt:variant>
        <vt:lpwstr>_Toc367097371</vt:lpwstr>
      </vt:variant>
      <vt:variant>
        <vt:i4>1114174</vt:i4>
      </vt:variant>
      <vt:variant>
        <vt:i4>404</vt:i4>
      </vt:variant>
      <vt:variant>
        <vt:i4>0</vt:i4>
      </vt:variant>
      <vt:variant>
        <vt:i4>5</vt:i4>
      </vt:variant>
      <vt:variant>
        <vt:lpwstr/>
      </vt:variant>
      <vt:variant>
        <vt:lpwstr>_Toc367097370</vt:lpwstr>
      </vt:variant>
      <vt:variant>
        <vt:i4>1048638</vt:i4>
      </vt:variant>
      <vt:variant>
        <vt:i4>398</vt:i4>
      </vt:variant>
      <vt:variant>
        <vt:i4>0</vt:i4>
      </vt:variant>
      <vt:variant>
        <vt:i4>5</vt:i4>
      </vt:variant>
      <vt:variant>
        <vt:lpwstr/>
      </vt:variant>
      <vt:variant>
        <vt:lpwstr>_Toc367097369</vt:lpwstr>
      </vt:variant>
      <vt:variant>
        <vt:i4>1048638</vt:i4>
      </vt:variant>
      <vt:variant>
        <vt:i4>392</vt:i4>
      </vt:variant>
      <vt:variant>
        <vt:i4>0</vt:i4>
      </vt:variant>
      <vt:variant>
        <vt:i4>5</vt:i4>
      </vt:variant>
      <vt:variant>
        <vt:lpwstr/>
      </vt:variant>
      <vt:variant>
        <vt:lpwstr>_Toc367097368</vt:lpwstr>
      </vt:variant>
      <vt:variant>
        <vt:i4>1048638</vt:i4>
      </vt:variant>
      <vt:variant>
        <vt:i4>386</vt:i4>
      </vt:variant>
      <vt:variant>
        <vt:i4>0</vt:i4>
      </vt:variant>
      <vt:variant>
        <vt:i4>5</vt:i4>
      </vt:variant>
      <vt:variant>
        <vt:lpwstr/>
      </vt:variant>
      <vt:variant>
        <vt:lpwstr>_Toc367097367</vt:lpwstr>
      </vt:variant>
      <vt:variant>
        <vt:i4>1048638</vt:i4>
      </vt:variant>
      <vt:variant>
        <vt:i4>380</vt:i4>
      </vt:variant>
      <vt:variant>
        <vt:i4>0</vt:i4>
      </vt:variant>
      <vt:variant>
        <vt:i4>5</vt:i4>
      </vt:variant>
      <vt:variant>
        <vt:lpwstr/>
      </vt:variant>
      <vt:variant>
        <vt:lpwstr>_Toc367097366</vt:lpwstr>
      </vt:variant>
      <vt:variant>
        <vt:i4>1048638</vt:i4>
      </vt:variant>
      <vt:variant>
        <vt:i4>374</vt:i4>
      </vt:variant>
      <vt:variant>
        <vt:i4>0</vt:i4>
      </vt:variant>
      <vt:variant>
        <vt:i4>5</vt:i4>
      </vt:variant>
      <vt:variant>
        <vt:lpwstr/>
      </vt:variant>
      <vt:variant>
        <vt:lpwstr>_Toc367097365</vt:lpwstr>
      </vt:variant>
      <vt:variant>
        <vt:i4>1048638</vt:i4>
      </vt:variant>
      <vt:variant>
        <vt:i4>368</vt:i4>
      </vt:variant>
      <vt:variant>
        <vt:i4>0</vt:i4>
      </vt:variant>
      <vt:variant>
        <vt:i4>5</vt:i4>
      </vt:variant>
      <vt:variant>
        <vt:lpwstr/>
      </vt:variant>
      <vt:variant>
        <vt:lpwstr>_Toc367097364</vt:lpwstr>
      </vt:variant>
      <vt:variant>
        <vt:i4>1048638</vt:i4>
      </vt:variant>
      <vt:variant>
        <vt:i4>362</vt:i4>
      </vt:variant>
      <vt:variant>
        <vt:i4>0</vt:i4>
      </vt:variant>
      <vt:variant>
        <vt:i4>5</vt:i4>
      </vt:variant>
      <vt:variant>
        <vt:lpwstr/>
      </vt:variant>
      <vt:variant>
        <vt:lpwstr>_Toc367097363</vt:lpwstr>
      </vt:variant>
      <vt:variant>
        <vt:i4>1048638</vt:i4>
      </vt:variant>
      <vt:variant>
        <vt:i4>356</vt:i4>
      </vt:variant>
      <vt:variant>
        <vt:i4>0</vt:i4>
      </vt:variant>
      <vt:variant>
        <vt:i4>5</vt:i4>
      </vt:variant>
      <vt:variant>
        <vt:lpwstr/>
      </vt:variant>
      <vt:variant>
        <vt:lpwstr>_Toc367097362</vt:lpwstr>
      </vt:variant>
      <vt:variant>
        <vt:i4>1048638</vt:i4>
      </vt:variant>
      <vt:variant>
        <vt:i4>350</vt:i4>
      </vt:variant>
      <vt:variant>
        <vt:i4>0</vt:i4>
      </vt:variant>
      <vt:variant>
        <vt:i4>5</vt:i4>
      </vt:variant>
      <vt:variant>
        <vt:lpwstr/>
      </vt:variant>
      <vt:variant>
        <vt:lpwstr>_Toc367097361</vt:lpwstr>
      </vt:variant>
      <vt:variant>
        <vt:i4>1048638</vt:i4>
      </vt:variant>
      <vt:variant>
        <vt:i4>344</vt:i4>
      </vt:variant>
      <vt:variant>
        <vt:i4>0</vt:i4>
      </vt:variant>
      <vt:variant>
        <vt:i4>5</vt:i4>
      </vt:variant>
      <vt:variant>
        <vt:lpwstr/>
      </vt:variant>
      <vt:variant>
        <vt:lpwstr>_Toc367097360</vt:lpwstr>
      </vt:variant>
      <vt:variant>
        <vt:i4>1245246</vt:i4>
      </vt:variant>
      <vt:variant>
        <vt:i4>338</vt:i4>
      </vt:variant>
      <vt:variant>
        <vt:i4>0</vt:i4>
      </vt:variant>
      <vt:variant>
        <vt:i4>5</vt:i4>
      </vt:variant>
      <vt:variant>
        <vt:lpwstr/>
      </vt:variant>
      <vt:variant>
        <vt:lpwstr>_Toc367097359</vt:lpwstr>
      </vt:variant>
      <vt:variant>
        <vt:i4>1245246</vt:i4>
      </vt:variant>
      <vt:variant>
        <vt:i4>332</vt:i4>
      </vt:variant>
      <vt:variant>
        <vt:i4>0</vt:i4>
      </vt:variant>
      <vt:variant>
        <vt:i4>5</vt:i4>
      </vt:variant>
      <vt:variant>
        <vt:lpwstr/>
      </vt:variant>
      <vt:variant>
        <vt:lpwstr>_Toc367097358</vt:lpwstr>
      </vt:variant>
      <vt:variant>
        <vt:i4>1245246</vt:i4>
      </vt:variant>
      <vt:variant>
        <vt:i4>326</vt:i4>
      </vt:variant>
      <vt:variant>
        <vt:i4>0</vt:i4>
      </vt:variant>
      <vt:variant>
        <vt:i4>5</vt:i4>
      </vt:variant>
      <vt:variant>
        <vt:lpwstr/>
      </vt:variant>
      <vt:variant>
        <vt:lpwstr>_Toc367097357</vt:lpwstr>
      </vt:variant>
      <vt:variant>
        <vt:i4>1245246</vt:i4>
      </vt:variant>
      <vt:variant>
        <vt:i4>320</vt:i4>
      </vt:variant>
      <vt:variant>
        <vt:i4>0</vt:i4>
      </vt:variant>
      <vt:variant>
        <vt:i4>5</vt:i4>
      </vt:variant>
      <vt:variant>
        <vt:lpwstr/>
      </vt:variant>
      <vt:variant>
        <vt:lpwstr>_Toc367097356</vt:lpwstr>
      </vt:variant>
      <vt:variant>
        <vt:i4>1245246</vt:i4>
      </vt:variant>
      <vt:variant>
        <vt:i4>314</vt:i4>
      </vt:variant>
      <vt:variant>
        <vt:i4>0</vt:i4>
      </vt:variant>
      <vt:variant>
        <vt:i4>5</vt:i4>
      </vt:variant>
      <vt:variant>
        <vt:lpwstr/>
      </vt:variant>
      <vt:variant>
        <vt:lpwstr>_Toc367097355</vt:lpwstr>
      </vt:variant>
      <vt:variant>
        <vt:i4>1245246</vt:i4>
      </vt:variant>
      <vt:variant>
        <vt:i4>308</vt:i4>
      </vt:variant>
      <vt:variant>
        <vt:i4>0</vt:i4>
      </vt:variant>
      <vt:variant>
        <vt:i4>5</vt:i4>
      </vt:variant>
      <vt:variant>
        <vt:lpwstr/>
      </vt:variant>
      <vt:variant>
        <vt:lpwstr>_Toc367097354</vt:lpwstr>
      </vt:variant>
      <vt:variant>
        <vt:i4>1245246</vt:i4>
      </vt:variant>
      <vt:variant>
        <vt:i4>302</vt:i4>
      </vt:variant>
      <vt:variant>
        <vt:i4>0</vt:i4>
      </vt:variant>
      <vt:variant>
        <vt:i4>5</vt:i4>
      </vt:variant>
      <vt:variant>
        <vt:lpwstr/>
      </vt:variant>
      <vt:variant>
        <vt:lpwstr>_Toc367097353</vt:lpwstr>
      </vt:variant>
      <vt:variant>
        <vt:i4>1245246</vt:i4>
      </vt:variant>
      <vt:variant>
        <vt:i4>296</vt:i4>
      </vt:variant>
      <vt:variant>
        <vt:i4>0</vt:i4>
      </vt:variant>
      <vt:variant>
        <vt:i4>5</vt:i4>
      </vt:variant>
      <vt:variant>
        <vt:lpwstr/>
      </vt:variant>
      <vt:variant>
        <vt:lpwstr>_Toc367097352</vt:lpwstr>
      </vt:variant>
      <vt:variant>
        <vt:i4>1245246</vt:i4>
      </vt:variant>
      <vt:variant>
        <vt:i4>290</vt:i4>
      </vt:variant>
      <vt:variant>
        <vt:i4>0</vt:i4>
      </vt:variant>
      <vt:variant>
        <vt:i4>5</vt:i4>
      </vt:variant>
      <vt:variant>
        <vt:lpwstr/>
      </vt:variant>
      <vt:variant>
        <vt:lpwstr>_Toc367097351</vt:lpwstr>
      </vt:variant>
      <vt:variant>
        <vt:i4>1245246</vt:i4>
      </vt:variant>
      <vt:variant>
        <vt:i4>284</vt:i4>
      </vt:variant>
      <vt:variant>
        <vt:i4>0</vt:i4>
      </vt:variant>
      <vt:variant>
        <vt:i4>5</vt:i4>
      </vt:variant>
      <vt:variant>
        <vt:lpwstr/>
      </vt:variant>
      <vt:variant>
        <vt:lpwstr>_Toc367097350</vt:lpwstr>
      </vt:variant>
      <vt:variant>
        <vt:i4>1179710</vt:i4>
      </vt:variant>
      <vt:variant>
        <vt:i4>278</vt:i4>
      </vt:variant>
      <vt:variant>
        <vt:i4>0</vt:i4>
      </vt:variant>
      <vt:variant>
        <vt:i4>5</vt:i4>
      </vt:variant>
      <vt:variant>
        <vt:lpwstr/>
      </vt:variant>
      <vt:variant>
        <vt:lpwstr>_Toc367097349</vt:lpwstr>
      </vt:variant>
      <vt:variant>
        <vt:i4>1179710</vt:i4>
      </vt:variant>
      <vt:variant>
        <vt:i4>272</vt:i4>
      </vt:variant>
      <vt:variant>
        <vt:i4>0</vt:i4>
      </vt:variant>
      <vt:variant>
        <vt:i4>5</vt:i4>
      </vt:variant>
      <vt:variant>
        <vt:lpwstr/>
      </vt:variant>
      <vt:variant>
        <vt:lpwstr>_Toc367097348</vt:lpwstr>
      </vt:variant>
      <vt:variant>
        <vt:i4>1179710</vt:i4>
      </vt:variant>
      <vt:variant>
        <vt:i4>266</vt:i4>
      </vt:variant>
      <vt:variant>
        <vt:i4>0</vt:i4>
      </vt:variant>
      <vt:variant>
        <vt:i4>5</vt:i4>
      </vt:variant>
      <vt:variant>
        <vt:lpwstr/>
      </vt:variant>
      <vt:variant>
        <vt:lpwstr>_Toc367097347</vt:lpwstr>
      </vt:variant>
      <vt:variant>
        <vt:i4>1179710</vt:i4>
      </vt:variant>
      <vt:variant>
        <vt:i4>260</vt:i4>
      </vt:variant>
      <vt:variant>
        <vt:i4>0</vt:i4>
      </vt:variant>
      <vt:variant>
        <vt:i4>5</vt:i4>
      </vt:variant>
      <vt:variant>
        <vt:lpwstr/>
      </vt:variant>
      <vt:variant>
        <vt:lpwstr>_Toc367097346</vt:lpwstr>
      </vt:variant>
      <vt:variant>
        <vt:i4>1179710</vt:i4>
      </vt:variant>
      <vt:variant>
        <vt:i4>254</vt:i4>
      </vt:variant>
      <vt:variant>
        <vt:i4>0</vt:i4>
      </vt:variant>
      <vt:variant>
        <vt:i4>5</vt:i4>
      </vt:variant>
      <vt:variant>
        <vt:lpwstr/>
      </vt:variant>
      <vt:variant>
        <vt:lpwstr>_Toc367097345</vt:lpwstr>
      </vt:variant>
      <vt:variant>
        <vt:i4>1179710</vt:i4>
      </vt:variant>
      <vt:variant>
        <vt:i4>248</vt:i4>
      </vt:variant>
      <vt:variant>
        <vt:i4>0</vt:i4>
      </vt:variant>
      <vt:variant>
        <vt:i4>5</vt:i4>
      </vt:variant>
      <vt:variant>
        <vt:lpwstr/>
      </vt:variant>
      <vt:variant>
        <vt:lpwstr>_Toc367097344</vt:lpwstr>
      </vt:variant>
      <vt:variant>
        <vt:i4>1179710</vt:i4>
      </vt:variant>
      <vt:variant>
        <vt:i4>242</vt:i4>
      </vt:variant>
      <vt:variant>
        <vt:i4>0</vt:i4>
      </vt:variant>
      <vt:variant>
        <vt:i4>5</vt:i4>
      </vt:variant>
      <vt:variant>
        <vt:lpwstr/>
      </vt:variant>
      <vt:variant>
        <vt:lpwstr>_Toc367097343</vt:lpwstr>
      </vt:variant>
      <vt:variant>
        <vt:i4>1179710</vt:i4>
      </vt:variant>
      <vt:variant>
        <vt:i4>236</vt:i4>
      </vt:variant>
      <vt:variant>
        <vt:i4>0</vt:i4>
      </vt:variant>
      <vt:variant>
        <vt:i4>5</vt:i4>
      </vt:variant>
      <vt:variant>
        <vt:lpwstr/>
      </vt:variant>
      <vt:variant>
        <vt:lpwstr>_Toc367097342</vt:lpwstr>
      </vt:variant>
      <vt:variant>
        <vt:i4>1179710</vt:i4>
      </vt:variant>
      <vt:variant>
        <vt:i4>230</vt:i4>
      </vt:variant>
      <vt:variant>
        <vt:i4>0</vt:i4>
      </vt:variant>
      <vt:variant>
        <vt:i4>5</vt:i4>
      </vt:variant>
      <vt:variant>
        <vt:lpwstr/>
      </vt:variant>
      <vt:variant>
        <vt:lpwstr>_Toc367097341</vt:lpwstr>
      </vt:variant>
      <vt:variant>
        <vt:i4>1179710</vt:i4>
      </vt:variant>
      <vt:variant>
        <vt:i4>224</vt:i4>
      </vt:variant>
      <vt:variant>
        <vt:i4>0</vt:i4>
      </vt:variant>
      <vt:variant>
        <vt:i4>5</vt:i4>
      </vt:variant>
      <vt:variant>
        <vt:lpwstr/>
      </vt:variant>
      <vt:variant>
        <vt:lpwstr>_Toc367097340</vt:lpwstr>
      </vt:variant>
      <vt:variant>
        <vt:i4>1376318</vt:i4>
      </vt:variant>
      <vt:variant>
        <vt:i4>218</vt:i4>
      </vt:variant>
      <vt:variant>
        <vt:i4>0</vt:i4>
      </vt:variant>
      <vt:variant>
        <vt:i4>5</vt:i4>
      </vt:variant>
      <vt:variant>
        <vt:lpwstr/>
      </vt:variant>
      <vt:variant>
        <vt:lpwstr>_Toc367097339</vt:lpwstr>
      </vt:variant>
      <vt:variant>
        <vt:i4>1376318</vt:i4>
      </vt:variant>
      <vt:variant>
        <vt:i4>212</vt:i4>
      </vt:variant>
      <vt:variant>
        <vt:i4>0</vt:i4>
      </vt:variant>
      <vt:variant>
        <vt:i4>5</vt:i4>
      </vt:variant>
      <vt:variant>
        <vt:lpwstr/>
      </vt:variant>
      <vt:variant>
        <vt:lpwstr>_Toc367097338</vt:lpwstr>
      </vt:variant>
      <vt:variant>
        <vt:i4>1376318</vt:i4>
      </vt:variant>
      <vt:variant>
        <vt:i4>206</vt:i4>
      </vt:variant>
      <vt:variant>
        <vt:i4>0</vt:i4>
      </vt:variant>
      <vt:variant>
        <vt:i4>5</vt:i4>
      </vt:variant>
      <vt:variant>
        <vt:lpwstr/>
      </vt:variant>
      <vt:variant>
        <vt:lpwstr>_Toc367097337</vt:lpwstr>
      </vt:variant>
      <vt:variant>
        <vt:i4>1376318</vt:i4>
      </vt:variant>
      <vt:variant>
        <vt:i4>200</vt:i4>
      </vt:variant>
      <vt:variant>
        <vt:i4>0</vt:i4>
      </vt:variant>
      <vt:variant>
        <vt:i4>5</vt:i4>
      </vt:variant>
      <vt:variant>
        <vt:lpwstr/>
      </vt:variant>
      <vt:variant>
        <vt:lpwstr>_Toc367097336</vt:lpwstr>
      </vt:variant>
      <vt:variant>
        <vt:i4>1376318</vt:i4>
      </vt:variant>
      <vt:variant>
        <vt:i4>194</vt:i4>
      </vt:variant>
      <vt:variant>
        <vt:i4>0</vt:i4>
      </vt:variant>
      <vt:variant>
        <vt:i4>5</vt:i4>
      </vt:variant>
      <vt:variant>
        <vt:lpwstr/>
      </vt:variant>
      <vt:variant>
        <vt:lpwstr>_Toc367097335</vt:lpwstr>
      </vt:variant>
      <vt:variant>
        <vt:i4>1376318</vt:i4>
      </vt:variant>
      <vt:variant>
        <vt:i4>188</vt:i4>
      </vt:variant>
      <vt:variant>
        <vt:i4>0</vt:i4>
      </vt:variant>
      <vt:variant>
        <vt:i4>5</vt:i4>
      </vt:variant>
      <vt:variant>
        <vt:lpwstr/>
      </vt:variant>
      <vt:variant>
        <vt:lpwstr>_Toc367097334</vt:lpwstr>
      </vt:variant>
      <vt:variant>
        <vt:i4>1376318</vt:i4>
      </vt:variant>
      <vt:variant>
        <vt:i4>182</vt:i4>
      </vt:variant>
      <vt:variant>
        <vt:i4>0</vt:i4>
      </vt:variant>
      <vt:variant>
        <vt:i4>5</vt:i4>
      </vt:variant>
      <vt:variant>
        <vt:lpwstr/>
      </vt:variant>
      <vt:variant>
        <vt:lpwstr>_Toc367097333</vt:lpwstr>
      </vt:variant>
      <vt:variant>
        <vt:i4>1376318</vt:i4>
      </vt:variant>
      <vt:variant>
        <vt:i4>176</vt:i4>
      </vt:variant>
      <vt:variant>
        <vt:i4>0</vt:i4>
      </vt:variant>
      <vt:variant>
        <vt:i4>5</vt:i4>
      </vt:variant>
      <vt:variant>
        <vt:lpwstr/>
      </vt:variant>
      <vt:variant>
        <vt:lpwstr>_Toc367097332</vt:lpwstr>
      </vt:variant>
      <vt:variant>
        <vt:i4>1376318</vt:i4>
      </vt:variant>
      <vt:variant>
        <vt:i4>170</vt:i4>
      </vt:variant>
      <vt:variant>
        <vt:i4>0</vt:i4>
      </vt:variant>
      <vt:variant>
        <vt:i4>5</vt:i4>
      </vt:variant>
      <vt:variant>
        <vt:lpwstr/>
      </vt:variant>
      <vt:variant>
        <vt:lpwstr>_Toc367097331</vt:lpwstr>
      </vt:variant>
      <vt:variant>
        <vt:i4>1376318</vt:i4>
      </vt:variant>
      <vt:variant>
        <vt:i4>164</vt:i4>
      </vt:variant>
      <vt:variant>
        <vt:i4>0</vt:i4>
      </vt:variant>
      <vt:variant>
        <vt:i4>5</vt:i4>
      </vt:variant>
      <vt:variant>
        <vt:lpwstr/>
      </vt:variant>
      <vt:variant>
        <vt:lpwstr>_Toc367097330</vt:lpwstr>
      </vt:variant>
      <vt:variant>
        <vt:i4>1310782</vt:i4>
      </vt:variant>
      <vt:variant>
        <vt:i4>158</vt:i4>
      </vt:variant>
      <vt:variant>
        <vt:i4>0</vt:i4>
      </vt:variant>
      <vt:variant>
        <vt:i4>5</vt:i4>
      </vt:variant>
      <vt:variant>
        <vt:lpwstr/>
      </vt:variant>
      <vt:variant>
        <vt:lpwstr>_Toc367097329</vt:lpwstr>
      </vt:variant>
      <vt:variant>
        <vt:i4>1310782</vt:i4>
      </vt:variant>
      <vt:variant>
        <vt:i4>152</vt:i4>
      </vt:variant>
      <vt:variant>
        <vt:i4>0</vt:i4>
      </vt:variant>
      <vt:variant>
        <vt:i4>5</vt:i4>
      </vt:variant>
      <vt:variant>
        <vt:lpwstr/>
      </vt:variant>
      <vt:variant>
        <vt:lpwstr>_Toc367097328</vt:lpwstr>
      </vt:variant>
      <vt:variant>
        <vt:i4>1310782</vt:i4>
      </vt:variant>
      <vt:variant>
        <vt:i4>146</vt:i4>
      </vt:variant>
      <vt:variant>
        <vt:i4>0</vt:i4>
      </vt:variant>
      <vt:variant>
        <vt:i4>5</vt:i4>
      </vt:variant>
      <vt:variant>
        <vt:lpwstr/>
      </vt:variant>
      <vt:variant>
        <vt:lpwstr>_Toc367097327</vt:lpwstr>
      </vt:variant>
      <vt:variant>
        <vt:i4>1310782</vt:i4>
      </vt:variant>
      <vt:variant>
        <vt:i4>140</vt:i4>
      </vt:variant>
      <vt:variant>
        <vt:i4>0</vt:i4>
      </vt:variant>
      <vt:variant>
        <vt:i4>5</vt:i4>
      </vt:variant>
      <vt:variant>
        <vt:lpwstr/>
      </vt:variant>
      <vt:variant>
        <vt:lpwstr>_Toc367097326</vt:lpwstr>
      </vt:variant>
      <vt:variant>
        <vt:i4>1310782</vt:i4>
      </vt:variant>
      <vt:variant>
        <vt:i4>134</vt:i4>
      </vt:variant>
      <vt:variant>
        <vt:i4>0</vt:i4>
      </vt:variant>
      <vt:variant>
        <vt:i4>5</vt:i4>
      </vt:variant>
      <vt:variant>
        <vt:lpwstr/>
      </vt:variant>
      <vt:variant>
        <vt:lpwstr>_Toc367097325</vt:lpwstr>
      </vt:variant>
      <vt:variant>
        <vt:i4>1310782</vt:i4>
      </vt:variant>
      <vt:variant>
        <vt:i4>128</vt:i4>
      </vt:variant>
      <vt:variant>
        <vt:i4>0</vt:i4>
      </vt:variant>
      <vt:variant>
        <vt:i4>5</vt:i4>
      </vt:variant>
      <vt:variant>
        <vt:lpwstr/>
      </vt:variant>
      <vt:variant>
        <vt:lpwstr>_Toc367097324</vt:lpwstr>
      </vt:variant>
      <vt:variant>
        <vt:i4>1310782</vt:i4>
      </vt:variant>
      <vt:variant>
        <vt:i4>122</vt:i4>
      </vt:variant>
      <vt:variant>
        <vt:i4>0</vt:i4>
      </vt:variant>
      <vt:variant>
        <vt:i4>5</vt:i4>
      </vt:variant>
      <vt:variant>
        <vt:lpwstr/>
      </vt:variant>
      <vt:variant>
        <vt:lpwstr>_Toc367097323</vt:lpwstr>
      </vt:variant>
      <vt:variant>
        <vt:i4>1310782</vt:i4>
      </vt:variant>
      <vt:variant>
        <vt:i4>116</vt:i4>
      </vt:variant>
      <vt:variant>
        <vt:i4>0</vt:i4>
      </vt:variant>
      <vt:variant>
        <vt:i4>5</vt:i4>
      </vt:variant>
      <vt:variant>
        <vt:lpwstr/>
      </vt:variant>
      <vt:variant>
        <vt:lpwstr>_Toc367097322</vt:lpwstr>
      </vt:variant>
      <vt:variant>
        <vt:i4>1310782</vt:i4>
      </vt:variant>
      <vt:variant>
        <vt:i4>110</vt:i4>
      </vt:variant>
      <vt:variant>
        <vt:i4>0</vt:i4>
      </vt:variant>
      <vt:variant>
        <vt:i4>5</vt:i4>
      </vt:variant>
      <vt:variant>
        <vt:lpwstr/>
      </vt:variant>
      <vt:variant>
        <vt:lpwstr>_Toc367097321</vt:lpwstr>
      </vt:variant>
      <vt:variant>
        <vt:i4>1310782</vt:i4>
      </vt:variant>
      <vt:variant>
        <vt:i4>104</vt:i4>
      </vt:variant>
      <vt:variant>
        <vt:i4>0</vt:i4>
      </vt:variant>
      <vt:variant>
        <vt:i4>5</vt:i4>
      </vt:variant>
      <vt:variant>
        <vt:lpwstr/>
      </vt:variant>
      <vt:variant>
        <vt:lpwstr>_Toc367097320</vt:lpwstr>
      </vt:variant>
      <vt:variant>
        <vt:i4>1507390</vt:i4>
      </vt:variant>
      <vt:variant>
        <vt:i4>98</vt:i4>
      </vt:variant>
      <vt:variant>
        <vt:i4>0</vt:i4>
      </vt:variant>
      <vt:variant>
        <vt:i4>5</vt:i4>
      </vt:variant>
      <vt:variant>
        <vt:lpwstr/>
      </vt:variant>
      <vt:variant>
        <vt:lpwstr>_Toc367097319</vt:lpwstr>
      </vt:variant>
      <vt:variant>
        <vt:i4>1507390</vt:i4>
      </vt:variant>
      <vt:variant>
        <vt:i4>92</vt:i4>
      </vt:variant>
      <vt:variant>
        <vt:i4>0</vt:i4>
      </vt:variant>
      <vt:variant>
        <vt:i4>5</vt:i4>
      </vt:variant>
      <vt:variant>
        <vt:lpwstr/>
      </vt:variant>
      <vt:variant>
        <vt:lpwstr>_Toc367097318</vt:lpwstr>
      </vt:variant>
      <vt:variant>
        <vt:i4>1507390</vt:i4>
      </vt:variant>
      <vt:variant>
        <vt:i4>86</vt:i4>
      </vt:variant>
      <vt:variant>
        <vt:i4>0</vt:i4>
      </vt:variant>
      <vt:variant>
        <vt:i4>5</vt:i4>
      </vt:variant>
      <vt:variant>
        <vt:lpwstr/>
      </vt:variant>
      <vt:variant>
        <vt:lpwstr>_Toc367097317</vt:lpwstr>
      </vt:variant>
      <vt:variant>
        <vt:i4>1507390</vt:i4>
      </vt:variant>
      <vt:variant>
        <vt:i4>80</vt:i4>
      </vt:variant>
      <vt:variant>
        <vt:i4>0</vt:i4>
      </vt:variant>
      <vt:variant>
        <vt:i4>5</vt:i4>
      </vt:variant>
      <vt:variant>
        <vt:lpwstr/>
      </vt:variant>
      <vt:variant>
        <vt:lpwstr>_Toc367097316</vt:lpwstr>
      </vt:variant>
      <vt:variant>
        <vt:i4>1507390</vt:i4>
      </vt:variant>
      <vt:variant>
        <vt:i4>74</vt:i4>
      </vt:variant>
      <vt:variant>
        <vt:i4>0</vt:i4>
      </vt:variant>
      <vt:variant>
        <vt:i4>5</vt:i4>
      </vt:variant>
      <vt:variant>
        <vt:lpwstr/>
      </vt:variant>
      <vt:variant>
        <vt:lpwstr>_Toc367097315</vt:lpwstr>
      </vt:variant>
      <vt:variant>
        <vt:i4>1507390</vt:i4>
      </vt:variant>
      <vt:variant>
        <vt:i4>68</vt:i4>
      </vt:variant>
      <vt:variant>
        <vt:i4>0</vt:i4>
      </vt:variant>
      <vt:variant>
        <vt:i4>5</vt:i4>
      </vt:variant>
      <vt:variant>
        <vt:lpwstr/>
      </vt:variant>
      <vt:variant>
        <vt:lpwstr>_Toc367097314</vt:lpwstr>
      </vt:variant>
      <vt:variant>
        <vt:i4>1507390</vt:i4>
      </vt:variant>
      <vt:variant>
        <vt:i4>62</vt:i4>
      </vt:variant>
      <vt:variant>
        <vt:i4>0</vt:i4>
      </vt:variant>
      <vt:variant>
        <vt:i4>5</vt:i4>
      </vt:variant>
      <vt:variant>
        <vt:lpwstr/>
      </vt:variant>
      <vt:variant>
        <vt:lpwstr>_Toc367097313</vt:lpwstr>
      </vt:variant>
      <vt:variant>
        <vt:i4>1507390</vt:i4>
      </vt:variant>
      <vt:variant>
        <vt:i4>56</vt:i4>
      </vt:variant>
      <vt:variant>
        <vt:i4>0</vt:i4>
      </vt:variant>
      <vt:variant>
        <vt:i4>5</vt:i4>
      </vt:variant>
      <vt:variant>
        <vt:lpwstr/>
      </vt:variant>
      <vt:variant>
        <vt:lpwstr>_Toc367097312</vt:lpwstr>
      </vt:variant>
      <vt:variant>
        <vt:i4>1507390</vt:i4>
      </vt:variant>
      <vt:variant>
        <vt:i4>50</vt:i4>
      </vt:variant>
      <vt:variant>
        <vt:i4>0</vt:i4>
      </vt:variant>
      <vt:variant>
        <vt:i4>5</vt:i4>
      </vt:variant>
      <vt:variant>
        <vt:lpwstr/>
      </vt:variant>
      <vt:variant>
        <vt:lpwstr>_Toc367097311</vt:lpwstr>
      </vt:variant>
      <vt:variant>
        <vt:i4>1507390</vt:i4>
      </vt:variant>
      <vt:variant>
        <vt:i4>44</vt:i4>
      </vt:variant>
      <vt:variant>
        <vt:i4>0</vt:i4>
      </vt:variant>
      <vt:variant>
        <vt:i4>5</vt:i4>
      </vt:variant>
      <vt:variant>
        <vt:lpwstr/>
      </vt:variant>
      <vt:variant>
        <vt:lpwstr>_Toc367097310</vt:lpwstr>
      </vt:variant>
      <vt:variant>
        <vt:i4>1441854</vt:i4>
      </vt:variant>
      <vt:variant>
        <vt:i4>38</vt:i4>
      </vt:variant>
      <vt:variant>
        <vt:i4>0</vt:i4>
      </vt:variant>
      <vt:variant>
        <vt:i4>5</vt:i4>
      </vt:variant>
      <vt:variant>
        <vt:lpwstr/>
      </vt:variant>
      <vt:variant>
        <vt:lpwstr>_Toc367097309</vt:lpwstr>
      </vt:variant>
      <vt:variant>
        <vt:i4>1441854</vt:i4>
      </vt:variant>
      <vt:variant>
        <vt:i4>32</vt:i4>
      </vt:variant>
      <vt:variant>
        <vt:i4>0</vt:i4>
      </vt:variant>
      <vt:variant>
        <vt:i4>5</vt:i4>
      </vt:variant>
      <vt:variant>
        <vt:lpwstr/>
      </vt:variant>
      <vt:variant>
        <vt:lpwstr>_Toc367097308</vt:lpwstr>
      </vt:variant>
      <vt:variant>
        <vt:i4>1441854</vt:i4>
      </vt:variant>
      <vt:variant>
        <vt:i4>26</vt:i4>
      </vt:variant>
      <vt:variant>
        <vt:i4>0</vt:i4>
      </vt:variant>
      <vt:variant>
        <vt:i4>5</vt:i4>
      </vt:variant>
      <vt:variant>
        <vt:lpwstr/>
      </vt:variant>
      <vt:variant>
        <vt:lpwstr>_Toc367097307</vt:lpwstr>
      </vt:variant>
      <vt:variant>
        <vt:i4>1441854</vt:i4>
      </vt:variant>
      <vt:variant>
        <vt:i4>20</vt:i4>
      </vt:variant>
      <vt:variant>
        <vt:i4>0</vt:i4>
      </vt:variant>
      <vt:variant>
        <vt:i4>5</vt:i4>
      </vt:variant>
      <vt:variant>
        <vt:lpwstr/>
      </vt:variant>
      <vt:variant>
        <vt:lpwstr>_Toc367097306</vt:lpwstr>
      </vt:variant>
      <vt:variant>
        <vt:i4>1441854</vt:i4>
      </vt:variant>
      <vt:variant>
        <vt:i4>14</vt:i4>
      </vt:variant>
      <vt:variant>
        <vt:i4>0</vt:i4>
      </vt:variant>
      <vt:variant>
        <vt:i4>5</vt:i4>
      </vt:variant>
      <vt:variant>
        <vt:lpwstr/>
      </vt:variant>
      <vt:variant>
        <vt:lpwstr>_Toc367097305</vt:lpwstr>
      </vt:variant>
      <vt:variant>
        <vt:i4>1441854</vt:i4>
      </vt:variant>
      <vt:variant>
        <vt:i4>8</vt:i4>
      </vt:variant>
      <vt:variant>
        <vt:i4>0</vt:i4>
      </vt:variant>
      <vt:variant>
        <vt:i4>5</vt:i4>
      </vt:variant>
      <vt:variant>
        <vt:lpwstr/>
      </vt:variant>
      <vt:variant>
        <vt:lpwstr>_Toc367097304</vt:lpwstr>
      </vt:variant>
      <vt:variant>
        <vt:i4>1441854</vt:i4>
      </vt:variant>
      <vt:variant>
        <vt:i4>2</vt:i4>
      </vt:variant>
      <vt:variant>
        <vt:i4>0</vt:i4>
      </vt:variant>
      <vt:variant>
        <vt:i4>5</vt:i4>
      </vt:variant>
      <vt:variant>
        <vt:lpwstr/>
      </vt:variant>
      <vt:variant>
        <vt:lpwstr>_Toc367097303</vt:lpwstr>
      </vt:variant>
      <vt:variant>
        <vt:i4>5701719</vt:i4>
      </vt:variant>
      <vt:variant>
        <vt:i4>0</vt:i4>
      </vt:variant>
      <vt:variant>
        <vt:i4>0</vt:i4>
      </vt:variant>
      <vt:variant>
        <vt:i4>5</vt:i4>
      </vt:variant>
      <vt:variant>
        <vt:lpwstr>http://www.niwrmc.gov.ng/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MAJA KRIVOKAPIC</cp:lastModifiedBy>
  <cp:revision>2</cp:revision>
  <cp:lastPrinted>2021-09-29T11:44:00Z</cp:lastPrinted>
  <dcterms:created xsi:type="dcterms:W3CDTF">2025-06-20T13:18:00Z</dcterms:created>
  <dcterms:modified xsi:type="dcterms:W3CDTF">2025-06-20T13:18:00Z</dcterms:modified>
</cp:coreProperties>
</file>