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="00420859">
        <w:rPr>
          <w:rFonts w:ascii="Arial Narrow" w:hAnsi="Arial Narrow"/>
          <w:b/>
          <w:noProof/>
          <w:snapToGrid w:val="0"/>
          <w:lang w:eastAsia="en-US"/>
        </w:rPr>
        <w:t xml:space="preserve"> </w:t>
      </w:r>
    </w:p>
    <w:p w:rsidR="00CC031E" w:rsidRPr="00420859" w:rsidRDefault="00420859" w:rsidP="00420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 Narrow" w:hAnsi="Arial Narrow"/>
          <w:b/>
          <w:noProof/>
          <w:snapToGrid w:val="0"/>
          <w:lang w:eastAsia="en-US"/>
        </w:rPr>
      </w:pPr>
      <w:r w:rsidRPr="00420859">
        <w:rPr>
          <w:rFonts w:ascii="Arial Narrow" w:hAnsi="Arial Narrow"/>
          <w:b/>
          <w:noProof/>
          <w:snapToGrid w:val="0"/>
          <w:u w:val="single"/>
          <w:lang w:eastAsia="en-US"/>
        </w:rPr>
        <w:t>MINISTARSTVO KULTURE</w:t>
      </w:r>
    </w:p>
    <w:p w:rsidR="00420859" w:rsidRDefault="00420859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="00420859">
        <w:rPr>
          <w:rFonts w:ascii="Arial Narrow" w:hAnsi="Arial Narrow"/>
          <w:b/>
          <w:noProof/>
          <w:snapToGrid w:val="0"/>
          <w:lang w:eastAsia="en-US"/>
        </w:rPr>
        <w:t xml:space="preserve">interesa- </w:t>
      </w:r>
      <w:r w:rsidR="00420859" w:rsidRPr="00420859">
        <w:rPr>
          <w:rFonts w:ascii="Arial Narrow" w:hAnsi="Arial Narrow"/>
          <w:b/>
          <w:noProof/>
          <w:snapToGrid w:val="0"/>
          <w:u w:val="single"/>
          <w:lang w:eastAsia="en-US"/>
        </w:rPr>
        <w:t>umjetnost i/ili</w:t>
      </w:r>
      <w:r w:rsidR="00420859">
        <w:rPr>
          <w:rFonts w:ascii="Arial Narrow" w:hAnsi="Arial Narrow"/>
          <w:b/>
          <w:noProof/>
          <w:snapToGrid w:val="0"/>
          <w:u w:val="single"/>
          <w:lang w:eastAsia="en-US"/>
        </w:rPr>
        <w:t xml:space="preserve"> </w:t>
      </w:r>
      <w:r w:rsidR="00420859" w:rsidRPr="00420859">
        <w:rPr>
          <w:rFonts w:ascii="Arial Narrow" w:hAnsi="Arial Narrow"/>
          <w:b/>
          <w:noProof/>
          <w:snapToGrid w:val="0"/>
          <w:u w:val="single"/>
          <w:lang w:eastAsia="en-US"/>
        </w:rPr>
        <w:t>kultura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42085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u w:val="single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</w:t>
      </w:r>
      <w:r w:rsidR="00420859">
        <w:rPr>
          <w:rFonts w:ascii="Arial Narrow" w:hAnsi="Arial Narrow"/>
          <w:b/>
          <w:noProof/>
          <w:snapToGrid w:val="0"/>
          <w:lang w:eastAsia="en-US"/>
        </w:rPr>
        <w:t xml:space="preserve">m objavljivanja javnog konkursa: </w:t>
      </w:r>
      <w:r w:rsidR="00420859" w:rsidRPr="00420859">
        <w:rPr>
          <w:rFonts w:ascii="Arial Narrow" w:hAnsi="Arial Narrow"/>
          <w:b/>
          <w:noProof/>
          <w:snapToGrid w:val="0"/>
          <w:u w:val="single"/>
          <w:lang w:eastAsia="en-US"/>
        </w:rPr>
        <w:t>06.03.2020.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Pr="0042085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u w:val="single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="00420859">
        <w:rPr>
          <w:rFonts w:ascii="Arial Narrow" w:hAnsi="Arial Narrow"/>
          <w:noProof/>
          <w:snapToGrid w:val="0"/>
          <w:lang w:eastAsia="en-US"/>
        </w:rPr>
        <w:t xml:space="preserve">: </w:t>
      </w:r>
      <w:r w:rsidR="00420859" w:rsidRPr="00420859">
        <w:rPr>
          <w:rFonts w:ascii="Arial Narrow" w:hAnsi="Arial Narrow"/>
          <w:b/>
          <w:noProof/>
          <w:snapToGrid w:val="0"/>
          <w:u w:val="single"/>
          <w:lang w:eastAsia="en-US"/>
        </w:rPr>
        <w:t>06.04.2020.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42085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2019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42085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2018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42085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420859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</w:t>
            </w:r>
            <w:r w:rsidRPr="00420859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u oblasti</w:t>
            </w:r>
            <w:r w:rsidR="00420859" w:rsidRPr="00420859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 umjetnosti i/ili kulture</w:t>
            </w:r>
            <w:r w:rsidR="0042085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420859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Navesti podatke o realizovanim projektima/programima i visini utrošenih sredstava</w:t>
            </w:r>
            <w:r w:rsidR="0042085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="00420859" w:rsidRPr="00420859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u oblasti umjetnosti i/ili kulture</w:t>
            </w:r>
            <w:r w:rsidR="0042085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420859" w:rsidRDefault="00420859" w:rsidP="00CC031E">
      <w:pPr>
        <w:jc w:val="center"/>
        <w:rPr>
          <w:rFonts w:ascii="Arial Narrow" w:hAnsi="Arial Narrow"/>
          <w:b/>
          <w:bCs/>
        </w:rPr>
      </w:pPr>
    </w:p>
    <w:p w:rsidR="00420859" w:rsidRDefault="00420859" w:rsidP="00CC031E">
      <w:pPr>
        <w:jc w:val="center"/>
        <w:rPr>
          <w:rFonts w:ascii="Arial Narrow" w:hAnsi="Arial Narrow"/>
          <w:b/>
          <w:bCs/>
        </w:rPr>
      </w:pPr>
    </w:p>
    <w:p w:rsidR="00420859" w:rsidRDefault="00420859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FA" w:rsidRDefault="007B41FA">
      <w:r>
        <w:separator/>
      </w:r>
    </w:p>
  </w:endnote>
  <w:endnote w:type="continuationSeparator" w:id="0">
    <w:p w:rsidR="007B41FA" w:rsidRDefault="007B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FA" w:rsidRDefault="007B41FA">
      <w:r>
        <w:separator/>
      </w:r>
    </w:p>
  </w:footnote>
  <w:footnote w:type="continuationSeparator" w:id="0">
    <w:p w:rsidR="007B41FA" w:rsidRDefault="007B4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20859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B41FA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85B04"/>
  <w15:docId w15:val="{5580E611-28C9-48C5-AE13-5069DF1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2768-25DE-4748-BC5A-AB12F961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Marija Mrvaljevic</cp:lastModifiedBy>
  <cp:revision>3</cp:revision>
  <cp:lastPrinted>2018-02-28T09:00:00Z</cp:lastPrinted>
  <dcterms:created xsi:type="dcterms:W3CDTF">2020-03-06T07:49:00Z</dcterms:created>
  <dcterms:modified xsi:type="dcterms:W3CDTF">2020-03-06T07:49:00Z</dcterms:modified>
  <dc:language>en-US</dc:language>
</cp:coreProperties>
</file>